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仿宋"/>
          <w:b/>
          <w:bCs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 w:color="auto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u w:val="none" w:color="auto"/>
          <w:lang w:val="en-US" w:eastAsia="zh-CN"/>
        </w:rPr>
        <w:t>1: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u w:val="none" w:color="auto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 w:color="auto"/>
          <w:lang w:val="en-US" w:eastAsia="zh-CN"/>
        </w:rPr>
        <w:t>21</w:t>
      </w:r>
      <w:r>
        <w:rPr>
          <w:rFonts w:hint="default" w:ascii="Times New Roman" w:hAnsi="Times New Roman" w:eastAsia="方正小标宋简体" w:cs="Times New Roman"/>
          <w:sz w:val="44"/>
          <w:szCs w:val="44"/>
          <w:u w:val="none" w:color="auto"/>
        </w:rPr>
        <w:t>年自治州就业工作预期目标计划</w:t>
      </w:r>
    </w:p>
    <w:bookmarkEnd w:id="0"/>
    <w:tbl>
      <w:tblPr>
        <w:tblStyle w:val="5"/>
        <w:tblpPr w:leftFromText="180" w:rightFromText="180" w:vertAnchor="text" w:horzAnchor="page" w:tblpXSpec="center" w:tblpY="333"/>
        <w:tblOverlap w:val="never"/>
        <w:tblW w:w="148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1045"/>
        <w:gridCol w:w="912"/>
        <w:gridCol w:w="1004"/>
        <w:gridCol w:w="750"/>
        <w:gridCol w:w="926"/>
        <w:gridCol w:w="891"/>
        <w:gridCol w:w="998"/>
        <w:gridCol w:w="1113"/>
        <w:gridCol w:w="1054"/>
        <w:gridCol w:w="1267"/>
        <w:gridCol w:w="1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378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县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val="en-US" w:eastAsia="zh-CN"/>
              </w:rPr>
              <w:t>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val="en-US" w:eastAsia="zh-CN"/>
              </w:rPr>
              <w:t>园区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名称</w:t>
            </w:r>
          </w:p>
        </w:tc>
        <w:tc>
          <w:tcPr>
            <w:tcW w:w="1045" w:type="dxa"/>
            <w:vMerge w:val="restar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城镇新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增就业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人数</w:t>
            </w:r>
          </w:p>
        </w:tc>
        <w:tc>
          <w:tcPr>
            <w:tcW w:w="912" w:type="dxa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10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农村富余劳动力转移就业人次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新增创业人数</w:t>
            </w:r>
          </w:p>
        </w:tc>
        <w:tc>
          <w:tcPr>
            <w:tcW w:w="9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创业带动就业人数</w:t>
            </w:r>
          </w:p>
        </w:tc>
        <w:tc>
          <w:tcPr>
            <w:tcW w:w="8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城镇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登记失业率</w:t>
            </w:r>
          </w:p>
        </w:tc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高校毕业生就业率</w:t>
            </w:r>
          </w:p>
        </w:tc>
        <w:tc>
          <w:tcPr>
            <w:tcW w:w="1113" w:type="dxa"/>
            <w:vMerge w:val="restar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职业培训总量（人次）</w:t>
            </w:r>
          </w:p>
        </w:tc>
        <w:tc>
          <w:tcPr>
            <w:tcW w:w="3395" w:type="dxa"/>
            <w:gridSpan w:val="3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37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10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9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  <w:t>就业困难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就业人数</w:t>
            </w:r>
          </w:p>
        </w:tc>
        <w:tc>
          <w:tcPr>
            <w:tcW w:w="10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9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11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1054" w:type="dxa"/>
            <w:vMerge w:val="restart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技能　培训</w:t>
            </w:r>
          </w:p>
        </w:tc>
        <w:tc>
          <w:tcPr>
            <w:tcW w:w="2341" w:type="dxa"/>
            <w:gridSpan w:val="2"/>
            <w:tcBorders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78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10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9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10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9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111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105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高技能人才培训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u w:val="none" w:color="auto"/>
                <w:lang w:eastAsia="zh-CN"/>
              </w:rPr>
              <w:t>建筑领域培训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  <w:t>木垒县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1100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90 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14600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190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350</w:t>
            </w:r>
          </w:p>
        </w:tc>
        <w:tc>
          <w:tcPr>
            <w:tcW w:w="8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  <w:t>3.5%　 以内</w:t>
            </w:r>
          </w:p>
        </w:tc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u w:val="none" w:color="auto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 w:color="auto"/>
              </w:rPr>
              <w:t>应届普通高校毕业生就业率达到88%以上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260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  <w:t>奇台县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4740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430 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33000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680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1730</w:t>
            </w: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7000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  <w:t>吉木萨尔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  <w:t>县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3450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210 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16000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490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1260</w:t>
            </w: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5000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650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  <w:t>阜康市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3820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 xml:space="preserve">440 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15400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550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1390</w:t>
            </w: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8500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800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60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u w:val="none" w:color="auto"/>
              </w:rPr>
              <w:t>昌吉市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6920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480 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2670</w:t>
            </w: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16000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1200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490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  <w:t>呼图壁县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3930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230 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1430</w:t>
            </w: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</w:rPr>
              <w:t>玛纳斯县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4040 </w:t>
            </w:r>
          </w:p>
        </w:tc>
        <w:tc>
          <w:tcPr>
            <w:tcW w:w="9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4"/>
                <w:szCs w:val="24"/>
                <w:u w:val="none" w:color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1370</w:t>
            </w: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6000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500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  <w:t>新疆准东经济技术开发区</w:t>
            </w:r>
          </w:p>
        </w:tc>
        <w:tc>
          <w:tcPr>
            <w:tcW w:w="104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</w:p>
        </w:tc>
        <w:tc>
          <w:tcPr>
            <w:tcW w:w="100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7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9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89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10000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1400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270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  <w:t>昌吉国家高新技术产业开发区</w:t>
            </w:r>
          </w:p>
        </w:tc>
        <w:tc>
          <w:tcPr>
            <w:tcW w:w="10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</w:p>
        </w:tc>
        <w:tc>
          <w:tcPr>
            <w:tcW w:w="10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9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1500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  <w:t>昌吉国家农业科技园区</w:t>
            </w:r>
          </w:p>
        </w:tc>
        <w:tc>
          <w:tcPr>
            <w:tcW w:w="104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</w:p>
        </w:tc>
        <w:tc>
          <w:tcPr>
            <w:tcW w:w="100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7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9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</w:p>
        </w:tc>
        <w:tc>
          <w:tcPr>
            <w:tcW w:w="89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378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u w:val="none" w:color="auto"/>
                <w:lang w:eastAsia="zh-CN"/>
              </w:rPr>
              <w:t>合　计</w:t>
            </w:r>
          </w:p>
        </w:tc>
        <w:tc>
          <w:tcPr>
            <w:tcW w:w="10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28000</w:t>
            </w:r>
          </w:p>
        </w:tc>
        <w:tc>
          <w:tcPr>
            <w:tcW w:w="91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  <w:t>2140</w:t>
            </w:r>
          </w:p>
        </w:tc>
        <w:tc>
          <w:tcPr>
            <w:tcW w:w="10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136000</w:t>
            </w:r>
          </w:p>
        </w:tc>
        <w:tc>
          <w:tcPr>
            <w:tcW w:w="7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4000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10200</w:t>
            </w:r>
          </w:p>
        </w:tc>
        <w:tc>
          <w:tcPr>
            <w:tcW w:w="8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u w:val="none" w:color="auto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none" w:color="auto"/>
                <w:lang w:val="en-US" w:eastAsia="zh-CN"/>
              </w:rPr>
              <w:t>3.5%　 以内</w:t>
            </w:r>
          </w:p>
        </w:tc>
        <w:tc>
          <w:tcPr>
            <w:tcW w:w="99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u w:val="none" w:color="auto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 w:color="auto"/>
              </w:rPr>
              <w:t>88%以上</w:t>
            </w:r>
          </w:p>
        </w:tc>
        <w:tc>
          <w:tcPr>
            <w:tcW w:w="11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60000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7000</w:t>
            </w:r>
          </w:p>
        </w:tc>
        <w:tc>
          <w:tcPr>
            <w:tcW w:w="126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1000</w:t>
            </w:r>
          </w:p>
        </w:tc>
        <w:tc>
          <w:tcPr>
            <w:tcW w:w="107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u w:val="none" w:color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 w:color="auto"/>
                <w:lang w:val="en-US" w:eastAsia="zh-CN" w:bidi="ar"/>
              </w:rPr>
              <w:t>3000</w:t>
            </w:r>
          </w:p>
        </w:tc>
      </w:tr>
    </w:tbl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u w:val="none" w:color="auto"/>
          <w:lang w:eastAsia="zh-CN"/>
        </w:rPr>
        <w:sectPr>
          <w:footerReference r:id="rId3" w:type="default"/>
          <w:pgSz w:w="16838" w:h="11906" w:orient="landscape"/>
          <w:pgMar w:top="1349" w:right="2154" w:bottom="896" w:left="1871" w:header="851" w:footer="992" w:gutter="0"/>
          <w:pgNumType w:fmt="numberInDash"/>
          <w:cols w:space="0" w:num="1"/>
          <w:rtlGutter w:val="0"/>
          <w:docGrid w:type="lines" w:linePitch="319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F14D5"/>
    <w:rsid w:val="4DE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2023-08-14T03:16:00Z</dcterms:created>
  <dc:creator>Administrator</dc:creator>
  <cp:lastModifiedBy>Administrator</cp:lastModifiedBy>
  <dcterms:modified xsi:type="dcterms:W3CDTF">2023-08-14T03:16:35Z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