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公示情况说明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昌吉州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人社局、州总工会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我单位采取广泛动员、个人申请、民主推荐、同行专家评议、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组织审察</w:t>
      </w:r>
      <w:r>
        <w:rPr>
          <w:rFonts w:hint="eastAsia" w:ascii="Times New Roman" w:hAnsi="Times New Roman" w:eastAsia="仿宋_GB2312" w:cs="仿宋_GB2312"/>
          <w:sz w:val="32"/>
          <w:szCs w:val="32"/>
        </w:rPr>
        <w:t>、考察等形式，认真审核申报人选资格条件，严格把关政治素质和专业能力水平后，确定了申报昌吉州庭州工匠专项行动初步人选。于202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日至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bookmarkStart w:id="0" w:name="OLE_LINK2"/>
      <w:r>
        <w:rPr>
          <w:rFonts w:hint="eastAsia" w:ascii="Times New Roman" w:hAnsi="Times New Roman" w:eastAsia="仿宋_GB2312" w:cs="仿宋_GB2312"/>
          <w:sz w:val="32"/>
          <w:szCs w:val="32"/>
          <w:u w:val="none"/>
          <w:lang w:val="en-US" w:eastAsia="zh-CN"/>
        </w:rPr>
        <w:t>月</w:t>
      </w:r>
      <w:bookmarkEnd w:id="0"/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日期间，对申报庭州工匠初步人选XXX同志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</w:rPr>
        <w:t>XXX同志在单位内部公示5个工作日。公示期间未收到对申报人选资格条件、政治表现、职业道德、科研诚信等方面的举报，特此说明。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推荐单位：</w:t>
      </w:r>
      <w:r>
        <w:rPr>
          <w:rFonts w:hint="eastAsia" w:ascii="Times New Roman" w:hAnsi="Times New Roman" w:eastAsia="仿宋_GB2312" w:cs="仿宋_GB2312"/>
          <w:sz w:val="32"/>
          <w:szCs w:val="32"/>
        </w:rPr>
        <w:t>XXXX党组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（党委）盖章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sz w:val="32"/>
          <w:szCs w:val="32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4B2F2A"/>
    <w:rsid w:val="124B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cs="Times New Roman"/>
      <w:kern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2024-08-26T03:31:00Z</dcterms:created>
  <dc:creator>Administrator</dc:creator>
  <cp:lastModifiedBy>Administrator</cp:lastModifiedBy>
  <dcterms:modified xsi:type="dcterms:W3CDTF">2024-08-26T03:31:36Z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4CD14EA02CC840BAB6375F323FE12AAF</vt:lpwstr>
  </property>
</Properties>
</file>