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7B217">
      <w:pPr>
        <w:keepNext w:val="0"/>
        <w:keepLines w:val="0"/>
        <w:pageBreakBefore w:val="0"/>
        <w:kinsoku/>
        <w:wordWrap/>
        <w:overflowPunct/>
        <w:topLinePunct w:val="0"/>
        <w:autoSpaceDE w:val="0"/>
        <w:autoSpaceDN w:val="0"/>
        <w:bidi w:val="0"/>
        <w:adjustRightInd/>
        <w:snapToGrid/>
        <w:spacing w:line="560" w:lineRule="exact"/>
        <w:ind w:firstLine="0" w:firstLineChars="0"/>
        <w:jc w:val="center"/>
        <w:textAlignment w:val="auto"/>
        <w:rPr>
          <w:rFonts w:hint="eastAsia" w:ascii="方正小标宋_GBK" w:hAnsi="方正小标宋_GBK" w:eastAsia="方正小标宋_GBK" w:cs="方正小标宋_GBK"/>
          <w:bCs/>
          <w:sz w:val="47"/>
        </w:rPr>
      </w:pPr>
      <w:r>
        <w:rPr>
          <w:rFonts w:hint="eastAsia" w:ascii="方正小标宋_GBK" w:hAnsi="方正小标宋_GBK" w:eastAsia="方正小标宋_GBK" w:cs="方正小标宋_GBK"/>
          <w:bCs/>
          <w:color w:val="000000"/>
          <w:sz w:val="47"/>
        </w:rPr>
        <w:t>昌吉州关于进一步完善长期护理保险制度</w:t>
      </w:r>
    </w:p>
    <w:p w14:paraId="2346307A">
      <w:pPr>
        <w:keepNext w:val="0"/>
        <w:keepLines w:val="0"/>
        <w:pageBreakBefore w:val="0"/>
        <w:kinsoku/>
        <w:wordWrap/>
        <w:overflowPunct/>
        <w:topLinePunct w:val="0"/>
        <w:autoSpaceDE w:val="0"/>
        <w:autoSpaceDN w:val="0"/>
        <w:bidi w:val="0"/>
        <w:adjustRightInd/>
        <w:snapToGrid/>
        <w:spacing w:line="560" w:lineRule="exact"/>
        <w:ind w:firstLine="0" w:firstLineChars="0"/>
        <w:jc w:val="center"/>
        <w:textAlignment w:val="auto"/>
        <w:rPr>
          <w:rFonts w:hint="eastAsia" w:ascii="方正小标宋_GBK" w:hAnsi="方正小标宋_GBK" w:eastAsia="方正小标宋_GBK" w:cs="方正小标宋_GBK"/>
          <w:bCs/>
          <w:color w:val="000000"/>
          <w:sz w:val="48"/>
        </w:rPr>
      </w:pPr>
      <w:r>
        <w:rPr>
          <w:rFonts w:hint="eastAsia" w:ascii="方正小标宋_GBK" w:hAnsi="方正小标宋_GBK" w:eastAsia="方正小标宋_GBK" w:cs="方正小标宋_GBK"/>
          <w:bCs/>
          <w:color w:val="000000"/>
          <w:sz w:val="48"/>
        </w:rPr>
        <w:t>实施方案</w:t>
      </w:r>
    </w:p>
    <w:p w14:paraId="799942E4">
      <w:pPr>
        <w:keepNext w:val="0"/>
        <w:keepLines w:val="0"/>
        <w:pageBreakBefore w:val="0"/>
        <w:kinsoku/>
        <w:wordWrap/>
        <w:overflowPunct/>
        <w:topLinePunct w:val="0"/>
        <w:autoSpaceDE w:val="0"/>
        <w:autoSpaceDN w:val="0"/>
        <w:bidi w:val="0"/>
        <w:adjustRightInd/>
        <w:snapToGrid/>
        <w:spacing w:line="560" w:lineRule="exact"/>
        <w:ind w:firstLine="0" w:firstLineChars="0"/>
        <w:jc w:val="center"/>
        <w:textAlignment w:val="auto"/>
        <w:rPr>
          <w:rFonts w:hint="eastAsia" w:ascii="方正楷体_GB2312" w:hAnsi="方正楷体_GB2312" w:eastAsia="方正楷体_GB2312" w:cs="方正楷体_GB2312"/>
          <w:color w:val="000000"/>
          <w:sz w:val="32"/>
          <w:szCs w:val="32"/>
          <w:lang w:eastAsia="zh-CN"/>
        </w:rPr>
      </w:pPr>
      <w:r>
        <w:rPr>
          <w:rFonts w:hint="eastAsia" w:ascii="方正楷体_GB2312" w:hAnsi="方正楷体_GB2312" w:eastAsia="方正楷体_GB2312" w:cs="方正楷体_GB2312"/>
          <w:bCs/>
          <w:color w:val="000000"/>
          <w:sz w:val="32"/>
          <w:szCs w:val="32"/>
          <w:lang w:eastAsia="zh-CN"/>
        </w:rPr>
        <w:t>（</w:t>
      </w:r>
      <w:r>
        <w:rPr>
          <w:rFonts w:hint="eastAsia" w:ascii="方正楷体_GB2312" w:hAnsi="方正楷体_GB2312" w:eastAsia="方正楷体_GB2312" w:cs="方正楷体_GB2312"/>
          <w:bCs/>
          <w:color w:val="000000"/>
          <w:sz w:val="32"/>
          <w:szCs w:val="32"/>
          <w:lang w:val="en-US" w:eastAsia="zh-CN"/>
        </w:rPr>
        <w:t>送审稿2026.8.11</w:t>
      </w:r>
      <w:r>
        <w:rPr>
          <w:rFonts w:hint="eastAsia" w:ascii="方正楷体_GB2312" w:hAnsi="方正楷体_GB2312" w:eastAsia="方正楷体_GB2312" w:cs="方正楷体_GB2312"/>
          <w:bCs/>
          <w:color w:val="000000"/>
          <w:sz w:val="32"/>
          <w:szCs w:val="32"/>
          <w:lang w:eastAsia="zh-CN"/>
        </w:rPr>
        <w:t>）</w:t>
      </w:r>
    </w:p>
    <w:p w14:paraId="3A294622">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为深入贯彻</w:t>
      </w:r>
      <w:r>
        <w:rPr>
          <w:rFonts w:hint="eastAsia" w:eastAsia="仿宋_GB2312"/>
          <w:color w:val="000000"/>
          <w:sz w:val="32"/>
          <w:szCs w:val="32"/>
          <w:lang w:val="en-US" w:eastAsia="zh-CN"/>
        </w:rPr>
        <w:t>落实</w:t>
      </w:r>
      <w:r>
        <w:rPr>
          <w:rFonts w:hint="eastAsia" w:eastAsia="仿宋_GB2312"/>
          <w:color w:val="000000"/>
          <w:sz w:val="32"/>
          <w:szCs w:val="32"/>
          <w:lang w:eastAsia="zh-CN"/>
        </w:rPr>
        <w:t>国家、自治区</w:t>
      </w:r>
      <w:r>
        <w:rPr>
          <w:rFonts w:hint="eastAsia" w:eastAsia="仿宋_GB2312"/>
          <w:color w:val="000000"/>
          <w:sz w:val="32"/>
          <w:szCs w:val="32"/>
        </w:rPr>
        <w:t>关于加快建立长期护理保险制度的决策部署，更好地适应人口老龄化、社会治理现代化等形势要求，健全</w:t>
      </w:r>
      <w:r>
        <w:rPr>
          <w:rFonts w:hint="eastAsia" w:eastAsia="仿宋_GB2312"/>
          <w:color w:val="000000"/>
          <w:sz w:val="32"/>
          <w:szCs w:val="32"/>
          <w:lang w:val="en-US" w:eastAsia="zh-CN"/>
        </w:rPr>
        <w:t>完善</w:t>
      </w:r>
      <w:r>
        <w:rPr>
          <w:rFonts w:hint="eastAsia" w:eastAsia="仿宋_GB2312"/>
          <w:color w:val="000000"/>
          <w:sz w:val="32"/>
          <w:szCs w:val="32"/>
        </w:rPr>
        <w:t>社会保障体系，满足失能人员长期护理基本保障需求，</w:t>
      </w:r>
      <w:r>
        <w:rPr>
          <w:rFonts w:hint="eastAsia" w:eastAsia="仿宋_GB2312"/>
          <w:color w:val="000000"/>
          <w:sz w:val="32"/>
          <w:szCs w:val="32"/>
          <w:lang w:eastAsia="zh-CN"/>
        </w:rPr>
        <w:t>根据《新疆维吾尔自治区建立长期护理保险制度实施方案》（</w:t>
      </w:r>
      <w:r>
        <w:rPr>
          <w:rFonts w:hint="eastAsia" w:eastAsia="仿宋_GB2312"/>
          <w:color w:val="000000"/>
          <w:sz w:val="32"/>
          <w:szCs w:val="32"/>
        </w:rPr>
        <w:t>新政办发〔2026〕39号</w:t>
      </w:r>
      <w:r>
        <w:rPr>
          <w:rFonts w:hint="eastAsia" w:eastAsia="仿宋_GB2312"/>
          <w:color w:val="000000"/>
          <w:sz w:val="32"/>
          <w:szCs w:val="32"/>
          <w:lang w:eastAsia="zh-CN"/>
        </w:rPr>
        <w:t>）</w:t>
      </w:r>
      <w:r>
        <w:rPr>
          <w:rFonts w:hint="eastAsia" w:eastAsia="仿宋_GB2312"/>
          <w:color w:val="000000"/>
          <w:sz w:val="32"/>
          <w:szCs w:val="32"/>
          <w:lang w:val="en-US" w:eastAsia="zh-CN"/>
        </w:rPr>
        <w:t>文件精神，</w:t>
      </w:r>
      <w:r>
        <w:rPr>
          <w:rFonts w:hint="eastAsia" w:eastAsia="仿宋_GB2312"/>
          <w:color w:val="000000"/>
          <w:sz w:val="32"/>
          <w:szCs w:val="32"/>
        </w:rPr>
        <w:t>结合我州实际，制定</w:t>
      </w:r>
      <w:r>
        <w:rPr>
          <w:rFonts w:hint="eastAsia" w:eastAsia="仿宋_GB2312"/>
          <w:color w:val="000000"/>
          <w:sz w:val="32"/>
          <w:szCs w:val="32"/>
          <w:lang w:eastAsia="zh-CN"/>
        </w:rPr>
        <w:t>本</w:t>
      </w:r>
      <w:r>
        <w:rPr>
          <w:rFonts w:hint="eastAsia" w:eastAsia="仿宋_GB2312"/>
          <w:color w:val="000000"/>
          <w:sz w:val="32"/>
          <w:szCs w:val="32"/>
        </w:rPr>
        <w:t>实施方案。</w:t>
      </w:r>
    </w:p>
    <w:p w14:paraId="0B9C256B">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黑体" w:hAnsi="黑体" w:eastAsia="黑体" w:cs="黑体"/>
          <w:bCs/>
          <w:sz w:val="32"/>
          <w:szCs w:val="32"/>
          <w:lang w:eastAsia="zh-CN"/>
        </w:rPr>
      </w:pPr>
      <w:r>
        <w:rPr>
          <w:rFonts w:hint="eastAsia" w:ascii="黑体" w:hAnsi="黑体" w:eastAsia="黑体" w:cs="黑体"/>
          <w:bCs/>
          <w:color w:val="000000"/>
          <w:sz w:val="32"/>
          <w:szCs w:val="32"/>
        </w:rPr>
        <w:t>一、</w:t>
      </w:r>
      <w:r>
        <w:rPr>
          <w:rFonts w:hint="eastAsia" w:ascii="黑体" w:hAnsi="黑体" w:eastAsia="黑体" w:cs="黑体"/>
          <w:bCs/>
          <w:color w:val="000000"/>
          <w:sz w:val="32"/>
          <w:szCs w:val="32"/>
          <w:lang w:eastAsia="zh-CN"/>
        </w:rPr>
        <w:t>工作要求</w:t>
      </w:r>
    </w:p>
    <w:p w14:paraId="11644779">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按照“覆盖全民、统筹城乡、公平统一、安全规范、可持续”原则，结合我州长期护理保险制度试点运行情况，对标国家、自治区建立长期护理保险制度安排，持续完善与我州经济社会发展相协调的长期护理保险制度。2027年1月起，长期护理保险筹资落实费率制，将全州城乡居民医保参保人群纳入保障范围。</w:t>
      </w:r>
      <w:r>
        <w:rPr>
          <w:rFonts w:hint="eastAsia" w:ascii="仿宋_GB2312" w:hAnsi="宋体" w:eastAsia="仿宋_GB2312"/>
          <w:strike w:val="0"/>
          <w:dstrike w:val="0"/>
          <w:color w:val="000000"/>
          <w:sz w:val="32"/>
          <w:szCs w:val="32"/>
        </w:rPr>
        <w:t>202</w:t>
      </w:r>
      <w:r>
        <w:rPr>
          <w:rFonts w:hint="eastAsia" w:ascii="仿宋_GB2312" w:hAnsi="宋体" w:eastAsia="仿宋_GB2312"/>
          <w:strike w:val="0"/>
          <w:dstrike w:val="0"/>
          <w:color w:val="000000"/>
          <w:sz w:val="32"/>
          <w:szCs w:val="32"/>
          <w:lang w:val="en-US" w:eastAsia="zh-CN"/>
        </w:rPr>
        <w:t>8</w:t>
      </w:r>
      <w:r>
        <w:rPr>
          <w:rFonts w:hint="eastAsia" w:ascii="仿宋_GB2312" w:hAnsi="宋体" w:eastAsia="仿宋_GB2312"/>
          <w:color w:val="000000"/>
          <w:sz w:val="32"/>
          <w:szCs w:val="32"/>
        </w:rPr>
        <w:t>年</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筹资标准和待遇政策过渡到自治区</w:t>
      </w:r>
      <w:r>
        <w:rPr>
          <w:rFonts w:hint="eastAsia" w:ascii="仿宋_GB2312" w:hAnsi="宋体" w:eastAsia="仿宋_GB2312"/>
          <w:strike w:val="0"/>
          <w:dstrike w:val="0"/>
          <w:color w:val="000000"/>
          <w:sz w:val="32"/>
          <w:szCs w:val="32"/>
        </w:rPr>
        <w:t>政策要求</w:t>
      </w:r>
      <w:r>
        <w:rPr>
          <w:rFonts w:hint="eastAsia" w:ascii="仿宋_GB2312" w:hAnsi="宋体" w:eastAsia="仿宋_GB2312"/>
          <w:color w:val="000000"/>
          <w:sz w:val="32"/>
          <w:szCs w:val="32"/>
        </w:rPr>
        <w:t>。</w:t>
      </w:r>
    </w:p>
    <w:p w14:paraId="2BD123E1">
      <w:pPr>
        <w:keepNext w:val="0"/>
        <w:keepLines w:val="0"/>
        <w:pageBreakBefore w:val="0"/>
        <w:numPr>
          <w:ilvl w:val="0"/>
          <w:numId w:val="0"/>
        </w:numPr>
        <w:kinsoku/>
        <w:wordWrap/>
        <w:overflowPunct/>
        <w:topLinePunct w:val="0"/>
        <w:autoSpaceDE w:val="0"/>
        <w:autoSpaceDN w:val="0"/>
        <w:bidi w:val="0"/>
        <w:adjustRightInd/>
        <w:snapToGrid/>
        <w:spacing w:line="560" w:lineRule="exact"/>
        <w:ind w:firstLine="640" w:firstLineChars="200"/>
        <w:textAlignment w:val="auto"/>
        <w:rPr>
          <w:rFonts w:hint="eastAsia" w:ascii="黑体" w:hAnsi="黑体" w:eastAsia="黑体" w:cs="黑体"/>
          <w:bCs/>
          <w:color w:val="000000"/>
          <w:sz w:val="32"/>
          <w:szCs w:val="32"/>
          <w:lang w:eastAsia="zh-CN"/>
        </w:rPr>
      </w:pPr>
      <w:r>
        <w:rPr>
          <w:rFonts w:hint="eastAsia" w:ascii="黑体" w:hAnsi="黑体" w:eastAsia="黑体" w:cs="黑体"/>
          <w:bCs/>
          <w:color w:val="000000"/>
          <w:sz w:val="32"/>
          <w:szCs w:val="32"/>
          <w:lang w:val="en-US" w:eastAsia="zh-CN"/>
        </w:rPr>
        <w:t>二、</w:t>
      </w:r>
      <w:r>
        <w:rPr>
          <w:rFonts w:hint="eastAsia" w:ascii="黑体" w:hAnsi="黑体" w:eastAsia="黑体" w:cs="黑体"/>
          <w:bCs/>
          <w:color w:val="000000"/>
          <w:sz w:val="32"/>
          <w:szCs w:val="32"/>
          <w:lang w:eastAsia="zh-CN"/>
        </w:rPr>
        <w:t>参保缴费</w:t>
      </w:r>
    </w:p>
    <w:p w14:paraId="25138E7A">
      <w:pPr>
        <w:keepNext w:val="0"/>
        <w:keepLines w:val="0"/>
        <w:pageBreakBefore w:val="0"/>
        <w:numPr>
          <w:ilvl w:val="0"/>
          <w:numId w:val="0"/>
        </w:numPr>
        <w:kinsoku/>
        <w:wordWrap/>
        <w:overflowPunct/>
        <w:topLinePunct w:val="0"/>
        <w:autoSpaceDE w:val="0"/>
        <w:autoSpaceDN w:val="0"/>
        <w:bidi w:val="0"/>
        <w:adjustRightInd/>
        <w:snapToGrid/>
        <w:spacing w:line="560" w:lineRule="exact"/>
        <w:textAlignment w:val="auto"/>
        <w:rPr>
          <w:rFonts w:hint="default" w:ascii="仿宋_GB2312" w:hAnsi="宋体" w:eastAsia="仿宋_GB2312"/>
          <w:color w:val="000000"/>
          <w:sz w:val="32"/>
          <w:szCs w:val="32"/>
          <w:lang w:val="en-US" w:eastAsia="zh-CN"/>
        </w:rPr>
      </w:pPr>
      <w:r>
        <w:rPr>
          <w:rFonts w:hint="eastAsia" w:ascii="黑体" w:hAnsi="黑体" w:eastAsia="黑体" w:cs="黑体"/>
          <w:bCs/>
          <w:color w:val="000000"/>
          <w:sz w:val="32"/>
          <w:szCs w:val="32"/>
          <w:lang w:val="en-US" w:eastAsia="zh-CN"/>
        </w:rPr>
        <w:t xml:space="preserve">     </w:t>
      </w:r>
      <w:r>
        <w:rPr>
          <w:rFonts w:hint="eastAsia" w:ascii="仿宋_GB2312" w:hAnsi="宋体" w:eastAsia="仿宋_GB2312"/>
          <w:color w:val="000000"/>
          <w:sz w:val="32"/>
          <w:szCs w:val="32"/>
          <w:lang w:val="en-US" w:eastAsia="zh-CN"/>
        </w:rPr>
        <w:t>长期护理保险</w:t>
      </w:r>
      <w:r>
        <w:rPr>
          <w:rFonts w:hint="eastAsia" w:ascii="仿宋_GB2312" w:hAnsi="宋体" w:eastAsia="仿宋_GB2312"/>
          <w:strike w:val="0"/>
          <w:dstrike w:val="0"/>
          <w:color w:val="000000"/>
          <w:sz w:val="32"/>
          <w:szCs w:val="32"/>
          <w:lang w:val="en-US" w:eastAsia="zh-CN"/>
        </w:rPr>
        <w:t>实行</w:t>
      </w:r>
      <w:r>
        <w:rPr>
          <w:rFonts w:hint="eastAsia" w:ascii="仿宋_GB2312" w:hAnsi="宋体" w:eastAsia="仿宋_GB2312"/>
          <w:color w:val="000000"/>
          <w:sz w:val="32"/>
          <w:szCs w:val="32"/>
          <w:lang w:val="en-US" w:eastAsia="zh-CN"/>
        </w:rPr>
        <w:t>单位、个人、政府、社会等多元筹资机制。</w:t>
      </w:r>
      <w:bookmarkStart w:id="0" w:name="_GoBack"/>
      <w:bookmarkEnd w:id="0"/>
    </w:p>
    <w:p w14:paraId="128EBFEB">
      <w:pPr>
        <w:keepNext w:val="0"/>
        <w:keepLines w:val="0"/>
        <w:pageBreakBefore w:val="0"/>
        <w:numPr>
          <w:ilvl w:val="0"/>
          <w:numId w:val="1"/>
        </w:numPr>
        <w:kinsoku/>
        <w:wordWrap/>
        <w:overflowPunct/>
        <w:topLinePunct w:val="0"/>
        <w:autoSpaceDE w:val="0"/>
        <w:autoSpaceDN w:val="0"/>
        <w:bidi w:val="0"/>
        <w:adjustRightInd/>
        <w:snapToGrid/>
        <w:spacing w:line="560" w:lineRule="exact"/>
        <w:ind w:firstLine="640"/>
        <w:textAlignment w:val="auto"/>
        <w:rPr>
          <w:rFonts w:hint="eastAsia" w:ascii="方正楷体_GB2312" w:hAnsi="方正楷体_GB2312" w:eastAsia="方正楷体_GB2312" w:cs="方正楷体_GB2312"/>
          <w:color w:val="000000"/>
          <w:sz w:val="32"/>
          <w:szCs w:val="32"/>
        </w:rPr>
      </w:pPr>
      <w:r>
        <w:rPr>
          <w:rFonts w:hint="eastAsia" w:ascii="方正楷体_GB2312" w:hAnsi="方正楷体_GB2312" w:eastAsia="方正楷体_GB2312" w:cs="方正楷体_GB2312"/>
          <w:color w:val="000000"/>
          <w:sz w:val="32"/>
          <w:szCs w:val="32"/>
        </w:rPr>
        <w:t>参保对象。</w:t>
      </w:r>
      <w:r>
        <w:rPr>
          <w:rFonts w:hint="eastAsia" w:ascii="仿宋_GB2312" w:hAnsi="宋体" w:eastAsia="仿宋_GB2312"/>
          <w:color w:val="000000"/>
          <w:sz w:val="32"/>
          <w:szCs w:val="32"/>
        </w:rPr>
        <w:t>所有用人单位（包括企业、事业单位、机关、社会组织等）以及单位职工、退休人员、灵活就业人员和未就业城乡居民等按照属地管理原则，参加长期护理保险。</w:t>
      </w:r>
    </w:p>
    <w:p w14:paraId="21453F99">
      <w:pPr>
        <w:keepNext w:val="0"/>
        <w:keepLines w:val="0"/>
        <w:pageBreakBefore w:val="0"/>
        <w:kinsoku/>
        <w:wordWrap/>
        <w:overflowPunct/>
        <w:topLinePunct w:val="0"/>
        <w:autoSpaceDE w:val="0"/>
        <w:autoSpaceDN w:val="0"/>
        <w:bidi w:val="0"/>
        <w:adjustRightInd/>
        <w:snapToGrid/>
        <w:spacing w:line="560" w:lineRule="exact"/>
        <w:ind w:firstLine="643"/>
        <w:textAlignment w:val="auto"/>
        <w:rPr>
          <w:rFonts w:hint="eastAsia" w:ascii="楷体_GB2312" w:eastAsia="楷体_GB2312"/>
          <w:b/>
          <w:bCs/>
          <w:color w:val="000000"/>
          <w:sz w:val="32"/>
          <w:szCs w:val="32"/>
        </w:rPr>
      </w:pPr>
      <w:r>
        <w:rPr>
          <w:rFonts w:hint="eastAsia" w:ascii="方正楷体_GB2312" w:hAnsi="方正楷体_GB2312" w:eastAsia="方正楷体_GB2312" w:cs="方正楷体_GB2312"/>
          <w:color w:val="000000"/>
          <w:sz w:val="32"/>
          <w:szCs w:val="32"/>
        </w:rPr>
        <w:t>（二）统筹层次。</w:t>
      </w:r>
      <w:r>
        <w:rPr>
          <w:rFonts w:hint="eastAsia" w:eastAsia="仿宋_GB2312"/>
          <w:color w:val="000000"/>
          <w:sz w:val="32"/>
          <w:szCs w:val="32"/>
        </w:rPr>
        <w:t>长期护理保险实行州级统筹，长期护理保险基金（以下简称</w:t>
      </w:r>
      <w:r>
        <w:rPr>
          <w:rFonts w:hint="eastAsia" w:eastAsia="仿宋_GB2312"/>
          <w:color w:val="000000"/>
          <w:sz w:val="32"/>
          <w:szCs w:val="32"/>
          <w:lang w:eastAsia="zh-CN"/>
        </w:rPr>
        <w:t>“</w:t>
      </w:r>
      <w:r>
        <w:rPr>
          <w:rFonts w:hint="eastAsia" w:eastAsia="仿宋_GB2312"/>
          <w:color w:val="000000"/>
          <w:sz w:val="32"/>
          <w:szCs w:val="32"/>
        </w:rPr>
        <w:t>基金</w:t>
      </w:r>
      <w:r>
        <w:rPr>
          <w:rFonts w:hint="eastAsia" w:eastAsia="仿宋_GB2312"/>
          <w:color w:val="000000"/>
          <w:sz w:val="32"/>
          <w:szCs w:val="32"/>
          <w:lang w:eastAsia="zh-CN"/>
        </w:rPr>
        <w:t>”</w:t>
      </w:r>
      <w:r>
        <w:rPr>
          <w:rFonts w:hint="eastAsia" w:eastAsia="仿宋_GB2312"/>
          <w:color w:val="000000"/>
          <w:sz w:val="32"/>
          <w:szCs w:val="32"/>
        </w:rPr>
        <w:t>）统一建账，资金统筹使用。</w:t>
      </w:r>
    </w:p>
    <w:p w14:paraId="18078B8A">
      <w:pPr>
        <w:keepNext w:val="0"/>
        <w:keepLines w:val="0"/>
        <w:pageBreakBefore w:val="0"/>
        <w:kinsoku/>
        <w:wordWrap/>
        <w:overflowPunct/>
        <w:topLinePunct w:val="0"/>
        <w:autoSpaceDE w:val="0"/>
        <w:autoSpaceDN w:val="0"/>
        <w:bidi w:val="0"/>
        <w:adjustRightInd/>
        <w:snapToGrid/>
        <w:spacing w:line="560" w:lineRule="exact"/>
        <w:ind w:firstLine="643"/>
        <w:textAlignment w:val="auto"/>
        <w:rPr>
          <w:rFonts w:eastAsia="仿宋_GB2312"/>
          <w:color w:val="000000"/>
          <w:sz w:val="32"/>
          <w:szCs w:val="32"/>
        </w:rPr>
      </w:pPr>
      <w:r>
        <w:rPr>
          <w:rFonts w:hint="eastAsia" w:ascii="方正楷体_GB2312" w:hAnsi="方正楷体_GB2312" w:eastAsia="方正楷体_GB2312" w:cs="方正楷体_GB2312"/>
          <w:color w:val="000000"/>
          <w:sz w:val="32"/>
          <w:szCs w:val="32"/>
        </w:rPr>
        <w:t>（</w:t>
      </w:r>
      <w:r>
        <w:rPr>
          <w:rFonts w:hint="eastAsia" w:ascii="方正楷体_GB2312" w:hAnsi="方正楷体_GB2312" w:eastAsia="方正楷体_GB2312" w:cs="方正楷体_GB2312"/>
          <w:color w:val="000000"/>
          <w:sz w:val="32"/>
          <w:szCs w:val="32"/>
          <w:lang w:eastAsia="zh-CN"/>
        </w:rPr>
        <w:t>三</w:t>
      </w:r>
      <w:r>
        <w:rPr>
          <w:rFonts w:hint="eastAsia" w:ascii="方正楷体_GB2312" w:hAnsi="方正楷体_GB2312" w:eastAsia="方正楷体_GB2312" w:cs="方正楷体_GB2312"/>
          <w:color w:val="000000"/>
          <w:sz w:val="32"/>
          <w:szCs w:val="32"/>
        </w:rPr>
        <w:t>）筹资标准。</w:t>
      </w:r>
      <w:r>
        <w:rPr>
          <w:rFonts w:hint="eastAsia" w:eastAsia="仿宋_GB2312"/>
          <w:color w:val="000000"/>
          <w:sz w:val="32"/>
          <w:szCs w:val="32"/>
        </w:rPr>
        <w:t>根据国家和自治区长期护理保险基准费率有关要求，按照“以收定支、收支平衡”原则</w:t>
      </w:r>
      <w:r>
        <w:rPr>
          <w:rFonts w:hint="eastAsia" w:eastAsia="仿宋_GB2312"/>
          <w:color w:val="000000"/>
          <w:sz w:val="32"/>
          <w:szCs w:val="32"/>
          <w:lang w:eastAsia="zh-CN"/>
        </w:rPr>
        <w:t>，</w:t>
      </w:r>
      <w:r>
        <w:rPr>
          <w:rFonts w:hint="eastAsia" w:eastAsia="仿宋_GB2312"/>
          <w:color w:val="000000"/>
          <w:sz w:val="32"/>
          <w:szCs w:val="32"/>
        </w:rPr>
        <w:t>合理确定筹资标准</w:t>
      </w:r>
      <w:r>
        <w:rPr>
          <w:rFonts w:hint="eastAsia" w:eastAsia="仿宋_GB2312"/>
          <w:color w:val="000000"/>
          <w:sz w:val="32"/>
          <w:szCs w:val="32"/>
          <w:lang w:eastAsia="zh-CN"/>
        </w:rPr>
        <w:t>，</w:t>
      </w:r>
      <w:r>
        <w:rPr>
          <w:rFonts w:hint="eastAsia" w:eastAsia="仿宋_GB2312"/>
          <w:color w:val="000000"/>
          <w:sz w:val="32"/>
          <w:szCs w:val="32"/>
        </w:rPr>
        <w:t>并进行动态调整，逐步过渡到国家和自治区确定的基准费率标准。</w:t>
      </w:r>
    </w:p>
    <w:p w14:paraId="6110007A">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1.单位职工按月缴费，费率从0.15</w:t>
      </w:r>
      <w:r>
        <w:rPr>
          <w:rFonts w:hint="eastAsia" w:eastAsia="仿宋_GB2312"/>
          <w:color w:val="000000"/>
          <w:sz w:val="32"/>
          <w:szCs w:val="32"/>
          <w:lang w:val="en-US" w:eastAsia="zh-CN"/>
        </w:rPr>
        <w:t>%</w:t>
      </w:r>
      <w:r>
        <w:rPr>
          <w:rFonts w:hint="eastAsia" w:eastAsia="仿宋_GB2312"/>
          <w:color w:val="000000"/>
          <w:sz w:val="32"/>
          <w:szCs w:val="32"/>
        </w:rPr>
        <w:t>起步，</w:t>
      </w:r>
      <w:r>
        <w:rPr>
          <w:rFonts w:hint="eastAsia" w:eastAsia="仿宋_GB2312"/>
          <w:color w:val="000000"/>
          <w:sz w:val="32"/>
          <w:szCs w:val="32"/>
          <w:lang w:val="en-US" w:eastAsia="zh-CN"/>
        </w:rPr>
        <w:t>2029</w:t>
      </w:r>
      <w:r>
        <w:rPr>
          <w:rFonts w:hint="eastAsia" w:eastAsia="仿宋_GB2312"/>
          <w:color w:val="000000"/>
          <w:sz w:val="32"/>
          <w:szCs w:val="32"/>
        </w:rPr>
        <w:t>年达到0.3</w:t>
      </w:r>
      <w:r>
        <w:rPr>
          <w:rFonts w:hint="eastAsia" w:eastAsia="仿宋_GB2312"/>
          <w:color w:val="000000"/>
          <w:sz w:val="32"/>
          <w:szCs w:val="32"/>
          <w:lang w:val="en-US" w:eastAsia="zh-CN"/>
        </w:rPr>
        <w:t>% ；</w:t>
      </w:r>
      <w:r>
        <w:rPr>
          <w:rFonts w:hint="eastAsia" w:eastAsia="仿宋_GB2312"/>
          <w:color w:val="000000"/>
          <w:sz w:val="32"/>
          <w:szCs w:val="32"/>
        </w:rPr>
        <w:t>由用人单位和个人按同比例分担。用人单位缴费基数为职工工资总额，个人缴费基数为本人工资收入。长期护理保险单位费率部分，通过调整职工基本医疗保险单位费率方式实现。自202</w:t>
      </w:r>
      <w:r>
        <w:rPr>
          <w:rFonts w:hint="eastAsia" w:eastAsia="仿宋_GB2312"/>
          <w:color w:val="000000"/>
          <w:sz w:val="32"/>
          <w:szCs w:val="32"/>
          <w:lang w:val="en-US" w:eastAsia="zh-CN"/>
        </w:rPr>
        <w:t>7</w:t>
      </w:r>
      <w:r>
        <w:rPr>
          <w:rFonts w:hint="eastAsia" w:eastAsia="仿宋_GB2312"/>
          <w:color w:val="000000"/>
          <w:sz w:val="32"/>
          <w:szCs w:val="32"/>
        </w:rPr>
        <w:t>年1月起</w:t>
      </w:r>
      <w:r>
        <w:rPr>
          <w:rFonts w:hint="eastAsia" w:eastAsia="仿宋_GB2312"/>
          <w:color w:val="000000"/>
          <w:sz w:val="32"/>
          <w:szCs w:val="32"/>
          <w:lang w:eastAsia="zh-CN"/>
        </w:rPr>
        <w:t>，</w:t>
      </w:r>
      <w:r>
        <w:rPr>
          <w:rFonts w:hint="eastAsia" w:eastAsia="仿宋_GB2312"/>
          <w:color w:val="000000"/>
          <w:sz w:val="32"/>
          <w:szCs w:val="32"/>
        </w:rPr>
        <w:t>职工基本医疗保险单位缴费费率降低0.</w:t>
      </w:r>
      <w:r>
        <w:rPr>
          <w:rFonts w:hint="eastAsia" w:eastAsia="仿宋_GB2312"/>
          <w:color w:val="000000"/>
          <w:sz w:val="32"/>
          <w:szCs w:val="32"/>
          <w:lang w:val="en-US" w:eastAsia="zh-CN"/>
        </w:rPr>
        <w:t>075</w:t>
      </w:r>
      <w:r>
        <w:rPr>
          <w:rFonts w:hint="eastAsia" w:eastAsia="仿宋_GB2312"/>
          <w:color w:val="000000"/>
          <w:sz w:val="32"/>
          <w:szCs w:val="32"/>
        </w:rPr>
        <w:t>个百分点。</w:t>
      </w:r>
    </w:p>
    <w:p w14:paraId="5FC5412A">
      <w:pPr>
        <w:keepNext w:val="0"/>
        <w:keepLines w:val="0"/>
        <w:pageBreakBefore w:val="0"/>
        <w:kinsoku/>
        <w:wordWrap/>
        <w:overflowPunct/>
        <w:topLinePunct w:val="0"/>
        <w:bidi w:val="0"/>
        <w:adjustRightInd/>
        <w:snapToGrid/>
        <w:spacing w:line="560" w:lineRule="exact"/>
        <w:ind w:firstLine="640"/>
        <w:textAlignment w:val="auto"/>
        <w:rPr>
          <w:rFonts w:hint="eastAsia" w:eastAsia="仿宋_GB2312"/>
          <w:color w:val="000000"/>
          <w:sz w:val="32"/>
          <w:szCs w:val="32"/>
          <w:highlight w:val="none"/>
          <w:lang w:eastAsia="zh-CN"/>
        </w:rPr>
      </w:pPr>
      <w:r>
        <w:rPr>
          <w:rFonts w:hint="eastAsia" w:eastAsia="仿宋_GB2312"/>
          <w:color w:val="000000"/>
          <w:sz w:val="32"/>
          <w:szCs w:val="32"/>
          <w:highlight w:val="none"/>
        </w:rPr>
        <w:t>2.退休人员费率与单位职工个人缴费费率相同，缴费基数为本人基本养老金</w:t>
      </w:r>
      <w:r>
        <w:rPr>
          <w:rFonts w:hint="eastAsia" w:eastAsia="仿宋_GB2312"/>
          <w:color w:val="000000"/>
          <w:sz w:val="32"/>
          <w:szCs w:val="32"/>
          <w:highlight w:val="none"/>
          <w:lang w:val="en-US" w:eastAsia="zh-CN"/>
        </w:rPr>
        <w:t>。</w:t>
      </w:r>
      <w:r>
        <w:rPr>
          <w:rFonts w:hint="eastAsia" w:eastAsia="仿宋_GB2312"/>
          <w:color w:val="000000"/>
          <w:sz w:val="32"/>
          <w:szCs w:val="32"/>
          <w:highlight w:val="none"/>
        </w:rPr>
        <w:t>退休人员个人缴费，原用人单位不缴费</w:t>
      </w:r>
      <w:r>
        <w:rPr>
          <w:rFonts w:hint="eastAsia" w:eastAsia="仿宋_GB2312"/>
          <w:color w:val="000000"/>
          <w:sz w:val="32"/>
          <w:szCs w:val="32"/>
          <w:highlight w:val="none"/>
          <w:lang w:eastAsia="zh-CN"/>
        </w:rPr>
        <w:t>。</w:t>
      </w:r>
      <w:r>
        <w:rPr>
          <w:rFonts w:hint="eastAsia" w:ascii="仿宋_GB2312" w:eastAsia="仿宋_GB2312"/>
          <w:sz w:val="32"/>
          <w:szCs w:val="32"/>
          <w:highlight w:val="none"/>
        </w:rPr>
        <w:t>经个人同意，费款可由医保部门从其职工基本医疗保险个人账户代扣代缴，也可由发放基本养老金的社会保险经办机构代扣代缴。</w:t>
      </w:r>
    </w:p>
    <w:p w14:paraId="6982903C">
      <w:pPr>
        <w:keepNext w:val="0"/>
        <w:keepLines w:val="0"/>
        <w:pageBreakBefore w:val="0"/>
        <w:kinsoku/>
        <w:wordWrap/>
        <w:overflowPunct/>
        <w:topLinePunct w:val="0"/>
        <w:bidi w:val="0"/>
        <w:adjustRightInd/>
        <w:snapToGrid/>
        <w:spacing w:line="560" w:lineRule="exact"/>
        <w:ind w:firstLine="640"/>
        <w:textAlignment w:val="auto"/>
        <w:rPr>
          <w:rFonts w:eastAsia="仿宋_GB2312"/>
          <w:strike/>
          <w:dstrike w:val="0"/>
          <w:color w:val="000000"/>
          <w:sz w:val="32"/>
          <w:szCs w:val="32"/>
        </w:rPr>
      </w:pPr>
      <w:r>
        <w:rPr>
          <w:rFonts w:hint="eastAsia" w:eastAsia="仿宋_GB2312"/>
          <w:color w:val="000000"/>
          <w:sz w:val="32"/>
          <w:szCs w:val="32"/>
        </w:rPr>
        <w:t>3.未就业城乡居民按年</w:t>
      </w:r>
      <w:r>
        <w:rPr>
          <w:rFonts w:hint="eastAsia" w:eastAsia="仿宋_GB2312"/>
          <w:color w:val="000000"/>
          <w:sz w:val="32"/>
          <w:szCs w:val="32"/>
          <w:lang w:val="en-US" w:eastAsia="zh-CN"/>
        </w:rPr>
        <w:t>度</w:t>
      </w:r>
      <w:r>
        <w:rPr>
          <w:rFonts w:hint="eastAsia" w:eastAsia="仿宋_GB2312"/>
          <w:color w:val="000000"/>
          <w:sz w:val="32"/>
          <w:szCs w:val="32"/>
        </w:rPr>
        <w:t>缴费。费率从0.15</w:t>
      </w:r>
      <w:r>
        <w:rPr>
          <w:rFonts w:hint="eastAsia" w:eastAsia="仿宋_GB2312"/>
          <w:color w:val="000000"/>
          <w:sz w:val="32"/>
          <w:szCs w:val="32"/>
          <w:lang w:val="en-US" w:eastAsia="zh-CN"/>
        </w:rPr>
        <w:t>%</w:t>
      </w:r>
      <w:r>
        <w:rPr>
          <w:rFonts w:hint="eastAsia" w:eastAsia="仿宋_GB2312"/>
          <w:color w:val="000000"/>
          <w:sz w:val="32"/>
          <w:szCs w:val="32"/>
        </w:rPr>
        <w:t>起步，之后每年增长0.05个百分点，至2030年达到0.3</w:t>
      </w:r>
      <w:r>
        <w:rPr>
          <w:rFonts w:hint="eastAsia" w:eastAsia="仿宋_GB2312"/>
          <w:color w:val="000000"/>
          <w:sz w:val="32"/>
          <w:szCs w:val="32"/>
          <w:lang w:val="en-US" w:eastAsia="zh-CN"/>
        </w:rPr>
        <w:t xml:space="preserve">% </w:t>
      </w:r>
      <w:r>
        <w:rPr>
          <w:rFonts w:hint="eastAsia" w:eastAsia="仿宋_GB2312"/>
          <w:color w:val="000000"/>
          <w:sz w:val="32"/>
          <w:szCs w:val="32"/>
          <w:lang w:eastAsia="zh-CN"/>
        </w:rPr>
        <w:t>；</w:t>
      </w:r>
      <w:r>
        <w:rPr>
          <w:rFonts w:hint="eastAsia" w:eastAsia="仿宋_GB2312"/>
          <w:color w:val="000000"/>
          <w:sz w:val="32"/>
          <w:szCs w:val="32"/>
        </w:rPr>
        <w:t>个人缴费和政府同比例分担，缴费基数为上年度自治区城乡居民人均可支配收入。</w:t>
      </w:r>
    </w:p>
    <w:p w14:paraId="46C5DB55">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4.鼓励灵活就业人员按单位职工政策参保缴费，缴费基数为自治区上年度社会平均工资的60</w:t>
      </w:r>
      <w:r>
        <w:rPr>
          <w:rFonts w:hint="eastAsia" w:eastAsia="仿宋_GB2312"/>
          <w:color w:val="000000"/>
          <w:sz w:val="32"/>
          <w:szCs w:val="32"/>
          <w:lang w:val="en-US" w:eastAsia="zh-CN"/>
        </w:rPr>
        <w:t>%</w:t>
      </w:r>
      <w:r>
        <w:rPr>
          <w:rFonts w:hint="eastAsia" w:eastAsia="仿宋_GB2312"/>
          <w:color w:val="000000"/>
          <w:sz w:val="32"/>
          <w:szCs w:val="32"/>
        </w:rPr>
        <w:t>。灵活就业人员也可选择按未就业城乡居民政策参保缴费。</w:t>
      </w:r>
    </w:p>
    <w:p w14:paraId="1D551EF0">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5.18周岁以下人员跟随父母或法定抚养人等参保，不单独筹资，孤儿等特殊群体无法跟从参保的，视同参保，符合待遇享受条件的按未就业城乡居民待遇标准享受待遇。</w:t>
      </w:r>
    </w:p>
    <w:p w14:paraId="24F973A4">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6.按自治区统一规定</w:t>
      </w:r>
      <w:r>
        <w:rPr>
          <w:rFonts w:hint="eastAsia" w:eastAsia="仿宋_GB2312"/>
          <w:color w:val="000000"/>
          <w:sz w:val="32"/>
          <w:szCs w:val="32"/>
          <w:lang w:eastAsia="zh-CN"/>
        </w:rPr>
        <w:t>，</w:t>
      </w:r>
      <w:r>
        <w:rPr>
          <w:rFonts w:hint="eastAsia" w:eastAsia="仿宋_GB2312"/>
          <w:color w:val="000000"/>
          <w:sz w:val="32"/>
          <w:szCs w:val="32"/>
        </w:rPr>
        <w:t>对符合条件的困难人群个人缴费部分予以分类资助。</w:t>
      </w:r>
    </w:p>
    <w:p w14:paraId="7C3BECB1">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eastAsia="仿宋_GB2312"/>
          <w:color w:val="000000"/>
          <w:sz w:val="32"/>
          <w:szCs w:val="32"/>
        </w:rPr>
        <w:t>7.职工医保个人账户可用于缴纳本人及近亲属（包括配偶、父母、子女、兄弟姐妹、祖父母、外祖父母、孙子女、外孙子女）参加长期护理保险的个人缴费。</w:t>
      </w:r>
    </w:p>
    <w:p w14:paraId="199109AE">
      <w:pPr>
        <w:keepNext w:val="0"/>
        <w:keepLines w:val="0"/>
        <w:pageBreakBefore w:val="0"/>
        <w:kinsoku/>
        <w:wordWrap/>
        <w:overflowPunct/>
        <w:topLinePunct w:val="0"/>
        <w:autoSpaceDE w:val="0"/>
        <w:autoSpaceDN w:val="0"/>
        <w:bidi w:val="0"/>
        <w:adjustRightInd/>
        <w:snapToGrid/>
        <w:spacing w:line="560" w:lineRule="exact"/>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三、优化待遇保障</w:t>
      </w:r>
    </w:p>
    <w:p w14:paraId="4C230555">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ascii="方正楷体_GB2312" w:hAnsi="方正楷体_GB2312" w:eastAsia="方正楷体_GB2312" w:cs="方正楷体_GB2312"/>
          <w:color w:val="000000"/>
          <w:sz w:val="32"/>
          <w:szCs w:val="32"/>
        </w:rPr>
        <w:t>（一）保障范围和条件。</w:t>
      </w:r>
      <w:r>
        <w:rPr>
          <w:rFonts w:hint="eastAsia" w:eastAsia="仿宋_GB2312"/>
          <w:color w:val="000000"/>
          <w:sz w:val="32"/>
          <w:szCs w:val="32"/>
        </w:rPr>
        <w:t>按规定参保缴费，失能状态长期持续6个月以上，经申请通过失能等级评估认定的重度失能人员，自评估结论送达次日起可按规定享受长期护理保险待遇。</w:t>
      </w:r>
    </w:p>
    <w:p w14:paraId="41EAD268">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ascii="方正楷体_GB2312" w:hAnsi="方正楷体_GB2312" w:eastAsia="方正楷体_GB2312" w:cs="方正楷体_GB2312"/>
          <w:color w:val="000000"/>
          <w:sz w:val="32"/>
          <w:szCs w:val="32"/>
        </w:rPr>
        <w:t>（二）服务方式。</w:t>
      </w:r>
      <w:r>
        <w:rPr>
          <w:rFonts w:hint="eastAsia" w:eastAsia="仿宋_GB2312"/>
          <w:color w:val="000000"/>
          <w:sz w:val="32"/>
          <w:szCs w:val="32"/>
        </w:rPr>
        <w:t>将原长期护理服务方式类型调整为居家护理服务、社区护理服务和机构护理服务。失能人员护理方式发生变更的，从变更次日起按变更后的护理方式享受长期护理保险待遇。</w:t>
      </w:r>
    </w:p>
    <w:p w14:paraId="0CDAD40B">
      <w:pPr>
        <w:pStyle w:val="4"/>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firstLine="0"/>
        <w:jc w:val="left"/>
        <w:textAlignment w:val="auto"/>
        <w:rPr>
          <w:rFonts w:hint="default"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lang w:eastAsia="zh-CN"/>
        </w:rPr>
        <w:t>（</w:t>
      </w:r>
      <w:r>
        <w:rPr>
          <w:rFonts w:hint="eastAsia" w:ascii="方正楷体_GB2312" w:hAnsi="方正楷体_GB2312" w:eastAsia="方正楷体_GB2312" w:cs="方正楷体_GB2312"/>
          <w:color w:val="000000"/>
          <w:sz w:val="32"/>
          <w:szCs w:val="32"/>
          <w:lang w:val="en-US" w:eastAsia="zh-CN"/>
        </w:rPr>
        <w:t>三</w:t>
      </w:r>
      <w:r>
        <w:rPr>
          <w:rFonts w:hint="eastAsia" w:ascii="方正楷体_GB2312" w:hAnsi="方正楷体_GB2312" w:eastAsia="方正楷体_GB2312" w:cs="方正楷体_GB2312"/>
          <w:color w:val="000000"/>
          <w:sz w:val="32"/>
          <w:szCs w:val="32"/>
          <w:lang w:eastAsia="zh-CN"/>
        </w:rPr>
        <w:t>）</w:t>
      </w:r>
      <w:r>
        <w:rPr>
          <w:rFonts w:hint="eastAsia" w:ascii="方正楷体_GB2312" w:hAnsi="方正楷体_GB2312" w:eastAsia="方正楷体_GB2312" w:cs="方正楷体_GB2312"/>
          <w:color w:val="000000"/>
          <w:sz w:val="32"/>
          <w:szCs w:val="32"/>
        </w:rPr>
        <w:t>待遇保障。</w:t>
      </w:r>
      <w:r>
        <w:rPr>
          <w:rFonts w:hint="eastAsia" w:ascii="Times New Roman" w:hAnsi="Times New Roman" w:eastAsia="仿宋_GB2312" w:cs="Times New Roman"/>
          <w:color w:val="000000"/>
          <w:kern w:val="0"/>
          <w:sz w:val="32"/>
          <w:szCs w:val="32"/>
          <w:lang w:val="en-US" w:eastAsia="zh-CN" w:bidi="ar-SA"/>
        </w:rPr>
        <w:t>长期护理保险待遇享受不设起付标准。</w:t>
      </w:r>
      <w:r>
        <w:rPr>
          <w:rFonts w:hint="eastAsia" w:eastAsia="仿宋_GB2312" w:cs="Times New Roman"/>
          <w:color w:val="000000"/>
          <w:kern w:val="0"/>
          <w:sz w:val="32"/>
          <w:szCs w:val="32"/>
          <w:lang w:val="en-US" w:eastAsia="zh-CN" w:bidi="ar-SA"/>
        </w:rPr>
        <w:t>参保人员发生的</w:t>
      </w:r>
      <w:r>
        <w:rPr>
          <w:rFonts w:hint="eastAsia" w:ascii="Times New Roman" w:hAnsi="Times New Roman" w:eastAsia="仿宋_GB2312" w:cs="Times New Roman"/>
          <w:color w:val="000000"/>
          <w:kern w:val="0"/>
          <w:sz w:val="32"/>
          <w:szCs w:val="32"/>
          <w:lang w:val="en-US" w:eastAsia="zh-CN" w:bidi="ar-SA"/>
        </w:rPr>
        <w:t>符合规定的长期护理服务费用，按未就业城乡居民参保的，基金支付比例为50%；按单位职工参保的，基金支付比例为70%，退休人员享受单位职工待遇。根据失能等级和服务方式实行梯度差异性待遇保障政策，重度失能Ⅲ级、Ⅱ级和I级，最高支付限额逐级递减5%；居家护理服务、社区护理服务和机构护理服务，最高支付限额依次递减5%。基金年度支付限额不超过自治区上年度城乡居民人均可支配收入的50%，实行动态调整。</w:t>
      </w:r>
      <w:r>
        <w:rPr>
          <w:rFonts w:hint="eastAsia" w:eastAsia="仿宋_GB2312" w:cs="Times New Roman"/>
          <w:color w:val="000000"/>
          <w:kern w:val="0"/>
          <w:sz w:val="32"/>
          <w:szCs w:val="32"/>
          <w:lang w:val="en-US" w:eastAsia="zh-CN" w:bidi="ar-SA"/>
        </w:rPr>
        <w:t>原昌吉州职工长护试点确定的</w:t>
      </w:r>
      <w:r>
        <w:rPr>
          <w:rFonts w:hint="eastAsia" w:ascii="Times New Roman" w:hAnsi="Times New Roman" w:eastAsia="仿宋_GB2312" w:cs="Times New Roman"/>
          <w:color w:val="000000"/>
          <w:kern w:val="0"/>
          <w:sz w:val="32"/>
          <w:szCs w:val="32"/>
          <w:lang w:val="en-US" w:eastAsia="zh-CN" w:bidi="ar-SA"/>
        </w:rPr>
        <w:t>最高支付限额</w:t>
      </w:r>
      <w:r>
        <w:rPr>
          <w:rFonts w:hint="eastAsia" w:eastAsia="仿宋_GB2312" w:cs="Times New Roman"/>
          <w:color w:val="000000"/>
          <w:kern w:val="0"/>
          <w:sz w:val="32"/>
          <w:szCs w:val="32"/>
          <w:lang w:val="en-US" w:eastAsia="zh-CN" w:bidi="ar-SA"/>
        </w:rPr>
        <w:t>高于自治区标准的，按照昌吉州原有标准执行。</w:t>
      </w:r>
    </w:p>
    <w:p w14:paraId="419E0FB9">
      <w:pPr>
        <w:pStyle w:val="4"/>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firstLine="0"/>
        <w:jc w:val="left"/>
        <w:textAlignment w:val="auto"/>
        <w:rPr>
          <w:rFonts w:hint="eastAsia" w:ascii="Times New Roman" w:hAnsi="Times New Roman" w:eastAsia="仿宋_GB2312" w:cs="Times New Roman"/>
          <w:color w:val="000000"/>
          <w:kern w:val="0"/>
          <w:sz w:val="32"/>
          <w:szCs w:val="32"/>
          <w:lang w:val="en-US" w:eastAsia="zh-CN" w:bidi="ar-SA"/>
        </w:rPr>
      </w:pPr>
      <w:r>
        <w:rPr>
          <w:rFonts w:hint="eastAsia" w:eastAsia="仿宋_GB2312"/>
          <w:color w:val="000000"/>
          <w:sz w:val="32"/>
          <w:szCs w:val="32"/>
        </w:rPr>
        <w:t>长期护理保险服务项目</w:t>
      </w:r>
      <w:r>
        <w:rPr>
          <w:rFonts w:hint="eastAsia" w:eastAsia="仿宋_GB2312"/>
          <w:color w:val="000000"/>
          <w:sz w:val="32"/>
          <w:szCs w:val="32"/>
          <w:lang w:eastAsia="zh-CN"/>
        </w:rPr>
        <w:t>严格按照《国家长期护理保险服务项目目录（试行）》执行</w:t>
      </w:r>
      <w:r>
        <w:rPr>
          <w:rFonts w:hint="eastAsia" w:eastAsia="仿宋_GB2312"/>
          <w:color w:val="000000"/>
          <w:sz w:val="32"/>
          <w:szCs w:val="32"/>
        </w:rPr>
        <w:t>。</w:t>
      </w:r>
    </w:p>
    <w:p w14:paraId="674E1D65">
      <w:pPr>
        <w:pStyle w:val="4"/>
        <w:keepNext w:val="0"/>
        <w:keepLines w:val="0"/>
        <w:pageBreakBefore w:val="0"/>
        <w:widowControl/>
        <w:suppressLineNumbers w:val="0"/>
        <w:kinsoku/>
        <w:wordWrap/>
        <w:overflowPunct/>
        <w:topLinePunct w:val="0"/>
        <w:bidi w:val="0"/>
        <w:adjustRightInd/>
        <w:snapToGrid/>
        <w:spacing w:before="0" w:beforeAutospacing="0" w:after="0" w:afterAutospacing="0" w:line="560" w:lineRule="exact"/>
        <w:ind w:left="0" w:firstLine="0"/>
        <w:jc w:val="left"/>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lang w:val="en-US" w:eastAsia="zh-CN"/>
        </w:rPr>
        <w:t>（四）激励约束。</w:t>
      </w:r>
      <w:r>
        <w:rPr>
          <w:rFonts w:hint="eastAsia" w:ascii="Times New Roman" w:hAnsi="Times New Roman" w:eastAsia="仿宋_GB2312" w:cs="Times New Roman"/>
          <w:color w:val="000000"/>
          <w:kern w:val="0"/>
          <w:sz w:val="32"/>
          <w:szCs w:val="32"/>
          <w:lang w:val="en-US" w:eastAsia="zh-CN" w:bidi="ar-SA"/>
        </w:rPr>
        <w:t>连续缴费激励政策、断保和未及时参保的约束政策及缴费修复变动等待期政策等按自治区统一规定执行。长期护理保险转移接续参照基本医疗保险执行。</w:t>
      </w:r>
    </w:p>
    <w:p w14:paraId="69823994">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四、规范管理运行</w:t>
      </w:r>
    </w:p>
    <w:p w14:paraId="00F14B5F">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eastAsia="仿宋_GB2312"/>
          <w:color w:val="000000"/>
          <w:sz w:val="32"/>
          <w:szCs w:val="32"/>
        </w:rPr>
      </w:pPr>
      <w:r>
        <w:rPr>
          <w:rFonts w:hint="eastAsia" w:ascii="方正楷体_GB2312" w:hAnsi="方正楷体_GB2312" w:eastAsia="方正楷体_GB2312" w:cs="方正楷体_GB2312"/>
          <w:color w:val="000000"/>
          <w:sz w:val="32"/>
          <w:szCs w:val="32"/>
        </w:rPr>
        <w:t>（一）统一评估管理。</w:t>
      </w:r>
      <w:r>
        <w:rPr>
          <w:rFonts w:hint="eastAsia" w:eastAsia="仿宋_GB2312"/>
          <w:color w:val="000000"/>
          <w:sz w:val="32"/>
          <w:szCs w:val="32"/>
        </w:rPr>
        <w:t>执行</w:t>
      </w:r>
      <w:r>
        <w:rPr>
          <w:rFonts w:hint="eastAsia" w:eastAsia="仿宋_GB2312"/>
          <w:color w:val="000000"/>
          <w:sz w:val="32"/>
          <w:szCs w:val="32"/>
          <w:lang w:eastAsia="zh-CN"/>
        </w:rPr>
        <w:t>全国统一的失能等级评估标准。</w:t>
      </w:r>
      <w:r>
        <w:rPr>
          <w:rFonts w:hint="eastAsia" w:eastAsia="仿宋_GB2312"/>
          <w:color w:val="000000"/>
          <w:sz w:val="32"/>
          <w:szCs w:val="32"/>
        </w:rPr>
        <w:t>长期护理保险失能等级评估</w:t>
      </w:r>
      <w:r>
        <w:rPr>
          <w:rFonts w:hint="eastAsia" w:eastAsia="仿宋_GB2312"/>
          <w:color w:val="000000"/>
          <w:sz w:val="32"/>
          <w:szCs w:val="32"/>
          <w:lang w:eastAsia="zh-CN"/>
        </w:rPr>
        <w:t>实行定点管理，鼓励支持</w:t>
      </w:r>
      <w:r>
        <w:rPr>
          <w:rFonts w:hint="eastAsia" w:eastAsia="仿宋_GB2312"/>
          <w:color w:val="000000"/>
          <w:sz w:val="32"/>
          <w:szCs w:val="32"/>
        </w:rPr>
        <w:t>发展专业独立的社会化评估机构</w:t>
      </w:r>
      <w:r>
        <w:rPr>
          <w:rFonts w:hint="eastAsia" w:eastAsia="仿宋_GB2312"/>
          <w:color w:val="000000"/>
          <w:sz w:val="32"/>
          <w:szCs w:val="32"/>
          <w:lang w:eastAsia="zh-CN"/>
        </w:rPr>
        <w:t>。</w:t>
      </w:r>
      <w:r>
        <w:rPr>
          <w:rFonts w:hint="eastAsia" w:eastAsia="仿宋_GB2312"/>
          <w:color w:val="000000"/>
          <w:sz w:val="32"/>
          <w:szCs w:val="32"/>
        </w:rPr>
        <w:t>符合规定的失能等级评估费用可以从基金中支付，</w:t>
      </w:r>
      <w:r>
        <w:rPr>
          <w:rFonts w:hint="eastAsia" w:eastAsia="仿宋_GB2312"/>
          <w:color w:val="000000"/>
          <w:sz w:val="32"/>
          <w:szCs w:val="32"/>
          <w:lang w:eastAsia="zh-CN"/>
        </w:rPr>
        <w:t>原则上参保人</w:t>
      </w:r>
      <w:r>
        <w:rPr>
          <w:rFonts w:hint="eastAsia" w:eastAsia="仿宋_GB2312"/>
          <w:color w:val="000000"/>
          <w:sz w:val="32"/>
          <w:szCs w:val="32"/>
        </w:rPr>
        <w:t>首次评估通过的评估服务费，以及按制度要求参加定期复评的评估服务费，由基金支付。</w:t>
      </w:r>
    </w:p>
    <w:p w14:paraId="1741AEF3">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eastAsia="仿宋_GB2312"/>
          <w:color w:val="000000"/>
          <w:sz w:val="32"/>
          <w:szCs w:val="32"/>
        </w:rPr>
      </w:pPr>
      <w:r>
        <w:rPr>
          <w:rFonts w:hint="eastAsia" w:ascii="方正楷体_GB2312" w:hAnsi="方正楷体_GB2312" w:eastAsia="方正楷体_GB2312" w:cs="方正楷体_GB2312"/>
          <w:color w:val="000000"/>
          <w:sz w:val="32"/>
          <w:szCs w:val="32"/>
        </w:rPr>
        <w:t>（二）加强服务管理。</w:t>
      </w:r>
      <w:r>
        <w:rPr>
          <w:rFonts w:hint="eastAsia" w:ascii="Times New Roman" w:hAnsi="Times New Roman" w:eastAsia="仿宋_GB2312" w:cs="Times New Roman"/>
          <w:color w:val="000000"/>
          <w:kern w:val="0"/>
          <w:sz w:val="32"/>
          <w:szCs w:val="32"/>
          <w:lang w:val="en-US" w:eastAsia="zh-CN" w:bidi="ar-SA"/>
        </w:rPr>
        <w:t>合理编制定点长护服务机构资源配置规划，符合条件的养老机构、医疗机构或其他服务机构可按规定申请成为定点长护服务机构。鼓励基层卫生机构因地制宜开展长期照护服务，将村卫生室作为居家和社区护理延伸网点，探索将符合条件的家庭医生纳入失能评估体系。持续完善服务协议，落实服务质量评价和费用控制激励约束机制，提升综合服务质效。</w:t>
      </w:r>
    </w:p>
    <w:p w14:paraId="3C0AB299">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rPr>
        <w:t>（三）严格基金管理。</w:t>
      </w:r>
      <w:r>
        <w:rPr>
          <w:rFonts w:hint="eastAsia" w:ascii="Times New Roman" w:hAnsi="Times New Roman" w:eastAsia="仿宋_GB2312" w:cs="Times New Roman"/>
          <w:color w:val="000000"/>
          <w:kern w:val="0"/>
          <w:sz w:val="32"/>
          <w:szCs w:val="32"/>
          <w:lang w:val="en-US" w:eastAsia="zh-CN" w:bidi="ar-SA"/>
        </w:rPr>
        <w:t>基金纳入社会保障基金财政专户，单独建账、单独管理、专款专用。健全基金预算管理制度，将长期护理保险纳入社会保险基金预算编制范围，加强预算绩效管理。严格执行基金财务制度，加强基金财务管理。坚持以收定支、收支平衡，落实基金运行监控和风险防范机制，做好基金运行分析。</w:t>
      </w:r>
    </w:p>
    <w:p w14:paraId="2A994201">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rPr>
        <w:t>（四）强化基金监管。</w:t>
      </w:r>
      <w:r>
        <w:rPr>
          <w:rFonts w:hint="eastAsia" w:ascii="Times New Roman" w:hAnsi="Times New Roman" w:eastAsia="仿宋_GB2312" w:cs="Times New Roman"/>
          <w:color w:val="000000"/>
          <w:kern w:val="0"/>
          <w:sz w:val="32"/>
          <w:szCs w:val="32"/>
          <w:lang w:val="en-US" w:eastAsia="zh-CN" w:bidi="ar-SA"/>
        </w:rPr>
        <w:t>持续健全基金监管体系，加强监管能力建设。将护理服务机构、评估机构及其从业人员、参保人员等纳入监管范围，持续创新监管手段，强化过程监督，有效提升监管质效。加大监管执法力度，加强财会监督和审计监督，确保基金安全。</w:t>
      </w:r>
    </w:p>
    <w:p w14:paraId="6C335A6A">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rPr>
        <w:t>（五）优化经办管理。</w:t>
      </w:r>
      <w:r>
        <w:rPr>
          <w:rFonts w:hint="eastAsia" w:ascii="Times New Roman" w:hAnsi="Times New Roman" w:eastAsia="仿宋_GB2312" w:cs="Times New Roman"/>
          <w:color w:val="000000"/>
          <w:kern w:val="0"/>
          <w:sz w:val="32"/>
          <w:szCs w:val="32"/>
          <w:lang w:val="en-US" w:eastAsia="zh-CN" w:bidi="ar-SA"/>
        </w:rPr>
        <w:t>持续完善以政府经办为基础，社会力量参与经办服务和管理的体系。长期护理保险与基本医疗保险同步参保登记，共同缴费。优化社会力量参与经办服务的考核评价、激励约束、风险防范等措施，加强监督检查，提高服务质效，委托经办所需相关费用依协议约定从基金中列支。持续强化全国统一的医保信息平台长期护理保险子系统功能应用，提升经办服务效率。推进长期护理保险待遇享受人员“一人一档”建设。</w:t>
      </w:r>
    </w:p>
    <w:p w14:paraId="6FAD075B">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方正楷体_GB2312" w:hAnsi="方正楷体_GB2312" w:eastAsia="方正楷体_GB2312" w:cs="方正楷体_GB2312"/>
          <w:color w:val="000000"/>
          <w:sz w:val="32"/>
          <w:szCs w:val="32"/>
        </w:rPr>
        <w:t>（六）推进长期照护师人才队伍建设。</w:t>
      </w:r>
      <w:r>
        <w:rPr>
          <w:rFonts w:hint="eastAsia" w:ascii="Times New Roman" w:hAnsi="Times New Roman" w:eastAsia="仿宋_GB2312" w:cs="Times New Roman"/>
          <w:color w:val="000000"/>
          <w:kern w:val="0"/>
          <w:sz w:val="32"/>
          <w:szCs w:val="32"/>
          <w:lang w:val="en-US" w:eastAsia="zh-CN" w:bidi="ar-SA"/>
        </w:rPr>
        <w:t>依托有资质的职业培训机构，针对医疗机构、养老机构、家庭照护者等广泛开展生活照料、医疗护理、安宁疗护等相关长护技能培训。鼓励长期护理服务人员参加长期照护师职业技能等级认定。</w:t>
      </w:r>
    </w:p>
    <w:p w14:paraId="0A5AF08C">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五、强化组织保障</w:t>
      </w:r>
    </w:p>
    <w:p w14:paraId="48EE4575">
      <w:pPr>
        <w:keepNext w:val="0"/>
        <w:keepLines w:val="0"/>
        <w:pageBreakBefore w:val="0"/>
        <w:kinsoku/>
        <w:wordWrap/>
        <w:overflowPunct/>
        <w:topLinePunct w:val="0"/>
        <w:autoSpaceDE w:val="0"/>
        <w:autoSpaceDN w:val="0"/>
        <w:bidi w:val="0"/>
        <w:adjustRightInd/>
        <w:snapToGrid/>
        <w:spacing w:line="560" w:lineRule="exact"/>
        <w:ind w:firstLine="640"/>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各县（市）要切实加强组织领导，将完善长期护理保险制度作为重要民生工程，纳入经济社会发展规划和重要议事日程。要落实长期护理保险制度属地责任，按规定做好居民长期护理保险财政补助和辖区内居民参保、政策宣传等工作。医保、财政、税务、民政、卫生健康、人社、残联、金融监管部门等各部门全面落实部门管理责任，强化协作配合，形成工作合力。</w:t>
      </w:r>
    </w:p>
    <w:p w14:paraId="0DEC1EA2">
      <w:pPr>
        <w:keepNext w:val="0"/>
        <w:keepLines w:val="0"/>
        <w:pageBreakBefore w:val="0"/>
        <w:kinsoku/>
        <w:wordWrap/>
        <w:overflowPunct/>
        <w:topLinePunct w:val="0"/>
        <w:autoSpaceDE w:val="0"/>
        <w:autoSpaceDN w:val="0"/>
        <w:bidi w:val="0"/>
        <w:adjustRightInd/>
        <w:snapToGrid/>
        <w:spacing w:line="560" w:lineRule="exact"/>
        <w:ind w:firstLine="640"/>
        <w:textAlignment w:val="auto"/>
      </w:pPr>
      <w:r>
        <w:rPr>
          <w:rFonts w:hint="eastAsia" w:ascii="Times New Roman" w:hAnsi="Times New Roman" w:eastAsia="仿宋_GB2312" w:cs="Times New Roman"/>
          <w:color w:val="000000"/>
          <w:kern w:val="0"/>
          <w:sz w:val="32"/>
          <w:szCs w:val="32"/>
          <w:lang w:val="en-US" w:eastAsia="zh-CN" w:bidi="ar-SA"/>
        </w:rPr>
        <w:t>本方案自印发之日起施行。此前我州出台相关政策与本方案不一致的，按本方案执行。《关于印发自治州城镇职工长期护理保险实施方案的通知》（昌州政办发〔2017〕106号）同时废止。国家和自治区另行规定的，从其规定。</w:t>
      </w:r>
    </w:p>
    <w:sectPr>
      <w:headerReference r:id="rId5" w:type="default"/>
      <w:footerReference r:id="rId6" w:type="default"/>
      <w:pgSz w:w="11900" w:h="16360"/>
      <w:pgMar w:top="2098" w:right="1474" w:bottom="2098" w:left="1474" w:header="1080" w:footer="144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B5E612B-3765-4F7B-9824-C2F0D1DA69E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B6CF6BA-5131-4304-81DB-26CA7868D2E1}"/>
  </w:font>
  <w:font w:name="方正小标宋_GBK">
    <w:panose1 w:val="03000509000000000000"/>
    <w:charset w:val="86"/>
    <w:family w:val="script"/>
    <w:pitch w:val="default"/>
    <w:sig w:usb0="00000001" w:usb1="080E0000" w:usb2="00000000" w:usb3="00000000" w:csb0="00040000" w:csb1="00000000"/>
    <w:embedRegular r:id="rId3" w:fontKey="{364A00D8-EB03-412C-B7FA-7EAC043139DD}"/>
  </w:font>
  <w:font w:name="仿宋_GB2312">
    <w:panose1 w:val="02010609030101010101"/>
    <w:charset w:val="86"/>
    <w:family w:val="modern"/>
    <w:pitch w:val="default"/>
    <w:sig w:usb0="00000001" w:usb1="080E0000" w:usb2="00000000" w:usb3="00000000" w:csb0="00040000" w:csb1="00000000"/>
    <w:embedRegular r:id="rId4" w:fontKey="{C7225CF3-43C5-49F0-B228-40A16BC4E6B8}"/>
  </w:font>
  <w:font w:name="方正楷体_GB2312">
    <w:panose1 w:val="02000000000000000000"/>
    <w:charset w:val="86"/>
    <w:family w:val="auto"/>
    <w:pitch w:val="default"/>
    <w:sig w:usb0="A00002BF" w:usb1="184F6CFA" w:usb2="00000012" w:usb3="00000000" w:csb0="00040001" w:csb1="00000000"/>
    <w:embedRegular r:id="rId5" w:fontKey="{800D0F0A-7F81-47B0-922F-63A859790BE6}"/>
  </w:font>
  <w:font w:name="楷体_GB2312">
    <w:panose1 w:val="02010609030101010101"/>
    <w:charset w:val="86"/>
    <w:family w:val="auto"/>
    <w:pitch w:val="default"/>
    <w:sig w:usb0="00000001" w:usb1="080E0000" w:usb2="00000000" w:usb3="00000000" w:csb0="00040000" w:csb1="00000000"/>
    <w:embedRegular r:id="rId6" w:fontKey="{7D3F7580-299B-451E-A1E1-5773ACBE0CD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72A37">
    <w:pPr>
      <w:ind w:firstLine="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265E0">
    <w:pPr>
      <w:ind w:firstLine="4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F91C7"/>
    <w:multiLevelType w:val="singleLevel"/>
    <w:tmpl w:val="D9FF91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52E1E"/>
    <w:rsid w:val="09412D13"/>
    <w:rsid w:val="09613541"/>
    <w:rsid w:val="0E002722"/>
    <w:rsid w:val="0FFA76C7"/>
    <w:rsid w:val="10F0161D"/>
    <w:rsid w:val="12BC380A"/>
    <w:rsid w:val="1F0B3D3B"/>
    <w:rsid w:val="25900E53"/>
    <w:rsid w:val="31815AF3"/>
    <w:rsid w:val="32A2785A"/>
    <w:rsid w:val="39557F91"/>
    <w:rsid w:val="412F10C8"/>
    <w:rsid w:val="426E2DD9"/>
    <w:rsid w:val="434972B8"/>
    <w:rsid w:val="4A761B16"/>
    <w:rsid w:val="4F742578"/>
    <w:rsid w:val="4FF83AD2"/>
    <w:rsid w:val="69676DA1"/>
    <w:rsid w:val="6987620F"/>
    <w:rsid w:val="6A3273AF"/>
    <w:rsid w:val="757C8FFE"/>
    <w:rsid w:val="79FEC53C"/>
    <w:rsid w:val="7F7F651D"/>
    <w:rsid w:val="DDFFD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560" w:firstLineChars="200"/>
      <w:jc w:val="both"/>
    </w:pPr>
    <w:rPr>
      <w:rFonts w:ascii="Times New Roman" w:hAnsi="Times New Roman" w:eastAsia="宋体" w:cs="Times New Roman"/>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3797b2d7-0838-4e5a-bd6a-b517b5d7030b}">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2799</Words>
  <Characters>2866</Characters>
  <Lines>0</Lines>
  <Paragraphs>0</Paragraphs>
  <TotalTime>8</TotalTime>
  <ScaleCrop>false</ScaleCrop>
  <LinksUpToDate>false</LinksUpToDate>
  <CharactersWithSpaces>2873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2026-08-04T13:53:00Z</dcterms:created>
  <dc:creator>医保局办公室</dc:creator>
  <cp:lastModifiedBy>索小雅</cp:lastModifiedBy>
  <cp:lastPrinted>2026-08-11T10:24:05Z</cp:lastPrinted>
  <dcterms:modified xsi:type="dcterms:W3CDTF">2026-08-11T10:29:37Z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eyJoZGlkIjoiYjk5ODM0YmMxOWJiYWQyNDU4MGIzYWRmYTA0ZmI5NDciLCJ1c2VySWQiOiIyMzcwMTU5MDQifQ==</vt:lpwstr>
  </property>
  <property fmtid="{D5CDD505-2E9C-101B-9397-08002B2CF9AE}" pid="4" name="ICV">
    <vt:lpwstr>7E2BFD379A8115BA4A4E716A070305E0</vt:lpwstr>
  </property>
</Properties>
</file>