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rPr>
          <w:rFonts w:ascii="方正小标宋_GBK" w:hAnsi="宋体" w:eastAsia="方正小标宋_GBK"/>
          <w:kern w:val="0"/>
          <w:sz w:val="44"/>
          <w:szCs w:val="44"/>
        </w:rPr>
      </w:pPr>
    </w:p>
    <w:p>
      <w:pPr>
        <w:widowControl/>
        <w:spacing w:before="100" w:beforeAutospacing="1" w:after="100" w:afterAutospacing="1"/>
        <w:jc w:val="center"/>
        <w:outlineLvl w:val="1"/>
        <w:rPr>
          <w:rFonts w:ascii="方正小标宋_GBK" w:hAnsi="宋体" w:eastAsia="方正小标宋_GBK"/>
          <w:kern w:val="0"/>
          <w:sz w:val="44"/>
          <w:szCs w:val="44"/>
        </w:rPr>
      </w:pPr>
    </w:p>
    <w:p>
      <w:pPr>
        <w:widowControl/>
        <w:spacing w:before="100" w:beforeAutospacing="1" w:after="100" w:afterAutospacing="1"/>
        <w:jc w:val="center"/>
        <w:outlineLvl w:val="1"/>
        <w:rPr>
          <w:rFonts w:hint="eastAsia" w:ascii="方正小标宋_GBK" w:hAnsi="宋体" w:eastAsia="方正小标宋_GBK"/>
          <w:kern w:val="0"/>
          <w:sz w:val="44"/>
          <w:szCs w:val="44"/>
          <w:lang w:val="en-US" w:eastAsia="zh-CN"/>
        </w:rPr>
      </w:pPr>
      <w:r>
        <w:rPr>
          <w:rFonts w:hint="eastAsia" w:ascii="方正小标宋_GBK" w:hAnsi="宋体" w:eastAsia="方正小标宋_GBK"/>
          <w:kern w:val="0"/>
          <w:sz w:val="44"/>
          <w:szCs w:val="44"/>
        </w:rPr>
        <w:t>昌吉州</w:t>
      </w:r>
      <w:r>
        <w:rPr>
          <w:rFonts w:hint="eastAsia" w:ascii="方正小标宋_GBK" w:hAnsi="宋体" w:eastAsia="方正小标宋_GBK"/>
          <w:kern w:val="0"/>
          <w:sz w:val="44"/>
          <w:szCs w:val="44"/>
          <w:lang w:eastAsia="zh-CN"/>
        </w:rPr>
        <w:t>医疗保障局</w:t>
      </w:r>
      <w:r>
        <w:rPr>
          <w:rFonts w:hint="eastAsia" w:ascii="方正小标宋_GBK" w:hAnsi="宋体" w:eastAsia="方正小标宋_GBK"/>
          <w:kern w:val="0"/>
          <w:sz w:val="44"/>
          <w:szCs w:val="44"/>
        </w:rPr>
        <w:t>预算公开</w:t>
      </w:r>
      <w:r>
        <w:rPr>
          <w:rFonts w:hint="eastAsia" w:ascii="方正小标宋_GBK" w:hAnsi="宋体" w:eastAsia="方正小标宋_GBK"/>
          <w:kern w:val="0"/>
          <w:sz w:val="44"/>
          <w:szCs w:val="44"/>
          <w:lang w:val="en-US" w:eastAsia="zh-CN"/>
        </w:rPr>
        <w:t>报告</w:t>
      </w:r>
    </w:p>
    <w:p>
      <w:pPr>
        <w:widowControl/>
        <w:spacing w:line="440" w:lineRule="exact"/>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pPr>
    </w:p>
    <w:p>
      <w:pPr>
        <w:widowControl/>
        <w:spacing w:line="440" w:lineRule="exact"/>
        <w:outlineLvl w:val="1"/>
        <w:rPr>
          <w:rFonts w:ascii="黑体" w:hAnsi="黑体" w:eastAsia="黑体"/>
          <w:kern w:val="0"/>
          <w:sz w:val="36"/>
          <w:szCs w:val="32"/>
        </w:rPr>
      </w:pPr>
    </w:p>
    <w:p>
      <w:pPr>
        <w:widowControl/>
        <w:spacing w:line="440" w:lineRule="exact"/>
        <w:outlineLvl w:val="1"/>
        <w:rPr>
          <w:rFonts w:ascii="黑体" w:hAnsi="黑体" w:eastAsia="黑体"/>
          <w:kern w:val="0"/>
          <w:sz w:val="36"/>
          <w:szCs w:val="32"/>
        </w:rPr>
      </w:pPr>
    </w:p>
    <w:p>
      <w:pPr>
        <w:widowControl/>
        <w:spacing w:line="440" w:lineRule="exact"/>
        <w:jc w:val="center"/>
        <w:outlineLvl w:val="1"/>
        <w:rPr>
          <w:rFonts w:ascii="黑体" w:hAnsi="黑体" w:eastAsia="黑体"/>
          <w:kern w:val="0"/>
          <w:sz w:val="36"/>
          <w:szCs w:val="32"/>
        </w:rPr>
        <w:sectPr>
          <w:footerReference r:id="rId3" w:type="default"/>
          <w:pgSz w:w="11906" w:h="16838"/>
          <w:pgMar w:top="2098" w:right="1418" w:bottom="1928" w:left="1588" w:header="851" w:footer="992" w:gutter="0"/>
          <w:pgBorders>
            <w:top w:val="none" w:sz="0" w:space="0"/>
            <w:left w:val="none" w:sz="0" w:space="0"/>
            <w:bottom w:val="none" w:sz="0" w:space="0"/>
            <w:right w:val="none" w:sz="0" w:space="0"/>
          </w:pgBorders>
          <w:pgNumType w:fmt="numberInDash" w:start="53"/>
          <w:cols w:space="720" w:num="1"/>
          <w:docGrid w:linePitch="312" w:charSpace="0"/>
        </w:sectPr>
      </w:pPr>
    </w:p>
    <w:p>
      <w:pPr>
        <w:spacing w:line="560" w:lineRule="exact"/>
        <w:jc w:val="center"/>
        <w:rPr>
          <w:rFonts w:ascii="黑体" w:hAnsi="黑体" w:eastAsia="黑体" w:cs="黑体"/>
          <w:kern w:val="0"/>
          <w:sz w:val="32"/>
          <w:szCs w:val="32"/>
        </w:rPr>
      </w:pPr>
      <w:r>
        <w:rPr>
          <w:rFonts w:hint="eastAsia" w:ascii="黑体" w:hAnsi="黑体" w:eastAsia="黑体" w:cs="黑体"/>
          <w:kern w:val="0"/>
          <w:sz w:val="32"/>
          <w:szCs w:val="32"/>
        </w:rPr>
        <w:t>目 录</w:t>
      </w:r>
    </w:p>
    <w:p>
      <w:pPr>
        <w:spacing w:line="560" w:lineRule="exact"/>
        <w:ind w:firstLine="643" w:firstLineChars="200"/>
        <w:rPr>
          <w:rFonts w:ascii="仿宋_GB2312" w:hAnsi="仿宋_GB2312" w:eastAsia="仿宋_GB2312" w:cs="仿宋_GB2312"/>
          <w:b/>
          <w:kern w:val="0"/>
          <w:sz w:val="32"/>
          <w:szCs w:val="32"/>
        </w:rPr>
      </w:pP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 xml:space="preserve">第一部分 </w:t>
      </w:r>
      <w:r>
        <w:rPr>
          <w:rFonts w:hint="eastAsia" w:ascii="仿宋_GB2312" w:hAnsi="宋体" w:eastAsia="仿宋_GB2312"/>
          <w:b/>
          <w:kern w:val="0"/>
          <w:sz w:val="32"/>
          <w:szCs w:val="32"/>
        </w:rPr>
        <w:t>昌吉州</w:t>
      </w:r>
      <w:r>
        <w:rPr>
          <w:rFonts w:hint="eastAsia" w:ascii="仿宋_GB2312" w:hAnsi="宋体" w:eastAsia="仿宋_GB2312"/>
          <w:b/>
          <w:kern w:val="0"/>
          <w:sz w:val="32"/>
          <w:szCs w:val="32"/>
          <w:lang w:eastAsia="zh-CN"/>
        </w:rPr>
        <w:t>医疗保障局</w:t>
      </w:r>
      <w:r>
        <w:rPr>
          <w:rFonts w:hint="eastAsia" w:ascii="仿宋_GB2312" w:hAnsi="仿宋_GB2312" w:eastAsia="仿宋_GB2312" w:cs="仿宋_GB2312"/>
          <w:b/>
          <w:kern w:val="0"/>
          <w:sz w:val="32"/>
          <w:szCs w:val="32"/>
        </w:rPr>
        <w:t>概况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一、主要职能</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二、机构设置及人员情况</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第二部分  2022年部门（单位）预算公开表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一、部门（单位）收支总体情况表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二、部门（单位）收入总体情况表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三、部门（单位）支出总体情况表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四、财政拨款收支总体情况表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五、一般公共预算支出情况表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六、一般公共预算基本支出情况表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七、一般公共预算</w:t>
      </w:r>
      <w:r>
        <w:rPr>
          <w:rFonts w:hint="eastAsia" w:ascii="仿宋_GB2312" w:hAnsi="仿宋_GB2312" w:eastAsia="仿宋_GB2312" w:cs="仿宋_GB2312"/>
          <w:bCs/>
          <w:kern w:val="0"/>
          <w:sz w:val="32"/>
          <w:szCs w:val="32"/>
        </w:rPr>
        <w:t>项目支出情况表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八、一般公共预算“三公”经费支出情况表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九、政府性基金预算支出情况表</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第三部分  2022年部门（单位）预算情况说明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2022年收支预算情况的总体说明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2022年收入预算情况说明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2022年支出预算情况说明</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bCs/>
          <w:kern w:val="0"/>
          <w:sz w:val="32"/>
          <w:szCs w:val="32"/>
        </w:rPr>
        <w:t>年财政拨款收支预算情况的总体说明</w:t>
      </w:r>
    </w:p>
    <w:p>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年一般公共预算当年拨款情况说明</w:t>
      </w:r>
    </w:p>
    <w:p>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六、</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年一般公共预算基本支出情况说明</w:t>
      </w:r>
    </w:p>
    <w:p>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年一般公共预算项目支出情况说明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2022年一般公共预算“三公”经费预算情况说明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九、关于</w:t>
      </w:r>
      <w:r>
        <w:rPr>
          <w:rFonts w:hint="eastAsia" w:ascii="仿宋_GB2312" w:hAnsi="宋体" w:eastAsia="仿宋_GB2312"/>
          <w:kern w:val="0"/>
          <w:sz w:val="32"/>
          <w:szCs w:val="32"/>
        </w:rPr>
        <w:t>昌吉州</w:t>
      </w:r>
      <w:r>
        <w:rPr>
          <w:rFonts w:hint="eastAsia" w:ascii="仿宋_GB2312" w:hAnsi="宋体" w:eastAsia="仿宋_GB2312"/>
          <w:kern w:val="0"/>
          <w:sz w:val="32"/>
          <w:szCs w:val="32"/>
          <w:lang w:eastAsia="zh-CN"/>
        </w:rPr>
        <w:t>医疗保障局</w:t>
      </w:r>
      <w:r>
        <w:rPr>
          <w:rFonts w:hint="eastAsia" w:ascii="仿宋_GB2312" w:hAnsi="仿宋_GB2312" w:eastAsia="仿宋_GB2312" w:cs="仿宋_GB2312"/>
          <w:kern w:val="0"/>
          <w:sz w:val="32"/>
          <w:szCs w:val="32"/>
        </w:rPr>
        <w:t>2022年政府性基金预算拨款情况说明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十、其他重要事项的情况说明</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第四部分  名词解释</w:t>
      </w:r>
    </w:p>
    <w:p>
      <w:pPr>
        <w:spacing w:line="600" w:lineRule="exact"/>
        <w:ind w:firstLine="640" w:firstLineChars="200"/>
        <w:rPr>
          <w:rFonts w:ascii="仿宋_GB2312" w:hAnsi="仿宋_GB2312" w:eastAsia="仿宋_GB2312" w:cs="仿宋_GB2312"/>
          <w:kern w:val="0"/>
          <w:sz w:val="32"/>
          <w:szCs w:val="32"/>
        </w:rPr>
        <w:sectPr>
          <w:footerReference r:id="rId4" w:type="default"/>
          <w:pgSz w:w="11906" w:h="16838"/>
          <w:pgMar w:top="2098" w:right="1418" w:bottom="1928" w:left="1588" w:header="851" w:footer="992" w:gutter="0"/>
          <w:pgBorders>
            <w:top w:val="none" w:sz="0" w:space="0"/>
            <w:left w:val="none" w:sz="0" w:space="0"/>
            <w:bottom w:val="none" w:sz="0" w:space="0"/>
            <w:right w:val="none" w:sz="0" w:space="0"/>
          </w:pgBorders>
          <w:pgNumType w:fmt="numberInDash"/>
          <w:cols w:space="720" w:num="1"/>
          <w:docGrid w:linePitch="312" w:charSpace="0"/>
        </w:sectPr>
      </w:pPr>
    </w:p>
    <w:p>
      <w:pPr>
        <w:widowControl/>
        <w:spacing w:line="540" w:lineRule="exact"/>
        <w:jc w:val="center"/>
        <w:outlineLvl w:val="1"/>
        <w:rPr>
          <w:rFonts w:ascii="黑体" w:hAnsi="黑体" w:eastAsia="黑体"/>
          <w:kern w:val="0"/>
          <w:sz w:val="32"/>
          <w:szCs w:val="32"/>
        </w:rPr>
      </w:pPr>
      <w:r>
        <w:rPr>
          <w:rFonts w:hint="eastAsia" w:ascii="黑体" w:hAnsi="黑体" w:eastAsia="黑体"/>
          <w:kern w:val="0"/>
          <w:sz w:val="32"/>
          <w:szCs w:val="32"/>
        </w:rPr>
        <w:t>第一部分   昌吉州</w:t>
      </w:r>
      <w:r>
        <w:rPr>
          <w:rFonts w:hint="eastAsia" w:ascii="黑体" w:hAnsi="黑体" w:eastAsia="黑体"/>
          <w:kern w:val="0"/>
          <w:sz w:val="32"/>
          <w:szCs w:val="32"/>
          <w:lang w:eastAsia="zh-CN"/>
        </w:rPr>
        <w:t>医疗保障局</w:t>
      </w:r>
      <w:r>
        <w:rPr>
          <w:rFonts w:hint="eastAsia" w:ascii="黑体" w:hAnsi="黑体" w:eastAsia="黑体"/>
          <w:kern w:val="0"/>
          <w:sz w:val="32"/>
          <w:szCs w:val="32"/>
        </w:rPr>
        <w:t>概况</w:t>
      </w:r>
    </w:p>
    <w:p>
      <w:pPr>
        <w:widowControl/>
        <w:spacing w:line="540" w:lineRule="exact"/>
        <w:jc w:val="center"/>
        <w:outlineLvl w:val="1"/>
        <w:rPr>
          <w:rFonts w:ascii="宋体" w:hAnsi="宋体"/>
          <w:b/>
          <w:kern w:val="0"/>
          <w:sz w:val="32"/>
          <w:szCs w:val="32"/>
        </w:rPr>
      </w:pPr>
    </w:p>
    <w:p>
      <w:pPr>
        <w:widowControl/>
        <w:spacing w:line="540" w:lineRule="exact"/>
        <w:ind w:firstLine="643" w:firstLineChars="200"/>
        <w:jc w:val="left"/>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一、主要职能</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(1）贯彻落实国家和自治区医疗保险、生育保险、人身意外伤害保险、医疗救助等医疗保障政策，拟订医疗保障制度的规章草案、政策措施、规划和标准并组织实施；拟订医疗保险、生育保险、大病保险、大额医疗补助、公务员医疗补助、企事业单位补充医疗保险、长期护理保险、医疗救助、享受国务院特殊津贴专家、离休人员和优抚对象医疗保障等政策措施、管理办法并组织实施。</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（2）组织制定并实施医疗保障基金监督管理办法，建立健全医疗保障基金安全防控机制，承担推进医疗保障基金支付方式改革工作，编制自治州医疗保障基金预决算草案。</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（3）组织拟订医疗保障筹资和待遇政策措施，完善动态调整，统筹城乡医疗保障待遇标准，建立健全与筹资水平相适应的待遇调整机制。拟订贯彻长期护理保险制度改革的方案并组织实施。</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4）组织拟订药品、医用耗材价格和医疗服务项目、医疗服务设施收费等政策措施并监督实施，执行自治区制定的药品、医用耗材的招标采购政策并监督实施，建立医保支付医药服务价格合理确定和动态调整机制，建立市场主导的社会医药服务价格形成机制，建立医药服务价格信息监测和信息发布制度。</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（5）组织制定药品、医用耗材、医疗服务项目、医疗服务设施等医保目录和支付标准，建立动态调整机制。</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6）制定定点医药机构协议和支付管理办法并组织实施，建立健全医疗保障信用评价体系和信息技露制度，监督管理纳入医保范围内的医疗服务行为和医疗费用，依法查处医疗保障、生育保险领域违法违规行为。</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7）负责医疗保障经办管理、公共服务体系和信息化建设。贯彻落实国家和自治区跨省异地就医管理和费用结算政策，组织制定异地就医和费用结算政策措施。建立健全医疗保障关系转移接续制度。指导医疗保障经办机构开展业务工作。</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（8）完成自治州党委、自治州人民政府交办的其他任务。</w:t>
      </w:r>
    </w:p>
    <w:p>
      <w:pPr>
        <w:pStyle w:val="3"/>
        <w:tabs>
          <w:tab w:val="left" w:pos="5060"/>
        </w:tabs>
        <w:autoSpaceDE w:val="0"/>
        <w:autoSpaceDN w:val="0"/>
        <w:spacing w:line="600" w:lineRule="exact"/>
        <w:ind w:firstLine="640" w:firstLineChars="200"/>
        <w:rPr>
          <w:rFonts w:hint="eastAsia" w:ascii="仿宋_GB2312" w:hAnsi="Times New Roman" w:eastAsia="仿宋_GB2312"/>
        </w:rPr>
      </w:pPr>
      <w:r>
        <w:rPr>
          <w:rFonts w:hint="eastAsia" w:ascii="仿宋_GB2312" w:hAnsi="Times New Roman" w:eastAsia="仿宋_GB2312"/>
        </w:rPr>
        <w:t>（9）职能转变。自治州医疗保障局应完善统一的城乡居民基本医疗保险制度和大病保险制度，建立健全覆盖全民、城乡统筹的多层次医疗保障体系，不断提高医疗保障水平，确保医保资金合理使用、安全可控，推进医疗、医保、医药“三医联动”改革，更好保障人民群众就医需求、减轻医药费用负担。</w:t>
      </w:r>
    </w:p>
    <w:p>
      <w:pPr>
        <w:pStyle w:val="3"/>
        <w:tabs>
          <w:tab w:val="left" w:pos="5060"/>
        </w:tabs>
        <w:autoSpaceDE w:val="0"/>
        <w:autoSpaceDN w:val="0"/>
        <w:spacing w:line="600" w:lineRule="exact"/>
        <w:ind w:firstLine="640" w:firstLineChars="200"/>
        <w:rPr>
          <w:rFonts w:ascii="仿宋_GB2312" w:hAnsi="Times New Roman" w:eastAsia="仿宋_GB2312"/>
        </w:rPr>
      </w:pPr>
      <w:r>
        <w:rPr>
          <w:rFonts w:hint="eastAsia" w:ascii="仿宋_GB2312" w:hAnsi="Times New Roman" w:eastAsia="仿宋_GB2312"/>
        </w:rPr>
        <w:t>（10）与自治州卫生健康委员会的有关职责分工。自治州卫生健康委员会、自治州医疗保障局等部门在医疗、医保、医药等方面加强制度、政策衔接，建立沟通协商机制，协同推进改革，提高医疗资源使用效率和医疗保障水平。</w:t>
      </w:r>
    </w:p>
    <w:p>
      <w:pPr>
        <w:pStyle w:val="3"/>
        <w:tabs>
          <w:tab w:val="left" w:pos="5060"/>
        </w:tabs>
        <w:autoSpaceDE w:val="0"/>
        <w:autoSpaceDN w:val="0"/>
        <w:spacing w:line="600" w:lineRule="exact"/>
        <w:ind w:firstLine="636"/>
        <w:rPr>
          <w:rFonts w:ascii="仿宋_GB2312" w:hAnsi="宋体" w:eastAsia="仿宋_GB2312" w:cs="宋体"/>
          <w:bCs/>
          <w:kern w:val="0"/>
          <w:sz w:val="32"/>
          <w:szCs w:val="32"/>
        </w:rPr>
      </w:pPr>
      <w:r>
        <w:rPr>
          <w:rFonts w:hint="eastAsia" w:ascii="仿宋_GB2312" w:hAnsi="Times New Roman" w:eastAsia="仿宋_GB2312"/>
        </w:rPr>
        <w:t>州医保局医疗保障经办服务中心负责综合管理全州医疗保险、生育保险和医疗救助经办服务、长期护理保险失能评定、人身意外伤害保险人员核定等，以及各保险的档案管理、基金管理、稽核、信息系统维护、政策宣传等。</w:t>
      </w:r>
      <w:r>
        <w:rPr>
          <w:rFonts w:hint="eastAsia" w:ascii="仿宋_GB2312" w:hAnsi="宋体" w:eastAsia="仿宋_GB2312" w:cs="宋体"/>
          <w:bCs/>
          <w:kern w:val="0"/>
          <w:sz w:val="32"/>
          <w:szCs w:val="32"/>
        </w:rPr>
        <w:t xml:space="preserve"> </w:t>
      </w:r>
    </w:p>
    <w:p>
      <w:pPr>
        <w:widowControl/>
        <w:spacing w:line="540" w:lineRule="exact"/>
        <w:ind w:firstLine="643" w:firstLineChars="200"/>
        <w:jc w:val="left"/>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二、机构设置及人员情况</w:t>
      </w:r>
    </w:p>
    <w:p>
      <w:pPr>
        <w:widowControl/>
        <w:spacing w:line="54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昌吉州</w:t>
      </w:r>
      <w:r>
        <w:rPr>
          <w:rFonts w:hint="eastAsia" w:ascii="仿宋_GB2312" w:hAnsi="宋体" w:eastAsia="仿宋_GB2312" w:cs="宋体"/>
          <w:kern w:val="0"/>
          <w:sz w:val="32"/>
          <w:szCs w:val="32"/>
          <w:lang w:eastAsia="zh-CN"/>
        </w:rPr>
        <w:t>医疗保障局</w:t>
      </w:r>
      <w:r>
        <w:rPr>
          <w:rFonts w:hint="eastAsia" w:ascii="仿宋_GB2312" w:hAnsi="黑体" w:eastAsia="仿宋_GB2312" w:cs="宋体"/>
          <w:bCs/>
          <w:kern w:val="0"/>
          <w:sz w:val="32"/>
          <w:szCs w:val="32"/>
        </w:rPr>
        <w:t>无下属预算单位，下设</w:t>
      </w:r>
      <w:r>
        <w:rPr>
          <w:rFonts w:hint="eastAsia" w:ascii="仿宋_GB2312" w:hAnsi="黑体" w:eastAsia="仿宋_GB2312" w:cs="宋体"/>
          <w:bCs/>
          <w:kern w:val="0"/>
          <w:sz w:val="32"/>
          <w:szCs w:val="32"/>
          <w:lang w:eastAsia="zh-CN"/>
        </w:rPr>
        <w:t>四</w:t>
      </w:r>
      <w:r>
        <w:rPr>
          <w:rFonts w:hint="eastAsia" w:ascii="仿宋_GB2312" w:hAnsi="黑体" w:eastAsia="仿宋_GB2312" w:cs="宋体"/>
          <w:bCs/>
          <w:kern w:val="0"/>
          <w:sz w:val="32"/>
          <w:szCs w:val="32"/>
        </w:rPr>
        <w:t>个科室，分别是：</w:t>
      </w:r>
      <w:r>
        <w:rPr>
          <w:rFonts w:hint="eastAsia" w:ascii="仿宋_GB2312" w:hAnsi="Times New Roman" w:eastAsia="仿宋_GB2312"/>
          <w:sz w:val="32"/>
          <w:szCs w:val="32"/>
        </w:rPr>
        <w:t>办公室</w:t>
      </w:r>
      <w:r>
        <w:rPr>
          <w:rFonts w:hint="eastAsia" w:ascii="仿宋_GB2312" w:eastAsia="仿宋_GB2312"/>
          <w:sz w:val="32"/>
          <w:szCs w:val="32"/>
          <w:lang w:eastAsia="zh-CN"/>
        </w:rPr>
        <w:t>（组织人事科）</w:t>
      </w:r>
      <w:r>
        <w:rPr>
          <w:rFonts w:hint="eastAsia" w:ascii="仿宋_GB2312" w:hAnsi="Times New Roman" w:eastAsia="仿宋_GB2312"/>
          <w:sz w:val="32"/>
          <w:szCs w:val="32"/>
        </w:rPr>
        <w:t>、基金监管科、保障管理科</w:t>
      </w:r>
      <w:r>
        <w:rPr>
          <w:rFonts w:hint="eastAsia" w:ascii="仿宋_GB2312" w:eastAsia="仿宋_GB2312"/>
          <w:sz w:val="32"/>
          <w:szCs w:val="32"/>
          <w:lang w:eastAsia="zh-CN"/>
        </w:rPr>
        <w:t>、经办服务中心</w:t>
      </w:r>
      <w:r>
        <w:rPr>
          <w:rFonts w:hint="eastAsia" w:ascii="仿宋_GB2312" w:hAnsi="宋体" w:eastAsia="仿宋_GB2312" w:cs="宋体"/>
          <w:kern w:val="0"/>
          <w:sz w:val="32"/>
          <w:szCs w:val="32"/>
        </w:rPr>
        <w:t>。</w:t>
      </w:r>
    </w:p>
    <w:p>
      <w:pPr>
        <w:widowControl/>
        <w:spacing w:line="540" w:lineRule="exact"/>
        <w:ind w:firstLine="640"/>
        <w:jc w:val="left"/>
        <w:rPr>
          <w:rFonts w:ascii="仿宋_GB2312" w:hAnsi="宋体" w:eastAsia="仿宋_GB2312" w:cs="宋体"/>
          <w:kern w:val="0"/>
          <w:sz w:val="32"/>
          <w:szCs w:val="32"/>
        </w:rPr>
      </w:pPr>
      <w:r>
        <w:rPr>
          <w:rFonts w:hint="eastAsia" w:ascii="仿宋_GB2312" w:hAnsi="宋体" w:eastAsia="仿宋_GB2312" w:cs="宋体"/>
          <w:kern w:val="0"/>
          <w:sz w:val="32"/>
          <w:szCs w:val="32"/>
        </w:rPr>
        <w:t>昌吉州</w:t>
      </w:r>
      <w:r>
        <w:rPr>
          <w:rFonts w:hint="eastAsia" w:ascii="仿宋_GB2312" w:hAnsi="宋体" w:eastAsia="仿宋_GB2312" w:cs="宋体"/>
          <w:kern w:val="0"/>
          <w:sz w:val="32"/>
          <w:szCs w:val="32"/>
          <w:lang w:eastAsia="zh-CN"/>
        </w:rPr>
        <w:t>医疗保障局</w:t>
      </w:r>
      <w:r>
        <w:rPr>
          <w:rFonts w:hint="eastAsia" w:ascii="仿宋_GB2312" w:hAnsi="宋体" w:eastAsia="仿宋_GB2312" w:cs="宋体"/>
          <w:kern w:val="0"/>
          <w:sz w:val="32"/>
          <w:szCs w:val="32"/>
        </w:rPr>
        <w:t>编制数</w:t>
      </w:r>
      <w:r>
        <w:rPr>
          <w:rFonts w:hint="eastAsia" w:ascii="仿宋_GB2312" w:hAnsi="宋体" w:eastAsia="仿宋_GB2312" w:cs="宋体"/>
          <w:kern w:val="0"/>
          <w:sz w:val="32"/>
          <w:szCs w:val="32"/>
          <w:lang w:val="en-US" w:eastAsia="zh-CN"/>
        </w:rPr>
        <w:t>28</w:t>
      </w:r>
      <w:r>
        <w:rPr>
          <w:rFonts w:hint="eastAsia" w:ascii="仿宋_GB2312" w:hAnsi="宋体" w:eastAsia="仿宋_GB2312" w:cs="宋体"/>
          <w:kern w:val="0"/>
          <w:sz w:val="32"/>
          <w:szCs w:val="32"/>
        </w:rPr>
        <w:t>个，实有人数</w:t>
      </w:r>
      <w:r>
        <w:rPr>
          <w:rFonts w:hint="eastAsia" w:ascii="仿宋_GB2312" w:hAnsi="宋体" w:eastAsia="仿宋_GB2312" w:cs="宋体"/>
          <w:kern w:val="0"/>
          <w:sz w:val="32"/>
          <w:szCs w:val="32"/>
          <w:lang w:val="en-US" w:eastAsia="zh-CN"/>
        </w:rPr>
        <w:t>26</w:t>
      </w:r>
      <w:r>
        <w:rPr>
          <w:rFonts w:hint="eastAsia" w:ascii="仿宋_GB2312" w:hAnsi="宋体" w:eastAsia="仿宋_GB2312" w:cs="宋体"/>
          <w:kern w:val="0"/>
          <w:sz w:val="32"/>
          <w:szCs w:val="32"/>
        </w:rPr>
        <w:t>人，其中：在职</w:t>
      </w:r>
      <w:r>
        <w:rPr>
          <w:rFonts w:hint="eastAsia" w:ascii="仿宋_GB2312" w:hAnsi="宋体" w:eastAsia="仿宋_GB2312" w:cs="宋体"/>
          <w:kern w:val="0"/>
          <w:sz w:val="32"/>
          <w:szCs w:val="32"/>
          <w:lang w:val="en-US" w:eastAsia="zh-CN"/>
        </w:rPr>
        <w:t>26</w:t>
      </w:r>
      <w:r>
        <w:rPr>
          <w:rFonts w:hint="eastAsia" w:ascii="仿宋_GB2312" w:hAnsi="宋体" w:eastAsia="仿宋_GB2312" w:cs="宋体"/>
          <w:kern w:val="0"/>
          <w:sz w:val="32"/>
          <w:szCs w:val="32"/>
        </w:rPr>
        <w:t>人，增加</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 退休</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人，增加</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人；离休</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人，增加</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人。</w:t>
      </w: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center"/>
        <w:outlineLvl w:val="1"/>
        <w:rPr>
          <w:rFonts w:hint="eastAsia" w:ascii="仿宋_GB2312" w:hAnsi="宋体" w:eastAsia="仿宋_GB2312" w:cs="宋体"/>
          <w:b/>
          <w:kern w:val="0"/>
          <w:sz w:val="32"/>
          <w:szCs w:val="32"/>
        </w:rPr>
      </w:pPr>
    </w:p>
    <w:p>
      <w:pPr>
        <w:widowControl/>
        <w:spacing w:line="440" w:lineRule="exact"/>
        <w:jc w:val="both"/>
        <w:outlineLvl w:val="1"/>
        <w:rPr>
          <w:rFonts w:hint="eastAsia" w:ascii="黑体" w:hAnsi="黑体" w:eastAsia="黑体"/>
          <w:kern w:val="0"/>
          <w:sz w:val="32"/>
          <w:szCs w:val="32"/>
        </w:rPr>
      </w:pPr>
    </w:p>
    <w:p>
      <w:pPr>
        <w:widowControl/>
        <w:spacing w:line="440" w:lineRule="exact"/>
        <w:jc w:val="center"/>
        <w:outlineLvl w:val="1"/>
        <w:rPr>
          <w:rFonts w:ascii="黑体" w:hAnsi="黑体" w:eastAsia="黑体"/>
          <w:kern w:val="0"/>
          <w:sz w:val="32"/>
          <w:szCs w:val="32"/>
        </w:rPr>
      </w:pPr>
      <w:r>
        <w:rPr>
          <w:rFonts w:hint="eastAsia" w:ascii="黑体" w:hAnsi="黑体" w:eastAsia="黑体"/>
          <w:kern w:val="0"/>
          <w:sz w:val="32"/>
          <w:szCs w:val="32"/>
        </w:rPr>
        <w:t xml:space="preserve">第二部分  </w:t>
      </w:r>
      <w:r>
        <w:rPr>
          <w:rFonts w:ascii="黑体" w:hAnsi="黑体" w:eastAsia="黑体"/>
          <w:kern w:val="0"/>
          <w:sz w:val="32"/>
          <w:szCs w:val="32"/>
        </w:rPr>
        <w:t>2022</w:t>
      </w:r>
      <w:r>
        <w:rPr>
          <w:rFonts w:hint="eastAsia" w:ascii="黑体" w:hAnsi="黑体" w:eastAsia="黑体"/>
          <w:kern w:val="0"/>
          <w:sz w:val="32"/>
          <w:szCs w:val="32"/>
        </w:rPr>
        <w:t>年部门（单位）预算公开表</w:t>
      </w:r>
    </w:p>
    <w:p>
      <w:pPr>
        <w:widowControl/>
        <w:spacing w:line="240" w:lineRule="exact"/>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表1</w:t>
      </w:r>
    </w:p>
    <w:p>
      <w:pPr>
        <w:widowControl/>
        <w:spacing w:line="36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部门（单位）收支总体情况表</w:t>
      </w:r>
    </w:p>
    <w:p>
      <w:pPr>
        <w:widowControl/>
        <w:spacing w:line="280" w:lineRule="exact"/>
        <w:jc w:val="center"/>
        <w:outlineLvl w:val="1"/>
        <w:rPr>
          <w:rFonts w:ascii="仿宋_GB2312" w:hAnsi="宋体" w:eastAsia="仿宋_GB2312"/>
          <w:b/>
          <w:kern w:val="0"/>
          <w:sz w:val="32"/>
          <w:szCs w:val="32"/>
        </w:rPr>
      </w:pPr>
    </w:p>
    <w:p>
      <w:pPr>
        <w:widowControl/>
        <w:spacing w:line="280" w:lineRule="exac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单位：万元</w:t>
      </w:r>
    </w:p>
    <w:tbl>
      <w:tblPr>
        <w:tblStyle w:val="6"/>
        <w:tblW w:w="8662" w:type="dxa"/>
        <w:tblInd w:w="93" w:type="dxa"/>
        <w:tblLayout w:type="fixed"/>
        <w:tblCellMar>
          <w:top w:w="0" w:type="dxa"/>
          <w:left w:w="108" w:type="dxa"/>
          <w:bottom w:w="0" w:type="dxa"/>
          <w:right w:w="108" w:type="dxa"/>
        </w:tblCellMar>
      </w:tblPr>
      <w:tblGrid>
        <w:gridCol w:w="2280"/>
        <w:gridCol w:w="1988"/>
        <w:gridCol w:w="2693"/>
        <w:gridCol w:w="1701"/>
      </w:tblGrid>
      <w:tr>
        <w:tblPrEx>
          <w:tblCellMar>
            <w:top w:w="0" w:type="dxa"/>
            <w:left w:w="108" w:type="dxa"/>
            <w:bottom w:w="0" w:type="dxa"/>
            <w:right w:w="108" w:type="dxa"/>
          </w:tblCellMar>
        </w:tblPrEx>
        <w:trPr>
          <w:trHeight w:val="360" w:hRule="atLeast"/>
        </w:trPr>
        <w:tc>
          <w:tcPr>
            <w:tcW w:w="4268" w:type="dxa"/>
            <w:gridSpan w:val="2"/>
            <w:tcBorders>
              <w:top w:val="single" w:color="auto" w:sz="4" w:space="0"/>
              <w:left w:val="single" w:color="auto" w:sz="4" w:space="0"/>
              <w:bottom w:val="single" w:color="auto" w:sz="4" w:space="0"/>
              <w:right w:val="single" w:color="000000" w:sz="4" w:space="0"/>
            </w:tcBorders>
            <w:vAlign w:val="bottom"/>
          </w:tcPr>
          <w:p>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收     入</w:t>
            </w:r>
          </w:p>
        </w:tc>
        <w:tc>
          <w:tcPr>
            <w:tcW w:w="4394" w:type="dxa"/>
            <w:gridSpan w:val="2"/>
            <w:tcBorders>
              <w:top w:val="single" w:color="auto" w:sz="4" w:space="0"/>
              <w:left w:val="nil"/>
              <w:bottom w:val="single" w:color="auto" w:sz="4" w:space="0"/>
              <w:right w:val="single" w:color="auto" w:sz="4" w:space="0"/>
            </w:tcBorders>
            <w:vAlign w:val="bottom"/>
          </w:tcPr>
          <w:p>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支     出</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1988"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c>
          <w:tcPr>
            <w:tcW w:w="2693"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功能分类</w:t>
            </w:r>
          </w:p>
        </w:tc>
        <w:tc>
          <w:tcPr>
            <w:tcW w:w="1701"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1365.79</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一般公共预算</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1365.79</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202 外交支出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政府性基金预算</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国有资本经营预算</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财政专户（教育收费）</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事业收入</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事业单位经营收入</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单位其他资金收入</w:t>
            </w:r>
          </w:p>
        </w:tc>
        <w:tc>
          <w:tcPr>
            <w:tcW w:w="1988"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35.06</w:t>
            </w: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209 社会保险基金支出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 xml:space="preserve"> 1298.81</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211 节能环保支出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资源勘探信息等支出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31.91</w:t>
            </w: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223 国有资本经营预算支出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227 预备费</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230转移性支出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nil"/>
            </w:tcBorders>
            <w:vAlign w:val="center"/>
          </w:tcPr>
          <w:p>
            <w:pPr>
              <w:widowControl/>
              <w:spacing w:line="280" w:lineRule="exact"/>
              <w:jc w:val="left"/>
              <w:rPr>
                <w:rFonts w:hint="eastAsia" w:ascii="仿宋_GB2312" w:hAnsi="宋体" w:eastAsia="仿宋_GB2312" w:cs="宋体"/>
                <w:kern w:val="0"/>
                <w:sz w:val="18"/>
                <w:szCs w:val="18"/>
                <w:lang w:eastAsia="zh-CN"/>
              </w:rPr>
            </w:pPr>
          </w:p>
        </w:tc>
        <w:tc>
          <w:tcPr>
            <w:tcW w:w="1988" w:type="dxa"/>
            <w:tcBorders>
              <w:top w:val="nil"/>
              <w:left w:val="single" w:color="auto" w:sz="4" w:space="0"/>
              <w:bottom w:val="single" w:color="auto" w:sz="4" w:space="0"/>
              <w:right w:val="single" w:color="auto" w:sz="4" w:space="0"/>
            </w:tcBorders>
            <w:vAlign w:val="center"/>
          </w:tcPr>
          <w:p>
            <w:pPr>
              <w:widowControl/>
              <w:spacing w:line="280" w:lineRule="exact"/>
              <w:jc w:val="right"/>
              <w:rPr>
                <w:rFonts w:hint="default" w:ascii="仿宋_GB2312" w:hAnsi="宋体" w:eastAsia="仿宋_GB2312" w:cs="宋体"/>
                <w:kern w:val="0"/>
                <w:sz w:val="18"/>
                <w:szCs w:val="18"/>
                <w:lang w:val="en-US" w:eastAsia="zh-CN"/>
              </w:rPr>
            </w:pPr>
          </w:p>
        </w:tc>
        <w:tc>
          <w:tcPr>
            <w:tcW w:w="2693" w:type="dxa"/>
            <w:tcBorders>
              <w:top w:val="nil"/>
              <w:left w:val="nil"/>
              <w:bottom w:val="single" w:color="auto" w:sz="4" w:space="0"/>
              <w:right w:val="single" w:color="auto" w:sz="4" w:space="0"/>
            </w:tcBorders>
            <w:vAlign w:val="center"/>
          </w:tcPr>
          <w:p>
            <w:pPr>
              <w:widowControl/>
              <w:spacing w:line="280" w:lineRule="exact"/>
              <w:jc w:val="left"/>
              <w:textAlignment w:val="center"/>
              <w:rPr>
                <w:rFonts w:ascii="宋体" w:hAnsi="宋体" w:cs="宋体"/>
                <w:color w:val="000000"/>
                <w:sz w:val="18"/>
                <w:szCs w:val="18"/>
              </w:rPr>
            </w:pPr>
            <w:r>
              <w:rPr>
                <w:rFonts w:hint="eastAsia" w:ascii="仿宋_GB2312" w:hAnsi="宋体" w:eastAsia="仿宋_GB2312" w:cs="宋体"/>
                <w:color w:val="000000"/>
                <w:kern w:val="0"/>
                <w:sz w:val="18"/>
                <w:szCs w:val="18"/>
                <w:lang w:bidi="ar"/>
              </w:rPr>
              <w:t>234 抗疫特别国债还本支出</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nil"/>
            </w:tcBorders>
            <w:vAlign w:val="center"/>
          </w:tcPr>
          <w:p>
            <w:pPr>
              <w:widowControl/>
              <w:spacing w:line="280" w:lineRule="exact"/>
              <w:jc w:val="left"/>
              <w:rPr>
                <w:rFonts w:hint="eastAsia" w:ascii="仿宋_GB2312" w:hAnsi="宋体" w:eastAsia="仿宋_GB2312" w:cs="宋体"/>
                <w:kern w:val="0"/>
                <w:sz w:val="20"/>
                <w:szCs w:val="20"/>
                <w:lang w:eastAsia="zh-CN"/>
              </w:rPr>
            </w:pPr>
          </w:p>
        </w:tc>
        <w:tc>
          <w:tcPr>
            <w:tcW w:w="1988" w:type="dxa"/>
            <w:tcBorders>
              <w:top w:val="nil"/>
              <w:left w:val="single" w:color="auto" w:sz="4" w:space="0"/>
              <w:bottom w:val="single" w:color="auto" w:sz="4" w:space="0"/>
              <w:right w:val="single" w:color="auto" w:sz="4" w:space="0"/>
            </w:tcBorders>
            <w:vAlign w:val="center"/>
          </w:tcPr>
          <w:p>
            <w:pPr>
              <w:widowControl/>
              <w:spacing w:line="280" w:lineRule="exact"/>
              <w:jc w:val="right"/>
              <w:rPr>
                <w:rFonts w:hint="eastAsia" w:ascii="仿宋_GB2312" w:hAnsi="宋体" w:eastAsia="仿宋_GB2312" w:cs="宋体"/>
                <w:kern w:val="0"/>
                <w:sz w:val="18"/>
                <w:szCs w:val="18"/>
                <w:lang w:val="en-US" w:eastAsia="zh-CN"/>
              </w:rPr>
            </w:pPr>
          </w:p>
        </w:tc>
        <w:tc>
          <w:tcPr>
            <w:tcW w:w="2693" w:type="dxa"/>
            <w:tcBorders>
              <w:top w:val="nil"/>
              <w:left w:val="nil"/>
              <w:bottom w:val="single" w:color="auto" w:sz="4" w:space="0"/>
              <w:right w:val="single" w:color="auto" w:sz="4" w:space="0"/>
            </w:tcBorders>
            <w:vAlign w:val="center"/>
          </w:tcPr>
          <w:p>
            <w:pPr>
              <w:widowControl/>
              <w:spacing w:line="280" w:lineRule="exact"/>
              <w:jc w:val="left"/>
              <w:textAlignment w:val="center"/>
              <w:rPr>
                <w:rFonts w:ascii="仿宋_GB2312" w:hAnsi="宋体" w:eastAsia="仿宋_GB2312" w:cs="宋体"/>
                <w:kern w:val="0"/>
                <w:sz w:val="18"/>
                <w:szCs w:val="18"/>
                <w:lang w:bidi="ar"/>
              </w:rPr>
            </w:pP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65" w:hRule="atLeast"/>
        </w:trPr>
        <w:tc>
          <w:tcPr>
            <w:tcW w:w="2280" w:type="dxa"/>
            <w:tcBorders>
              <w:top w:val="nil"/>
              <w:left w:val="single" w:color="auto" w:sz="4" w:space="0"/>
              <w:bottom w:val="single" w:color="auto" w:sz="4" w:space="0"/>
              <w:right w:val="nil"/>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20"/>
                <w:szCs w:val="20"/>
              </w:rPr>
              <w:t>收  入  总  计</w:t>
            </w:r>
          </w:p>
        </w:tc>
        <w:tc>
          <w:tcPr>
            <w:tcW w:w="1988"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1365.79</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28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支  出  总  计</w:t>
            </w:r>
          </w:p>
        </w:tc>
        <w:tc>
          <w:tcPr>
            <w:tcW w:w="1701" w:type="dxa"/>
            <w:tcBorders>
              <w:top w:val="nil"/>
              <w:left w:val="single" w:color="auto" w:sz="4" w:space="0"/>
              <w:bottom w:val="single" w:color="auto" w:sz="4" w:space="0"/>
              <w:right w:val="single" w:color="auto" w:sz="4" w:space="0"/>
            </w:tcBorders>
            <w:vAlign w:val="center"/>
          </w:tcPr>
          <w:p>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1365.79</w:t>
            </w:r>
            <w:r>
              <w:rPr>
                <w:rFonts w:hint="eastAsia" w:ascii="仿宋_GB2312" w:hAnsi="宋体" w:eastAsia="仿宋_GB2312" w:cs="宋体"/>
                <w:kern w:val="0"/>
                <w:sz w:val="18"/>
                <w:szCs w:val="18"/>
              </w:rPr>
              <w:t>　</w:t>
            </w:r>
          </w:p>
        </w:tc>
      </w:tr>
    </w:tbl>
    <w:p>
      <w:pPr>
        <w:widowControl/>
        <w:spacing w:line="280" w:lineRule="exact"/>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spacing w:line="240" w:lineRule="auto"/>
        <w:outlineLvl w:val="1"/>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表2</w:t>
      </w:r>
    </w:p>
    <w:p>
      <w:pPr>
        <w:widowControl/>
        <w:spacing w:line="240" w:lineRule="auto"/>
        <w:ind w:firstLine="1800" w:firstLineChars="500"/>
        <w:outlineLvl w:val="1"/>
        <w:rPr>
          <w:rFonts w:ascii="仿宋_GB2312" w:hAnsi="宋体" w:eastAsia="仿宋_GB2312"/>
          <w:b/>
          <w:kern w:val="0"/>
          <w:sz w:val="32"/>
          <w:szCs w:val="32"/>
        </w:rPr>
      </w:pPr>
      <w:r>
        <w:rPr>
          <w:rFonts w:hint="eastAsia" w:ascii="方正小标宋_GBK" w:hAnsi="方正小标宋_GBK" w:eastAsia="方正小标宋_GBK" w:cs="方正小标宋_GBK"/>
          <w:bCs/>
          <w:kern w:val="0"/>
          <w:sz w:val="36"/>
          <w:szCs w:val="36"/>
        </w:rPr>
        <w:t>部门（单位）收入总体情况表</w:t>
      </w:r>
    </w:p>
    <w:p>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单位：万元</w:t>
      </w:r>
    </w:p>
    <w:tbl>
      <w:tblPr>
        <w:tblStyle w:val="6"/>
        <w:tblW w:w="9803" w:type="dxa"/>
        <w:tblInd w:w="-450" w:type="dxa"/>
        <w:tblLayout w:type="fixed"/>
        <w:tblCellMar>
          <w:top w:w="0" w:type="dxa"/>
          <w:left w:w="108" w:type="dxa"/>
          <w:bottom w:w="0" w:type="dxa"/>
          <w:right w:w="108" w:type="dxa"/>
        </w:tblCellMar>
      </w:tblPr>
      <w:tblGrid>
        <w:gridCol w:w="594"/>
        <w:gridCol w:w="528"/>
        <w:gridCol w:w="477"/>
        <w:gridCol w:w="2999"/>
        <w:gridCol w:w="1140"/>
        <w:gridCol w:w="1155"/>
        <w:gridCol w:w="495"/>
        <w:gridCol w:w="465"/>
        <w:gridCol w:w="585"/>
        <w:gridCol w:w="465"/>
        <w:gridCol w:w="450"/>
        <w:gridCol w:w="450"/>
      </w:tblGrid>
      <w:tr>
        <w:tblPrEx>
          <w:tblCellMar>
            <w:top w:w="0" w:type="dxa"/>
            <w:left w:w="108" w:type="dxa"/>
            <w:bottom w:w="0" w:type="dxa"/>
            <w:right w:w="108" w:type="dxa"/>
          </w:tblCellMar>
        </w:tblPrEx>
        <w:trPr>
          <w:trHeight w:val="510" w:hRule="atLeast"/>
        </w:trPr>
        <w:tc>
          <w:tcPr>
            <w:tcW w:w="1599"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功能分类科目编码</w:t>
            </w:r>
          </w:p>
        </w:tc>
        <w:tc>
          <w:tcPr>
            <w:tcW w:w="2999"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功能分类科目名称</w:t>
            </w:r>
          </w:p>
        </w:tc>
        <w:tc>
          <w:tcPr>
            <w:tcW w:w="11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总  计</w:t>
            </w:r>
          </w:p>
        </w:tc>
        <w:tc>
          <w:tcPr>
            <w:tcW w:w="115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一般公共预算拨款</w:t>
            </w:r>
          </w:p>
        </w:tc>
        <w:tc>
          <w:tcPr>
            <w:tcW w:w="49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政府性基金预算拨款</w:t>
            </w:r>
          </w:p>
        </w:tc>
        <w:tc>
          <w:tcPr>
            <w:tcW w:w="46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国有资本经营预算</w:t>
            </w:r>
          </w:p>
        </w:tc>
        <w:tc>
          <w:tcPr>
            <w:tcW w:w="58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财政专户（教育收费）</w:t>
            </w:r>
          </w:p>
        </w:tc>
        <w:tc>
          <w:tcPr>
            <w:tcW w:w="46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事业收入</w:t>
            </w:r>
          </w:p>
        </w:tc>
        <w:tc>
          <w:tcPr>
            <w:tcW w:w="45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事业单位经营收入</w:t>
            </w:r>
          </w:p>
        </w:tc>
        <w:tc>
          <w:tcPr>
            <w:tcW w:w="45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单位其他资金收入</w:t>
            </w:r>
          </w:p>
        </w:tc>
      </w:tr>
      <w:tr>
        <w:tblPrEx>
          <w:tblCellMar>
            <w:top w:w="0" w:type="dxa"/>
            <w:left w:w="108" w:type="dxa"/>
            <w:bottom w:w="0" w:type="dxa"/>
            <w:right w:w="108" w:type="dxa"/>
          </w:tblCellMar>
        </w:tblPrEx>
        <w:trPr>
          <w:trHeight w:val="1006" w:hRule="atLeast"/>
        </w:trPr>
        <w:tc>
          <w:tcPr>
            <w:tcW w:w="594" w:type="dxa"/>
            <w:tcBorders>
              <w:top w:val="nil"/>
              <w:left w:val="single" w:color="auto" w:sz="4" w:space="0"/>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类</w:t>
            </w:r>
          </w:p>
        </w:tc>
        <w:tc>
          <w:tcPr>
            <w:tcW w:w="528" w:type="dxa"/>
            <w:tcBorders>
              <w:top w:val="nil"/>
              <w:left w:val="nil"/>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款</w:t>
            </w:r>
          </w:p>
        </w:tc>
        <w:tc>
          <w:tcPr>
            <w:tcW w:w="477" w:type="dxa"/>
            <w:tcBorders>
              <w:top w:val="nil"/>
              <w:left w:val="nil"/>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项</w:t>
            </w:r>
          </w:p>
        </w:tc>
        <w:tc>
          <w:tcPr>
            <w:tcW w:w="2999"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114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115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49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46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58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46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45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45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208</w:t>
            </w:r>
          </w:p>
        </w:tc>
        <w:tc>
          <w:tcPr>
            <w:tcW w:w="52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sz w:val="20"/>
                <w:szCs w:val="20"/>
              </w:rPr>
            </w:pPr>
          </w:p>
        </w:tc>
        <w:tc>
          <w:tcPr>
            <w:tcW w:w="47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shd w:val="clear" w:color="auto" w:fill="auto"/>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社会保障和就业支出</w:t>
            </w:r>
          </w:p>
        </w:tc>
        <w:tc>
          <w:tcPr>
            <w:tcW w:w="1140" w:type="dxa"/>
            <w:tcBorders>
              <w:top w:val="nil"/>
              <w:left w:val="nil"/>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115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495"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shd w:val="clear" w:color="000000" w:fill="FFFFFF"/>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208</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05</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行政事业单位养老支出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208</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05</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05</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机关事业单位基本养老保险缴费支出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35.06</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210</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卫生健康支出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1298.81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1298.81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210</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11</w:t>
            </w: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行政事业单位医疗</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27.55</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27.55</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11</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01</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行政单位医疗</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8.01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8.01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210</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11</w:t>
            </w: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02</w:t>
            </w: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事业单位医疗</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12.81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12.81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11</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03</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公务员医疗补助</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6.57</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6.57</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11</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99</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其他行政事业单位医疗支出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0.16</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0.16</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210</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15</w:t>
            </w: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医疗保障管理事务</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highlight w:val="none"/>
                <w:lang w:val="en-US" w:eastAsia="zh-CN"/>
              </w:rPr>
            </w:pPr>
            <w:r>
              <w:rPr>
                <w:rFonts w:hint="eastAsia" w:ascii="仿宋_GB2312" w:hAnsi="仿宋_GB2312" w:eastAsia="仿宋_GB2312" w:cs="仿宋_GB2312"/>
                <w:b w:val="0"/>
                <w:bCs/>
                <w:color w:val="000000"/>
                <w:kern w:val="0"/>
                <w:sz w:val="20"/>
                <w:szCs w:val="20"/>
                <w:highlight w:val="none"/>
                <w:lang w:val="en-US" w:eastAsia="zh-CN"/>
              </w:rPr>
              <w:t>1271.26</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highlight w:val="none"/>
                <w:lang w:val="en-US" w:eastAsia="zh-CN"/>
              </w:rPr>
            </w:pPr>
            <w:r>
              <w:rPr>
                <w:rFonts w:hint="eastAsia" w:ascii="仿宋_GB2312" w:hAnsi="仿宋_GB2312" w:eastAsia="仿宋_GB2312" w:cs="仿宋_GB2312"/>
                <w:b w:val="0"/>
                <w:bCs/>
                <w:color w:val="000000"/>
                <w:kern w:val="0"/>
                <w:sz w:val="20"/>
                <w:szCs w:val="20"/>
                <w:highlight w:val="none"/>
                <w:lang w:val="en-US" w:eastAsia="zh-CN"/>
              </w:rPr>
              <w:t>1271.26</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15</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01</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行政运行</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highlight w:val="none"/>
                <w:lang w:val="en-US" w:eastAsia="zh-CN"/>
              </w:rPr>
            </w:pPr>
            <w:r>
              <w:rPr>
                <w:rFonts w:hint="eastAsia" w:ascii="仿宋_GB2312" w:hAnsi="仿宋_GB2312" w:eastAsia="仿宋_GB2312" w:cs="仿宋_GB2312"/>
                <w:b w:val="0"/>
                <w:bCs/>
                <w:color w:val="000000"/>
                <w:kern w:val="0"/>
                <w:sz w:val="20"/>
                <w:szCs w:val="20"/>
                <w:highlight w:val="none"/>
                <w:lang w:val="en-US" w:eastAsia="zh-CN"/>
              </w:rPr>
              <w:t>293.61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highlight w:val="none"/>
                <w:lang w:val="en-US" w:eastAsia="zh-CN"/>
              </w:rPr>
            </w:pPr>
            <w:r>
              <w:rPr>
                <w:rFonts w:hint="eastAsia" w:ascii="仿宋_GB2312" w:hAnsi="仿宋_GB2312" w:eastAsia="仿宋_GB2312" w:cs="仿宋_GB2312"/>
                <w:b w:val="0"/>
                <w:bCs/>
                <w:color w:val="000000"/>
                <w:kern w:val="0"/>
                <w:sz w:val="20"/>
                <w:szCs w:val="20"/>
                <w:highlight w:val="none"/>
                <w:lang w:val="en-US" w:eastAsia="zh-CN"/>
              </w:rPr>
              <w:t>293.61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15</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02</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一般行政管理事务</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 xml:space="preserve">            220</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 xml:space="preserve">            220</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210</w:t>
            </w:r>
          </w:p>
        </w:tc>
        <w:tc>
          <w:tcPr>
            <w:tcW w:w="528"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15</w:t>
            </w:r>
          </w:p>
        </w:tc>
        <w:tc>
          <w:tcPr>
            <w:tcW w:w="47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val="en-US" w:eastAsia="zh-CN"/>
              </w:rPr>
              <w:t>99</w:t>
            </w:r>
          </w:p>
        </w:tc>
        <w:tc>
          <w:tcPr>
            <w:tcW w:w="2999"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sz w:val="20"/>
                <w:szCs w:val="20"/>
                <w:lang w:eastAsia="zh-CN"/>
              </w:rPr>
              <w:t>其他医疗保障管理事务支出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757.65</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757.65</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221</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住房保障支出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221</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02</w:t>
            </w: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住房改革支出</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221</w:t>
            </w:r>
          </w:p>
        </w:tc>
        <w:tc>
          <w:tcPr>
            <w:tcW w:w="52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02</w:t>
            </w:r>
          </w:p>
        </w:tc>
        <w:tc>
          <w:tcPr>
            <w:tcW w:w="47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val="en-US" w:eastAsia="zh-CN"/>
              </w:rPr>
              <w:t>01</w:t>
            </w:r>
          </w:p>
        </w:tc>
        <w:tc>
          <w:tcPr>
            <w:tcW w:w="2999"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b w:val="0"/>
                <w:bCs/>
                <w:color w:val="000000"/>
                <w:kern w:val="0"/>
                <w:sz w:val="20"/>
                <w:szCs w:val="20"/>
                <w:lang w:eastAsia="zh-CN"/>
              </w:rPr>
              <w:t>住房公积金</w:t>
            </w: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31.91</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340" w:hRule="atLeast"/>
        </w:trPr>
        <w:tc>
          <w:tcPr>
            <w:tcW w:w="594" w:type="dxa"/>
            <w:tcBorders>
              <w:top w:val="nil"/>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20"/>
                <w:szCs w:val="20"/>
              </w:rPr>
            </w:pPr>
          </w:p>
        </w:tc>
        <w:tc>
          <w:tcPr>
            <w:tcW w:w="528" w:type="dxa"/>
            <w:tcBorders>
              <w:top w:val="nil"/>
              <w:left w:val="nil"/>
              <w:bottom w:val="single" w:color="auto" w:sz="4" w:space="0"/>
              <w:right w:val="single" w:color="auto" w:sz="4" w:space="0"/>
            </w:tcBorders>
            <w:vAlign w:val="center"/>
          </w:tcPr>
          <w:p>
            <w:pPr>
              <w:jc w:val="center"/>
              <w:rPr>
                <w:rFonts w:ascii="仿宋_GB2312" w:hAnsi="宋体" w:eastAsia="仿宋_GB2312" w:cs="宋体"/>
                <w:color w:val="000000"/>
                <w:sz w:val="20"/>
                <w:szCs w:val="20"/>
              </w:rPr>
            </w:pPr>
          </w:p>
        </w:tc>
        <w:tc>
          <w:tcPr>
            <w:tcW w:w="477" w:type="dxa"/>
            <w:tcBorders>
              <w:top w:val="nil"/>
              <w:left w:val="nil"/>
              <w:bottom w:val="single" w:color="auto" w:sz="4" w:space="0"/>
              <w:right w:val="single" w:color="auto" w:sz="4" w:space="0"/>
            </w:tcBorders>
            <w:vAlign w:val="center"/>
          </w:tcPr>
          <w:p>
            <w:pPr>
              <w:jc w:val="center"/>
              <w:rPr>
                <w:rFonts w:ascii="仿宋_GB2312" w:hAnsi="宋体" w:eastAsia="仿宋_GB2312" w:cs="宋体"/>
                <w:color w:val="000000"/>
                <w:sz w:val="20"/>
                <w:szCs w:val="20"/>
              </w:rPr>
            </w:pPr>
          </w:p>
        </w:tc>
        <w:tc>
          <w:tcPr>
            <w:tcW w:w="2999" w:type="dxa"/>
            <w:tcBorders>
              <w:top w:val="nil"/>
              <w:left w:val="nil"/>
              <w:bottom w:val="single" w:color="auto" w:sz="4" w:space="0"/>
              <w:right w:val="single" w:color="auto" w:sz="4" w:space="0"/>
            </w:tcBorders>
            <w:vAlign w:val="center"/>
          </w:tcPr>
          <w:p>
            <w:pPr>
              <w:jc w:val="center"/>
              <w:rPr>
                <w:rFonts w:ascii="仿宋_GB2312" w:hAnsi="宋体" w:eastAsia="仿宋_GB2312" w:cs="宋体"/>
                <w:color w:val="000000"/>
                <w:sz w:val="20"/>
                <w:szCs w:val="20"/>
              </w:rPr>
            </w:pPr>
          </w:p>
        </w:tc>
        <w:tc>
          <w:tcPr>
            <w:tcW w:w="114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color w:val="000000"/>
                <w:kern w:val="0"/>
                <w:sz w:val="20"/>
                <w:szCs w:val="20"/>
                <w:lang w:val="en-US" w:eastAsia="zh-CN"/>
              </w:rPr>
            </w:pP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465" w:hRule="atLeast"/>
        </w:trPr>
        <w:tc>
          <w:tcPr>
            <w:tcW w:w="594" w:type="dxa"/>
            <w:tcBorders>
              <w:top w:val="nil"/>
              <w:left w:val="single" w:color="auto" w:sz="4" w:space="0"/>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52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477"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2999" w:type="dxa"/>
            <w:tcBorders>
              <w:top w:val="nil"/>
              <w:left w:val="nil"/>
              <w:bottom w:val="single" w:color="auto" w:sz="4" w:space="0"/>
              <w:right w:val="single" w:color="auto" w:sz="4" w:space="0"/>
            </w:tcBorders>
            <w:vAlign w:val="center"/>
          </w:tcPr>
          <w:p>
            <w:pPr>
              <w:jc w:val="center"/>
              <w:rPr>
                <w:rFonts w:ascii="仿宋_GB2312" w:hAnsi="宋体" w:eastAsia="仿宋_GB2312" w:cs="宋体"/>
                <w:color w:val="000000"/>
                <w:sz w:val="20"/>
                <w:szCs w:val="20"/>
              </w:rPr>
            </w:pPr>
            <w:r>
              <w:rPr>
                <w:rFonts w:hint="eastAsia" w:ascii="仿宋_GB2312" w:eastAsia="仿宋_GB2312"/>
                <w:b/>
                <w:bCs/>
                <w:color w:val="000000"/>
                <w:sz w:val="20"/>
                <w:szCs w:val="20"/>
              </w:rPr>
              <w:t>合  计</w:t>
            </w:r>
            <w:r>
              <w:rPr>
                <w:rFonts w:hint="eastAsia" w:ascii="仿宋_GB2312" w:eastAsia="仿宋_GB2312"/>
                <w:color w:val="000000"/>
                <w:sz w:val="20"/>
                <w:szCs w:val="20"/>
              </w:rPr>
              <w:t>　</w:t>
            </w:r>
          </w:p>
        </w:tc>
        <w:tc>
          <w:tcPr>
            <w:tcW w:w="1140"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1365.79</w:t>
            </w:r>
          </w:p>
        </w:tc>
        <w:tc>
          <w:tcPr>
            <w:tcW w:w="1155"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1365.79</w:t>
            </w:r>
          </w:p>
        </w:tc>
        <w:tc>
          <w:tcPr>
            <w:tcW w:w="49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58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65"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45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r>
    </w:tbl>
    <w:p>
      <w:pPr>
        <w:widowControl/>
        <w:spacing w:line="280" w:lineRule="exact"/>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spacing w:line="280" w:lineRule="exact"/>
        <w:outlineLvl w:val="1"/>
        <w:rPr>
          <w:rFonts w:hint="eastAsia" w:ascii="仿宋_GB2312" w:hAnsi="宋体" w:eastAsia="仿宋_GB2312"/>
          <w:b/>
          <w:kern w:val="0"/>
          <w:sz w:val="28"/>
          <w:szCs w:val="32"/>
        </w:rPr>
      </w:pPr>
    </w:p>
    <w:p>
      <w:pPr>
        <w:widowControl/>
        <w:spacing w:line="240" w:lineRule="auto"/>
        <w:outlineLvl w:val="1"/>
        <w:rPr>
          <w:rFonts w:hint="eastAsia" w:ascii="方正小标宋_GBK" w:hAnsi="方正小标宋_GBK" w:eastAsia="方正小标宋_GBK" w:cs="方正小标宋_GBK"/>
          <w:bCs/>
          <w:kern w:val="0"/>
          <w:sz w:val="36"/>
          <w:szCs w:val="36"/>
        </w:rPr>
      </w:pPr>
      <w:r>
        <w:rPr>
          <w:rFonts w:hint="eastAsia"/>
        </w:rPr>
        <w:t>表3</w:t>
      </w:r>
    </w:p>
    <w:p>
      <w:pPr>
        <w:widowControl/>
        <w:spacing w:line="240" w:lineRule="auto"/>
        <w:jc w:val="center"/>
        <w:outlineLvl w:val="1"/>
        <w:rPr>
          <w:rFonts w:ascii="仿宋_GB2312" w:hAnsi="宋体" w:eastAsia="仿宋_GB2312"/>
          <w:b/>
          <w:kern w:val="0"/>
          <w:sz w:val="32"/>
          <w:szCs w:val="32"/>
        </w:rPr>
      </w:pPr>
      <w:r>
        <w:rPr>
          <w:rFonts w:hint="eastAsia" w:ascii="方正小标宋_GBK" w:hAnsi="方正小标宋_GBK" w:eastAsia="方正小标宋_GBK" w:cs="方正小标宋_GBK"/>
          <w:bCs/>
          <w:kern w:val="0"/>
          <w:sz w:val="36"/>
          <w:szCs w:val="36"/>
        </w:rPr>
        <w:t>部门（单位）支出总体情况表</w:t>
      </w:r>
    </w:p>
    <w:p>
      <w:pPr>
        <w:widowControl/>
        <w:spacing w:line="280" w:lineRule="exact"/>
        <w:jc w:val="left"/>
        <w:outlineLvl w:val="1"/>
        <w:rPr>
          <w:rFonts w:ascii="仿宋_GB2312" w:hAnsi="宋体" w:eastAsia="仿宋_GB2312"/>
          <w:kern w:val="0"/>
          <w:sz w:val="24"/>
        </w:rPr>
      </w:pPr>
      <w:r>
        <w:rPr>
          <w:rFonts w:hint="eastAsia" w:ascii="仿宋_GB2312" w:hAnsi="宋体" w:eastAsia="仿宋_GB2312"/>
          <w:kern w:val="0"/>
          <w:sz w:val="24"/>
        </w:rPr>
        <w:t xml:space="preserve">编制部门（单位）：  </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单位：万元</w:t>
      </w:r>
    </w:p>
    <w:tbl>
      <w:tblPr>
        <w:tblStyle w:val="6"/>
        <w:tblW w:w="9496" w:type="dxa"/>
        <w:tblInd w:w="-238" w:type="dxa"/>
        <w:tblLayout w:type="fixed"/>
        <w:tblCellMar>
          <w:top w:w="0" w:type="dxa"/>
          <w:left w:w="108" w:type="dxa"/>
          <w:bottom w:w="0" w:type="dxa"/>
          <w:right w:w="108" w:type="dxa"/>
        </w:tblCellMar>
      </w:tblPr>
      <w:tblGrid>
        <w:gridCol w:w="561"/>
        <w:gridCol w:w="480"/>
        <w:gridCol w:w="528"/>
        <w:gridCol w:w="3797"/>
        <w:gridCol w:w="1405"/>
        <w:gridCol w:w="1395"/>
        <w:gridCol w:w="1330"/>
      </w:tblGrid>
      <w:tr>
        <w:tblPrEx>
          <w:tblCellMar>
            <w:top w:w="0" w:type="dxa"/>
            <w:left w:w="108" w:type="dxa"/>
            <w:bottom w:w="0" w:type="dxa"/>
            <w:right w:w="108" w:type="dxa"/>
          </w:tblCellMar>
        </w:tblPrEx>
        <w:trPr>
          <w:trHeight w:val="420" w:hRule="atLeast"/>
        </w:trPr>
        <w:tc>
          <w:tcPr>
            <w:tcW w:w="5366"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项    目</w:t>
            </w:r>
          </w:p>
        </w:tc>
        <w:tc>
          <w:tcPr>
            <w:tcW w:w="4130"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支出预算</w:t>
            </w:r>
          </w:p>
        </w:tc>
      </w:tr>
      <w:tr>
        <w:tblPrEx>
          <w:tblCellMar>
            <w:top w:w="0" w:type="dxa"/>
            <w:left w:w="108" w:type="dxa"/>
            <w:bottom w:w="0" w:type="dxa"/>
            <w:right w:w="108" w:type="dxa"/>
          </w:tblCellMar>
        </w:tblPrEx>
        <w:trPr>
          <w:trHeight w:val="420" w:hRule="atLeast"/>
        </w:trPr>
        <w:tc>
          <w:tcPr>
            <w:tcW w:w="1569"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功能分类科目编码</w:t>
            </w:r>
          </w:p>
        </w:tc>
        <w:tc>
          <w:tcPr>
            <w:tcW w:w="379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功能分类科目名称</w:t>
            </w:r>
          </w:p>
        </w:tc>
        <w:tc>
          <w:tcPr>
            <w:tcW w:w="140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合  计</w:t>
            </w:r>
          </w:p>
        </w:tc>
        <w:tc>
          <w:tcPr>
            <w:tcW w:w="139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基本支出</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20"/>
                <w:szCs w:val="20"/>
              </w:rPr>
            </w:pPr>
            <w:r>
              <w:rPr>
                <w:rFonts w:hint="eastAsia" w:ascii="宋体" w:hAnsi="宋体" w:cs="宋体"/>
                <w:b/>
                <w:bCs/>
                <w:color w:val="000000"/>
                <w:kern w:val="0"/>
                <w:sz w:val="20"/>
                <w:szCs w:val="20"/>
              </w:rPr>
              <w:t>项目支出</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16"/>
                <w:szCs w:val="16"/>
              </w:rPr>
            </w:pPr>
            <w:r>
              <w:rPr>
                <w:rFonts w:hint="eastAsia" w:ascii="宋体" w:hAnsi="宋体" w:cs="宋体"/>
                <w:b/>
                <w:bCs/>
                <w:color w:val="000000"/>
                <w:kern w:val="0"/>
                <w:sz w:val="16"/>
                <w:szCs w:val="16"/>
              </w:rPr>
              <w:t>类</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16"/>
                <w:szCs w:val="16"/>
              </w:rPr>
            </w:pPr>
            <w:r>
              <w:rPr>
                <w:rFonts w:hint="eastAsia" w:ascii="宋体" w:hAnsi="宋体" w:cs="宋体"/>
                <w:b/>
                <w:bCs/>
                <w:color w:val="000000"/>
                <w:kern w:val="0"/>
                <w:sz w:val="16"/>
                <w:szCs w:val="16"/>
              </w:rPr>
              <w:t>款</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b/>
                <w:bCs/>
                <w:color w:val="000000"/>
                <w:kern w:val="0"/>
                <w:sz w:val="16"/>
                <w:szCs w:val="16"/>
              </w:rPr>
            </w:pPr>
            <w:r>
              <w:rPr>
                <w:rFonts w:hint="eastAsia" w:ascii="宋体" w:hAnsi="宋体" w:cs="宋体"/>
                <w:b/>
                <w:bCs/>
                <w:color w:val="000000"/>
                <w:kern w:val="0"/>
                <w:sz w:val="16"/>
                <w:szCs w:val="16"/>
              </w:rPr>
              <w:t>项</w:t>
            </w:r>
          </w:p>
        </w:tc>
        <w:tc>
          <w:tcPr>
            <w:tcW w:w="379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b/>
                <w:bCs/>
                <w:color w:val="000000"/>
                <w:kern w:val="0"/>
                <w:sz w:val="20"/>
                <w:szCs w:val="20"/>
              </w:rPr>
            </w:pPr>
          </w:p>
        </w:tc>
        <w:tc>
          <w:tcPr>
            <w:tcW w:w="140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b/>
                <w:bCs/>
                <w:color w:val="000000"/>
                <w:kern w:val="0"/>
                <w:sz w:val="20"/>
                <w:szCs w:val="20"/>
              </w:rPr>
            </w:pPr>
          </w:p>
        </w:tc>
        <w:tc>
          <w:tcPr>
            <w:tcW w:w="139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b/>
                <w:bCs/>
                <w:color w:val="000000"/>
                <w:kern w:val="0"/>
                <w:sz w:val="20"/>
                <w:szCs w:val="20"/>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b/>
                <w:bCs/>
                <w:color w:val="000000"/>
                <w:kern w:val="0"/>
                <w:sz w:val="20"/>
                <w:szCs w:val="20"/>
              </w:rPr>
            </w:pP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208</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社会保障和就业支出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208</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行政事业单位养老支出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208</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05</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机关事业单位基本养老保险缴费支出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35.06</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卫生健康支出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1298.81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321.16</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977.65</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11</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行政事业单位医疗</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27.55</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27.55</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11</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01</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行政单位医疗</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8.01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8.01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11</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02</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事业单位医疗</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12.81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12.81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11</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03</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公务员医疗补助</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6.57</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6.57</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11</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99</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其他行政事业单位医疗支出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0.16</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0.16</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15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医疗保障管理事务</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1271.26</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293.61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977.65</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01</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行政运行</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293.61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293.61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02</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一般行政管理事务</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 xml:space="preserve"> 220</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 xml:space="preserve">              0</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220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210</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15</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sz w:val="20"/>
                <w:szCs w:val="20"/>
                <w:lang w:val="en-US" w:eastAsia="zh-CN"/>
              </w:rPr>
              <w:t>99</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其他医疗保障管理事务支出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757.65</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 xml:space="preserve"> 0</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757.65</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221</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住房保障支出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221</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02</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住房改革支出</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221</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02</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r>
              <w:rPr>
                <w:rFonts w:hint="eastAsia" w:ascii="宋体" w:hAnsi="宋体" w:eastAsia="宋体" w:cs="宋体"/>
                <w:b w:val="0"/>
                <w:bCs/>
                <w:color w:val="000000"/>
                <w:kern w:val="0"/>
                <w:sz w:val="20"/>
                <w:szCs w:val="20"/>
                <w:lang w:val="en-US" w:eastAsia="zh-CN"/>
              </w:rPr>
              <w:t>01</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住房公积金</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31.91</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0</w:t>
            </w: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sz w:val="20"/>
                <w:szCs w:val="20"/>
              </w:rPr>
            </w:pP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sz w:val="20"/>
                <w:szCs w:val="20"/>
              </w:rPr>
            </w:pP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sz w:val="20"/>
                <w:szCs w:val="20"/>
              </w:rPr>
            </w:pP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p>
        </w:tc>
      </w:tr>
      <w:tr>
        <w:tblPrEx>
          <w:tblCellMar>
            <w:top w:w="0" w:type="dxa"/>
            <w:left w:w="108" w:type="dxa"/>
            <w:bottom w:w="0" w:type="dxa"/>
            <w:right w:w="108" w:type="dxa"/>
          </w:tblCellMar>
        </w:tblPrEx>
        <w:trPr>
          <w:trHeight w:val="420" w:hRule="atLeast"/>
        </w:trPr>
        <w:tc>
          <w:tcPr>
            <w:tcW w:w="56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color w:val="000000"/>
                <w:kern w:val="0"/>
                <w:sz w:val="20"/>
                <w:szCs w:val="20"/>
              </w:rPr>
            </w:pPr>
            <w:r>
              <w:rPr>
                <w:rFonts w:hint="eastAsia" w:ascii="宋体" w:hAnsi="宋体" w:cs="宋体"/>
                <w:color w:val="000000"/>
                <w:kern w:val="0"/>
                <w:sz w:val="20"/>
                <w:szCs w:val="20"/>
              </w:rPr>
              <w:t>　</w:t>
            </w:r>
          </w:p>
        </w:tc>
        <w:tc>
          <w:tcPr>
            <w:tcW w:w="4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color w:val="000000"/>
                <w:kern w:val="0"/>
                <w:sz w:val="20"/>
                <w:szCs w:val="20"/>
              </w:rPr>
            </w:pPr>
            <w:r>
              <w:rPr>
                <w:rFonts w:hint="eastAsia" w:ascii="宋体" w:hAnsi="宋体" w:cs="宋体"/>
                <w:color w:val="000000"/>
                <w:kern w:val="0"/>
                <w:sz w:val="20"/>
                <w:szCs w:val="20"/>
              </w:rPr>
              <w:t>　</w:t>
            </w:r>
          </w:p>
        </w:tc>
        <w:tc>
          <w:tcPr>
            <w:tcW w:w="5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宋体" w:hAnsi="宋体" w:cs="宋体"/>
                <w:color w:val="000000"/>
                <w:kern w:val="0"/>
                <w:sz w:val="20"/>
                <w:szCs w:val="20"/>
              </w:rPr>
            </w:pPr>
            <w:r>
              <w:rPr>
                <w:rFonts w:hint="eastAsia" w:ascii="宋体" w:hAnsi="宋体" w:cs="宋体"/>
                <w:color w:val="000000"/>
                <w:kern w:val="0"/>
                <w:sz w:val="20"/>
                <w:szCs w:val="20"/>
              </w:rPr>
              <w:t>　</w:t>
            </w:r>
          </w:p>
        </w:tc>
        <w:tc>
          <w:tcPr>
            <w:tcW w:w="37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合  计</w:t>
            </w:r>
          </w:p>
        </w:tc>
        <w:tc>
          <w:tcPr>
            <w:tcW w:w="14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default"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1365.79</w:t>
            </w:r>
          </w:p>
        </w:tc>
        <w:tc>
          <w:tcPr>
            <w:tcW w:w="139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388.14</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color w:val="000000"/>
                <w:kern w:val="0"/>
                <w:sz w:val="20"/>
                <w:szCs w:val="20"/>
                <w:lang w:val="en-US" w:eastAsia="zh-CN"/>
              </w:rPr>
            </w:pPr>
            <w:r>
              <w:rPr>
                <w:rFonts w:hint="eastAsia" w:ascii="宋体" w:hAnsi="宋体" w:eastAsia="宋体" w:cs="宋体"/>
                <w:b w:val="0"/>
                <w:bCs/>
                <w:color w:val="000000"/>
                <w:kern w:val="0"/>
                <w:sz w:val="20"/>
                <w:szCs w:val="20"/>
                <w:lang w:val="en-US" w:eastAsia="zh-CN"/>
              </w:rPr>
              <w:t>977.65</w:t>
            </w:r>
          </w:p>
        </w:tc>
      </w:tr>
    </w:tbl>
    <w:p>
      <w:pPr>
        <w:widowControl/>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表4</w:t>
      </w:r>
    </w:p>
    <w:p>
      <w:pPr>
        <w:widowControl/>
        <w:spacing w:before="120" w:beforeLines="50" w:line="28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财政拨款收支预算总体情况表</w:t>
      </w:r>
    </w:p>
    <w:p>
      <w:pPr>
        <w:widowControl/>
        <w:spacing w:before="120" w:beforeLines="50" w:line="280" w:lineRule="exact"/>
        <w:outlineLvl w:val="1"/>
        <w:rPr>
          <w:rFonts w:ascii="仿宋_GB2312" w:hAnsi="宋体" w:eastAsia="仿宋_GB2312"/>
          <w:kern w:val="0"/>
          <w:szCs w:val="21"/>
        </w:rPr>
      </w:pPr>
      <w:r>
        <w:rPr>
          <w:rFonts w:hint="eastAsia" w:ascii="仿宋_GB2312" w:hAnsi="宋体" w:eastAsia="仿宋_GB2312"/>
          <w:kern w:val="0"/>
          <w:szCs w:val="21"/>
        </w:rPr>
        <w:t>编制部门（单位）：</w:t>
      </w:r>
      <w:r>
        <w:rPr>
          <w:rFonts w:hint="eastAsia" w:ascii="仿宋_GB2312" w:hAnsi="宋体" w:eastAsia="仿宋_GB2312"/>
          <w:kern w:val="0"/>
          <w:sz w:val="24"/>
        </w:rPr>
        <w:t xml:space="preserve"> </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w:t>
      </w:r>
      <w:r>
        <w:rPr>
          <w:rFonts w:hint="eastAsia" w:ascii="仿宋_GB2312" w:hAnsi="宋体" w:eastAsia="仿宋_GB2312"/>
          <w:kern w:val="0"/>
          <w:szCs w:val="21"/>
        </w:rPr>
        <w:t xml:space="preserve">                                   单位：万元</w:t>
      </w:r>
    </w:p>
    <w:tbl>
      <w:tblPr>
        <w:tblStyle w:val="6"/>
        <w:tblW w:w="9449" w:type="dxa"/>
        <w:tblInd w:w="-240" w:type="dxa"/>
        <w:tblLayout w:type="fixed"/>
        <w:tblCellMar>
          <w:top w:w="0" w:type="dxa"/>
          <w:left w:w="108" w:type="dxa"/>
          <w:bottom w:w="0" w:type="dxa"/>
          <w:right w:w="108" w:type="dxa"/>
        </w:tblCellMar>
      </w:tblPr>
      <w:tblGrid>
        <w:gridCol w:w="1936"/>
        <w:gridCol w:w="1117"/>
        <w:gridCol w:w="2377"/>
        <w:gridCol w:w="900"/>
        <w:gridCol w:w="851"/>
        <w:gridCol w:w="1134"/>
        <w:gridCol w:w="1134"/>
      </w:tblGrid>
      <w:tr>
        <w:tblPrEx>
          <w:tblCellMar>
            <w:top w:w="0" w:type="dxa"/>
            <w:left w:w="108" w:type="dxa"/>
            <w:bottom w:w="0" w:type="dxa"/>
            <w:right w:w="108" w:type="dxa"/>
          </w:tblCellMar>
        </w:tblPrEx>
        <w:trPr>
          <w:trHeight w:val="285" w:hRule="atLeast"/>
        </w:trPr>
        <w:tc>
          <w:tcPr>
            <w:tcW w:w="3053" w:type="dxa"/>
            <w:gridSpan w:val="2"/>
            <w:tcBorders>
              <w:top w:val="single" w:color="auto" w:sz="4" w:space="0"/>
              <w:left w:val="single" w:color="auto" w:sz="4" w:space="0"/>
              <w:bottom w:val="single" w:color="auto" w:sz="4" w:space="0"/>
              <w:right w:val="single" w:color="000000" w:sz="4" w:space="0"/>
            </w:tcBorders>
            <w:vAlign w:val="center"/>
          </w:tcPr>
          <w:p>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财政拨款收入</w:t>
            </w:r>
          </w:p>
        </w:tc>
        <w:tc>
          <w:tcPr>
            <w:tcW w:w="6396" w:type="dxa"/>
            <w:gridSpan w:val="5"/>
            <w:tcBorders>
              <w:top w:val="single" w:color="auto" w:sz="4" w:space="0"/>
              <w:left w:val="nil"/>
              <w:bottom w:val="single" w:color="auto" w:sz="4" w:space="0"/>
              <w:right w:val="single" w:color="000000" w:sz="4" w:space="0"/>
            </w:tcBorders>
            <w:vAlign w:val="center"/>
          </w:tcPr>
          <w:p>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财政拨款支出</w:t>
            </w:r>
          </w:p>
        </w:tc>
      </w:tr>
      <w:tr>
        <w:tblPrEx>
          <w:tblCellMar>
            <w:top w:w="0" w:type="dxa"/>
            <w:left w:w="108" w:type="dxa"/>
            <w:bottom w:w="0" w:type="dxa"/>
            <w:right w:w="108" w:type="dxa"/>
          </w:tblCellMar>
        </w:tblPrEx>
        <w:trPr>
          <w:trHeight w:val="365" w:hRule="atLeast"/>
        </w:trPr>
        <w:tc>
          <w:tcPr>
            <w:tcW w:w="1936"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1117" w:type="dxa"/>
            <w:tcBorders>
              <w:top w:val="nil"/>
              <w:left w:val="nil"/>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  计</w:t>
            </w:r>
          </w:p>
        </w:tc>
        <w:tc>
          <w:tcPr>
            <w:tcW w:w="2377" w:type="dxa"/>
            <w:tcBorders>
              <w:top w:val="nil"/>
              <w:left w:val="nil"/>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  能  分  类</w:t>
            </w:r>
          </w:p>
        </w:tc>
        <w:tc>
          <w:tcPr>
            <w:tcW w:w="900" w:type="dxa"/>
            <w:tcBorders>
              <w:top w:val="nil"/>
              <w:left w:val="nil"/>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 计</w:t>
            </w:r>
          </w:p>
        </w:tc>
        <w:tc>
          <w:tcPr>
            <w:tcW w:w="851" w:type="dxa"/>
            <w:tcBorders>
              <w:top w:val="nil"/>
              <w:left w:val="nil"/>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一般公共预算</w:t>
            </w:r>
          </w:p>
        </w:tc>
        <w:tc>
          <w:tcPr>
            <w:tcW w:w="1134" w:type="dxa"/>
            <w:tcBorders>
              <w:top w:val="nil"/>
              <w:left w:val="nil"/>
              <w:bottom w:val="single" w:color="auto" w:sz="4" w:space="0"/>
              <w:right w:val="single" w:color="auto" w:sz="4" w:space="0"/>
            </w:tcBorders>
            <w:vAlign w:val="center"/>
          </w:tcPr>
          <w:p>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政府性基金预算</w:t>
            </w:r>
          </w:p>
        </w:tc>
        <w:tc>
          <w:tcPr>
            <w:tcW w:w="1134" w:type="dxa"/>
            <w:tcBorders>
              <w:top w:val="nil"/>
              <w:left w:val="nil"/>
              <w:bottom w:val="single" w:color="auto" w:sz="4" w:space="0"/>
              <w:right w:val="single" w:color="auto" w:sz="4" w:space="0"/>
            </w:tcBorders>
            <w:vAlign w:val="center"/>
          </w:tcPr>
          <w:p>
            <w:pPr>
              <w:spacing w:line="200" w:lineRule="exact"/>
              <w:rPr>
                <w:rFonts w:ascii="仿宋_GB2312" w:hAnsi="宋体" w:eastAsia="仿宋_GB2312" w:cs="宋体"/>
                <w:b/>
                <w:kern w:val="0"/>
                <w:sz w:val="20"/>
                <w:szCs w:val="20"/>
              </w:rPr>
            </w:pPr>
            <w:r>
              <w:rPr>
                <w:rFonts w:hint="eastAsia" w:ascii="仿宋_GB2312" w:hAnsi="宋体" w:eastAsia="仿宋_GB2312" w:cs="宋体"/>
                <w:b/>
                <w:kern w:val="0"/>
                <w:sz w:val="20"/>
                <w:szCs w:val="20"/>
              </w:rPr>
              <w:t>国有资本经营预算</w:t>
            </w: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1117"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b w:val="0"/>
                <w:bCs w:val="0"/>
                <w:color w:val="000000"/>
                <w:kern w:val="0"/>
                <w:sz w:val="20"/>
                <w:szCs w:val="20"/>
                <w:lang w:val="en-US" w:eastAsia="zh-CN"/>
              </w:rPr>
            </w:pPr>
            <w:r>
              <w:rPr>
                <w:rFonts w:hint="eastAsia" w:ascii="宋体" w:hAnsi="宋体" w:cs="宋体"/>
                <w:b w:val="0"/>
                <w:bCs w:val="0"/>
                <w:color w:val="000000"/>
                <w:kern w:val="0"/>
                <w:sz w:val="20"/>
                <w:szCs w:val="20"/>
                <w:lang w:val="en-US" w:eastAsia="zh-CN"/>
              </w:rPr>
              <w:t>1365.79</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一般公共预算</w:t>
            </w:r>
          </w:p>
        </w:tc>
        <w:tc>
          <w:tcPr>
            <w:tcW w:w="1117"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b w:val="0"/>
                <w:bCs w:val="0"/>
                <w:color w:val="000000"/>
                <w:kern w:val="0"/>
                <w:sz w:val="20"/>
                <w:szCs w:val="20"/>
                <w:lang w:val="en-US" w:eastAsia="zh-CN"/>
              </w:rPr>
            </w:pPr>
            <w:r>
              <w:rPr>
                <w:rFonts w:hint="eastAsia" w:ascii="宋体" w:hAnsi="宋体" w:cs="宋体"/>
                <w:b w:val="0"/>
                <w:bCs w:val="0"/>
                <w:color w:val="000000"/>
                <w:kern w:val="0"/>
                <w:sz w:val="20"/>
                <w:szCs w:val="20"/>
                <w:lang w:val="en-US" w:eastAsia="zh-CN"/>
              </w:rPr>
              <w:t>1365.79</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202 外交支出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政府性基金预算</w:t>
            </w:r>
          </w:p>
        </w:tc>
        <w:tc>
          <w:tcPr>
            <w:tcW w:w="1117"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国有资本经营预算</w:t>
            </w:r>
          </w:p>
        </w:tc>
        <w:tc>
          <w:tcPr>
            <w:tcW w:w="1117"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b/>
                <w:bCs/>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35.06</w:t>
            </w: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35.06</w:t>
            </w: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209 社会保险基金支出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1298.81</w:t>
            </w: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1298.81</w:t>
            </w: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211 节能环保支出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资源勘探信息等支出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31.91</w:t>
            </w: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31.91</w:t>
            </w: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20"/>
                <w:szCs w:val="20"/>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223 国有资本经营预算支出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227 预备费</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230转移性支出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234 抗疫特别国债还本支出</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7"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p>
        </w:tc>
        <w:tc>
          <w:tcPr>
            <w:tcW w:w="1117" w:type="dxa"/>
            <w:tcBorders>
              <w:top w:val="nil"/>
              <w:left w:val="nil"/>
              <w:bottom w:val="single" w:color="auto" w:sz="4" w:space="0"/>
              <w:right w:val="single" w:color="auto" w:sz="4" w:space="0"/>
            </w:tcBorders>
            <w:vAlign w:val="bottom"/>
          </w:tcPr>
          <w:p>
            <w:pPr>
              <w:widowControl/>
              <w:spacing w:line="280" w:lineRule="exact"/>
              <w:jc w:val="right"/>
              <w:rPr>
                <w:rFonts w:ascii="仿宋_GB2312" w:hAnsi="宋体" w:eastAsia="仿宋_GB2312" w:cs="宋体"/>
                <w:color w:val="000000"/>
                <w:kern w:val="0"/>
                <w:sz w:val="22"/>
                <w:szCs w:val="22"/>
              </w:rPr>
            </w:pP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18"/>
                <w:szCs w:val="18"/>
              </w:rPr>
            </w:pP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r>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收  入  总  计</w:t>
            </w:r>
          </w:p>
        </w:tc>
        <w:tc>
          <w:tcPr>
            <w:tcW w:w="1117"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0"/>
                <w:szCs w:val="20"/>
                <w:lang w:val="en-US" w:eastAsia="zh-CN"/>
              </w:rPr>
              <w:t>1365.79</w:t>
            </w:r>
            <w:r>
              <w:rPr>
                <w:rFonts w:hint="eastAsia" w:ascii="仿宋_GB2312" w:hAnsi="宋体" w:eastAsia="仿宋_GB2312" w:cs="宋体"/>
                <w:color w:val="000000"/>
                <w:kern w:val="0"/>
                <w:sz w:val="22"/>
                <w:szCs w:val="22"/>
              </w:rPr>
              <w:t>　</w:t>
            </w:r>
          </w:p>
        </w:tc>
        <w:tc>
          <w:tcPr>
            <w:tcW w:w="2377" w:type="dxa"/>
            <w:tcBorders>
              <w:top w:val="nil"/>
              <w:left w:val="nil"/>
              <w:bottom w:val="single" w:color="auto" w:sz="4" w:space="0"/>
              <w:right w:val="single" w:color="auto" w:sz="4" w:space="0"/>
            </w:tcBorders>
            <w:vAlign w:val="center"/>
          </w:tcPr>
          <w:p>
            <w:pPr>
              <w:widowControl/>
              <w:spacing w:line="28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支  出  总  计</w:t>
            </w:r>
          </w:p>
        </w:tc>
        <w:tc>
          <w:tcPr>
            <w:tcW w:w="900"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1365.79</w:t>
            </w:r>
          </w:p>
        </w:tc>
        <w:tc>
          <w:tcPr>
            <w:tcW w:w="851" w:type="dxa"/>
            <w:tcBorders>
              <w:top w:val="nil"/>
              <w:left w:val="nil"/>
              <w:bottom w:val="single" w:color="auto" w:sz="4" w:space="0"/>
              <w:right w:val="single" w:color="auto" w:sz="4" w:space="0"/>
            </w:tcBorders>
            <w:vAlign w:val="center"/>
          </w:tcPr>
          <w:p>
            <w:pPr>
              <w:widowControl/>
              <w:spacing w:line="280" w:lineRule="exact"/>
              <w:jc w:val="righ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1365.79</w:t>
            </w: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80" w:lineRule="exact"/>
              <w:jc w:val="right"/>
              <w:rPr>
                <w:rFonts w:ascii="宋体" w:hAnsi="宋体" w:cs="宋体"/>
                <w:kern w:val="0"/>
                <w:sz w:val="18"/>
                <w:szCs w:val="18"/>
              </w:rPr>
            </w:pPr>
          </w:p>
        </w:tc>
      </w:tr>
    </w:tbl>
    <w:p>
      <w:pPr>
        <w:widowControl/>
        <w:spacing w:line="32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r>
        <w:rPr>
          <w:rFonts w:ascii="仿宋_GB2312" w:hAnsi="宋体" w:eastAsia="仿宋_GB2312"/>
          <w:b/>
          <w:kern w:val="0"/>
          <w:sz w:val="28"/>
          <w:szCs w:val="32"/>
        </w:rPr>
        <w:t xml:space="preserve"> </w:t>
      </w:r>
    </w:p>
    <w:p>
      <w:pPr>
        <w:widowControl/>
        <w:jc w:val="left"/>
        <w:textAlignment w:val="bottom"/>
        <w:rPr>
          <w:rFonts w:hint="eastAsia" w:ascii="宋体" w:hAnsi="宋体" w:cs="宋体"/>
          <w:color w:val="000000"/>
          <w:kern w:val="0"/>
          <w:sz w:val="20"/>
          <w:szCs w:val="20"/>
          <w:lang w:bidi="ar"/>
        </w:rPr>
      </w:pPr>
    </w:p>
    <w:p>
      <w:pPr>
        <w:widowControl/>
        <w:jc w:val="left"/>
        <w:textAlignment w:val="bottom"/>
        <w:rPr>
          <w:rFonts w:hint="eastAsia" w:ascii="宋体" w:hAnsi="宋体" w:cs="宋体"/>
          <w:color w:val="000000"/>
          <w:kern w:val="0"/>
          <w:sz w:val="20"/>
          <w:szCs w:val="20"/>
          <w:lang w:bidi="ar"/>
        </w:rPr>
      </w:pPr>
    </w:p>
    <w:p>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表5</w:t>
      </w:r>
    </w:p>
    <w:tbl>
      <w:tblPr>
        <w:tblStyle w:val="6"/>
        <w:tblW w:w="10380" w:type="dxa"/>
        <w:tblInd w:w="-34" w:type="dxa"/>
        <w:tblLayout w:type="fixed"/>
        <w:tblCellMar>
          <w:top w:w="0" w:type="dxa"/>
          <w:left w:w="108" w:type="dxa"/>
          <w:bottom w:w="0" w:type="dxa"/>
          <w:right w:w="108" w:type="dxa"/>
        </w:tblCellMar>
      </w:tblPr>
      <w:tblGrid>
        <w:gridCol w:w="568"/>
        <w:gridCol w:w="492"/>
        <w:gridCol w:w="588"/>
        <w:gridCol w:w="3929"/>
        <w:gridCol w:w="236"/>
        <w:gridCol w:w="1039"/>
        <w:gridCol w:w="201"/>
        <w:gridCol w:w="984"/>
        <w:gridCol w:w="1177"/>
        <w:gridCol w:w="1166"/>
      </w:tblGrid>
      <w:tr>
        <w:tblPrEx>
          <w:tblCellMar>
            <w:top w:w="0" w:type="dxa"/>
            <w:left w:w="108" w:type="dxa"/>
            <w:bottom w:w="0" w:type="dxa"/>
            <w:right w:w="108" w:type="dxa"/>
          </w:tblCellMar>
        </w:tblPrEx>
        <w:trPr>
          <w:gridAfter w:val="1"/>
          <w:wAfter w:w="1166" w:type="dxa"/>
          <w:trHeight w:val="420" w:hRule="atLeast"/>
        </w:trPr>
        <w:tc>
          <w:tcPr>
            <w:tcW w:w="9214" w:type="dxa"/>
            <w:gridSpan w:val="9"/>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方正小标宋_GBK" w:hAnsi="方正小标宋_GBK" w:eastAsia="方正小标宋_GBK" w:cs="方正小标宋_GBK"/>
                <w:color w:val="000000"/>
                <w:kern w:val="0"/>
                <w:sz w:val="32"/>
                <w:szCs w:val="32"/>
              </w:rPr>
            </w:pPr>
            <w:r>
              <w:rPr>
                <w:rFonts w:hint="eastAsia" w:ascii="方正小标宋_GBK" w:hAnsi="方正小标宋_GBK" w:eastAsia="方正小标宋_GBK" w:cs="方正小标宋_GBK"/>
                <w:color w:val="000000"/>
                <w:kern w:val="0"/>
                <w:sz w:val="32"/>
                <w:szCs w:val="32"/>
              </w:rPr>
              <w:t>一般公共预算支出情况表</w:t>
            </w:r>
          </w:p>
        </w:tc>
      </w:tr>
      <w:tr>
        <w:tblPrEx>
          <w:tblCellMar>
            <w:top w:w="0" w:type="dxa"/>
            <w:left w:w="108" w:type="dxa"/>
            <w:bottom w:w="0" w:type="dxa"/>
            <w:right w:w="108" w:type="dxa"/>
          </w:tblCellMar>
        </w:tblPrEx>
        <w:trPr>
          <w:trHeight w:val="420" w:hRule="atLeast"/>
        </w:trPr>
        <w:tc>
          <w:tcPr>
            <w:tcW w:w="5577" w:type="dxa"/>
            <w:gridSpan w:val="4"/>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编制部门（单位）：</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w:t>
            </w:r>
          </w:p>
        </w:tc>
        <w:tc>
          <w:tcPr>
            <w:tcW w:w="236" w:type="dxa"/>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color w:val="000000"/>
                <w:kern w:val="0"/>
                <w:sz w:val="24"/>
              </w:rPr>
            </w:pPr>
          </w:p>
        </w:tc>
        <w:tc>
          <w:tcPr>
            <w:tcW w:w="1240"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3327" w:type="dxa"/>
            <w:gridSpan w:val="3"/>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ind w:firstLine="1680" w:firstLineChars="700"/>
              <w:jc w:val="both"/>
              <w:textAlignment w:val="auto"/>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单位：万元</w:t>
            </w:r>
          </w:p>
        </w:tc>
      </w:tr>
      <w:tr>
        <w:tblPrEx>
          <w:tblCellMar>
            <w:top w:w="0" w:type="dxa"/>
            <w:left w:w="108" w:type="dxa"/>
            <w:bottom w:w="0" w:type="dxa"/>
            <w:right w:w="108" w:type="dxa"/>
          </w:tblCellMar>
        </w:tblPrEx>
        <w:trPr>
          <w:gridAfter w:val="1"/>
          <w:wAfter w:w="1166" w:type="dxa"/>
          <w:trHeight w:val="420" w:hRule="atLeast"/>
        </w:trPr>
        <w:tc>
          <w:tcPr>
            <w:tcW w:w="5577" w:type="dxa"/>
            <w:gridSpan w:val="4"/>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项   目</w:t>
            </w:r>
          </w:p>
        </w:tc>
        <w:tc>
          <w:tcPr>
            <w:tcW w:w="3637" w:type="dxa"/>
            <w:gridSpan w:val="5"/>
            <w:tcBorders>
              <w:top w:val="single" w:color="auto"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一般公共预算支出</w:t>
            </w:r>
          </w:p>
        </w:tc>
      </w:tr>
      <w:tr>
        <w:tblPrEx>
          <w:tblCellMar>
            <w:top w:w="0" w:type="dxa"/>
            <w:left w:w="108" w:type="dxa"/>
            <w:bottom w:w="0" w:type="dxa"/>
            <w:right w:w="108" w:type="dxa"/>
          </w:tblCellMar>
        </w:tblPrEx>
        <w:trPr>
          <w:gridAfter w:val="1"/>
          <w:wAfter w:w="1166" w:type="dxa"/>
          <w:trHeight w:val="420" w:hRule="atLeast"/>
        </w:trPr>
        <w:tc>
          <w:tcPr>
            <w:tcW w:w="1648" w:type="dxa"/>
            <w:gridSpan w:val="3"/>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功能分类科目编码</w:t>
            </w:r>
          </w:p>
        </w:tc>
        <w:tc>
          <w:tcPr>
            <w:tcW w:w="3929" w:type="dxa"/>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功能分类科目名称</w:t>
            </w:r>
          </w:p>
        </w:tc>
        <w:tc>
          <w:tcPr>
            <w:tcW w:w="1275" w:type="dxa"/>
            <w:gridSpan w:val="2"/>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合  计</w:t>
            </w:r>
          </w:p>
        </w:tc>
        <w:tc>
          <w:tcPr>
            <w:tcW w:w="1185" w:type="dxa"/>
            <w:gridSpan w:val="2"/>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基本支出</w:t>
            </w:r>
          </w:p>
        </w:tc>
        <w:tc>
          <w:tcPr>
            <w:tcW w:w="1177" w:type="dxa"/>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项目支出</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w:t>
            </w:r>
          </w:p>
        </w:tc>
        <w:tc>
          <w:tcPr>
            <w:tcW w:w="3929"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p>
        </w:tc>
        <w:tc>
          <w:tcPr>
            <w:tcW w:w="1275" w:type="dxa"/>
            <w:gridSpan w:val="2"/>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p>
        </w:tc>
        <w:tc>
          <w:tcPr>
            <w:tcW w:w="1185" w:type="dxa"/>
            <w:gridSpan w:val="2"/>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p>
        </w:tc>
        <w:tc>
          <w:tcPr>
            <w:tcW w:w="1177"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ascii="仿宋_GB2312" w:hAnsi="宋体" w:eastAsia="仿宋_GB2312" w:cs="宋体"/>
                <w:b/>
                <w:bCs/>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208</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b/>
                <w:color w:val="000000"/>
                <w:kern w:val="0"/>
                <w:sz w:val="20"/>
                <w:szCs w:val="20"/>
                <w:lang w:eastAsia="zh-CN"/>
              </w:rPr>
            </w:pPr>
            <w:r>
              <w:rPr>
                <w:rFonts w:hint="eastAsia" w:ascii="仿宋_GB2312" w:hAnsi="仿宋_GB2312" w:eastAsia="仿宋_GB2312" w:cs="仿宋_GB2312"/>
                <w:b/>
                <w:color w:val="000000"/>
                <w:kern w:val="0"/>
                <w:sz w:val="20"/>
                <w:szCs w:val="20"/>
                <w:lang w:eastAsia="zh-CN"/>
              </w:rPr>
              <w:t>社会保障和就业支出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35.06</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35.06</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color w:val="000000"/>
                <w:kern w:val="0"/>
                <w:sz w:val="20"/>
                <w:szCs w:val="20"/>
                <w:lang w:val="en-US" w:eastAsia="zh-CN"/>
              </w:rPr>
            </w:pPr>
            <w:r>
              <w:rPr>
                <w:rFonts w:hint="eastAsia" w:ascii="仿宋_GB2312" w:hAnsi="仿宋_GB2312" w:eastAsia="仿宋_GB2312" w:cs="仿宋_GB2312"/>
                <w:b/>
                <w:bCs/>
                <w:color w:val="000000"/>
                <w:sz w:val="20"/>
                <w:szCs w:val="20"/>
                <w:lang w:val="en-US" w:eastAsia="zh-CN"/>
              </w:rPr>
              <w:t>208</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color w:val="000000"/>
                <w:kern w:val="0"/>
                <w:sz w:val="20"/>
                <w:szCs w:val="20"/>
                <w:lang w:val="en-US" w:eastAsia="zh-CN"/>
              </w:rPr>
            </w:pPr>
            <w:r>
              <w:rPr>
                <w:rFonts w:hint="eastAsia" w:ascii="仿宋_GB2312" w:hAnsi="仿宋_GB2312" w:eastAsia="仿宋_GB2312" w:cs="仿宋_GB2312"/>
                <w:b/>
                <w:bCs/>
                <w:color w:val="000000"/>
                <w:sz w:val="20"/>
                <w:szCs w:val="20"/>
                <w:lang w:val="en-US" w:eastAsia="zh-CN"/>
              </w:rPr>
              <w:t>05</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sz w:val="20"/>
                <w:szCs w:val="20"/>
                <w:lang w:eastAsia="zh-CN"/>
              </w:rPr>
              <w:t>行政事业单位养老支出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rPr>
            </w:pPr>
            <w:r>
              <w:rPr>
                <w:rFonts w:hint="eastAsia" w:ascii="宋体" w:hAnsi="宋体" w:eastAsia="宋体" w:cs="宋体"/>
                <w:b/>
                <w:bCs/>
                <w:color w:val="000000"/>
                <w:sz w:val="20"/>
                <w:szCs w:val="20"/>
                <w:lang w:val="en-US" w:eastAsia="zh-CN"/>
              </w:rPr>
              <w:t>35.06</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rPr>
            </w:pPr>
            <w:r>
              <w:rPr>
                <w:rFonts w:hint="eastAsia" w:ascii="宋体" w:hAnsi="宋体" w:eastAsia="宋体" w:cs="宋体"/>
                <w:b/>
                <w:bCs/>
                <w:color w:val="000000"/>
                <w:sz w:val="20"/>
                <w:szCs w:val="20"/>
                <w:lang w:val="en-US" w:eastAsia="zh-CN"/>
              </w:rPr>
              <w:t>35.06</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rPr>
            </w:pPr>
            <w:r>
              <w:rPr>
                <w:rFonts w:hint="eastAsia" w:ascii="宋体" w:hAnsi="宋体" w:eastAsia="宋体" w:cs="宋体"/>
                <w:b/>
                <w:bCs/>
                <w:color w:val="00000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208</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05</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05</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eastAsia="zh-CN"/>
              </w:rPr>
              <w:t>机关事业单位基本养老保险缴费支出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35.06</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35.06</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b/>
                <w:bCs/>
                <w:color w:val="000000"/>
                <w:kern w:val="0"/>
                <w:sz w:val="20"/>
                <w:szCs w:val="20"/>
                <w:lang w:eastAsia="zh-CN"/>
              </w:rPr>
              <w:t>卫生健康支出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b/>
                <w:bCs/>
                <w:color w:val="000000"/>
                <w:kern w:val="0"/>
                <w:sz w:val="20"/>
                <w:szCs w:val="20"/>
                <w:lang w:val="en-US" w:eastAsia="zh-CN"/>
              </w:rPr>
              <w:t>1298.81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b/>
                <w:bCs/>
                <w:color w:val="000000"/>
                <w:kern w:val="0"/>
                <w:sz w:val="20"/>
                <w:szCs w:val="20"/>
                <w:lang w:val="en-US" w:eastAsia="zh-CN"/>
              </w:rPr>
              <w:t>321.16</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977.65</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val="0"/>
                <w:color w:val="000000"/>
                <w:kern w:val="0"/>
                <w:sz w:val="20"/>
                <w:szCs w:val="20"/>
                <w:lang w:val="en-US" w:eastAsia="zh-CN"/>
              </w:rPr>
            </w:pPr>
            <w:r>
              <w:rPr>
                <w:rFonts w:hint="eastAsia" w:ascii="仿宋_GB2312" w:hAnsi="仿宋_GB2312" w:eastAsia="仿宋_GB2312" w:cs="仿宋_GB2312"/>
                <w:b/>
                <w:bCs w:val="0"/>
                <w:color w:val="000000"/>
                <w:kern w:val="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val="0"/>
                <w:color w:val="000000"/>
                <w:kern w:val="0"/>
                <w:sz w:val="20"/>
                <w:szCs w:val="20"/>
                <w:lang w:val="en-US" w:eastAsia="zh-CN"/>
              </w:rPr>
            </w:pPr>
            <w:r>
              <w:rPr>
                <w:rFonts w:hint="eastAsia" w:ascii="仿宋_GB2312" w:hAnsi="仿宋_GB2312" w:eastAsia="仿宋_GB2312" w:cs="仿宋_GB2312"/>
                <w:b/>
                <w:bCs w:val="0"/>
                <w:color w:val="000000"/>
                <w:kern w:val="0"/>
                <w:sz w:val="20"/>
                <w:szCs w:val="20"/>
                <w:lang w:val="en-US" w:eastAsia="zh-CN"/>
              </w:rPr>
              <w:t>11</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bCs w:val="0"/>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b/>
                <w:bCs w:val="0"/>
                <w:color w:val="000000"/>
                <w:kern w:val="0"/>
                <w:sz w:val="20"/>
                <w:szCs w:val="20"/>
                <w:lang w:eastAsia="zh-CN"/>
              </w:rPr>
            </w:pPr>
            <w:r>
              <w:rPr>
                <w:rFonts w:hint="eastAsia" w:ascii="仿宋_GB2312" w:hAnsi="仿宋_GB2312" w:eastAsia="仿宋_GB2312" w:cs="仿宋_GB2312"/>
                <w:b/>
                <w:bCs w:val="0"/>
                <w:color w:val="000000"/>
                <w:kern w:val="0"/>
                <w:sz w:val="20"/>
                <w:szCs w:val="20"/>
                <w:lang w:eastAsia="zh-CN"/>
              </w:rPr>
              <w:t>行政事业单位医疗</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val="0"/>
                <w:color w:val="000000"/>
                <w:kern w:val="0"/>
                <w:sz w:val="20"/>
                <w:szCs w:val="20"/>
                <w:lang w:val="en-US" w:eastAsia="zh-CN"/>
              </w:rPr>
            </w:pPr>
            <w:r>
              <w:rPr>
                <w:rFonts w:hint="eastAsia" w:ascii="宋体" w:hAnsi="宋体" w:eastAsia="宋体" w:cs="宋体"/>
                <w:b/>
                <w:bCs w:val="0"/>
                <w:color w:val="000000"/>
                <w:kern w:val="0"/>
                <w:sz w:val="20"/>
                <w:szCs w:val="20"/>
                <w:lang w:val="en-US" w:eastAsia="zh-CN"/>
              </w:rPr>
              <w:t>27.55</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val="0"/>
                <w:color w:val="000000"/>
                <w:kern w:val="0"/>
                <w:sz w:val="20"/>
                <w:szCs w:val="20"/>
                <w:lang w:val="en-US" w:eastAsia="zh-CN"/>
              </w:rPr>
            </w:pPr>
            <w:r>
              <w:rPr>
                <w:rFonts w:hint="eastAsia" w:ascii="宋体" w:hAnsi="宋体" w:eastAsia="宋体" w:cs="宋体"/>
                <w:b/>
                <w:bCs w:val="0"/>
                <w:color w:val="000000"/>
                <w:kern w:val="0"/>
                <w:sz w:val="20"/>
                <w:szCs w:val="20"/>
                <w:lang w:val="en-US" w:eastAsia="zh-CN"/>
              </w:rPr>
              <w:t>27.55</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val="0"/>
                <w:color w:val="000000"/>
                <w:kern w:val="0"/>
                <w:sz w:val="20"/>
                <w:szCs w:val="20"/>
                <w:lang w:val="en-US" w:eastAsia="zh-CN"/>
              </w:rPr>
            </w:pPr>
            <w:r>
              <w:rPr>
                <w:rFonts w:hint="eastAsia" w:ascii="宋体" w:hAnsi="宋体" w:eastAsia="宋体" w:cs="宋体"/>
                <w:b/>
                <w:bCs w:val="0"/>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11</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01</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eastAsia="zh-CN"/>
              </w:rPr>
              <w:t>行政单位医疗</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8.01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8.01</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11</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02</w:t>
            </w: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b w:val="0"/>
                <w:bCs w:val="0"/>
                <w:color w:val="000000"/>
                <w:kern w:val="0"/>
                <w:sz w:val="20"/>
                <w:szCs w:val="20"/>
                <w:lang w:eastAsia="zh-CN"/>
              </w:rPr>
              <w:t>事业单位医疗</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12.81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12.81</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11</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03</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eastAsia="zh-CN"/>
              </w:rPr>
              <w:t>公务员医疗补助</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6.57</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6.57</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11</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99</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eastAsia="zh-CN"/>
              </w:rPr>
              <w:t>其他行政事业单位医疗支出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0.16</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0.16</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15</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b/>
                <w:bCs/>
                <w:color w:val="000000"/>
                <w:kern w:val="0"/>
                <w:sz w:val="20"/>
                <w:szCs w:val="20"/>
                <w:lang w:eastAsia="zh-CN"/>
              </w:rPr>
              <w:t>医疗保障管理事务</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1271.26</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293.61</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977.65</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15</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01</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val="en-US" w:eastAsia="zh-CN"/>
              </w:rPr>
              <w:t>行政运行</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293.61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293.61</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15</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02</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val="en-US" w:eastAsia="zh-CN"/>
              </w:rPr>
              <w:t>一般行政管理事务</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 xml:space="preserve">          220</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 xml:space="preserve">              0</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220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210</w:t>
            </w:r>
          </w:p>
        </w:tc>
        <w:tc>
          <w:tcPr>
            <w:tcW w:w="492"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15</w:t>
            </w:r>
          </w:p>
        </w:tc>
        <w:tc>
          <w:tcPr>
            <w:tcW w:w="588"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r>
              <w:rPr>
                <w:rFonts w:hint="eastAsia" w:ascii="仿宋_GB2312" w:hAnsi="仿宋_GB2312" w:eastAsia="仿宋_GB2312" w:cs="仿宋_GB2312"/>
                <w:color w:val="000000"/>
                <w:sz w:val="20"/>
                <w:szCs w:val="20"/>
                <w:lang w:val="en-US" w:eastAsia="zh-CN"/>
              </w:rPr>
              <w:t>99</w:t>
            </w:r>
          </w:p>
        </w:tc>
        <w:tc>
          <w:tcPr>
            <w:tcW w:w="3929"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sz w:val="20"/>
                <w:szCs w:val="20"/>
                <w:lang w:eastAsia="zh-CN"/>
              </w:rPr>
              <w:t>其他医疗保障管理事务支出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757.65</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sz w:val="20"/>
                <w:szCs w:val="20"/>
                <w:lang w:val="en-US" w:eastAsia="zh-CN"/>
              </w:rPr>
              <w:t xml:space="preserve"> 0</w:t>
            </w:r>
          </w:p>
        </w:tc>
        <w:tc>
          <w:tcPr>
            <w:tcW w:w="1177"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rPr>
            </w:pPr>
            <w:r>
              <w:rPr>
                <w:rFonts w:hint="eastAsia" w:ascii="宋体" w:hAnsi="宋体" w:eastAsia="宋体" w:cs="宋体"/>
                <w:color w:val="000000"/>
                <w:sz w:val="20"/>
                <w:szCs w:val="20"/>
                <w:lang w:val="en-US" w:eastAsia="zh-CN"/>
              </w:rPr>
              <w:t>757.65</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221</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b/>
                <w:bCs/>
                <w:color w:val="000000"/>
                <w:kern w:val="0"/>
                <w:sz w:val="20"/>
                <w:szCs w:val="20"/>
                <w:lang w:eastAsia="zh-CN"/>
              </w:rPr>
              <w:t>住房保障支出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31.91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lang w:val="en-US" w:eastAsia="zh-CN"/>
              </w:rPr>
              <w:t>31.91</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221</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lang w:val="en-US" w:eastAsia="zh-CN"/>
              </w:rPr>
            </w:pPr>
            <w:r>
              <w:rPr>
                <w:rFonts w:hint="eastAsia" w:ascii="仿宋_GB2312" w:hAnsi="仿宋_GB2312" w:eastAsia="仿宋_GB2312" w:cs="仿宋_GB2312"/>
                <w:b/>
                <w:color w:val="000000"/>
                <w:kern w:val="0"/>
                <w:sz w:val="20"/>
                <w:szCs w:val="20"/>
                <w:lang w:val="en-US" w:eastAsia="zh-CN"/>
              </w:rPr>
              <w:t>02</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b/>
                <w:bCs/>
                <w:color w:val="000000"/>
                <w:kern w:val="0"/>
                <w:sz w:val="20"/>
                <w:szCs w:val="20"/>
                <w:lang w:eastAsia="zh-CN"/>
              </w:rPr>
            </w:pPr>
            <w:r>
              <w:rPr>
                <w:rFonts w:hint="eastAsia" w:ascii="仿宋_GB2312" w:hAnsi="仿宋_GB2312" w:eastAsia="仿宋_GB2312" w:cs="仿宋_GB2312"/>
                <w:b/>
                <w:bCs/>
                <w:color w:val="000000"/>
                <w:kern w:val="0"/>
                <w:sz w:val="20"/>
                <w:szCs w:val="20"/>
                <w:lang w:eastAsia="zh-CN"/>
              </w:rPr>
              <w:t>住房改革支出</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31.91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lang w:val="en-US" w:eastAsia="zh-CN"/>
              </w:rPr>
              <w:t>31.91</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221</w:t>
            </w: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02</w:t>
            </w: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color w:val="000000"/>
                <w:kern w:val="0"/>
                <w:sz w:val="20"/>
                <w:szCs w:val="20"/>
                <w:lang w:val="en-US" w:eastAsia="zh-CN"/>
              </w:rPr>
            </w:pPr>
            <w:r>
              <w:rPr>
                <w:rFonts w:hint="eastAsia" w:ascii="仿宋_GB2312" w:hAnsi="仿宋_GB2312" w:eastAsia="仿宋_GB2312" w:cs="仿宋_GB2312"/>
                <w:b w:val="0"/>
                <w:bCs/>
                <w:color w:val="000000"/>
                <w:kern w:val="0"/>
                <w:sz w:val="20"/>
                <w:szCs w:val="20"/>
                <w:lang w:val="en-US" w:eastAsia="zh-CN"/>
              </w:rPr>
              <w:t>01</w:t>
            </w: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住房公积金</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31.91</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31.91</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color w:val="000000"/>
                <w:kern w:val="0"/>
                <w:sz w:val="20"/>
                <w:szCs w:val="20"/>
              </w:rPr>
            </w:pP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color w:val="000000"/>
                <w:kern w:val="0"/>
                <w:sz w:val="20"/>
                <w:szCs w:val="20"/>
              </w:rPr>
            </w:pP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color w:val="000000"/>
                <w:kern w:val="0"/>
                <w:sz w:val="20"/>
                <w:szCs w:val="20"/>
              </w:rPr>
            </w:pP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color w:val="000000"/>
                <w:kern w:val="0"/>
                <w:sz w:val="20"/>
                <w:szCs w:val="20"/>
              </w:rPr>
            </w:pP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ascii="宋体" w:hAnsi="宋体" w:cs="宋体"/>
                <w:color w:val="000000"/>
                <w:kern w:val="0"/>
                <w:sz w:val="20"/>
                <w:szCs w:val="20"/>
              </w:rPr>
            </w:pP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ascii="宋体" w:hAnsi="宋体" w:cs="宋体"/>
                <w:color w:val="000000"/>
                <w:kern w:val="0"/>
                <w:sz w:val="20"/>
                <w:szCs w:val="20"/>
              </w:rPr>
            </w:pP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ascii="宋体" w:hAnsi="宋体" w:cs="宋体"/>
                <w:color w:val="000000"/>
                <w:kern w:val="0"/>
                <w:sz w:val="20"/>
                <w:szCs w:val="20"/>
              </w:rPr>
            </w:pPr>
          </w:p>
        </w:tc>
      </w:tr>
      <w:tr>
        <w:tblPrEx>
          <w:tblCellMar>
            <w:top w:w="0" w:type="dxa"/>
            <w:left w:w="108" w:type="dxa"/>
            <w:bottom w:w="0" w:type="dxa"/>
            <w:right w:w="108" w:type="dxa"/>
          </w:tblCellMar>
        </w:tblPrEx>
        <w:trPr>
          <w:gridAfter w:val="1"/>
          <w:wAfter w:w="1166" w:type="dxa"/>
          <w:trHeight w:val="420" w:hRule="atLeast"/>
        </w:trPr>
        <w:tc>
          <w:tcPr>
            <w:tcW w:w="568"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4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58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仿宋_GB2312" w:hAnsi="宋体" w:eastAsia="仿宋_GB2312" w:cs="宋体"/>
                <w:b/>
                <w:color w:val="000000"/>
                <w:kern w:val="0"/>
                <w:sz w:val="20"/>
                <w:szCs w:val="20"/>
              </w:rPr>
            </w:pPr>
          </w:p>
        </w:tc>
        <w:tc>
          <w:tcPr>
            <w:tcW w:w="392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ascii="宋体" w:hAnsi="宋体" w:cs="宋体"/>
                <w:color w:val="000000"/>
                <w:kern w:val="0"/>
                <w:sz w:val="20"/>
                <w:szCs w:val="20"/>
              </w:rPr>
            </w:pPr>
            <w:r>
              <w:rPr>
                <w:rFonts w:hint="eastAsia" w:ascii="宋体" w:hAnsi="宋体" w:cs="宋体"/>
                <w:b/>
                <w:bCs/>
                <w:color w:val="000000"/>
                <w:kern w:val="0"/>
                <w:sz w:val="20"/>
                <w:szCs w:val="20"/>
              </w:rPr>
              <w:t>合  计</w:t>
            </w:r>
          </w:p>
        </w:tc>
        <w:tc>
          <w:tcPr>
            <w:tcW w:w="127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default" w:ascii="宋体" w:hAnsi="宋体" w:eastAsia="宋体" w:cs="宋体"/>
                <w:b/>
                <w:bCs/>
                <w:color w:val="000000"/>
                <w:kern w:val="0"/>
                <w:sz w:val="20"/>
                <w:szCs w:val="20"/>
                <w:lang w:val="en-US" w:eastAsia="zh-CN"/>
              </w:rPr>
            </w:pPr>
            <w:r>
              <w:rPr>
                <w:rFonts w:hint="eastAsia" w:ascii="宋体" w:hAnsi="宋体" w:cs="宋体"/>
                <w:b/>
                <w:bCs/>
                <w:color w:val="000000"/>
                <w:kern w:val="0"/>
                <w:sz w:val="20"/>
                <w:szCs w:val="20"/>
                <w:lang w:val="en-US" w:eastAsia="zh-CN"/>
              </w:rPr>
              <w:t>1365.79</w:t>
            </w:r>
          </w:p>
        </w:tc>
        <w:tc>
          <w:tcPr>
            <w:tcW w:w="118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default" w:ascii="宋体" w:hAnsi="宋体" w:eastAsia="宋体" w:cs="宋体"/>
                <w:b/>
                <w:bCs/>
                <w:color w:val="000000"/>
                <w:kern w:val="0"/>
                <w:sz w:val="20"/>
                <w:szCs w:val="20"/>
                <w:lang w:val="en-US" w:eastAsia="zh-CN"/>
              </w:rPr>
            </w:pPr>
            <w:r>
              <w:rPr>
                <w:rFonts w:hint="eastAsia" w:ascii="宋体" w:hAnsi="宋体" w:cs="宋体"/>
                <w:b/>
                <w:bCs/>
                <w:color w:val="000000"/>
                <w:kern w:val="0"/>
                <w:sz w:val="20"/>
                <w:szCs w:val="20"/>
                <w:lang w:val="en-US" w:eastAsia="zh-CN"/>
              </w:rPr>
              <w:t>388.14</w:t>
            </w:r>
          </w:p>
        </w:tc>
        <w:tc>
          <w:tcPr>
            <w:tcW w:w="11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default" w:ascii="宋体" w:hAnsi="宋体" w:eastAsia="宋体" w:cs="宋体"/>
                <w:b/>
                <w:bCs/>
                <w:color w:val="000000"/>
                <w:kern w:val="0"/>
                <w:sz w:val="20"/>
                <w:szCs w:val="20"/>
                <w:lang w:val="en-US" w:eastAsia="zh-CN"/>
              </w:rPr>
            </w:pPr>
            <w:r>
              <w:rPr>
                <w:rFonts w:hint="eastAsia" w:ascii="宋体" w:hAnsi="宋体" w:cs="宋体"/>
                <w:b/>
                <w:bCs/>
                <w:color w:val="000000"/>
                <w:kern w:val="0"/>
                <w:sz w:val="20"/>
                <w:szCs w:val="20"/>
                <w:lang w:val="en-US" w:eastAsia="zh-CN"/>
              </w:rPr>
              <w:t>977.65</w:t>
            </w:r>
          </w:p>
        </w:tc>
      </w:tr>
    </w:tbl>
    <w:p>
      <w:pPr>
        <w:widowControl/>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outlineLvl w:val="1"/>
        <w:rPr>
          <w:rFonts w:ascii="仿宋_GB2312" w:hAnsi="宋体" w:eastAsia="仿宋_GB2312"/>
          <w:b/>
          <w:kern w:val="0"/>
          <w:sz w:val="28"/>
          <w:szCs w:val="32"/>
        </w:rPr>
      </w:pPr>
    </w:p>
    <w:p>
      <w:pPr>
        <w:widowControl/>
        <w:jc w:val="left"/>
        <w:textAlignment w:val="bottom"/>
        <w:rPr>
          <w:rFonts w:hint="eastAsia" w:ascii="宋体" w:hAnsi="宋体" w:cs="宋体"/>
          <w:color w:val="000000"/>
          <w:kern w:val="0"/>
          <w:sz w:val="20"/>
          <w:szCs w:val="20"/>
          <w:lang w:bidi="ar"/>
        </w:rPr>
      </w:pPr>
    </w:p>
    <w:p>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表6</w:t>
      </w:r>
    </w:p>
    <w:tbl>
      <w:tblPr>
        <w:tblStyle w:val="6"/>
        <w:tblW w:w="9899" w:type="dxa"/>
        <w:tblInd w:w="-147" w:type="dxa"/>
        <w:tblLayout w:type="fixed"/>
        <w:tblCellMar>
          <w:top w:w="0" w:type="dxa"/>
          <w:left w:w="108" w:type="dxa"/>
          <w:bottom w:w="0" w:type="dxa"/>
          <w:right w:w="108" w:type="dxa"/>
        </w:tblCellMar>
      </w:tblPr>
      <w:tblGrid>
        <w:gridCol w:w="757"/>
        <w:gridCol w:w="577"/>
        <w:gridCol w:w="4221"/>
        <w:gridCol w:w="236"/>
        <w:gridCol w:w="1009"/>
        <w:gridCol w:w="673"/>
        <w:gridCol w:w="662"/>
        <w:gridCol w:w="1193"/>
        <w:gridCol w:w="571"/>
      </w:tblGrid>
      <w:tr>
        <w:tblPrEx>
          <w:tblCellMar>
            <w:top w:w="0" w:type="dxa"/>
            <w:left w:w="108" w:type="dxa"/>
            <w:bottom w:w="0" w:type="dxa"/>
            <w:right w:w="108" w:type="dxa"/>
          </w:tblCellMar>
        </w:tblPrEx>
        <w:trPr>
          <w:gridAfter w:val="1"/>
          <w:wAfter w:w="571" w:type="dxa"/>
          <w:trHeight w:val="306" w:hRule="atLeast"/>
        </w:trPr>
        <w:tc>
          <w:tcPr>
            <w:tcW w:w="9328" w:type="dxa"/>
            <w:gridSpan w:val="8"/>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方正小标宋_GBK" w:hAnsi="方正小标宋_GBK" w:eastAsia="方正小标宋_GBK" w:cs="方正小标宋_GBK"/>
                <w:color w:val="000000"/>
                <w:kern w:val="0"/>
                <w:sz w:val="32"/>
                <w:szCs w:val="32"/>
              </w:rPr>
            </w:pPr>
            <w:r>
              <w:rPr>
                <w:rFonts w:hint="eastAsia" w:ascii="方正小标宋_GBK" w:hAnsi="方正小标宋_GBK" w:eastAsia="方正小标宋_GBK" w:cs="方正小标宋_GBK"/>
                <w:color w:val="000000"/>
                <w:kern w:val="0"/>
                <w:sz w:val="32"/>
                <w:szCs w:val="32"/>
              </w:rPr>
              <w:t>一般公共预算基本支出情况表</w:t>
            </w:r>
          </w:p>
        </w:tc>
      </w:tr>
      <w:tr>
        <w:tblPrEx>
          <w:tblCellMar>
            <w:top w:w="0" w:type="dxa"/>
            <w:left w:w="108" w:type="dxa"/>
            <w:bottom w:w="0" w:type="dxa"/>
            <w:right w:w="108" w:type="dxa"/>
          </w:tblCellMar>
        </w:tblPrEx>
        <w:trPr>
          <w:trHeight w:val="306" w:hRule="atLeast"/>
        </w:trPr>
        <w:tc>
          <w:tcPr>
            <w:tcW w:w="5555" w:type="dxa"/>
            <w:gridSpan w:val="3"/>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编制部门（单位）：</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w:t>
            </w:r>
          </w:p>
        </w:tc>
        <w:tc>
          <w:tcPr>
            <w:tcW w:w="236" w:type="dxa"/>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color w:val="000000"/>
                <w:kern w:val="0"/>
                <w:sz w:val="24"/>
              </w:rPr>
            </w:pPr>
          </w:p>
        </w:tc>
        <w:tc>
          <w:tcPr>
            <w:tcW w:w="1682"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2426" w:type="dxa"/>
            <w:gridSpan w:val="3"/>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ind w:firstLine="720" w:firstLineChars="300"/>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单位：万元</w:t>
            </w:r>
          </w:p>
        </w:tc>
      </w:tr>
      <w:tr>
        <w:tblPrEx>
          <w:tblCellMar>
            <w:top w:w="0" w:type="dxa"/>
            <w:left w:w="108" w:type="dxa"/>
            <w:bottom w:w="0" w:type="dxa"/>
            <w:right w:w="108" w:type="dxa"/>
          </w:tblCellMar>
        </w:tblPrEx>
        <w:trPr>
          <w:gridAfter w:val="1"/>
          <w:wAfter w:w="571" w:type="dxa"/>
          <w:trHeight w:val="306" w:hRule="atLeast"/>
        </w:trPr>
        <w:tc>
          <w:tcPr>
            <w:tcW w:w="5555" w:type="dxa"/>
            <w:gridSpan w:val="3"/>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项目</w:t>
            </w:r>
          </w:p>
        </w:tc>
        <w:tc>
          <w:tcPr>
            <w:tcW w:w="3773" w:type="dxa"/>
            <w:gridSpan w:val="5"/>
            <w:tcBorders>
              <w:top w:val="single" w:color="auto"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一般公共预算基本支出</w:t>
            </w:r>
          </w:p>
        </w:tc>
      </w:tr>
      <w:tr>
        <w:tblPrEx>
          <w:tblCellMar>
            <w:top w:w="0" w:type="dxa"/>
            <w:left w:w="108" w:type="dxa"/>
            <w:bottom w:w="0" w:type="dxa"/>
            <w:right w:w="108" w:type="dxa"/>
          </w:tblCellMar>
        </w:tblPrEx>
        <w:trPr>
          <w:gridAfter w:val="1"/>
          <w:wAfter w:w="571" w:type="dxa"/>
          <w:trHeight w:val="306" w:hRule="atLeast"/>
        </w:trPr>
        <w:tc>
          <w:tcPr>
            <w:tcW w:w="1334" w:type="dxa"/>
            <w:gridSpan w:val="2"/>
            <w:tcBorders>
              <w:top w:val="single" w:color="auto" w:sz="4" w:space="0"/>
              <w:left w:val="single" w:color="auto" w:sz="4" w:space="0"/>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经济分类科目编码</w:t>
            </w:r>
          </w:p>
        </w:tc>
        <w:tc>
          <w:tcPr>
            <w:tcW w:w="4221" w:type="dxa"/>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经济分类科目名称</w:t>
            </w:r>
          </w:p>
        </w:tc>
        <w:tc>
          <w:tcPr>
            <w:tcW w:w="1245" w:type="dxa"/>
            <w:gridSpan w:val="2"/>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合  计</w:t>
            </w:r>
          </w:p>
        </w:tc>
        <w:tc>
          <w:tcPr>
            <w:tcW w:w="1335" w:type="dxa"/>
            <w:gridSpan w:val="2"/>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人员经费</w:t>
            </w:r>
          </w:p>
        </w:tc>
        <w:tc>
          <w:tcPr>
            <w:tcW w:w="1193" w:type="dxa"/>
            <w:vMerge w:val="restart"/>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公用经费</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422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hAnsi="宋体" w:eastAsia="仿宋_GB2312" w:cs="宋体"/>
                <w:b/>
                <w:bCs/>
                <w:color w:val="000000"/>
                <w:kern w:val="0"/>
                <w:sz w:val="20"/>
                <w:szCs w:val="20"/>
              </w:rPr>
            </w:pPr>
          </w:p>
        </w:tc>
        <w:tc>
          <w:tcPr>
            <w:tcW w:w="1245" w:type="dxa"/>
            <w:gridSpan w:val="2"/>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宋体" w:hAnsi="宋体" w:cs="宋体"/>
                <w:b/>
                <w:bCs/>
                <w:color w:val="000000"/>
                <w:kern w:val="0"/>
                <w:sz w:val="20"/>
                <w:szCs w:val="20"/>
              </w:rPr>
            </w:pPr>
          </w:p>
        </w:tc>
        <w:tc>
          <w:tcPr>
            <w:tcW w:w="1335" w:type="dxa"/>
            <w:gridSpan w:val="2"/>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宋体" w:hAnsi="宋体" w:cs="宋体"/>
                <w:b/>
                <w:bCs/>
                <w:color w:val="000000"/>
                <w:kern w:val="0"/>
                <w:sz w:val="20"/>
                <w:szCs w:val="20"/>
              </w:rPr>
            </w:pPr>
          </w:p>
        </w:tc>
        <w:tc>
          <w:tcPr>
            <w:tcW w:w="119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ascii="宋体" w:hAnsi="宋体" w:cs="宋体"/>
                <w:b/>
                <w:bCs/>
                <w:color w:val="000000"/>
                <w:kern w:val="0"/>
                <w:sz w:val="20"/>
                <w:szCs w:val="20"/>
              </w:rPr>
            </w:pP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 xml:space="preserve">  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rPr>
            </w:pPr>
          </w:p>
        </w:tc>
        <w:tc>
          <w:tcPr>
            <w:tcW w:w="4221"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工资福利支出</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351.37</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351.37</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01</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基本工资</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102.72</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102.72</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02</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津贴补贴</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55.7</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55.7</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03</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奖金</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8.39</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 xml:space="preserve">      8.39</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07</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绩效工资</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54.93</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54.93</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08</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机关事业单位基本养老保险缴费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35.06</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35.06</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10</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城镇职工基本医疗保险缴费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20.82</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20.82</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11</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公务员医疗补助缴费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6.57</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6.57</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12</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其他社会保障缴费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0.71</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0.71</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13</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住房公积金</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31.91</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31.91</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 xml:space="preserve">  301</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 xml:space="preserve"> 99</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其他工资福利支出</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34.54</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34.54</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 xml:space="preserve">  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rPr>
            </w:pPr>
          </w:p>
        </w:tc>
        <w:tc>
          <w:tcPr>
            <w:tcW w:w="4221"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商品和服务支出</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36.77</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36.77</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01</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办公费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6.53</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6.53</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02</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印刷费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0.5</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0.5</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05</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水费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06</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电费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2.5</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2.5</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07</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邮电费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0.5</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0.5</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09</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物业管理费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11</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差旅费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0.98</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0.98</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13</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维修(护)费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1</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1</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16</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培训费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17</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公务招待费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0.4</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0.4</w:t>
            </w:r>
          </w:p>
        </w:tc>
      </w:tr>
      <w:tr>
        <w:tblPrEx>
          <w:tblCellMar>
            <w:top w:w="0" w:type="dxa"/>
            <w:left w:w="108" w:type="dxa"/>
            <w:bottom w:w="0" w:type="dxa"/>
            <w:right w:w="108" w:type="dxa"/>
          </w:tblCellMar>
        </w:tblPrEx>
        <w:trPr>
          <w:gridAfter w:val="1"/>
          <w:wAfter w:w="571" w:type="dxa"/>
          <w:trHeight w:val="306" w:hRule="atLeast"/>
        </w:trPr>
        <w:tc>
          <w:tcPr>
            <w:tcW w:w="757"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26</w:t>
            </w:r>
          </w:p>
        </w:tc>
        <w:tc>
          <w:tcPr>
            <w:tcW w:w="4221"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劳务费</w:t>
            </w:r>
          </w:p>
        </w:tc>
        <w:tc>
          <w:tcPr>
            <w:tcW w:w="124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c>
          <w:tcPr>
            <w:tcW w:w="1335" w:type="dxa"/>
            <w:gridSpan w:val="2"/>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28</w:t>
            </w: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工会经费</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4.13</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4.13</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29</w:t>
            </w: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福利费</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3.71</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3.71</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31</w:t>
            </w: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公务用车运行维护费</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4.5</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4.5</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302</w:t>
            </w: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39</w:t>
            </w: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其他交通费用</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302</w:t>
            </w: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99</w:t>
            </w: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lang w:val="en-US" w:eastAsia="zh-CN"/>
              </w:rPr>
              <w:t>其他商品和服务支出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lang w:val="en-US"/>
              </w:rPr>
            </w:pPr>
            <w:r>
              <w:rPr>
                <w:rFonts w:hint="eastAsia" w:ascii="宋体" w:hAnsi="宋体" w:eastAsia="宋体" w:cs="宋体"/>
                <w:color w:val="000000"/>
                <w:kern w:val="0"/>
                <w:sz w:val="20"/>
                <w:szCs w:val="20"/>
                <w:lang w:val="en-US" w:eastAsia="zh-CN"/>
              </w:rPr>
              <w:t>2.01</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2.01</w:t>
            </w:r>
          </w:p>
        </w:tc>
      </w:tr>
      <w:tr>
        <w:tblPrEx>
          <w:tblCellMar>
            <w:top w:w="0" w:type="dxa"/>
            <w:left w:w="108" w:type="dxa"/>
            <w:bottom w:w="0" w:type="dxa"/>
            <w:right w:w="108" w:type="dxa"/>
          </w:tblCellMar>
        </w:tblPrEx>
        <w:trPr>
          <w:gridAfter w:val="1"/>
          <w:wAfter w:w="571" w:type="dxa"/>
          <w:trHeight w:val="306" w:hRule="atLeast"/>
        </w:trPr>
        <w:tc>
          <w:tcPr>
            <w:tcW w:w="7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lang w:val="en-US" w:eastAsia="zh-CN"/>
              </w:rPr>
            </w:pPr>
          </w:p>
        </w:tc>
        <w:tc>
          <w:tcPr>
            <w:tcW w:w="5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仿宋_GB2312" w:hAnsi="仿宋_GB2312" w:eastAsia="仿宋_GB2312" w:cs="仿宋_GB2312"/>
                <w:color w:val="000000"/>
                <w:kern w:val="0"/>
                <w:sz w:val="20"/>
                <w:szCs w:val="20"/>
                <w:lang w:val="en-US" w:eastAsia="zh-CN"/>
              </w:rPr>
            </w:pPr>
          </w:p>
        </w:tc>
        <w:tc>
          <w:tcPr>
            <w:tcW w:w="42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eastAsia="zh-CN"/>
              </w:rPr>
              <w:t>合计</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lang w:val="en-US" w:eastAsia="zh-CN"/>
              </w:rPr>
              <w:t>388.14</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lang w:val="en-US" w:eastAsia="zh-CN"/>
              </w:rPr>
              <w:t>351.37</w:t>
            </w:r>
          </w:p>
        </w:tc>
        <w:tc>
          <w:tcPr>
            <w:tcW w:w="11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right"/>
              <w:rPr>
                <w:rFonts w:hint="eastAsia"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lang w:val="en-US" w:eastAsia="zh-CN"/>
              </w:rPr>
              <w:t>36.77</w:t>
            </w:r>
          </w:p>
        </w:tc>
      </w:tr>
    </w:tbl>
    <w:p>
      <w:pPr>
        <w:widowControl/>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keepNext w:val="0"/>
        <w:keepLines w:val="0"/>
        <w:pageBreakBefore w:val="0"/>
        <w:widowControl/>
        <w:kinsoku/>
        <w:wordWrap/>
        <w:overflowPunct/>
        <w:topLinePunct w:val="0"/>
        <w:autoSpaceDE/>
        <w:autoSpaceDN/>
        <w:bidi w:val="0"/>
        <w:adjustRightInd/>
        <w:snapToGrid/>
        <w:spacing w:line="240" w:lineRule="exact"/>
        <w:textAlignment w:val="auto"/>
        <w:outlineLvl w:val="1"/>
        <w:rPr>
          <w:rFonts w:ascii="宋体" w:hAnsi="宋体" w:cs="宋体"/>
          <w:color w:val="000000"/>
          <w:kern w:val="0"/>
          <w:sz w:val="24"/>
          <w:szCs w:val="24"/>
          <w:lang w:bidi="ar"/>
        </w:rPr>
      </w:pPr>
      <w:r>
        <w:rPr>
          <w:rFonts w:hint="eastAsia" w:ascii="宋体" w:hAnsi="宋体" w:cs="宋体"/>
          <w:color w:val="000000"/>
          <w:kern w:val="0"/>
          <w:sz w:val="20"/>
          <w:szCs w:val="20"/>
          <w:lang w:bidi="ar"/>
        </w:rPr>
        <w:t>表7</w:t>
      </w:r>
    </w:p>
    <w:tbl>
      <w:tblPr>
        <w:tblStyle w:val="6"/>
        <w:tblW w:w="9393" w:type="dxa"/>
        <w:tblInd w:w="-306" w:type="dxa"/>
        <w:tblLayout w:type="fixed"/>
        <w:tblCellMar>
          <w:top w:w="0" w:type="dxa"/>
          <w:left w:w="108" w:type="dxa"/>
          <w:bottom w:w="0" w:type="dxa"/>
          <w:right w:w="108" w:type="dxa"/>
        </w:tblCellMar>
      </w:tblPr>
      <w:tblGrid>
        <w:gridCol w:w="7"/>
        <w:gridCol w:w="531"/>
        <w:gridCol w:w="439"/>
        <w:gridCol w:w="471"/>
        <w:gridCol w:w="1461"/>
        <w:gridCol w:w="1425"/>
        <w:gridCol w:w="870"/>
        <w:gridCol w:w="345"/>
        <w:gridCol w:w="540"/>
        <w:gridCol w:w="854"/>
        <w:gridCol w:w="350"/>
        <w:gridCol w:w="350"/>
        <w:gridCol w:w="350"/>
        <w:gridCol w:w="350"/>
        <w:gridCol w:w="350"/>
        <w:gridCol w:w="350"/>
        <w:gridCol w:w="350"/>
      </w:tblGrid>
      <w:tr>
        <w:tblPrEx>
          <w:tblCellMar>
            <w:top w:w="0" w:type="dxa"/>
            <w:left w:w="108" w:type="dxa"/>
            <w:bottom w:w="0" w:type="dxa"/>
            <w:right w:w="108" w:type="dxa"/>
          </w:tblCellMar>
        </w:tblPrEx>
        <w:trPr>
          <w:gridBefore w:val="1"/>
          <w:gridAfter w:val="1"/>
          <w:wBefore w:w="7" w:type="dxa"/>
          <w:wAfter w:w="350" w:type="dxa"/>
          <w:trHeight w:val="781" w:hRule="atLeast"/>
        </w:trPr>
        <w:tc>
          <w:tcPr>
            <w:tcW w:w="9036" w:type="dxa"/>
            <w:gridSpan w:val="15"/>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小标宋_GBK" w:hAnsi="方正小标宋_GBK" w:eastAsia="方正小标宋_GBK" w:cs="方正小标宋_GBK"/>
                <w:color w:val="000000"/>
                <w:kern w:val="0"/>
                <w:sz w:val="24"/>
                <w:szCs w:val="24"/>
              </w:rPr>
            </w:pPr>
            <w:r>
              <w:rPr>
                <w:rFonts w:hint="eastAsia" w:ascii="方正小标宋_GBK" w:hAnsi="方正小标宋_GBK" w:eastAsia="方正小标宋_GBK" w:cs="方正小标宋_GBK"/>
                <w:color w:val="000000"/>
                <w:kern w:val="0"/>
                <w:sz w:val="24"/>
                <w:szCs w:val="24"/>
              </w:rPr>
              <w:t>一般公共预算项目支出情况表</w:t>
            </w:r>
          </w:p>
        </w:tc>
      </w:tr>
      <w:tr>
        <w:tblPrEx>
          <w:tblCellMar>
            <w:top w:w="0" w:type="dxa"/>
            <w:left w:w="108" w:type="dxa"/>
            <w:bottom w:w="0" w:type="dxa"/>
            <w:right w:w="108" w:type="dxa"/>
          </w:tblCellMar>
        </w:tblPrEx>
        <w:trPr>
          <w:gridBefore w:val="1"/>
          <w:gridAfter w:val="1"/>
          <w:wBefore w:w="7" w:type="dxa"/>
          <w:wAfter w:w="350" w:type="dxa"/>
          <w:trHeight w:val="498" w:hRule="atLeast"/>
        </w:trPr>
        <w:tc>
          <w:tcPr>
            <w:tcW w:w="5197" w:type="dxa"/>
            <w:gridSpan w:val="6"/>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宋体" w:eastAsia="仿宋_GB2312" w:cs="宋体"/>
                <w:color w:val="000000"/>
                <w:kern w:val="0"/>
                <w:sz w:val="20"/>
                <w:szCs w:val="20"/>
                <w:lang w:eastAsia="zh-CN"/>
              </w:rPr>
            </w:pPr>
            <w:r>
              <w:rPr>
                <w:rFonts w:hint="eastAsia" w:ascii="仿宋_GB2312" w:hAnsi="宋体" w:eastAsia="仿宋_GB2312" w:cs="宋体"/>
                <w:color w:val="000000"/>
                <w:kern w:val="0"/>
                <w:sz w:val="20"/>
                <w:szCs w:val="20"/>
              </w:rPr>
              <w:t>编制部门（单位）：</w:t>
            </w:r>
            <w:r>
              <w:rPr>
                <w:rFonts w:hint="eastAsia" w:ascii="仿宋_GB2312" w:hAnsi="宋体" w:eastAsia="仿宋_GB2312" w:cs="宋体"/>
                <w:color w:val="000000"/>
                <w:kern w:val="0"/>
                <w:sz w:val="20"/>
                <w:szCs w:val="20"/>
                <w:lang w:eastAsia="zh-CN"/>
              </w:rPr>
              <w:t>昌吉州医疗保障局</w:t>
            </w:r>
          </w:p>
        </w:tc>
        <w:tc>
          <w:tcPr>
            <w:tcW w:w="885"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color w:val="000000"/>
                <w:kern w:val="0"/>
                <w:sz w:val="20"/>
                <w:szCs w:val="20"/>
              </w:rPr>
            </w:pPr>
          </w:p>
        </w:tc>
        <w:tc>
          <w:tcPr>
            <w:tcW w:w="1204"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 xml:space="preserve">      </w:t>
            </w:r>
          </w:p>
        </w:tc>
        <w:tc>
          <w:tcPr>
            <w:tcW w:w="1750" w:type="dxa"/>
            <w:gridSpan w:val="5"/>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448" w:type="dxa"/>
            <w:gridSpan w:val="4"/>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科 目 编 码</w:t>
            </w:r>
          </w:p>
        </w:tc>
        <w:tc>
          <w:tcPr>
            <w:tcW w:w="146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科目</w:t>
            </w:r>
          </w:p>
        </w:tc>
        <w:tc>
          <w:tcPr>
            <w:tcW w:w="1425" w:type="dxa"/>
            <w:vMerge w:val="restart"/>
            <w:vAlign w:val="center"/>
          </w:tcPr>
          <w:p>
            <w:pPr>
              <w:keepNext w:val="0"/>
              <w:keepLines w:val="0"/>
              <w:pageBreakBefore w:val="0"/>
              <w:kinsoku/>
              <w:wordWrap/>
              <w:overflowPunct/>
              <w:topLinePunct w:val="0"/>
              <w:autoSpaceDE/>
              <w:autoSpaceDN/>
              <w:bidi w:val="0"/>
              <w:adjustRightInd/>
              <w:snapToGrid/>
              <w:spacing w:line="240" w:lineRule="atLeast"/>
              <w:jc w:val="center"/>
              <w:textAlignment w:val="auto"/>
              <w:rPr>
                <w:rFonts w:ascii="Calibri" w:hAnsi="Calibri"/>
                <w:sz w:val="20"/>
                <w:szCs w:val="20"/>
              </w:rPr>
            </w:pPr>
            <w:r>
              <w:rPr>
                <w:rFonts w:hint="eastAsia" w:ascii="仿宋_GB2312" w:hAnsi="宋体" w:eastAsia="仿宋_GB2312"/>
                <w:b/>
                <w:kern w:val="0"/>
                <w:sz w:val="20"/>
                <w:szCs w:val="20"/>
              </w:rPr>
              <w:t>项目名称</w:t>
            </w:r>
          </w:p>
        </w:tc>
        <w:tc>
          <w:tcPr>
            <w:tcW w:w="87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项目支出合计</w:t>
            </w:r>
          </w:p>
        </w:tc>
        <w:tc>
          <w:tcPr>
            <w:tcW w:w="34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工资福利支出</w:t>
            </w:r>
          </w:p>
        </w:tc>
        <w:tc>
          <w:tcPr>
            <w:tcW w:w="54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商品和服务支出</w:t>
            </w:r>
          </w:p>
        </w:tc>
        <w:tc>
          <w:tcPr>
            <w:tcW w:w="854"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对个人和家庭的补助</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债务利息及费用支出</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资本性支出（基本建设）</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资本性支出</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对企业补助（基本建设）</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对企业补助</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对社会保障基金补助</w:t>
            </w:r>
          </w:p>
        </w:tc>
        <w:tc>
          <w:tcPr>
            <w:tcW w:w="35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其他支出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538" w:type="dxa"/>
            <w:gridSpan w:val="2"/>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类</w:t>
            </w:r>
          </w:p>
        </w:tc>
        <w:tc>
          <w:tcPr>
            <w:tcW w:w="439"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款</w:t>
            </w:r>
          </w:p>
        </w:tc>
        <w:tc>
          <w:tcPr>
            <w:tcW w:w="47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r>
              <w:rPr>
                <w:rFonts w:hint="eastAsia" w:ascii="仿宋_GB2312" w:hAnsi="宋体" w:eastAsia="仿宋_GB2312"/>
                <w:b/>
                <w:kern w:val="0"/>
                <w:sz w:val="20"/>
                <w:szCs w:val="20"/>
              </w:rPr>
              <w:t>项</w:t>
            </w:r>
          </w:p>
        </w:tc>
        <w:tc>
          <w:tcPr>
            <w:tcW w:w="1461" w:type="dxa"/>
            <w:vMerge w:val="continue"/>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1425"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87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45"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54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854"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c>
          <w:tcPr>
            <w:tcW w:w="350" w:type="dxa"/>
            <w:vMerge w:val="continue"/>
            <w:tcBorders>
              <w:bottom w:val="single" w:color="auto" w:sz="4" w:space="0"/>
            </w:tcBorders>
          </w:tcPr>
          <w:p>
            <w:pPr>
              <w:keepNext w:val="0"/>
              <w:keepLines w:val="0"/>
              <w:pageBreakBefore w:val="0"/>
              <w:widowControl/>
              <w:kinsoku/>
              <w:wordWrap/>
              <w:overflowPunct/>
              <w:topLinePunct w:val="0"/>
              <w:autoSpaceDE/>
              <w:autoSpaceDN/>
              <w:bidi w:val="0"/>
              <w:adjustRightInd/>
              <w:snapToGrid/>
              <w:spacing w:line="240" w:lineRule="atLeast"/>
              <w:jc w:val="left"/>
              <w:textAlignment w:val="auto"/>
              <w:outlineLvl w:val="1"/>
              <w:rPr>
                <w:rFonts w:ascii="仿宋_GB2312" w:hAnsi="宋体" w:eastAsia="仿宋_GB2312"/>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eastAsia="zh-CN"/>
              </w:rPr>
              <w:t>卫生健康支出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eastAsia="zh-CN"/>
              </w:rPr>
              <w:t>医疗保障管理事务</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02</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一般行政管理事务</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医疗基金监管工作经费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120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120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0</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02</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一般行政管理事务</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医保局医保经办中心公共耗材及工作经费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100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100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99</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其他医疗保障管理事务支出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国务院特殊津贴专家保健医疗周转金</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7.65</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7.65</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99</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其他医疗保障管理事务支出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长期护理保险工作经费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0</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99</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其他医疗保障管理事务支出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国务院特殊津贴专家保健医疗费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40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40</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99</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其他医疗保障管理事务支出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eastAsia="zh-CN"/>
              </w:rPr>
              <w:t>离休人员医疗费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500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500</w:t>
            </w: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210</w:t>
            </w:r>
          </w:p>
        </w:tc>
        <w:tc>
          <w:tcPr>
            <w:tcW w:w="439"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15</w:t>
            </w:r>
          </w:p>
        </w:tc>
        <w:tc>
          <w:tcPr>
            <w:tcW w:w="47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r>
              <w:rPr>
                <w:rFonts w:hint="eastAsia" w:ascii="仿宋_GB2312" w:hAnsi="宋体" w:eastAsia="仿宋_GB2312"/>
                <w:kern w:val="0"/>
                <w:sz w:val="20"/>
                <w:szCs w:val="20"/>
                <w:lang w:val="en-US" w:eastAsia="zh-CN"/>
              </w:rPr>
              <w:t>99</w:t>
            </w:r>
          </w:p>
        </w:tc>
        <w:tc>
          <w:tcPr>
            <w:tcW w:w="1461"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其他医疗保障管理事务支出</w:t>
            </w: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地州级退休人员医疗补助经费</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200</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200</w:t>
            </w: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vAlign w:val="top"/>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439" w:type="dxa"/>
            <w:vAlign w:val="top"/>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471" w:type="dxa"/>
            <w:vAlign w:val="top"/>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1461" w:type="dxa"/>
            <w:vAlign w:val="top"/>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1425" w:type="dxa"/>
            <w:vAlign w:val="top"/>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87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45"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54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854"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vAlign w:val="top"/>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8" w:type="dxa"/>
            <w:gridSpan w:val="2"/>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439" w:type="dxa"/>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471" w:type="dxa"/>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val="en-US" w:eastAsia="zh-CN"/>
              </w:rPr>
            </w:pPr>
          </w:p>
        </w:tc>
        <w:tc>
          <w:tcPr>
            <w:tcW w:w="1461" w:type="dxa"/>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p>
        </w:tc>
        <w:tc>
          <w:tcPr>
            <w:tcW w:w="142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eastAsia" w:ascii="仿宋_GB2312" w:hAnsi="宋体" w:eastAsia="仿宋_GB2312"/>
                <w:kern w:val="0"/>
                <w:sz w:val="20"/>
                <w:szCs w:val="20"/>
                <w:lang w:eastAsia="zh-CN"/>
              </w:rPr>
            </w:pPr>
            <w:r>
              <w:rPr>
                <w:rFonts w:hint="eastAsia" w:ascii="仿宋_GB2312" w:hAnsi="宋体" w:eastAsia="仿宋_GB2312"/>
                <w:b/>
                <w:bCs/>
                <w:kern w:val="0"/>
                <w:sz w:val="20"/>
                <w:szCs w:val="20"/>
              </w:rPr>
              <w:t>合 计</w:t>
            </w:r>
          </w:p>
        </w:tc>
        <w:tc>
          <w:tcPr>
            <w:tcW w:w="87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977.65</w:t>
            </w:r>
          </w:p>
        </w:tc>
        <w:tc>
          <w:tcPr>
            <w:tcW w:w="345"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ascii="仿宋_GB2312" w:hAnsi="宋体" w:eastAsia="仿宋_GB2312"/>
                <w:kern w:val="0"/>
                <w:sz w:val="20"/>
                <w:szCs w:val="20"/>
              </w:rPr>
            </w:pPr>
            <w:r>
              <w:rPr>
                <w:rFonts w:hint="eastAsia" w:ascii="仿宋_GB2312" w:hAnsi="宋体" w:eastAsia="仿宋_GB2312"/>
                <w:kern w:val="0"/>
                <w:sz w:val="20"/>
                <w:szCs w:val="20"/>
                <w:lang w:val="en-US" w:eastAsia="zh-CN"/>
              </w:rPr>
              <w:t>0</w:t>
            </w:r>
          </w:p>
        </w:tc>
        <w:tc>
          <w:tcPr>
            <w:tcW w:w="540"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230</w:t>
            </w:r>
          </w:p>
        </w:tc>
        <w:tc>
          <w:tcPr>
            <w:tcW w:w="854" w:type="dxa"/>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outlineLvl w:val="1"/>
              <w:rPr>
                <w:rFonts w:hint="default" w:ascii="仿宋_GB2312" w:hAnsi="宋体" w:eastAsia="仿宋_GB2312"/>
                <w:kern w:val="0"/>
                <w:sz w:val="20"/>
                <w:szCs w:val="20"/>
                <w:lang w:val="en-US"/>
              </w:rPr>
            </w:pPr>
            <w:r>
              <w:rPr>
                <w:rFonts w:hint="eastAsia" w:ascii="仿宋_GB2312" w:hAnsi="宋体" w:eastAsia="仿宋_GB2312"/>
                <w:kern w:val="0"/>
                <w:sz w:val="20"/>
                <w:szCs w:val="20"/>
                <w:lang w:val="en-US" w:eastAsia="zh-CN"/>
              </w:rPr>
              <w:t>747.65</w:t>
            </w: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c>
          <w:tcPr>
            <w:tcW w:w="350" w:type="dxa"/>
          </w:tcPr>
          <w:p>
            <w:pPr>
              <w:keepNext w:val="0"/>
              <w:keepLines w:val="0"/>
              <w:pageBreakBefore w:val="0"/>
              <w:widowControl/>
              <w:kinsoku/>
              <w:wordWrap/>
              <w:overflowPunct/>
              <w:topLinePunct w:val="0"/>
              <w:autoSpaceDE/>
              <w:autoSpaceDN/>
              <w:bidi w:val="0"/>
              <w:adjustRightInd/>
              <w:snapToGrid/>
              <w:spacing w:line="240" w:lineRule="atLeast"/>
              <w:jc w:val="right"/>
              <w:textAlignment w:val="auto"/>
              <w:outlineLvl w:val="1"/>
              <w:rPr>
                <w:rFonts w:ascii="仿宋_GB2312" w:hAnsi="宋体" w:eastAsia="仿宋_GB2312"/>
                <w:kern w:val="0"/>
                <w:sz w:val="20"/>
                <w:szCs w:val="20"/>
              </w:rPr>
            </w:pPr>
          </w:p>
        </w:tc>
      </w:tr>
    </w:tbl>
    <w:p>
      <w:pPr>
        <w:widowControl/>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outlineLvl w:val="1"/>
        <w:rPr>
          <w:rFonts w:hint="eastAsia" w:ascii="方正小标宋_GBK" w:hAnsi="方正小标宋_GBK" w:eastAsia="方正小标宋_GBK" w:cs="方正小标宋_GBK"/>
          <w:bCs/>
          <w:kern w:val="0"/>
          <w:sz w:val="32"/>
          <w:szCs w:val="32"/>
        </w:rPr>
      </w:pPr>
      <w:r>
        <w:rPr>
          <w:rFonts w:hint="eastAsia" w:ascii="宋体" w:hAnsi="宋体" w:cs="宋体"/>
          <w:color w:val="000000"/>
          <w:kern w:val="0"/>
          <w:sz w:val="20"/>
          <w:szCs w:val="20"/>
          <w:lang w:bidi="ar"/>
        </w:rPr>
        <w:t>表8</w:t>
      </w:r>
    </w:p>
    <w:p>
      <w:pPr>
        <w:widowControl/>
        <w:jc w:val="center"/>
        <w:outlineLvl w:val="1"/>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2"/>
          <w:szCs w:val="32"/>
        </w:rPr>
        <w:t>一般公共预算“三公”经费支出情况表</w:t>
      </w:r>
    </w:p>
    <w:p>
      <w:pPr>
        <w:widowControl/>
        <w:jc w:val="center"/>
        <w:outlineLvl w:val="1"/>
        <w:rPr>
          <w:rFonts w:ascii="仿宋_GB2312" w:hAnsi="宋体" w:eastAsia="仿宋_GB2312"/>
          <w:b/>
          <w:kern w:val="0"/>
          <w:sz w:val="32"/>
          <w:szCs w:val="32"/>
        </w:rPr>
      </w:pPr>
    </w:p>
    <w:p>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编制部门（单位）： 昌吉州</w:t>
      </w:r>
      <w:r>
        <w:rPr>
          <w:rFonts w:hint="eastAsia" w:ascii="仿宋_GB2312" w:hAnsi="宋体" w:eastAsia="仿宋_GB2312"/>
          <w:kern w:val="0"/>
          <w:sz w:val="24"/>
          <w:lang w:eastAsia="zh-CN"/>
        </w:rPr>
        <w:t>医疗保障局</w:t>
      </w:r>
      <w:r>
        <w:rPr>
          <w:rFonts w:hint="eastAsia" w:ascii="仿宋_GB2312" w:hAnsi="宋体" w:eastAsia="仿宋_GB2312"/>
          <w:kern w:val="0"/>
          <w:sz w:val="24"/>
        </w:rPr>
        <w:t xml:space="preserve">                         </w:t>
      </w:r>
      <w:r>
        <w:rPr>
          <w:rFonts w:hint="eastAsia" w:ascii="仿宋_GB2312" w:hAnsi="宋体" w:eastAsia="仿宋_GB2312"/>
          <w:kern w:val="0"/>
          <w:sz w:val="24"/>
          <w:lang w:val="en-US" w:eastAsia="zh-CN"/>
        </w:rPr>
        <w:t xml:space="preserve">  </w:t>
      </w:r>
      <w:r>
        <w:rPr>
          <w:rFonts w:hint="eastAsia" w:ascii="仿宋_GB2312" w:hAnsi="宋体" w:eastAsia="仿宋_GB2312"/>
          <w:kern w:val="0"/>
          <w:sz w:val="24"/>
        </w:rPr>
        <w:t xml:space="preserve"> 单位：万元</w:t>
      </w:r>
    </w:p>
    <w:tbl>
      <w:tblPr>
        <w:tblStyle w:val="6"/>
        <w:tblW w:w="9240" w:type="dxa"/>
        <w:tblInd w:w="-173" w:type="dxa"/>
        <w:tblLayout w:type="fixed"/>
        <w:tblCellMar>
          <w:top w:w="0" w:type="dxa"/>
          <w:left w:w="108" w:type="dxa"/>
          <w:bottom w:w="0" w:type="dxa"/>
          <w:right w:w="108" w:type="dxa"/>
        </w:tblCellMar>
      </w:tblPr>
      <w:tblGrid>
        <w:gridCol w:w="1575"/>
        <w:gridCol w:w="1417"/>
        <w:gridCol w:w="1559"/>
        <w:gridCol w:w="1418"/>
        <w:gridCol w:w="1559"/>
        <w:gridCol w:w="1712"/>
      </w:tblGrid>
      <w:tr>
        <w:tblPrEx>
          <w:tblCellMar>
            <w:top w:w="0" w:type="dxa"/>
            <w:left w:w="108" w:type="dxa"/>
            <w:bottom w:w="0" w:type="dxa"/>
            <w:right w:w="108" w:type="dxa"/>
          </w:tblCellMar>
        </w:tblPrEx>
        <w:trPr>
          <w:trHeight w:val="546" w:hRule="atLeast"/>
        </w:trPr>
        <w:tc>
          <w:tcPr>
            <w:tcW w:w="157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  计</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因公出国（境）费</w:t>
            </w:r>
          </w:p>
        </w:tc>
        <w:tc>
          <w:tcPr>
            <w:tcW w:w="4536"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公务用车购置及运行费</w:t>
            </w:r>
          </w:p>
        </w:tc>
        <w:tc>
          <w:tcPr>
            <w:tcW w:w="171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公务接待费</w:t>
            </w:r>
          </w:p>
        </w:tc>
      </w:tr>
      <w:tr>
        <w:tblPrEx>
          <w:tblCellMar>
            <w:top w:w="0" w:type="dxa"/>
            <w:left w:w="108" w:type="dxa"/>
            <w:bottom w:w="0" w:type="dxa"/>
            <w:right w:w="108" w:type="dxa"/>
          </w:tblCellMar>
        </w:tblPrEx>
        <w:trPr>
          <w:trHeight w:val="810" w:hRule="atLeast"/>
        </w:trPr>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2"/>
                <w:szCs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合计</w:t>
            </w:r>
          </w:p>
        </w:tc>
        <w:tc>
          <w:tcPr>
            <w:tcW w:w="1559"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  计</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公务用车购置费</w:t>
            </w:r>
          </w:p>
        </w:tc>
        <w:tc>
          <w:tcPr>
            <w:tcW w:w="1559"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公务用车运行费</w:t>
            </w:r>
          </w:p>
        </w:tc>
        <w:tc>
          <w:tcPr>
            <w:tcW w:w="17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592" w:hRule="atLeast"/>
        </w:trPr>
        <w:tc>
          <w:tcPr>
            <w:tcW w:w="1575" w:type="dxa"/>
            <w:tcBorders>
              <w:top w:val="nil"/>
              <w:left w:val="single" w:color="auto" w:sz="4" w:space="0"/>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4.9</w:t>
            </w: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0</w:t>
            </w: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4.9</w:t>
            </w: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0</w:t>
            </w: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4.5</w:t>
            </w: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lang w:val="en-US" w:eastAsia="zh-CN"/>
              </w:rPr>
              <w:t>0.4</w:t>
            </w:r>
            <w:r>
              <w:rPr>
                <w:rFonts w:hint="eastAsia" w:ascii="宋体" w:hAnsi="宋体" w:cs="宋体"/>
                <w:color w:val="000000"/>
                <w:kern w:val="0"/>
                <w:sz w:val="24"/>
              </w:rPr>
              <w:t>　</w:t>
            </w:r>
          </w:p>
        </w:tc>
      </w:tr>
      <w:tr>
        <w:tblPrEx>
          <w:tblCellMar>
            <w:top w:w="0" w:type="dxa"/>
            <w:left w:w="108" w:type="dxa"/>
            <w:bottom w:w="0" w:type="dxa"/>
            <w:right w:w="108" w:type="dxa"/>
          </w:tblCellMar>
        </w:tblPrEx>
        <w:trPr>
          <w:trHeight w:val="558" w:hRule="atLeast"/>
        </w:trPr>
        <w:tc>
          <w:tcPr>
            <w:tcW w:w="1575" w:type="dxa"/>
            <w:tcBorders>
              <w:top w:val="nil"/>
              <w:left w:val="single" w:color="auto" w:sz="4" w:space="0"/>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r>
      <w:tr>
        <w:tblPrEx>
          <w:tblCellMar>
            <w:top w:w="0" w:type="dxa"/>
            <w:left w:w="108" w:type="dxa"/>
            <w:bottom w:w="0" w:type="dxa"/>
            <w:right w:w="108" w:type="dxa"/>
          </w:tblCellMar>
        </w:tblPrEx>
        <w:trPr>
          <w:trHeight w:val="555" w:hRule="atLeast"/>
        </w:trPr>
        <w:tc>
          <w:tcPr>
            <w:tcW w:w="1575" w:type="dxa"/>
            <w:tcBorders>
              <w:top w:val="nil"/>
              <w:left w:val="single" w:color="auto" w:sz="4" w:space="0"/>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r>
      <w:tr>
        <w:tblPrEx>
          <w:tblCellMar>
            <w:top w:w="0" w:type="dxa"/>
            <w:left w:w="108" w:type="dxa"/>
            <w:bottom w:w="0" w:type="dxa"/>
            <w:right w:w="108" w:type="dxa"/>
          </w:tblCellMar>
        </w:tblPrEx>
        <w:trPr>
          <w:trHeight w:val="563" w:hRule="atLeast"/>
        </w:trPr>
        <w:tc>
          <w:tcPr>
            <w:tcW w:w="1575" w:type="dxa"/>
            <w:tcBorders>
              <w:top w:val="nil"/>
              <w:left w:val="single" w:color="auto" w:sz="4" w:space="0"/>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r>
      <w:tr>
        <w:tblPrEx>
          <w:tblCellMar>
            <w:top w:w="0" w:type="dxa"/>
            <w:left w:w="108" w:type="dxa"/>
            <w:bottom w:w="0" w:type="dxa"/>
            <w:right w:w="108" w:type="dxa"/>
          </w:tblCellMar>
        </w:tblPrEx>
        <w:trPr>
          <w:trHeight w:val="583" w:hRule="atLeast"/>
        </w:trPr>
        <w:tc>
          <w:tcPr>
            <w:tcW w:w="1575" w:type="dxa"/>
            <w:tcBorders>
              <w:top w:val="nil"/>
              <w:left w:val="single" w:color="auto" w:sz="4" w:space="0"/>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4"/>
              </w:rPr>
            </w:pPr>
            <w:r>
              <w:rPr>
                <w:rFonts w:hint="eastAsia" w:ascii="宋体" w:hAnsi="宋体" w:cs="宋体"/>
                <w:color w:val="000000"/>
                <w:kern w:val="0"/>
                <w:sz w:val="24"/>
              </w:rPr>
              <w:t>　</w:t>
            </w:r>
          </w:p>
        </w:tc>
      </w:tr>
    </w:tbl>
    <w:p>
      <w:pPr>
        <w:widowControl/>
        <w:outlineLvl w:val="1"/>
        <w:rPr>
          <w:rFonts w:hint="eastAsia"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outlineLvl w:val="1"/>
        <w:rPr>
          <w:rFonts w:hint="eastAsia" w:ascii="仿宋_GB2312" w:hAnsi="宋体" w:eastAsia="仿宋_GB2312"/>
          <w:b/>
          <w:kern w:val="0"/>
          <w:sz w:val="28"/>
          <w:szCs w:val="32"/>
        </w:rPr>
      </w:pPr>
    </w:p>
    <w:p>
      <w:pPr>
        <w:widowControl/>
        <w:jc w:val="left"/>
        <w:textAlignment w:val="bottom"/>
        <w:rPr>
          <w:rFonts w:ascii="宋体" w:hAnsi="宋体" w:cs="宋体"/>
          <w:color w:val="000000"/>
          <w:kern w:val="0"/>
          <w:sz w:val="20"/>
          <w:szCs w:val="20"/>
          <w:lang w:bidi="ar"/>
        </w:rPr>
      </w:pPr>
    </w:p>
    <w:p>
      <w:pPr>
        <w:widowControl/>
        <w:jc w:val="left"/>
        <w:textAlignment w:val="bottom"/>
        <w:rPr>
          <w:rFonts w:hint="eastAsia" w:ascii="宋体" w:hAnsi="宋体" w:cs="宋体"/>
          <w:color w:val="000000"/>
          <w:kern w:val="0"/>
          <w:sz w:val="20"/>
          <w:szCs w:val="20"/>
          <w:lang w:bidi="ar"/>
        </w:rPr>
      </w:pPr>
    </w:p>
    <w:p>
      <w:pPr>
        <w:widowControl/>
        <w:jc w:val="left"/>
        <w:textAlignment w:val="bottom"/>
        <w:rPr>
          <w:rFonts w:hint="eastAsia" w:ascii="宋体" w:hAnsi="宋体" w:cs="宋体"/>
          <w:color w:val="000000"/>
          <w:kern w:val="0"/>
          <w:sz w:val="20"/>
          <w:szCs w:val="20"/>
          <w:lang w:bidi="ar"/>
        </w:rPr>
      </w:pPr>
    </w:p>
    <w:p>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表9</w:t>
      </w:r>
    </w:p>
    <w:p>
      <w:pPr>
        <w:widowControl/>
        <w:spacing w:line="360" w:lineRule="exact"/>
        <w:jc w:val="center"/>
        <w:outlineLvl w:val="1"/>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2"/>
          <w:szCs w:val="32"/>
        </w:rPr>
        <w:t>政府性基金预算支出情况表</w:t>
      </w:r>
    </w:p>
    <w:p>
      <w:pPr>
        <w:widowControl/>
        <w:spacing w:line="280" w:lineRule="exact"/>
        <w:outlineLvl w:val="1"/>
        <w:rPr>
          <w:rFonts w:ascii="仿宋_GB2312" w:hAnsi="宋体" w:eastAsia="仿宋_GB2312"/>
          <w:kern w:val="0"/>
          <w:sz w:val="24"/>
        </w:rPr>
      </w:pPr>
      <w:r>
        <w:rPr>
          <w:rFonts w:hint="eastAsia" w:ascii="仿宋_GB2312" w:hAnsi="宋体" w:eastAsia="仿宋_GB2312"/>
          <w:kern w:val="0"/>
          <w:sz w:val="24"/>
        </w:rPr>
        <w:t xml:space="preserve">编制部门（单位）： </w:t>
      </w:r>
      <w:r>
        <w:rPr>
          <w:rFonts w:hint="eastAsia" w:ascii="仿宋_GB2312" w:hAnsi="宋体" w:eastAsia="仿宋_GB2312"/>
          <w:kern w:val="0"/>
          <w:sz w:val="24"/>
          <w:lang w:eastAsia="zh-CN"/>
        </w:rPr>
        <w:t>昌吉州医疗保障局</w:t>
      </w:r>
      <w:r>
        <w:rPr>
          <w:rFonts w:hint="eastAsia" w:ascii="仿宋_GB2312" w:hAnsi="宋体" w:eastAsia="仿宋_GB2312"/>
          <w:kern w:val="0"/>
          <w:sz w:val="24"/>
        </w:rPr>
        <w:t xml:space="preserve">                            单位：万元</w:t>
      </w:r>
    </w:p>
    <w:tbl>
      <w:tblPr>
        <w:tblStyle w:val="6"/>
        <w:tblW w:w="9214" w:type="dxa"/>
        <w:tblInd w:w="-34" w:type="dxa"/>
        <w:tblLayout w:type="fixed"/>
        <w:tblCellMar>
          <w:top w:w="0" w:type="dxa"/>
          <w:left w:w="108" w:type="dxa"/>
          <w:bottom w:w="0" w:type="dxa"/>
          <w:right w:w="108" w:type="dxa"/>
        </w:tblCellMar>
      </w:tblPr>
      <w:tblGrid>
        <w:gridCol w:w="585"/>
        <w:gridCol w:w="457"/>
        <w:gridCol w:w="699"/>
        <w:gridCol w:w="2544"/>
        <w:gridCol w:w="1669"/>
        <w:gridCol w:w="1701"/>
        <w:gridCol w:w="1559"/>
      </w:tblGrid>
      <w:tr>
        <w:tblPrEx>
          <w:tblCellMar>
            <w:top w:w="0" w:type="dxa"/>
            <w:left w:w="108" w:type="dxa"/>
            <w:bottom w:w="0" w:type="dxa"/>
            <w:right w:w="108" w:type="dxa"/>
          </w:tblCellMar>
        </w:tblPrEx>
        <w:trPr>
          <w:trHeight w:val="465" w:hRule="atLeast"/>
        </w:trPr>
        <w:tc>
          <w:tcPr>
            <w:tcW w:w="4285" w:type="dxa"/>
            <w:gridSpan w:val="4"/>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  目</w:t>
            </w:r>
          </w:p>
        </w:tc>
        <w:tc>
          <w:tcPr>
            <w:tcW w:w="4929" w:type="dxa"/>
            <w:gridSpan w:val="3"/>
            <w:tcBorders>
              <w:top w:val="single" w:color="auto" w:sz="4" w:space="0"/>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政府性基金预算支出</w:t>
            </w:r>
          </w:p>
        </w:tc>
      </w:tr>
      <w:tr>
        <w:tblPrEx>
          <w:tblCellMar>
            <w:top w:w="0" w:type="dxa"/>
            <w:left w:w="108" w:type="dxa"/>
            <w:bottom w:w="0" w:type="dxa"/>
            <w:right w:w="108" w:type="dxa"/>
          </w:tblCellMar>
        </w:tblPrEx>
        <w:trPr>
          <w:trHeight w:val="360" w:hRule="atLeast"/>
        </w:trPr>
        <w:tc>
          <w:tcPr>
            <w:tcW w:w="1741" w:type="dxa"/>
            <w:gridSpan w:val="3"/>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18"/>
                <w:szCs w:val="18"/>
              </w:rPr>
            </w:pPr>
            <w:r>
              <w:rPr>
                <w:rFonts w:hint="eastAsia" w:ascii="仿宋_GB2312" w:hAnsi="宋体" w:eastAsia="仿宋_GB2312" w:cs="宋体"/>
                <w:b/>
                <w:bCs/>
                <w:color w:val="000000"/>
                <w:kern w:val="0"/>
                <w:sz w:val="18"/>
                <w:szCs w:val="18"/>
              </w:rPr>
              <w:t>功能分类科目编码</w:t>
            </w:r>
          </w:p>
        </w:tc>
        <w:tc>
          <w:tcPr>
            <w:tcW w:w="2544" w:type="dxa"/>
            <w:vMerge w:val="restart"/>
            <w:tcBorders>
              <w:top w:val="nil"/>
              <w:left w:val="single" w:color="auto" w:sz="4" w:space="0"/>
              <w:bottom w:val="single" w:color="000000"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功能分类科目名称</w:t>
            </w:r>
          </w:p>
        </w:tc>
        <w:tc>
          <w:tcPr>
            <w:tcW w:w="1669" w:type="dxa"/>
            <w:vMerge w:val="restart"/>
            <w:tcBorders>
              <w:top w:val="nil"/>
              <w:left w:val="single" w:color="auto" w:sz="4" w:space="0"/>
              <w:bottom w:val="single" w:color="000000"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合 计</w:t>
            </w:r>
          </w:p>
        </w:tc>
        <w:tc>
          <w:tcPr>
            <w:tcW w:w="1701" w:type="dxa"/>
            <w:vMerge w:val="restart"/>
            <w:tcBorders>
              <w:top w:val="nil"/>
              <w:left w:val="single" w:color="auto" w:sz="4" w:space="0"/>
              <w:bottom w:val="single" w:color="000000"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基本支出</w:t>
            </w:r>
          </w:p>
        </w:tc>
        <w:tc>
          <w:tcPr>
            <w:tcW w:w="1559" w:type="dxa"/>
            <w:vMerge w:val="restart"/>
            <w:tcBorders>
              <w:top w:val="nil"/>
              <w:left w:val="single" w:color="auto" w:sz="4" w:space="0"/>
              <w:bottom w:val="single" w:color="000000"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项目支出</w:t>
            </w:r>
          </w:p>
        </w:tc>
      </w:tr>
      <w:tr>
        <w:tblPrEx>
          <w:tblCellMar>
            <w:top w:w="0" w:type="dxa"/>
            <w:left w:w="108" w:type="dxa"/>
            <w:bottom w:w="0" w:type="dxa"/>
            <w:right w:w="108" w:type="dxa"/>
          </w:tblCellMar>
        </w:tblPrEx>
        <w:trPr>
          <w:trHeight w:val="315"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类</w:t>
            </w: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款</w:t>
            </w: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w:t>
            </w:r>
          </w:p>
        </w:tc>
        <w:tc>
          <w:tcPr>
            <w:tcW w:w="2544"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仿宋_GB2312" w:hAnsi="宋体" w:eastAsia="仿宋_GB2312" w:cs="宋体"/>
                <w:b/>
                <w:bCs/>
                <w:color w:val="000000"/>
                <w:kern w:val="0"/>
                <w:sz w:val="24"/>
              </w:rPr>
            </w:pPr>
          </w:p>
        </w:tc>
        <w:tc>
          <w:tcPr>
            <w:tcW w:w="1669"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仿宋_GB2312" w:hAnsi="宋体" w:eastAsia="仿宋_GB2312" w:cs="宋体"/>
                <w:b/>
                <w:bCs/>
                <w:color w:val="000000"/>
                <w:kern w:val="0"/>
                <w:sz w:val="24"/>
              </w:rPr>
            </w:pPr>
          </w:p>
        </w:tc>
        <w:tc>
          <w:tcPr>
            <w:tcW w:w="1701"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仿宋_GB2312" w:hAnsi="宋体" w:eastAsia="仿宋_GB2312" w:cs="宋体"/>
                <w:b/>
                <w:bCs/>
                <w:color w:val="000000"/>
                <w:kern w:val="0"/>
                <w:sz w:val="24"/>
              </w:rPr>
            </w:pPr>
          </w:p>
        </w:tc>
        <w:tc>
          <w:tcPr>
            <w:tcW w:w="1559"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仿宋_GB2312" w:hAnsi="宋体" w:eastAsia="仿宋_GB2312" w:cs="宋体"/>
                <w:b/>
                <w:bCs/>
                <w:color w:val="000000"/>
                <w:kern w:val="0"/>
                <w:sz w:val="24"/>
              </w:rPr>
            </w:pP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b/>
                <w:bCs/>
                <w:color w:val="000000"/>
                <w:kern w:val="0"/>
                <w:sz w:val="32"/>
                <w:szCs w:val="32"/>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495"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405"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457"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4"/>
              </w:rPr>
            </w:pPr>
          </w:p>
        </w:tc>
        <w:tc>
          <w:tcPr>
            <w:tcW w:w="699"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p>
        </w:tc>
        <w:tc>
          <w:tcPr>
            <w:tcW w:w="2544" w:type="dxa"/>
            <w:tcBorders>
              <w:top w:val="nil"/>
              <w:left w:val="nil"/>
              <w:bottom w:val="single" w:color="auto" w:sz="4" w:space="0"/>
              <w:right w:val="single" w:color="auto" w:sz="4" w:space="0"/>
            </w:tcBorders>
            <w:vAlign w:val="center"/>
          </w:tcPr>
          <w:p>
            <w:pPr>
              <w:widowControl/>
              <w:spacing w:line="280" w:lineRule="exact"/>
              <w:jc w:val="center"/>
              <w:rPr>
                <w:rFonts w:ascii="仿宋_GB2312" w:hAnsi="宋体" w:eastAsia="仿宋_GB2312" w:cs="宋体"/>
                <w:color w:val="000000"/>
                <w:kern w:val="0"/>
                <w:sz w:val="24"/>
              </w:rPr>
            </w:pPr>
            <w:r>
              <w:rPr>
                <w:rFonts w:hint="eastAsia" w:ascii="仿宋_GB2312" w:hAnsi="宋体" w:eastAsia="仿宋_GB2312" w:cs="宋体"/>
                <w:b/>
                <w:bCs/>
                <w:color w:val="000000"/>
                <w:kern w:val="0"/>
                <w:sz w:val="24"/>
              </w:rPr>
              <w:t>合  计</w:t>
            </w:r>
          </w:p>
        </w:tc>
        <w:tc>
          <w:tcPr>
            <w:tcW w:w="166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1"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59" w:type="dxa"/>
            <w:tcBorders>
              <w:top w:val="nil"/>
              <w:left w:val="nil"/>
              <w:bottom w:val="single" w:color="auto" w:sz="4" w:space="0"/>
              <w:right w:val="single" w:color="auto" w:sz="4" w:space="0"/>
            </w:tcBorders>
            <w:vAlign w:val="center"/>
          </w:tcPr>
          <w:p>
            <w:pPr>
              <w:widowControl/>
              <w:spacing w:line="280" w:lineRule="exact"/>
              <w:jc w:val="right"/>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bl>
    <w:p>
      <w:pPr>
        <w:widowControl/>
        <w:spacing w:line="28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备注：我单位无政府性基金预算，此表为空表。</w:t>
      </w:r>
    </w:p>
    <w:p>
      <w:pPr>
        <w:widowControl/>
        <w:spacing w:line="280" w:lineRule="exact"/>
        <w:jc w:val="left"/>
        <w:outlineLvl w:val="1"/>
        <w:rPr>
          <w:rFonts w:ascii="仿宋_GB2312" w:hAnsi="宋体" w:eastAsia="仿宋_GB2312"/>
          <w:kern w:val="0"/>
          <w:sz w:val="32"/>
          <w:szCs w:val="32"/>
        </w:rPr>
        <w:sectPr>
          <w:footerReference r:id="rId5"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start="56"/>
          <w:cols w:space="720" w:num="1"/>
          <w:docGrid w:linePitch="312" w:charSpace="0"/>
        </w:sectPr>
      </w:pPr>
    </w:p>
    <w:p>
      <w:pPr>
        <w:spacing w:line="560" w:lineRule="exact"/>
        <w:jc w:val="center"/>
        <w:rPr>
          <w:rFonts w:ascii="黑体" w:hAnsi="黑体" w:eastAsia="黑体"/>
          <w:kern w:val="0"/>
          <w:sz w:val="32"/>
          <w:szCs w:val="32"/>
        </w:rPr>
      </w:pPr>
      <w:r>
        <w:rPr>
          <w:rFonts w:hint="eastAsia" w:ascii="黑体" w:hAnsi="黑体" w:eastAsia="黑体"/>
          <w:kern w:val="0"/>
          <w:sz w:val="32"/>
          <w:szCs w:val="32"/>
        </w:rPr>
        <w:t>第三部分  2022年昌吉州</w:t>
      </w:r>
      <w:r>
        <w:rPr>
          <w:rFonts w:hint="eastAsia" w:ascii="黑体" w:hAnsi="黑体" w:eastAsia="黑体"/>
          <w:kern w:val="0"/>
          <w:sz w:val="32"/>
          <w:szCs w:val="32"/>
          <w:lang w:eastAsia="zh-CN"/>
        </w:rPr>
        <w:t>医疗保障局</w:t>
      </w:r>
      <w:r>
        <w:rPr>
          <w:rFonts w:hint="eastAsia" w:ascii="黑体" w:hAnsi="黑体" w:eastAsia="黑体"/>
          <w:kern w:val="0"/>
          <w:sz w:val="32"/>
          <w:szCs w:val="32"/>
        </w:rPr>
        <w:t>预算情况说明</w:t>
      </w:r>
    </w:p>
    <w:p>
      <w:pPr>
        <w:spacing w:line="560" w:lineRule="exact"/>
        <w:ind w:firstLine="640" w:firstLineChars="200"/>
        <w:rPr>
          <w:rFonts w:ascii="黑体" w:hAnsi="黑体" w:eastAsia="黑体"/>
          <w:kern w:val="0"/>
          <w:sz w:val="32"/>
          <w:szCs w:val="32"/>
        </w:rPr>
      </w:pPr>
    </w:p>
    <w:p>
      <w:pPr>
        <w:spacing w:line="560" w:lineRule="exact"/>
        <w:ind w:firstLine="643" w:firstLineChars="200"/>
        <w:rPr>
          <w:rFonts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一、关于昌吉州</w:t>
      </w:r>
      <w:r>
        <w:rPr>
          <w:rFonts w:hint="eastAsia" w:ascii="楷体_GB2312" w:hAnsi="楷体_GB2312" w:eastAsia="楷体_GB2312" w:cs="楷体_GB2312"/>
          <w:b/>
          <w:kern w:val="0"/>
          <w:sz w:val="32"/>
          <w:szCs w:val="32"/>
          <w:lang w:eastAsia="zh-CN"/>
        </w:rPr>
        <w:t>医疗保障局</w:t>
      </w:r>
      <w:r>
        <w:rPr>
          <w:rFonts w:hint="eastAsia" w:ascii="楷体_GB2312" w:hAnsi="楷体_GB2312" w:eastAsia="楷体_GB2312" w:cs="楷体_GB2312"/>
          <w:b/>
          <w:kern w:val="0"/>
          <w:sz w:val="32"/>
          <w:szCs w:val="32"/>
        </w:rPr>
        <w:t>2022年收支预算情况的总体说明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按照全口径预算的原则，昌吉州</w:t>
      </w:r>
      <w:r>
        <w:rPr>
          <w:rFonts w:hint="eastAsia" w:ascii="仿宋_GB2312" w:hAnsi="宋体" w:eastAsia="仿宋_GB2312" w:cs="宋体"/>
          <w:kern w:val="0"/>
          <w:sz w:val="32"/>
          <w:szCs w:val="32"/>
          <w:lang w:eastAsia="zh-CN"/>
        </w:rPr>
        <w:t>医疗保障局</w:t>
      </w:r>
      <w:r>
        <w:rPr>
          <w:rFonts w:hint="eastAsia" w:ascii="仿宋_GB2312" w:hAnsi="宋体" w:eastAsia="仿宋_GB2312" w:cs="宋体"/>
          <w:kern w:val="0"/>
          <w:sz w:val="32"/>
          <w:szCs w:val="32"/>
        </w:rPr>
        <w:t>2022年所有收入和支出均纳入部门（单位）预算管理。收支总预算</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万元。</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收入预算包括：一般公共预算。</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支出预算包括：社会保障和就业支出、医疗卫生健康支出、住房保障支出。</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二、关于</w:t>
      </w:r>
      <w:r>
        <w:rPr>
          <w:rFonts w:hint="eastAsia" w:ascii="楷体_GB2312" w:hAnsi="楷体_GB2312" w:eastAsia="楷体_GB2312" w:cs="楷体_GB2312"/>
          <w:b/>
          <w:kern w:val="0"/>
          <w:sz w:val="32"/>
          <w:szCs w:val="32"/>
        </w:rPr>
        <w:t>昌吉州</w:t>
      </w:r>
      <w:r>
        <w:rPr>
          <w:rFonts w:hint="eastAsia" w:ascii="楷体_GB2312" w:hAnsi="楷体_GB2312" w:eastAsia="楷体_GB2312" w:cs="楷体_GB2312"/>
          <w:b/>
          <w:kern w:val="0"/>
          <w:sz w:val="32"/>
          <w:szCs w:val="32"/>
          <w:lang w:eastAsia="zh-CN"/>
        </w:rPr>
        <w:t>医疗保障局</w:t>
      </w:r>
      <w:r>
        <w:rPr>
          <w:rFonts w:hint="eastAsia" w:ascii="楷体_GB2312" w:hAnsi="楷体_GB2312" w:eastAsia="楷体_GB2312" w:cs="楷体_GB2312"/>
          <w:b/>
          <w:bCs/>
          <w:kern w:val="0"/>
          <w:sz w:val="32"/>
          <w:szCs w:val="32"/>
        </w:rPr>
        <w:t>2022年收入预算情况说明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昌吉州医疗保障局</w:t>
      </w:r>
      <w:r>
        <w:rPr>
          <w:rFonts w:hint="eastAsia" w:ascii="仿宋_GB2312" w:hAnsi="宋体" w:eastAsia="仿宋_GB2312" w:cs="宋体"/>
          <w:kern w:val="0"/>
          <w:sz w:val="32"/>
          <w:szCs w:val="32"/>
        </w:rPr>
        <w:t>收入预算</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万元，其中：</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一般公共预算</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%，比上年预算减少</w:t>
      </w:r>
      <w:r>
        <w:rPr>
          <w:rFonts w:hint="eastAsia" w:ascii="仿宋_GB2312" w:hAnsi="宋体" w:eastAsia="仿宋_GB2312" w:cs="宋体"/>
          <w:kern w:val="0"/>
          <w:sz w:val="32"/>
          <w:szCs w:val="32"/>
          <w:lang w:val="en-US" w:eastAsia="zh-CN"/>
        </w:rPr>
        <w:t>207.81</w:t>
      </w:r>
      <w:r>
        <w:rPr>
          <w:rFonts w:hint="eastAsia" w:ascii="仿宋_GB2312" w:hAnsi="宋体" w:eastAsia="仿宋_GB2312" w:cs="宋体"/>
          <w:kern w:val="0"/>
          <w:sz w:val="32"/>
          <w:szCs w:val="32"/>
        </w:rPr>
        <w:t>万元，下降</w:t>
      </w:r>
      <w:r>
        <w:rPr>
          <w:rFonts w:hint="eastAsia" w:ascii="仿宋_GB2312" w:hAnsi="宋体" w:eastAsia="仿宋_GB2312" w:cs="宋体"/>
          <w:kern w:val="0"/>
          <w:sz w:val="32"/>
          <w:szCs w:val="32"/>
          <w:lang w:val="en-US" w:eastAsia="zh-CN"/>
        </w:rPr>
        <w:t>13.21</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eastAsia="zh-CN"/>
        </w:rPr>
        <w:t>其他医疗保障管理事务支出减少</w:t>
      </w:r>
      <w:r>
        <w:rPr>
          <w:rFonts w:hint="eastAsia" w:ascii="仿宋_GB2312" w:hAnsi="宋体" w:eastAsia="仿宋_GB2312" w:cs="宋体"/>
          <w:kern w:val="0"/>
          <w:sz w:val="32"/>
          <w:szCs w:val="32"/>
        </w:rPr>
        <w:t xml:space="preserve">；    </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政府性基金预算未安排。</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三、关于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kern w:val="0"/>
          <w:sz w:val="32"/>
          <w:szCs w:val="32"/>
        </w:rPr>
        <w:t>2022年支出预算情况说明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昌吉州医疗保障局</w:t>
      </w:r>
      <w:r>
        <w:rPr>
          <w:rFonts w:hint="eastAsia" w:ascii="仿宋_GB2312" w:hAnsi="宋体" w:eastAsia="仿宋_GB2312" w:cs="宋体"/>
          <w:kern w:val="0"/>
          <w:sz w:val="32"/>
          <w:szCs w:val="32"/>
        </w:rPr>
        <w:t>2022年支出预算</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元，其中：</w:t>
      </w:r>
    </w:p>
    <w:p>
      <w:pPr>
        <w:spacing w:line="560" w:lineRule="exact"/>
        <w:ind w:firstLine="640" w:firstLineChars="200"/>
        <w:rPr>
          <w:rFonts w:ascii="仿宋_GB2312" w:hAnsi="宋体" w:eastAsia="仿宋_GB2312" w:cs="宋体"/>
          <w:b/>
          <w:kern w:val="0"/>
          <w:sz w:val="32"/>
          <w:szCs w:val="32"/>
        </w:rPr>
      </w:pPr>
      <w:r>
        <w:rPr>
          <w:rFonts w:hint="eastAsia" w:ascii="仿宋_GB2312" w:hAnsi="宋体" w:eastAsia="仿宋_GB2312" w:cs="宋体"/>
          <w:kern w:val="0"/>
          <w:sz w:val="32"/>
          <w:szCs w:val="32"/>
        </w:rPr>
        <w:t>基本支出</w:t>
      </w:r>
      <w:r>
        <w:rPr>
          <w:rFonts w:hint="eastAsia" w:ascii="仿宋_GB2312" w:hAnsi="宋体" w:eastAsia="仿宋_GB2312" w:cs="宋体"/>
          <w:kern w:val="0"/>
          <w:sz w:val="32"/>
          <w:szCs w:val="32"/>
          <w:lang w:val="en-US" w:eastAsia="zh-CN"/>
        </w:rPr>
        <w:t>388.14</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28.4</w:t>
      </w:r>
      <w:r>
        <w:rPr>
          <w:rFonts w:hint="eastAsia" w:ascii="仿宋_GB2312" w:hAnsi="宋体" w:eastAsia="仿宋_GB2312" w:cs="宋体"/>
          <w:kern w:val="0"/>
          <w:sz w:val="32"/>
          <w:szCs w:val="32"/>
        </w:rPr>
        <w:t>%，比上年预算增加</w:t>
      </w:r>
      <w:r>
        <w:rPr>
          <w:rFonts w:hint="eastAsia" w:ascii="仿宋_GB2312" w:hAnsi="宋体" w:eastAsia="仿宋_GB2312" w:cs="宋体"/>
          <w:kern w:val="0"/>
          <w:sz w:val="32"/>
          <w:szCs w:val="32"/>
          <w:lang w:val="en-US" w:eastAsia="zh-CN"/>
        </w:rPr>
        <w:t>1.04</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0.27</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eastAsia="zh-CN"/>
        </w:rPr>
        <w:t>社会保障和就业支出及卫生健康支出比上年略有增加</w:t>
      </w:r>
      <w:r>
        <w:rPr>
          <w:rFonts w:hint="eastAsia" w:ascii="仿宋_GB2312" w:hAnsi="宋体" w:eastAsia="仿宋_GB2312" w:cs="宋体"/>
          <w:kern w:val="0"/>
          <w:sz w:val="32"/>
          <w:szCs w:val="32"/>
        </w:rPr>
        <w:t>。</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项目支出</w:t>
      </w:r>
      <w:r>
        <w:rPr>
          <w:rFonts w:hint="eastAsia" w:ascii="仿宋_GB2312" w:hAnsi="宋体" w:eastAsia="仿宋_GB2312" w:cs="宋体"/>
          <w:kern w:val="0"/>
          <w:sz w:val="32"/>
          <w:szCs w:val="32"/>
          <w:lang w:val="en-US" w:eastAsia="zh-CN"/>
        </w:rPr>
        <w:t>977.65</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71.6</w:t>
      </w:r>
      <w:r>
        <w:rPr>
          <w:rFonts w:hint="eastAsia" w:ascii="仿宋_GB2312" w:hAnsi="宋体" w:eastAsia="仿宋_GB2312" w:cs="宋体"/>
          <w:kern w:val="0"/>
          <w:sz w:val="32"/>
          <w:szCs w:val="32"/>
        </w:rPr>
        <w:t>%，比上年预算减少</w:t>
      </w:r>
      <w:r>
        <w:rPr>
          <w:rFonts w:hint="eastAsia" w:ascii="仿宋_GB2312" w:hAnsi="宋体" w:eastAsia="仿宋_GB2312" w:cs="宋体"/>
          <w:kern w:val="0"/>
          <w:sz w:val="32"/>
          <w:szCs w:val="32"/>
          <w:lang w:val="en-US" w:eastAsia="zh-CN"/>
        </w:rPr>
        <w:t>208.85</w:t>
      </w:r>
      <w:r>
        <w:rPr>
          <w:rFonts w:hint="eastAsia" w:ascii="仿宋_GB2312" w:hAnsi="宋体" w:eastAsia="仿宋_GB2312" w:cs="宋体"/>
          <w:kern w:val="0"/>
          <w:sz w:val="32"/>
          <w:szCs w:val="32"/>
        </w:rPr>
        <w:t>万元，下降</w:t>
      </w:r>
      <w:r>
        <w:rPr>
          <w:rFonts w:hint="eastAsia" w:ascii="仿宋_GB2312" w:hAnsi="宋体" w:eastAsia="仿宋_GB2312" w:cs="宋体"/>
          <w:kern w:val="0"/>
          <w:sz w:val="32"/>
          <w:szCs w:val="32"/>
          <w:lang w:val="en-US" w:eastAsia="zh-CN"/>
        </w:rPr>
        <w:t>17.6</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eastAsia="zh-CN"/>
        </w:rPr>
        <w:t>其他医疗保障管理事务支出减少</w:t>
      </w:r>
      <w:r>
        <w:rPr>
          <w:rFonts w:hint="eastAsia" w:ascii="仿宋_GB2312" w:hAnsi="宋体" w:eastAsia="仿宋_GB2312" w:cs="宋体"/>
          <w:kern w:val="0"/>
          <w:sz w:val="32"/>
          <w:szCs w:val="32"/>
        </w:rPr>
        <w:t>。</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四、关于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kern w:val="0"/>
          <w:sz w:val="32"/>
          <w:szCs w:val="32"/>
        </w:rPr>
        <w:t>2022年财政拨款收支预算情况的总体说明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2022年财政拨款收支总预算</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万元。</w:t>
      </w:r>
    </w:p>
    <w:p>
      <w:pPr>
        <w:spacing w:line="56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收入全部为一般公共预算拨款，无政府性基金预算拨款和国有资本经营预算。</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收入预算包括：一般公共预算拨款</w:t>
      </w:r>
      <w:r>
        <w:rPr>
          <w:rFonts w:hint="eastAsia" w:ascii="仿宋_GB2312" w:hAnsi="宋体" w:eastAsia="仿宋_GB2312" w:cs="宋体"/>
          <w:kern w:val="0"/>
          <w:sz w:val="32"/>
          <w:szCs w:val="32"/>
          <w:lang w:val="en-US" w:eastAsia="zh-CN"/>
        </w:rPr>
        <w:t>1365.79</w:t>
      </w:r>
      <w:r>
        <w:rPr>
          <w:rFonts w:hint="eastAsia" w:ascii="仿宋_GB2312" w:hAnsi="宋体" w:eastAsia="仿宋_GB2312" w:cs="宋体"/>
          <w:kern w:val="0"/>
          <w:sz w:val="32"/>
          <w:szCs w:val="32"/>
        </w:rPr>
        <w:t>万元。</w:t>
      </w:r>
    </w:p>
    <w:p>
      <w:pPr>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一般公共预算支出包括：</w:t>
      </w:r>
      <w:r>
        <w:rPr>
          <w:rFonts w:hint="eastAsia" w:ascii="仿宋_GB2312" w:hAnsi="宋体" w:eastAsia="仿宋_GB2312" w:cs="宋体"/>
          <w:kern w:val="0"/>
          <w:sz w:val="32"/>
          <w:szCs w:val="32"/>
          <w:lang w:eastAsia="zh-CN"/>
        </w:rPr>
        <w:t>社会保障和就业支出</w:t>
      </w:r>
      <w:r>
        <w:rPr>
          <w:rFonts w:hint="eastAsia" w:ascii="仿宋_GB2312" w:hAnsi="宋体" w:eastAsia="仿宋_GB2312" w:cs="宋体"/>
          <w:kern w:val="0"/>
          <w:sz w:val="32"/>
          <w:szCs w:val="32"/>
          <w:lang w:val="en-US" w:eastAsia="zh-CN"/>
        </w:rPr>
        <w:t>35.06</w:t>
      </w:r>
      <w:r>
        <w:rPr>
          <w:rFonts w:hint="eastAsia" w:ascii="仿宋_GB2312" w:hAnsi="宋体" w:eastAsia="仿宋_GB2312" w:cs="宋体"/>
          <w:kern w:val="0"/>
          <w:sz w:val="32"/>
          <w:szCs w:val="32"/>
        </w:rPr>
        <w:t>万元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highlight w:val="yellow"/>
        </w:rPr>
        <w:t>主要用于单位职工基本养老保险缴费支出；</w:t>
      </w:r>
      <w:r>
        <w:rPr>
          <w:rFonts w:hint="eastAsia" w:ascii="仿宋_GB2312" w:hAnsi="宋体" w:eastAsia="仿宋_GB2312" w:cs="宋体"/>
          <w:kern w:val="0"/>
          <w:sz w:val="32"/>
          <w:szCs w:val="32"/>
          <w:lang w:val="en-US" w:eastAsia="zh-CN"/>
        </w:rPr>
        <w:t>卫生健康支出1298.81万元，</w:t>
      </w:r>
      <w:r>
        <w:rPr>
          <w:rFonts w:hint="eastAsia" w:ascii="仿宋_GB2312" w:hAnsi="宋体" w:eastAsia="仿宋_GB2312" w:cs="宋体"/>
          <w:kern w:val="0"/>
          <w:sz w:val="32"/>
          <w:szCs w:val="32"/>
          <w:highlight w:val="yellow"/>
        </w:rPr>
        <w:t>主要用于单位职工基本医疗缴费，公务员医疗补助，其他行政事业单位医疗支出，行政运行，一般行政管理事务，其他医疗保障管理事务支出；</w:t>
      </w:r>
      <w:r>
        <w:rPr>
          <w:rFonts w:hint="eastAsia" w:ascii="仿宋_GB2312" w:hAnsi="宋体" w:eastAsia="仿宋_GB2312" w:cs="宋体"/>
          <w:kern w:val="0"/>
          <w:sz w:val="32"/>
          <w:szCs w:val="32"/>
          <w:lang w:val="en-US" w:eastAsia="zh-CN"/>
        </w:rPr>
        <w:t>住房保障支出31.91万元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highlight w:val="yellow"/>
        </w:rPr>
        <w:t>主要用于</w:t>
      </w:r>
      <w:r>
        <w:rPr>
          <w:rFonts w:hint="eastAsia" w:ascii="仿宋_GB2312" w:hAnsi="宋体" w:eastAsia="仿宋_GB2312" w:cs="宋体"/>
          <w:kern w:val="0"/>
          <w:sz w:val="32"/>
          <w:szCs w:val="32"/>
          <w:highlight w:val="yellow"/>
          <w:lang w:eastAsia="zh-CN"/>
        </w:rPr>
        <w:t>单位职工</w:t>
      </w:r>
      <w:r>
        <w:rPr>
          <w:rFonts w:hint="eastAsia" w:ascii="仿宋_GB2312" w:hAnsi="宋体" w:eastAsia="仿宋_GB2312" w:cs="宋体"/>
          <w:kern w:val="0"/>
          <w:sz w:val="32"/>
          <w:szCs w:val="32"/>
          <w:highlight w:val="yellow"/>
        </w:rPr>
        <w:t>住房公积金</w:t>
      </w:r>
      <w:r>
        <w:rPr>
          <w:rFonts w:hint="eastAsia" w:ascii="仿宋_GB2312" w:hAnsi="宋体" w:eastAsia="仿宋_GB2312" w:cs="宋体"/>
          <w:kern w:val="0"/>
          <w:sz w:val="32"/>
          <w:szCs w:val="32"/>
          <w:highlight w:val="yellow"/>
          <w:lang w:eastAsia="zh-CN"/>
        </w:rPr>
        <w:t>缴费支出</w:t>
      </w:r>
      <w:r>
        <w:rPr>
          <w:rFonts w:hint="eastAsia" w:ascii="仿宋_GB2312" w:hAnsi="宋体" w:eastAsia="仿宋_GB2312" w:cs="宋体"/>
          <w:kern w:val="0"/>
          <w:sz w:val="32"/>
          <w:szCs w:val="32"/>
          <w:highlight w:val="yellow"/>
        </w:rPr>
        <w:t>。</w:t>
      </w:r>
    </w:p>
    <w:p>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五、</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spacing w:val="-6"/>
          <w:kern w:val="0"/>
          <w:sz w:val="32"/>
          <w:szCs w:val="32"/>
        </w:rPr>
        <w:t>2022年一般公共预算当年拨款情况说明</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（一）一般公共预算当年拨款规模变化情况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宋体" w:eastAsia="仿宋_GB2312" w:cs="宋体"/>
          <w:kern w:val="0"/>
          <w:sz w:val="32"/>
          <w:szCs w:val="32"/>
          <w:lang w:eastAsia="zh-CN"/>
        </w:rPr>
        <w:t>昌吉州医疗保障局</w:t>
      </w:r>
      <w:r>
        <w:rPr>
          <w:rFonts w:hint="eastAsia" w:ascii="仿宋_GB2312" w:hAnsi="仿宋_GB2312" w:eastAsia="仿宋_GB2312" w:cs="仿宋_GB2312"/>
          <w:kern w:val="0"/>
          <w:sz w:val="32"/>
          <w:szCs w:val="32"/>
        </w:rPr>
        <w:t>2022年一般公共预算拨款合计</w:t>
      </w:r>
      <w:r>
        <w:rPr>
          <w:rFonts w:hint="eastAsia" w:ascii="仿宋_GB2312" w:hAnsi="宋体" w:eastAsia="仿宋_GB2312" w:cs="宋体"/>
          <w:kern w:val="0"/>
          <w:sz w:val="32"/>
          <w:szCs w:val="32"/>
          <w:lang w:val="en-US" w:eastAsia="zh-CN"/>
        </w:rPr>
        <w:t>1365.79</w:t>
      </w:r>
      <w:r>
        <w:rPr>
          <w:rFonts w:hint="eastAsia" w:ascii="仿宋_GB2312" w:hAnsi="仿宋_GB2312" w:eastAsia="仿宋_GB2312" w:cs="仿宋_GB2312"/>
          <w:kern w:val="0"/>
          <w:sz w:val="32"/>
          <w:szCs w:val="32"/>
        </w:rPr>
        <w:t>万元，其中：基本支出</w:t>
      </w:r>
      <w:r>
        <w:rPr>
          <w:rFonts w:hint="eastAsia" w:ascii="仿宋_GB2312" w:hAnsi="宋体" w:eastAsia="仿宋_GB2312" w:cs="宋体"/>
          <w:kern w:val="0"/>
          <w:sz w:val="32"/>
          <w:szCs w:val="32"/>
          <w:lang w:val="en-US" w:eastAsia="zh-CN"/>
        </w:rPr>
        <w:t>388.14</w:t>
      </w:r>
      <w:r>
        <w:rPr>
          <w:rFonts w:hint="eastAsia" w:ascii="仿宋_GB2312" w:hAnsi="仿宋_GB2312" w:eastAsia="仿宋_GB2312" w:cs="仿宋_GB2312"/>
          <w:kern w:val="0"/>
          <w:sz w:val="32"/>
          <w:szCs w:val="32"/>
        </w:rPr>
        <w:t>万元，比上年预算</w:t>
      </w:r>
      <w:r>
        <w:rPr>
          <w:rFonts w:hint="eastAsia" w:ascii="仿宋_GB2312" w:hAnsi="宋体" w:eastAsia="仿宋_GB2312" w:cs="宋体"/>
          <w:kern w:val="0"/>
          <w:sz w:val="32"/>
          <w:szCs w:val="32"/>
        </w:rPr>
        <w:t>增加</w:t>
      </w:r>
      <w:r>
        <w:rPr>
          <w:rFonts w:hint="eastAsia" w:ascii="仿宋_GB2312" w:hAnsi="宋体" w:eastAsia="仿宋_GB2312" w:cs="宋体"/>
          <w:kern w:val="0"/>
          <w:sz w:val="32"/>
          <w:szCs w:val="32"/>
          <w:lang w:val="en-US" w:eastAsia="zh-CN"/>
        </w:rPr>
        <w:t>1.04</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0.27</w:t>
      </w:r>
      <w:r>
        <w:rPr>
          <w:rFonts w:hint="eastAsia" w:ascii="仿宋_GB2312" w:hAnsi="仿宋_GB2312" w:eastAsia="仿宋_GB2312" w:cs="仿宋_GB2312"/>
          <w:kern w:val="0"/>
          <w:sz w:val="32"/>
          <w:szCs w:val="32"/>
        </w:rPr>
        <w:t>%。主要原因是：</w:t>
      </w:r>
      <w:r>
        <w:rPr>
          <w:rFonts w:hint="eastAsia" w:ascii="仿宋_GB2312" w:hAnsi="宋体" w:eastAsia="仿宋_GB2312" w:cs="宋体"/>
          <w:kern w:val="0"/>
          <w:sz w:val="32"/>
          <w:szCs w:val="32"/>
          <w:lang w:eastAsia="zh-CN"/>
        </w:rPr>
        <w:t>社会保障和就业支出及卫生健康支出比上年略有增加</w:t>
      </w:r>
      <w:r>
        <w:rPr>
          <w:rFonts w:hint="eastAsia" w:ascii="仿宋_GB2312" w:hAnsi="仿宋_GB2312" w:eastAsia="仿宋_GB2312" w:cs="仿宋_GB2312"/>
          <w:kern w:val="0"/>
          <w:sz w:val="32"/>
          <w:szCs w:val="32"/>
        </w:rPr>
        <w:t>。项目支出</w:t>
      </w:r>
      <w:r>
        <w:rPr>
          <w:rFonts w:hint="eastAsia" w:ascii="仿宋_GB2312" w:hAnsi="宋体" w:eastAsia="仿宋_GB2312" w:cs="宋体"/>
          <w:kern w:val="0"/>
          <w:sz w:val="32"/>
          <w:szCs w:val="32"/>
          <w:lang w:val="en-US" w:eastAsia="zh-CN"/>
        </w:rPr>
        <w:t>977.65</w:t>
      </w:r>
      <w:r>
        <w:rPr>
          <w:rFonts w:hint="eastAsia" w:ascii="仿宋_GB2312" w:hAnsi="仿宋_GB2312" w:eastAsia="仿宋_GB2312" w:cs="仿宋_GB2312"/>
          <w:kern w:val="0"/>
          <w:sz w:val="32"/>
          <w:szCs w:val="32"/>
        </w:rPr>
        <w:t>万元，比上年预算</w:t>
      </w:r>
      <w:r>
        <w:rPr>
          <w:rFonts w:hint="eastAsia" w:ascii="仿宋_GB2312" w:hAnsi="宋体" w:eastAsia="仿宋_GB2312" w:cs="宋体"/>
          <w:kern w:val="0"/>
          <w:sz w:val="32"/>
          <w:szCs w:val="32"/>
        </w:rPr>
        <w:t>减少</w:t>
      </w:r>
      <w:r>
        <w:rPr>
          <w:rFonts w:hint="eastAsia" w:ascii="仿宋_GB2312" w:hAnsi="宋体" w:eastAsia="仿宋_GB2312" w:cs="宋体"/>
          <w:kern w:val="0"/>
          <w:sz w:val="32"/>
          <w:szCs w:val="32"/>
          <w:lang w:val="en-US" w:eastAsia="zh-CN"/>
        </w:rPr>
        <w:t>208.85</w:t>
      </w:r>
      <w:r>
        <w:rPr>
          <w:rFonts w:hint="eastAsia" w:ascii="仿宋_GB2312" w:hAnsi="仿宋_GB2312" w:eastAsia="仿宋_GB2312" w:cs="仿宋_GB2312"/>
          <w:kern w:val="0"/>
          <w:sz w:val="32"/>
          <w:szCs w:val="32"/>
        </w:rPr>
        <w:t>万元，</w:t>
      </w:r>
      <w:r>
        <w:rPr>
          <w:rFonts w:hint="eastAsia" w:ascii="仿宋_GB2312" w:hAnsi="宋体" w:eastAsia="仿宋_GB2312" w:cs="宋体"/>
          <w:kern w:val="0"/>
          <w:sz w:val="32"/>
          <w:szCs w:val="32"/>
        </w:rPr>
        <w:t>下降</w:t>
      </w:r>
      <w:r>
        <w:rPr>
          <w:rFonts w:hint="eastAsia" w:ascii="仿宋_GB2312" w:hAnsi="宋体" w:eastAsia="仿宋_GB2312" w:cs="宋体"/>
          <w:kern w:val="0"/>
          <w:sz w:val="32"/>
          <w:szCs w:val="32"/>
          <w:lang w:val="en-US" w:eastAsia="zh-CN"/>
        </w:rPr>
        <w:t>17.6</w:t>
      </w:r>
      <w:r>
        <w:rPr>
          <w:rFonts w:hint="eastAsia" w:ascii="仿宋_GB2312" w:hAnsi="宋体" w:eastAsia="仿宋_GB2312" w:cs="宋体"/>
          <w:kern w:val="0"/>
          <w:sz w:val="32"/>
          <w:szCs w:val="32"/>
        </w:rPr>
        <w:t>%</w:t>
      </w:r>
      <w:r>
        <w:rPr>
          <w:rFonts w:hint="eastAsia" w:ascii="仿宋_GB2312" w:hAnsi="仿宋_GB2312" w:eastAsia="仿宋_GB2312" w:cs="仿宋_GB2312"/>
          <w:kern w:val="0"/>
          <w:sz w:val="32"/>
          <w:szCs w:val="32"/>
        </w:rPr>
        <w:t>。主要原因是：</w:t>
      </w:r>
      <w:r>
        <w:rPr>
          <w:rFonts w:hint="eastAsia" w:ascii="仿宋_GB2312" w:hAnsi="宋体" w:eastAsia="仿宋_GB2312" w:cs="宋体"/>
          <w:kern w:val="0"/>
          <w:sz w:val="32"/>
          <w:szCs w:val="32"/>
          <w:lang w:eastAsia="zh-CN"/>
        </w:rPr>
        <w:t>其他医疗保障管理事务支出减少</w:t>
      </w:r>
      <w:r>
        <w:rPr>
          <w:rFonts w:hint="eastAsia" w:ascii="仿宋_GB2312" w:hAnsi="仿宋_GB2312" w:eastAsia="仿宋_GB2312" w:cs="仿宋_GB2312"/>
          <w:kern w:val="0"/>
          <w:sz w:val="32"/>
          <w:szCs w:val="32"/>
        </w:rPr>
        <w:t>。</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（二）一般公共预算当年拨款结构情况</w:t>
      </w:r>
    </w:p>
    <w:p>
      <w:pPr>
        <w:spacing w:line="56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rPr>
        <w:t>1.</w:t>
      </w:r>
      <w:r>
        <w:rPr>
          <w:rFonts w:hint="eastAsia" w:ascii="仿宋_GB2312" w:hAnsi="宋体" w:eastAsia="仿宋_GB2312" w:cs="宋体"/>
          <w:b w:val="0"/>
          <w:bCs w:val="0"/>
          <w:kern w:val="0"/>
          <w:sz w:val="32"/>
          <w:szCs w:val="32"/>
          <w:lang w:val="en-US" w:eastAsia="zh-CN" w:bidi="ar-SA"/>
        </w:rPr>
        <w:t>社会保障和就业支出（类）35.06万元，</w:t>
      </w:r>
      <w:r>
        <w:rPr>
          <w:rFonts w:hint="eastAsia" w:ascii="仿宋_GB2312" w:eastAsia="仿宋_GB2312"/>
          <w:b w:val="0"/>
          <w:bCs w:val="0"/>
          <w:sz w:val="32"/>
          <w:szCs w:val="32"/>
        </w:rPr>
        <w:t>占</w:t>
      </w:r>
      <w:r>
        <w:rPr>
          <w:rFonts w:hint="eastAsia" w:ascii="仿宋_GB2312" w:eastAsia="仿宋_GB2312"/>
          <w:b w:val="0"/>
          <w:bCs w:val="0"/>
          <w:sz w:val="32"/>
          <w:szCs w:val="32"/>
          <w:lang w:val="en-US" w:eastAsia="zh-CN"/>
        </w:rPr>
        <w:t>2.57</w:t>
      </w:r>
      <w:r>
        <w:rPr>
          <w:rFonts w:hint="eastAsia" w:ascii="仿宋_GB2312" w:eastAsia="仿宋_GB2312"/>
          <w:b w:val="0"/>
          <w:bCs w:val="0"/>
          <w:sz w:val="32"/>
          <w:szCs w:val="32"/>
        </w:rPr>
        <w:t>%</w:t>
      </w:r>
      <w:r>
        <w:rPr>
          <w:rFonts w:hint="eastAsia" w:ascii="仿宋_GB2312" w:hAnsi="仿宋_GB2312" w:eastAsia="仿宋_GB2312" w:cs="仿宋_GB2312"/>
          <w:kern w:val="0"/>
          <w:sz w:val="32"/>
          <w:szCs w:val="32"/>
          <w:lang w:eastAsia="zh-CN"/>
        </w:rPr>
        <w:t>；</w:t>
      </w:r>
    </w:p>
    <w:p>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宋体" w:eastAsia="仿宋_GB2312" w:cs="宋体"/>
          <w:kern w:val="0"/>
          <w:sz w:val="32"/>
          <w:szCs w:val="32"/>
          <w:lang w:val="en-US" w:eastAsia="zh-CN"/>
        </w:rPr>
        <w:t>卫生健康支出</w:t>
      </w:r>
      <w:r>
        <w:rPr>
          <w:rFonts w:hint="eastAsia" w:ascii="仿宋_GB2312" w:hAnsi="宋体" w:eastAsia="仿宋_GB2312" w:cs="宋体"/>
          <w:b w:val="0"/>
          <w:bCs w:val="0"/>
          <w:kern w:val="0"/>
          <w:sz w:val="32"/>
          <w:szCs w:val="32"/>
          <w:lang w:val="en-US" w:eastAsia="zh-CN" w:bidi="ar-SA"/>
        </w:rPr>
        <w:t>（类）1298.81</w:t>
      </w:r>
      <w:r>
        <w:rPr>
          <w:rFonts w:hint="eastAsia" w:ascii="仿宋_GB2312" w:hAnsi="宋体" w:eastAsia="仿宋_GB2312" w:cs="宋体"/>
          <w:kern w:val="0"/>
          <w:sz w:val="32"/>
          <w:szCs w:val="32"/>
          <w:lang w:val="en-US" w:eastAsia="zh-CN"/>
        </w:rPr>
        <w:t>万元，</w:t>
      </w:r>
      <w:r>
        <w:rPr>
          <w:rFonts w:hint="eastAsia" w:ascii="仿宋_GB2312" w:eastAsia="仿宋_GB2312"/>
          <w:sz w:val="32"/>
          <w:szCs w:val="32"/>
        </w:rPr>
        <w:t>占</w:t>
      </w:r>
      <w:r>
        <w:rPr>
          <w:rFonts w:hint="eastAsia" w:ascii="仿宋_GB2312" w:eastAsia="仿宋_GB2312"/>
          <w:sz w:val="32"/>
          <w:szCs w:val="32"/>
          <w:lang w:val="en-US" w:eastAsia="zh-CN"/>
        </w:rPr>
        <w:t>95.1</w:t>
      </w:r>
      <w:r>
        <w:rPr>
          <w:rFonts w:hint="eastAsia" w:ascii="仿宋_GB2312" w:eastAsia="仿宋_GB2312"/>
          <w:sz w:val="32"/>
          <w:szCs w:val="32"/>
        </w:rPr>
        <w:t>%</w:t>
      </w:r>
      <w:r>
        <w:rPr>
          <w:rFonts w:hint="eastAsia" w:ascii="仿宋_GB2312" w:eastAsia="仿宋_GB2312"/>
          <w:sz w:val="32"/>
          <w:szCs w:val="32"/>
          <w:lang w:eastAsia="zh-CN"/>
        </w:rPr>
        <w:t>；</w:t>
      </w:r>
    </w:p>
    <w:p>
      <w:pPr>
        <w:ind w:firstLine="640"/>
        <w:rPr>
          <w:rFonts w:hint="default" w:ascii="仿宋_GB2312" w:hAnsi="宋体" w:eastAsia="仿宋_GB2312" w:cs="宋体"/>
          <w:b w:val="0"/>
          <w:bCs w:val="0"/>
          <w:kern w:val="0"/>
          <w:sz w:val="32"/>
          <w:szCs w:val="32"/>
          <w:lang w:val="en-US" w:eastAsia="zh-CN" w:bidi="ar-SA"/>
        </w:rPr>
      </w:pPr>
      <w:r>
        <w:rPr>
          <w:rFonts w:hint="eastAsia" w:ascii="仿宋_GB2312" w:hAnsi="宋体" w:eastAsia="仿宋_GB2312" w:cs="宋体"/>
          <w:b w:val="0"/>
          <w:bCs w:val="0"/>
          <w:kern w:val="0"/>
          <w:sz w:val="32"/>
          <w:szCs w:val="32"/>
          <w:lang w:val="en-US" w:eastAsia="zh-CN" w:bidi="ar-SA"/>
        </w:rPr>
        <w:t>3.住房保障支出（类）31.91万元，占2.33%。</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（三）一般公共预算当年拨款具体使用情况</w:t>
      </w:r>
    </w:p>
    <w:p>
      <w:pPr>
        <w:spacing w:line="56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1.</w:t>
      </w:r>
      <w:r>
        <w:rPr>
          <w:rFonts w:hint="eastAsia" w:ascii="仿宋_GB2312" w:hAnsi="宋体" w:eastAsia="仿宋_GB2312" w:cs="宋体"/>
          <w:b w:val="0"/>
          <w:bCs w:val="0"/>
          <w:kern w:val="0"/>
          <w:sz w:val="32"/>
          <w:szCs w:val="32"/>
          <w:lang w:val="en-US" w:eastAsia="zh-CN" w:bidi="ar-SA"/>
        </w:rPr>
        <w:t>208社会保障和就业支出（类）行政事业单位养老支出（款）机关事业单位基本养老保险缴费支出（项）：2022年预算数为35.06万元，</w:t>
      </w:r>
      <w:r>
        <w:rPr>
          <w:rFonts w:hint="eastAsia" w:ascii="仿宋_GB2312" w:hAnsi="仿宋_GB2312" w:eastAsia="仿宋_GB2312" w:cs="仿宋_GB2312"/>
          <w:kern w:val="0"/>
          <w:sz w:val="32"/>
          <w:szCs w:val="32"/>
        </w:rPr>
        <w:t>比上年预算增加</w:t>
      </w:r>
      <w:r>
        <w:rPr>
          <w:rFonts w:hint="eastAsia" w:ascii="仿宋_GB2312" w:hAnsi="仿宋_GB2312" w:eastAsia="仿宋_GB2312" w:cs="仿宋_GB2312"/>
          <w:kern w:val="0"/>
          <w:sz w:val="32"/>
          <w:szCs w:val="32"/>
          <w:lang w:val="en-US" w:eastAsia="zh-CN"/>
        </w:rPr>
        <w:t>3.05</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9.53</w:t>
      </w:r>
      <w:r>
        <w:rPr>
          <w:rFonts w:hint="eastAsia" w:ascii="仿宋_GB2312" w:hAnsi="仿宋_GB2312" w:eastAsia="仿宋_GB2312" w:cs="仿宋_GB2312"/>
          <w:kern w:val="0"/>
          <w:sz w:val="32"/>
          <w:szCs w:val="32"/>
        </w:rPr>
        <w:t>%，主要原因是：</w:t>
      </w:r>
      <w:r>
        <w:rPr>
          <w:rFonts w:hint="eastAsia" w:ascii="仿宋_GB2312" w:hAnsi="宋体" w:eastAsia="仿宋_GB2312" w:cs="宋体"/>
          <w:b w:val="0"/>
          <w:bCs w:val="0"/>
          <w:kern w:val="0"/>
          <w:sz w:val="32"/>
          <w:szCs w:val="32"/>
          <w:lang w:val="en-US" w:eastAsia="zh-CN" w:bidi="ar-SA"/>
        </w:rPr>
        <w:t>机关事业单位基本养老保险缴费基数调整至拨款增加</w:t>
      </w:r>
      <w:r>
        <w:rPr>
          <w:rFonts w:hint="eastAsia" w:ascii="仿宋_GB2312" w:hAnsi="仿宋_GB2312" w:eastAsia="仿宋_GB2312" w:cs="仿宋_GB2312"/>
          <w:kern w:val="0"/>
          <w:sz w:val="32"/>
          <w:szCs w:val="32"/>
          <w:lang w:eastAsia="zh-CN"/>
        </w:rPr>
        <w:t>；</w:t>
      </w:r>
    </w:p>
    <w:p>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宋体" w:eastAsia="仿宋_GB2312" w:cs="宋体"/>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行政事业单位医疗</w:t>
      </w:r>
      <w:r>
        <w:rPr>
          <w:rFonts w:hint="eastAsia" w:ascii="仿宋_GB2312" w:hAnsi="宋体" w:eastAsia="仿宋_GB2312" w:cs="宋体"/>
          <w:b w:val="0"/>
          <w:bCs w:val="0"/>
          <w:kern w:val="0"/>
          <w:sz w:val="32"/>
          <w:szCs w:val="32"/>
          <w:lang w:val="en-US" w:eastAsia="zh-CN" w:bidi="ar-SA"/>
        </w:rPr>
        <w:t>（款）</w:t>
      </w:r>
      <w:r>
        <w:rPr>
          <w:rFonts w:hint="eastAsia" w:ascii="仿宋_GB2312" w:hAnsi="宋体" w:eastAsia="仿宋_GB2312" w:cs="宋体"/>
          <w:kern w:val="0"/>
          <w:sz w:val="32"/>
          <w:szCs w:val="32"/>
          <w:lang w:val="en-US" w:eastAsia="zh-CN"/>
        </w:rPr>
        <w:t>行政单位医疗</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hAnsi="宋体" w:eastAsia="仿宋_GB2312" w:cs="宋体"/>
          <w:kern w:val="0"/>
          <w:sz w:val="32"/>
          <w:szCs w:val="32"/>
          <w:lang w:val="en-US" w:eastAsia="zh-CN"/>
        </w:rPr>
        <w:t>8.01万元，</w:t>
      </w:r>
      <w:r>
        <w:rPr>
          <w:rFonts w:hint="eastAsia" w:ascii="仿宋_GB2312" w:hAnsi="仿宋_GB2312" w:eastAsia="仿宋_GB2312" w:cs="仿宋_GB2312"/>
          <w:kern w:val="0"/>
          <w:sz w:val="32"/>
          <w:szCs w:val="32"/>
        </w:rPr>
        <w:t>比上年预算</w:t>
      </w:r>
      <w:r>
        <w:rPr>
          <w:rFonts w:hint="eastAsia" w:ascii="仿宋_GB2312" w:hAnsi="仿宋_GB2312" w:eastAsia="仿宋_GB2312" w:cs="仿宋_GB2312"/>
          <w:kern w:val="0"/>
          <w:sz w:val="32"/>
          <w:szCs w:val="32"/>
          <w:lang w:val="en-US" w:eastAsia="zh-CN"/>
        </w:rPr>
        <w:t>减少10.99</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下降</w:t>
      </w:r>
      <w:r>
        <w:rPr>
          <w:rFonts w:hint="eastAsia" w:ascii="仿宋_GB2312" w:hAnsi="仿宋_GB2312" w:eastAsia="仿宋_GB2312" w:cs="仿宋_GB2312"/>
          <w:kern w:val="0"/>
          <w:sz w:val="32"/>
          <w:szCs w:val="32"/>
          <w:lang w:val="en-US" w:eastAsia="zh-CN"/>
        </w:rPr>
        <w:t>57.84</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：上年行政单位医疗包含事业单位医疗</w:t>
      </w:r>
      <w:r>
        <w:rPr>
          <w:rFonts w:hint="eastAsia" w:ascii="仿宋_GB2312" w:eastAsia="仿宋_GB2312"/>
          <w:sz w:val="32"/>
          <w:szCs w:val="32"/>
          <w:lang w:eastAsia="zh-CN"/>
        </w:rPr>
        <w:t>；</w:t>
      </w:r>
    </w:p>
    <w:p>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lang w:val="en-US" w:eastAsia="zh-CN"/>
        </w:rPr>
        <w:t>3.</w:t>
      </w:r>
      <w:r>
        <w:rPr>
          <w:rFonts w:hint="eastAsia" w:ascii="仿宋_GB2312" w:hAnsi="宋体" w:eastAsia="仿宋_GB2312" w:cs="宋体"/>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行政事业单位医疗</w:t>
      </w:r>
      <w:r>
        <w:rPr>
          <w:rFonts w:hint="eastAsia" w:ascii="仿宋_GB2312" w:hAnsi="宋体" w:eastAsia="仿宋_GB2312" w:cs="宋体"/>
          <w:b w:val="0"/>
          <w:bCs w:val="0"/>
          <w:kern w:val="0"/>
          <w:sz w:val="32"/>
          <w:szCs w:val="32"/>
          <w:lang w:val="en-US" w:eastAsia="zh-CN" w:bidi="ar-SA"/>
        </w:rPr>
        <w:t>（款）</w:t>
      </w:r>
      <w:r>
        <w:rPr>
          <w:rFonts w:hint="eastAsia" w:ascii="仿宋_GB2312" w:hAnsi="宋体" w:eastAsia="仿宋_GB2312" w:cs="宋体"/>
          <w:kern w:val="0"/>
          <w:sz w:val="32"/>
          <w:szCs w:val="32"/>
          <w:lang w:val="en-US" w:eastAsia="zh-CN"/>
        </w:rPr>
        <w:t>事业单位医疗</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eastAsia="仿宋_GB2312"/>
          <w:sz w:val="32"/>
          <w:szCs w:val="32"/>
          <w:lang w:val="en-US" w:eastAsia="zh-CN"/>
        </w:rPr>
        <w:t>12.81万元，</w:t>
      </w:r>
      <w:r>
        <w:rPr>
          <w:rFonts w:hint="eastAsia" w:ascii="仿宋_GB2312" w:hAnsi="仿宋_GB2312" w:eastAsia="仿宋_GB2312" w:cs="仿宋_GB2312"/>
          <w:kern w:val="0"/>
          <w:sz w:val="32"/>
          <w:szCs w:val="32"/>
        </w:rPr>
        <w:t>比上年预算增加</w:t>
      </w:r>
      <w:r>
        <w:rPr>
          <w:rFonts w:hint="eastAsia" w:ascii="仿宋_GB2312" w:hAnsi="仿宋_GB2312" w:eastAsia="仿宋_GB2312" w:cs="仿宋_GB2312"/>
          <w:kern w:val="0"/>
          <w:sz w:val="32"/>
          <w:szCs w:val="32"/>
          <w:lang w:val="en-US" w:eastAsia="zh-CN"/>
        </w:rPr>
        <w:t>12.81</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今年</w:t>
      </w:r>
      <w:r>
        <w:rPr>
          <w:rFonts w:hint="eastAsia" w:ascii="仿宋_GB2312" w:hAnsi="宋体" w:eastAsia="仿宋_GB2312" w:cs="宋体"/>
          <w:kern w:val="0"/>
          <w:sz w:val="32"/>
          <w:szCs w:val="32"/>
        </w:rPr>
        <w:t>新增此功能分类</w:t>
      </w:r>
      <w:r>
        <w:rPr>
          <w:rFonts w:hint="eastAsia" w:ascii="仿宋_GB2312" w:hAnsi="宋体" w:eastAsia="仿宋_GB2312" w:cs="宋体"/>
          <w:kern w:val="0"/>
          <w:sz w:val="32"/>
          <w:szCs w:val="32"/>
          <w:lang w:eastAsia="zh-CN"/>
        </w:rPr>
        <w:t>科目</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上年</w:t>
      </w:r>
      <w:r>
        <w:rPr>
          <w:rFonts w:hint="eastAsia" w:ascii="仿宋_GB2312" w:hAnsi="宋体" w:eastAsia="仿宋_GB2312" w:cs="宋体"/>
          <w:kern w:val="0"/>
          <w:sz w:val="32"/>
          <w:szCs w:val="32"/>
        </w:rPr>
        <w:t>无此分类</w:t>
      </w:r>
      <w:r>
        <w:rPr>
          <w:rFonts w:hint="eastAsia" w:ascii="仿宋_GB2312" w:eastAsia="仿宋_GB2312"/>
          <w:sz w:val="32"/>
          <w:szCs w:val="32"/>
          <w:lang w:eastAsia="zh-CN"/>
        </w:rPr>
        <w:t>；</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hAnsi="宋体" w:eastAsia="仿宋_GB2312" w:cs="宋体"/>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行政事业单位医疗</w:t>
      </w:r>
      <w:r>
        <w:rPr>
          <w:rFonts w:hint="eastAsia" w:ascii="仿宋_GB2312" w:hAnsi="宋体" w:eastAsia="仿宋_GB2312" w:cs="宋体"/>
          <w:b w:val="0"/>
          <w:bCs w:val="0"/>
          <w:kern w:val="0"/>
          <w:sz w:val="32"/>
          <w:szCs w:val="32"/>
          <w:lang w:val="en-US" w:eastAsia="zh-CN" w:bidi="ar-SA"/>
        </w:rPr>
        <w:t>（款）</w:t>
      </w:r>
      <w:r>
        <w:rPr>
          <w:rFonts w:hint="eastAsia" w:ascii="仿宋_GB2312" w:eastAsia="仿宋_GB2312"/>
          <w:b w:val="0"/>
          <w:bCs w:val="0"/>
          <w:sz w:val="32"/>
          <w:szCs w:val="32"/>
          <w:lang w:val="en-US" w:eastAsia="zh-CN"/>
        </w:rPr>
        <w:t>公务员医疗补助</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eastAsia="仿宋_GB2312"/>
          <w:b w:val="0"/>
          <w:bCs w:val="0"/>
          <w:sz w:val="32"/>
          <w:szCs w:val="32"/>
          <w:lang w:val="en-US" w:eastAsia="zh-CN"/>
        </w:rPr>
        <w:t>6.57万元，</w:t>
      </w:r>
      <w:r>
        <w:rPr>
          <w:rFonts w:hint="eastAsia" w:ascii="仿宋_GB2312" w:hAnsi="仿宋_GB2312" w:eastAsia="仿宋_GB2312" w:cs="仿宋_GB2312"/>
          <w:kern w:val="0"/>
          <w:sz w:val="32"/>
          <w:szCs w:val="32"/>
        </w:rPr>
        <w:t>比上年预算增加</w:t>
      </w:r>
      <w:r>
        <w:rPr>
          <w:rFonts w:hint="eastAsia" w:ascii="仿宋_GB2312" w:hAnsi="仿宋_GB2312" w:eastAsia="仿宋_GB2312" w:cs="仿宋_GB2312"/>
          <w:kern w:val="0"/>
          <w:sz w:val="32"/>
          <w:szCs w:val="32"/>
          <w:lang w:val="en-US" w:eastAsia="zh-CN"/>
        </w:rPr>
        <w:t>0.57</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9.5</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公务员医疗补助基数调整至财政拨款增加</w:t>
      </w:r>
      <w:r>
        <w:rPr>
          <w:rFonts w:hint="eastAsia" w:ascii="仿宋_GB2312" w:eastAsia="仿宋_GB2312"/>
          <w:b w:val="0"/>
          <w:bCs w:val="0"/>
          <w:sz w:val="32"/>
          <w:szCs w:val="32"/>
          <w:lang w:eastAsia="zh-CN"/>
        </w:rPr>
        <w:t>；</w:t>
      </w:r>
    </w:p>
    <w:p>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5.</w:t>
      </w:r>
      <w:r>
        <w:rPr>
          <w:rFonts w:hint="eastAsia" w:ascii="仿宋_GB2312" w:hAnsi="宋体" w:eastAsia="仿宋_GB2312" w:cs="宋体"/>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行政事业单位医疗</w:t>
      </w:r>
      <w:r>
        <w:rPr>
          <w:rFonts w:hint="eastAsia" w:ascii="仿宋_GB2312" w:hAnsi="宋体" w:eastAsia="仿宋_GB2312" w:cs="宋体"/>
          <w:b w:val="0"/>
          <w:bCs w:val="0"/>
          <w:kern w:val="0"/>
          <w:sz w:val="32"/>
          <w:szCs w:val="32"/>
          <w:lang w:val="en-US" w:eastAsia="zh-CN" w:bidi="ar-SA"/>
        </w:rPr>
        <w:t>（款）</w:t>
      </w:r>
      <w:r>
        <w:rPr>
          <w:rFonts w:hint="eastAsia" w:ascii="仿宋_GB2312" w:hAnsi="宋体" w:eastAsia="仿宋_GB2312" w:cs="宋体"/>
          <w:kern w:val="0"/>
          <w:sz w:val="32"/>
          <w:szCs w:val="32"/>
          <w:lang w:val="en-US" w:eastAsia="zh-CN" w:bidi="ar-SA"/>
        </w:rPr>
        <w:t>其他行政事业单位医疗支出</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hAnsi="宋体" w:eastAsia="仿宋_GB2312" w:cs="宋体"/>
          <w:kern w:val="0"/>
          <w:sz w:val="32"/>
          <w:szCs w:val="32"/>
          <w:lang w:val="en-US" w:eastAsia="zh-CN" w:bidi="ar-SA"/>
        </w:rPr>
        <w:t>0.16万元，</w:t>
      </w:r>
      <w:r>
        <w:rPr>
          <w:rFonts w:hint="eastAsia" w:ascii="仿宋_GB2312" w:hAnsi="仿宋_GB2312" w:eastAsia="仿宋_GB2312" w:cs="仿宋_GB2312"/>
          <w:kern w:val="0"/>
          <w:sz w:val="32"/>
          <w:szCs w:val="32"/>
        </w:rPr>
        <w:t>比上年预算</w:t>
      </w:r>
      <w:r>
        <w:rPr>
          <w:rFonts w:hint="eastAsia" w:ascii="仿宋_GB2312" w:hAnsi="仿宋_GB2312" w:eastAsia="仿宋_GB2312" w:cs="仿宋_GB2312"/>
          <w:kern w:val="0"/>
          <w:sz w:val="32"/>
          <w:szCs w:val="32"/>
          <w:lang w:eastAsia="zh-CN"/>
        </w:rPr>
        <w:t>减少</w:t>
      </w:r>
      <w:r>
        <w:rPr>
          <w:rFonts w:hint="eastAsia" w:ascii="仿宋_GB2312" w:hAnsi="仿宋_GB2312" w:eastAsia="仿宋_GB2312" w:cs="仿宋_GB2312"/>
          <w:kern w:val="0"/>
          <w:sz w:val="32"/>
          <w:szCs w:val="32"/>
          <w:lang w:val="en-US" w:eastAsia="zh-CN"/>
        </w:rPr>
        <w:t>0.4</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下降</w:t>
      </w:r>
      <w:r>
        <w:rPr>
          <w:rFonts w:hint="eastAsia" w:ascii="仿宋_GB2312" w:hAnsi="仿宋_GB2312" w:eastAsia="仿宋_GB2312" w:cs="仿宋_GB2312"/>
          <w:kern w:val="0"/>
          <w:sz w:val="32"/>
          <w:szCs w:val="32"/>
          <w:lang w:val="en-US" w:eastAsia="zh-CN"/>
        </w:rPr>
        <w:t>71.43</w:t>
      </w:r>
      <w:r>
        <w:rPr>
          <w:rFonts w:hint="eastAsia" w:ascii="仿宋_GB2312" w:hAnsi="仿宋_GB2312" w:eastAsia="仿宋_GB2312" w:cs="仿宋_GB2312"/>
          <w:kern w:val="0"/>
          <w:sz w:val="32"/>
          <w:szCs w:val="32"/>
        </w:rPr>
        <w:t>%，主要原因是：</w:t>
      </w:r>
      <w:r>
        <w:rPr>
          <w:rFonts w:hint="eastAsia" w:ascii="仿宋_GB2312" w:hAnsi="宋体" w:eastAsia="仿宋_GB2312" w:cs="宋体"/>
          <w:kern w:val="0"/>
          <w:sz w:val="32"/>
          <w:szCs w:val="32"/>
          <w:lang w:val="en-US" w:eastAsia="zh-CN" w:bidi="ar-SA"/>
        </w:rPr>
        <w:t>其他行政事业单位医疗支出财政拨款减少</w:t>
      </w:r>
      <w:r>
        <w:rPr>
          <w:rFonts w:hint="eastAsia" w:ascii="仿宋_GB2312" w:eastAsia="仿宋_GB2312"/>
          <w:sz w:val="32"/>
          <w:szCs w:val="32"/>
          <w:lang w:eastAsia="zh-CN"/>
        </w:rPr>
        <w:t>；</w:t>
      </w:r>
    </w:p>
    <w:p>
      <w:pPr>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eastAsia="仿宋_GB2312"/>
          <w:sz w:val="32"/>
          <w:szCs w:val="32"/>
          <w:lang w:val="en-US" w:eastAsia="zh-CN"/>
        </w:rPr>
        <w:t>6.</w:t>
      </w:r>
      <w:r>
        <w:rPr>
          <w:rFonts w:hint="eastAsia" w:ascii="仿宋_GB2312" w:hAnsi="宋体" w:eastAsia="仿宋_GB2312" w:cs="宋体"/>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医疗保障管理事务</w:t>
      </w:r>
      <w:r>
        <w:rPr>
          <w:rFonts w:hint="eastAsia" w:ascii="仿宋_GB2312" w:hAnsi="宋体" w:eastAsia="仿宋_GB2312" w:cs="宋体"/>
          <w:b w:val="0"/>
          <w:bCs w:val="0"/>
          <w:kern w:val="0"/>
          <w:sz w:val="32"/>
          <w:szCs w:val="32"/>
          <w:lang w:val="en-US" w:eastAsia="zh-CN" w:bidi="ar-SA"/>
        </w:rPr>
        <w:t>（款）</w:t>
      </w:r>
      <w:r>
        <w:rPr>
          <w:rFonts w:hint="eastAsia" w:ascii="仿宋_GB2312" w:eastAsia="仿宋_GB2312"/>
          <w:sz w:val="32"/>
          <w:szCs w:val="32"/>
          <w:lang w:val="en-US" w:eastAsia="zh-CN"/>
        </w:rPr>
        <w:t>行政运行</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eastAsia="仿宋_GB2312"/>
          <w:sz w:val="32"/>
          <w:szCs w:val="32"/>
          <w:lang w:val="en-US" w:eastAsia="zh-CN"/>
        </w:rPr>
        <w:t>293.61</w:t>
      </w:r>
      <w:r>
        <w:rPr>
          <w:rFonts w:hint="eastAsia" w:ascii="仿宋_GB2312" w:eastAsia="仿宋_GB2312"/>
          <w:sz w:val="32"/>
          <w:szCs w:val="32"/>
        </w:rPr>
        <w:t>万元，</w:t>
      </w:r>
      <w:r>
        <w:rPr>
          <w:rFonts w:hint="eastAsia" w:ascii="仿宋_GB2312" w:hAnsi="仿宋_GB2312" w:eastAsia="仿宋_GB2312" w:cs="仿宋_GB2312"/>
          <w:kern w:val="0"/>
          <w:sz w:val="32"/>
          <w:szCs w:val="32"/>
        </w:rPr>
        <w:t>比上年预算</w:t>
      </w:r>
      <w:r>
        <w:rPr>
          <w:rFonts w:hint="eastAsia" w:ascii="仿宋_GB2312" w:hAnsi="仿宋_GB2312" w:eastAsia="仿宋_GB2312" w:cs="仿宋_GB2312"/>
          <w:kern w:val="0"/>
          <w:sz w:val="32"/>
          <w:szCs w:val="32"/>
          <w:lang w:eastAsia="zh-CN"/>
        </w:rPr>
        <w:t>减少</w:t>
      </w:r>
      <w:r>
        <w:rPr>
          <w:rFonts w:hint="eastAsia" w:ascii="仿宋_GB2312" w:hAnsi="仿宋_GB2312" w:eastAsia="仿宋_GB2312" w:cs="仿宋_GB2312"/>
          <w:kern w:val="0"/>
          <w:sz w:val="32"/>
          <w:szCs w:val="32"/>
          <w:lang w:val="en-US" w:eastAsia="zh-CN"/>
        </w:rPr>
        <w:t>35.92</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下降</w:t>
      </w:r>
      <w:r>
        <w:rPr>
          <w:rFonts w:hint="eastAsia" w:ascii="仿宋_GB2312" w:hAnsi="仿宋_GB2312" w:eastAsia="仿宋_GB2312" w:cs="仿宋_GB2312"/>
          <w:kern w:val="0"/>
          <w:sz w:val="32"/>
          <w:szCs w:val="32"/>
          <w:lang w:val="en-US" w:eastAsia="zh-CN"/>
        </w:rPr>
        <w:t>10.9</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上年行政运行包含住房公积金此功能分类科目</w:t>
      </w:r>
      <w:r>
        <w:rPr>
          <w:rFonts w:hint="eastAsia" w:ascii="仿宋_GB2312" w:eastAsia="仿宋_GB2312"/>
          <w:sz w:val="32"/>
          <w:szCs w:val="32"/>
          <w:lang w:eastAsia="zh-CN"/>
        </w:rPr>
        <w:t>；</w:t>
      </w:r>
    </w:p>
    <w:p>
      <w:pPr>
        <w:spacing w:line="560" w:lineRule="exact"/>
        <w:ind w:firstLine="640" w:firstLineChars="200"/>
        <w:rPr>
          <w:rFonts w:hint="eastAsia" w:ascii="仿宋_GB2312" w:eastAsia="仿宋_GB2312"/>
          <w:sz w:val="32"/>
          <w:szCs w:val="32"/>
          <w:lang w:eastAsia="zh-CN"/>
        </w:rPr>
      </w:pPr>
      <w:r>
        <w:rPr>
          <w:rFonts w:hint="eastAsia" w:ascii="仿宋_GB2312" w:hAnsi="宋体" w:eastAsia="仿宋_GB2312" w:cs="宋体"/>
          <w:kern w:val="0"/>
          <w:sz w:val="32"/>
          <w:szCs w:val="32"/>
          <w:lang w:val="en-US" w:eastAsia="zh-CN"/>
        </w:rPr>
        <w:t>7.210卫生健康支出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kern w:val="0"/>
          <w:sz w:val="32"/>
          <w:szCs w:val="32"/>
          <w:lang w:val="en-US" w:eastAsia="zh-CN"/>
        </w:rPr>
        <w:t>医疗保障管理事务</w:t>
      </w:r>
      <w:r>
        <w:rPr>
          <w:rFonts w:hint="eastAsia" w:ascii="仿宋_GB2312" w:hAnsi="宋体" w:eastAsia="仿宋_GB2312" w:cs="宋体"/>
          <w:b w:val="0"/>
          <w:bCs w:val="0"/>
          <w:kern w:val="0"/>
          <w:sz w:val="32"/>
          <w:szCs w:val="32"/>
          <w:lang w:val="en-US" w:eastAsia="zh-CN" w:bidi="ar-SA"/>
        </w:rPr>
        <w:t>（款）</w:t>
      </w:r>
      <w:r>
        <w:rPr>
          <w:rFonts w:hint="eastAsia" w:ascii="仿宋_GB2312" w:hAnsi="宋体" w:eastAsia="仿宋_GB2312" w:cs="宋体"/>
          <w:kern w:val="0"/>
          <w:sz w:val="32"/>
          <w:szCs w:val="32"/>
          <w:lang w:val="en-US" w:eastAsia="zh-CN" w:bidi="ar-SA"/>
        </w:rPr>
        <w:t>一般行政管理事务</w:t>
      </w:r>
      <w:r>
        <w:rPr>
          <w:rFonts w:hint="eastAsia" w:ascii="仿宋_GB2312" w:hAnsi="宋体" w:eastAsia="仿宋_GB2312" w:cs="宋体"/>
          <w:b w:val="0"/>
          <w:bCs w:val="0"/>
          <w:kern w:val="0"/>
          <w:sz w:val="32"/>
          <w:szCs w:val="32"/>
          <w:lang w:val="en-US" w:eastAsia="zh-CN" w:bidi="ar-SA"/>
        </w:rPr>
        <w:t>（项）：2022年预算数为</w:t>
      </w:r>
      <w:r>
        <w:rPr>
          <w:rFonts w:hint="eastAsia" w:ascii="仿宋_GB2312" w:hAnsi="宋体" w:eastAsia="仿宋_GB2312" w:cs="宋体"/>
          <w:kern w:val="0"/>
          <w:sz w:val="32"/>
          <w:szCs w:val="32"/>
          <w:lang w:val="en-US" w:eastAsia="zh-CN" w:bidi="ar-SA"/>
        </w:rPr>
        <w:t>220万元，</w:t>
      </w:r>
      <w:r>
        <w:rPr>
          <w:rFonts w:hint="eastAsia" w:ascii="仿宋_GB2312" w:hAnsi="仿宋_GB2312" w:eastAsia="仿宋_GB2312" w:cs="仿宋_GB2312"/>
          <w:kern w:val="0"/>
          <w:sz w:val="32"/>
          <w:szCs w:val="32"/>
        </w:rPr>
        <w:t>比上年预算</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120</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增长</w:t>
      </w:r>
      <w:r>
        <w:rPr>
          <w:rFonts w:hint="eastAsia" w:ascii="仿宋_GB2312" w:hAnsi="仿宋_GB2312" w:eastAsia="仿宋_GB2312" w:cs="仿宋_GB2312"/>
          <w:kern w:val="0"/>
          <w:sz w:val="32"/>
          <w:szCs w:val="32"/>
          <w:lang w:val="en-US" w:eastAsia="zh-CN"/>
        </w:rPr>
        <w:t>120</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医保局医保经办中心公共耗材及工作经费与医疗基金监管工作经费增加</w:t>
      </w:r>
      <w:r>
        <w:rPr>
          <w:rFonts w:hint="eastAsia" w:ascii="仿宋_GB2312" w:eastAsia="仿宋_GB2312"/>
          <w:sz w:val="32"/>
          <w:szCs w:val="32"/>
          <w:lang w:eastAsia="zh-CN"/>
        </w:rPr>
        <w:t>；</w:t>
      </w:r>
    </w:p>
    <w:p>
      <w:pPr>
        <w:pStyle w:val="2"/>
        <w:ind w:left="0" w:leftChars="0" w:firstLine="640" w:firstLineChars="0"/>
        <w:jc w:val="both"/>
        <w:rPr>
          <w:rFonts w:hint="eastAsia" w:hAnsi="宋体" w:cs="宋体"/>
          <w:b w:val="0"/>
          <w:bCs w:val="0"/>
          <w:kern w:val="0"/>
          <w:sz w:val="32"/>
          <w:szCs w:val="32"/>
          <w:lang w:val="en-US" w:eastAsia="zh-CN" w:bidi="ar-SA"/>
        </w:rPr>
      </w:pPr>
      <w:r>
        <w:rPr>
          <w:rFonts w:hint="eastAsia" w:ascii="仿宋_GB2312" w:hAnsi="宋体" w:eastAsia="仿宋_GB2312" w:cs="宋体"/>
          <w:b w:val="0"/>
          <w:bCs w:val="0"/>
          <w:kern w:val="0"/>
          <w:sz w:val="32"/>
          <w:szCs w:val="32"/>
          <w:lang w:val="en-US" w:eastAsia="zh-CN" w:bidi="ar-SA"/>
        </w:rPr>
        <w:t>8.</w:t>
      </w:r>
      <w:r>
        <w:rPr>
          <w:rFonts w:hint="eastAsia" w:ascii="仿宋_GB2312" w:hAnsi="宋体" w:eastAsia="仿宋_GB2312" w:cs="宋体"/>
          <w:b w:val="0"/>
          <w:bCs w:val="0"/>
          <w:kern w:val="0"/>
          <w:sz w:val="32"/>
          <w:szCs w:val="32"/>
          <w:lang w:val="en-US" w:eastAsia="zh-CN"/>
        </w:rPr>
        <w:t>210卫生健康支出</w:t>
      </w:r>
      <w:r>
        <w:rPr>
          <w:rFonts w:hint="eastAsia" w:ascii="仿宋_GB2312" w:hAnsi="宋体" w:eastAsia="仿宋_GB2312" w:cs="宋体"/>
          <w:b w:val="0"/>
          <w:bCs w:val="0"/>
          <w:kern w:val="0"/>
          <w:sz w:val="32"/>
          <w:szCs w:val="32"/>
          <w:lang w:val="en-US" w:eastAsia="zh-CN" w:bidi="ar-SA"/>
        </w:rPr>
        <w:t>（类）</w:t>
      </w:r>
      <w:r>
        <w:rPr>
          <w:rFonts w:hint="eastAsia" w:ascii="仿宋_GB2312" w:hAnsi="宋体" w:eastAsia="仿宋_GB2312" w:cs="宋体"/>
          <w:b w:val="0"/>
          <w:bCs w:val="0"/>
          <w:kern w:val="0"/>
          <w:sz w:val="32"/>
          <w:szCs w:val="32"/>
          <w:lang w:val="en-US" w:eastAsia="zh-CN"/>
        </w:rPr>
        <w:t>医疗保障管理事务</w:t>
      </w:r>
      <w:r>
        <w:rPr>
          <w:rFonts w:hint="eastAsia" w:ascii="仿宋_GB2312" w:hAnsi="宋体" w:eastAsia="仿宋_GB2312" w:cs="宋体"/>
          <w:b w:val="0"/>
          <w:bCs w:val="0"/>
          <w:kern w:val="0"/>
          <w:sz w:val="32"/>
          <w:szCs w:val="32"/>
          <w:lang w:val="en-US" w:eastAsia="zh-CN" w:bidi="ar-SA"/>
        </w:rPr>
        <w:t>（款）其他医疗保障管理事务支出（项）：2022年预算数为</w:t>
      </w:r>
      <w:r>
        <w:rPr>
          <w:rFonts w:hint="eastAsia" w:hAnsi="宋体" w:cs="宋体"/>
          <w:b w:val="0"/>
          <w:bCs w:val="0"/>
          <w:kern w:val="0"/>
          <w:sz w:val="32"/>
          <w:szCs w:val="32"/>
          <w:lang w:val="en-US" w:eastAsia="zh-CN" w:bidi="ar-SA"/>
        </w:rPr>
        <w:t>757.65</w:t>
      </w:r>
      <w:r>
        <w:rPr>
          <w:rFonts w:hint="eastAsia" w:ascii="仿宋_GB2312" w:hAnsi="宋体" w:eastAsia="仿宋_GB2312" w:cs="宋体"/>
          <w:b w:val="0"/>
          <w:bCs w:val="0"/>
          <w:kern w:val="0"/>
          <w:sz w:val="32"/>
          <w:szCs w:val="32"/>
          <w:lang w:val="en-US" w:eastAsia="zh-CN" w:bidi="ar-SA"/>
        </w:rPr>
        <w:t>万元，比上年预算</w:t>
      </w:r>
      <w:r>
        <w:rPr>
          <w:rFonts w:hint="eastAsia" w:hAnsi="宋体" w:cs="宋体"/>
          <w:b w:val="0"/>
          <w:bCs w:val="0"/>
          <w:kern w:val="0"/>
          <w:sz w:val="32"/>
          <w:szCs w:val="32"/>
          <w:lang w:val="en-US" w:eastAsia="zh-CN" w:bidi="ar-SA"/>
        </w:rPr>
        <w:t>减少328.85</w:t>
      </w:r>
      <w:r>
        <w:rPr>
          <w:rFonts w:hint="eastAsia" w:ascii="仿宋_GB2312" w:hAnsi="宋体" w:eastAsia="仿宋_GB2312" w:cs="宋体"/>
          <w:b w:val="0"/>
          <w:bCs w:val="0"/>
          <w:kern w:val="0"/>
          <w:sz w:val="32"/>
          <w:szCs w:val="32"/>
          <w:lang w:val="en-US" w:eastAsia="zh-CN" w:bidi="ar-SA"/>
        </w:rPr>
        <w:t>万元，</w:t>
      </w:r>
      <w:r>
        <w:rPr>
          <w:rFonts w:hint="eastAsia" w:hAnsi="宋体" w:cs="宋体"/>
          <w:b w:val="0"/>
          <w:bCs w:val="0"/>
          <w:kern w:val="0"/>
          <w:sz w:val="32"/>
          <w:szCs w:val="32"/>
          <w:lang w:val="en-US" w:eastAsia="zh-CN" w:bidi="ar-SA"/>
        </w:rPr>
        <w:t>下降30.27</w:t>
      </w:r>
      <w:r>
        <w:rPr>
          <w:rFonts w:hint="eastAsia" w:ascii="仿宋_GB2312" w:hAnsi="宋体" w:eastAsia="仿宋_GB2312" w:cs="宋体"/>
          <w:b w:val="0"/>
          <w:bCs w:val="0"/>
          <w:kern w:val="0"/>
          <w:sz w:val="32"/>
          <w:szCs w:val="32"/>
          <w:lang w:val="en-US" w:eastAsia="zh-CN" w:bidi="ar-SA"/>
        </w:rPr>
        <w:t>%，主要原因是：</w:t>
      </w:r>
      <w:r>
        <w:rPr>
          <w:rFonts w:hint="eastAsia" w:hAnsi="宋体" w:cs="宋体"/>
          <w:b w:val="0"/>
          <w:bCs w:val="0"/>
          <w:kern w:val="0"/>
          <w:sz w:val="32"/>
          <w:szCs w:val="32"/>
          <w:lang w:val="en-US" w:eastAsia="zh-CN" w:bidi="ar-SA"/>
        </w:rPr>
        <w:t>部分项目经费减少；</w:t>
      </w:r>
    </w:p>
    <w:p>
      <w:pPr>
        <w:ind w:firstLine="640"/>
        <w:rPr>
          <w:rFonts w:ascii="仿宋_GB2312" w:hAnsi="仿宋_GB2312" w:eastAsia="仿宋_GB2312" w:cs="仿宋_GB2312"/>
          <w:b/>
          <w:kern w:val="0"/>
          <w:sz w:val="32"/>
          <w:szCs w:val="32"/>
        </w:rPr>
      </w:pPr>
      <w:r>
        <w:rPr>
          <w:rFonts w:hint="eastAsia" w:ascii="仿宋_GB2312" w:hAnsi="宋体" w:eastAsia="仿宋_GB2312" w:cs="宋体"/>
          <w:b w:val="0"/>
          <w:bCs w:val="0"/>
          <w:kern w:val="0"/>
          <w:sz w:val="32"/>
          <w:szCs w:val="32"/>
          <w:lang w:val="en-US" w:eastAsia="zh-CN" w:bidi="ar-SA"/>
        </w:rPr>
        <w:t>9.221住房保障支出（类）住房改革支出（款）住房公积金（项）31.91万元，</w:t>
      </w:r>
      <w:r>
        <w:rPr>
          <w:rFonts w:hint="eastAsia" w:ascii="仿宋_GB2312" w:hAnsi="仿宋_GB2312" w:eastAsia="仿宋_GB2312" w:cs="仿宋_GB2312"/>
          <w:kern w:val="0"/>
          <w:sz w:val="32"/>
          <w:szCs w:val="32"/>
        </w:rPr>
        <w:t>比上年预算</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31.91</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增长</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今年</w:t>
      </w:r>
      <w:r>
        <w:rPr>
          <w:rFonts w:hint="eastAsia" w:ascii="仿宋_GB2312" w:hAnsi="宋体" w:eastAsia="仿宋_GB2312" w:cs="宋体"/>
          <w:kern w:val="0"/>
          <w:sz w:val="32"/>
          <w:szCs w:val="32"/>
        </w:rPr>
        <w:t>新增此功能分类</w:t>
      </w:r>
      <w:r>
        <w:rPr>
          <w:rFonts w:hint="eastAsia" w:ascii="仿宋_GB2312" w:hAnsi="宋体" w:eastAsia="仿宋_GB2312" w:cs="宋体"/>
          <w:kern w:val="0"/>
          <w:sz w:val="32"/>
          <w:szCs w:val="32"/>
          <w:lang w:eastAsia="zh-CN"/>
        </w:rPr>
        <w:t>科目</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上年</w:t>
      </w:r>
      <w:r>
        <w:rPr>
          <w:rFonts w:hint="eastAsia" w:ascii="仿宋_GB2312" w:hAnsi="宋体" w:eastAsia="仿宋_GB2312" w:cs="宋体"/>
          <w:kern w:val="0"/>
          <w:sz w:val="32"/>
          <w:szCs w:val="32"/>
        </w:rPr>
        <w:t>无此分类</w:t>
      </w:r>
      <w:r>
        <w:rPr>
          <w:rFonts w:hint="eastAsia" w:ascii="仿宋_GB2312" w:hAnsi="宋体" w:eastAsia="仿宋_GB2312" w:cs="宋体"/>
          <w:b w:val="0"/>
          <w:bCs w:val="0"/>
          <w:kern w:val="0"/>
          <w:sz w:val="32"/>
          <w:szCs w:val="32"/>
          <w:lang w:val="en-US" w:eastAsia="zh-CN" w:bidi="ar-SA"/>
        </w:rPr>
        <w:t>。</w:t>
      </w:r>
    </w:p>
    <w:p>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六、</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spacing w:val="-6"/>
          <w:kern w:val="0"/>
          <w:sz w:val="32"/>
          <w:szCs w:val="32"/>
        </w:rPr>
        <w:t>2022年一般公共预算基本支出情况说明</w:t>
      </w:r>
    </w:p>
    <w:p>
      <w:pPr>
        <w:spacing w:line="560" w:lineRule="exact"/>
        <w:ind w:firstLine="640" w:firstLineChars="200"/>
        <w:rPr>
          <w:rFonts w:ascii="仿宋_GB2312" w:hAnsi="宋体" w:eastAsia="仿宋_GB2312" w:cs="宋体"/>
          <w:spacing w:val="-6"/>
          <w:kern w:val="0"/>
          <w:sz w:val="32"/>
          <w:szCs w:val="32"/>
        </w:rPr>
      </w:pPr>
      <w:r>
        <w:rPr>
          <w:rFonts w:hint="eastAsia" w:ascii="仿宋_GB2312" w:hAnsi="宋体" w:eastAsia="仿宋_GB2312" w:cs="宋体"/>
          <w:kern w:val="0"/>
          <w:sz w:val="32"/>
          <w:szCs w:val="32"/>
          <w:lang w:eastAsia="zh-CN"/>
        </w:rPr>
        <w:t>昌吉州医疗保障局</w:t>
      </w:r>
      <w:r>
        <w:rPr>
          <w:rFonts w:hint="eastAsia" w:ascii="仿宋_GB2312" w:hAnsi="宋体" w:eastAsia="仿宋_GB2312" w:cs="宋体"/>
          <w:spacing w:val="-6"/>
          <w:kern w:val="0"/>
          <w:sz w:val="32"/>
          <w:szCs w:val="32"/>
        </w:rPr>
        <w:t>2022年一般公共预算基本支出</w:t>
      </w:r>
      <w:r>
        <w:rPr>
          <w:rFonts w:hint="eastAsia" w:ascii="仿宋_GB2312" w:hAnsi="宋体" w:eastAsia="仿宋_GB2312" w:cs="宋体"/>
          <w:kern w:val="0"/>
          <w:sz w:val="32"/>
          <w:szCs w:val="32"/>
          <w:highlight w:val="yellow"/>
          <w:lang w:val="en-US" w:eastAsia="zh-CN"/>
        </w:rPr>
        <w:t>388.14</w:t>
      </w:r>
      <w:r>
        <w:rPr>
          <w:rFonts w:hint="eastAsia" w:ascii="仿宋_GB2312" w:hAnsi="宋体" w:eastAsia="仿宋_GB2312" w:cs="宋体"/>
          <w:spacing w:val="-6"/>
          <w:kern w:val="0"/>
          <w:sz w:val="32"/>
          <w:szCs w:val="32"/>
        </w:rPr>
        <w:t>万元， 其中：</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人员经费</w:t>
      </w:r>
      <w:r>
        <w:rPr>
          <w:rFonts w:hint="eastAsia" w:ascii="仿宋_GB2312" w:hAnsi="宋体" w:eastAsia="仿宋_GB2312" w:cs="宋体"/>
          <w:kern w:val="0"/>
          <w:sz w:val="32"/>
          <w:szCs w:val="32"/>
          <w:lang w:val="en-US" w:eastAsia="zh-CN"/>
        </w:rPr>
        <w:t>351.37</w:t>
      </w:r>
      <w:r>
        <w:rPr>
          <w:rFonts w:hint="eastAsia" w:ascii="仿宋_GB2312" w:hAnsi="宋体" w:eastAsia="仿宋_GB2312" w:cs="宋体"/>
          <w:kern w:val="0"/>
          <w:sz w:val="32"/>
          <w:szCs w:val="32"/>
        </w:rPr>
        <w:t>万元，主要包括：基本工资、津贴补贴、奖金、绩效工资、机关事业单位基本养老保险缴费、职工基本医疗保险缴费、公务员医疗补助缴费、其他社会保障缴费、住房公积金、其他工资福利支出。</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公用经费</w:t>
      </w:r>
      <w:r>
        <w:rPr>
          <w:rFonts w:hint="eastAsia" w:ascii="仿宋_GB2312" w:hAnsi="宋体" w:eastAsia="仿宋_GB2312" w:cs="宋体"/>
          <w:kern w:val="0"/>
          <w:sz w:val="32"/>
          <w:szCs w:val="32"/>
          <w:lang w:val="en-US" w:eastAsia="zh-CN"/>
        </w:rPr>
        <w:t>36.77</w:t>
      </w:r>
      <w:r>
        <w:rPr>
          <w:rFonts w:hint="eastAsia" w:ascii="仿宋_GB2312" w:hAnsi="宋体" w:eastAsia="仿宋_GB2312" w:cs="宋体"/>
          <w:kern w:val="0"/>
          <w:sz w:val="32"/>
          <w:szCs w:val="32"/>
        </w:rPr>
        <w:t>万元，主要包括：办公费、印刷费、水费、电费、邮电费、物业管理费、差旅费、维修（护）费、培训费、公务接待费、劳务费、工会经费、福利费、公务用车运行维护费、其他交通费用、其他商品和服务支出。</w:t>
      </w:r>
    </w:p>
    <w:p>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七、</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spacing w:val="-6"/>
          <w:kern w:val="0"/>
          <w:sz w:val="32"/>
          <w:szCs w:val="32"/>
        </w:rPr>
        <w:t>2022年一般公共预算项目支出情况说明</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（一）</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：医保局医保经办中心公共耗材及工作经费</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关于设置自治医保经办中心的通知》昌州党机编发〔2019〕13号、&lt;自治区医疗保障局关于印发《自治区医疗保障信息平台建设实施方案》的通知&gt;新医保〔2020〕107号、国务院办公厅《关于深化医疗保障制度改革的意见》</w:t>
      </w:r>
      <w:r>
        <w:rPr>
          <w:rFonts w:hint="eastAsia" w:ascii="仿宋_GB2312" w:hAnsi="黑体" w:eastAsia="仿宋_GB2312"/>
          <w:sz w:val="32"/>
          <w:szCs w:val="32"/>
          <w:lang w:eastAsia="zh-CN"/>
        </w:rPr>
        <w:t>、</w:t>
      </w:r>
      <w:r>
        <w:rPr>
          <w:rFonts w:hint="eastAsia" w:ascii="仿宋_GB2312" w:hAnsi="黑体" w:eastAsia="仿宋_GB2312"/>
          <w:sz w:val="32"/>
          <w:szCs w:val="32"/>
        </w:rPr>
        <w:t>《关于推进医疗保障基金监管制度体系改革的指导意见》、《关于自治州2000年底改制破产企业职工参加医改意见》的通知（昌州政发〔2001〕100号）。</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万元</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：医保经办中心工作经费共100万元</w:t>
      </w:r>
      <w:r>
        <w:rPr>
          <w:rFonts w:hint="eastAsia" w:ascii="仿宋_GB2312" w:hAnsi="黑体" w:eastAsia="仿宋_GB2312"/>
          <w:sz w:val="32"/>
          <w:szCs w:val="32"/>
          <w:lang w:eastAsia="zh-CN"/>
        </w:rPr>
        <w:t>，</w:t>
      </w:r>
      <w:r>
        <w:rPr>
          <w:rFonts w:hint="eastAsia" w:ascii="仿宋_GB2312" w:hAnsi="黑体" w:eastAsia="仿宋_GB2312"/>
          <w:sz w:val="32"/>
          <w:szCs w:val="32"/>
        </w:rPr>
        <w:t>其中破产清算单位大额医疗保险单位缴费5.1万元，医保培训费3万元，特殊慢性病鉴定申请表1.4万元，定点零售药店医疗服务协议书1.5万元，政务服务专线1.4万元，医保专线租赁费0.5万元，微信公众平台托管费5万元，全民参保平面媒体广告宣传费20万元，资产清查费1.6万元，办公耗材5.5万元，宣传印刷费5万元，经办服务外包50万元。</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hint="default" w:ascii="仿宋_GB2312" w:hAnsi="宋体" w:eastAsia="仿宋_GB2312" w:cs="宋体"/>
          <w:kern w:val="0"/>
          <w:sz w:val="32"/>
          <w:szCs w:val="32"/>
          <w:lang w:val="en-US" w:eastAsia="zh-CN"/>
        </w:rPr>
      </w:pP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（二）</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：长期护理保险工作经费</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昌吉回族自治州人民政府办公室关于印发自治州城镇职工长期护理保险实施方案的通知》昌州政办发〔2017〕106号、《关于开展长期护理保险制度试点的指导意见》人社厅发〔2016〕80号、《关于印发&lt;自治州促进康养产业发展实施意见&gt;的通知》昌州党办发〔2017〕1号、《关于印发&lt;自治州推进医疗卫生与养老服务相结合的实施方案&gt;的通知》昌州政办发〔2017〕83号。</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rPr>
        <w:t>10万元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left="2878" w:leftChars="304" w:hanging="2240" w:hangingChars="700"/>
        <w:rPr>
          <w:rFonts w:hint="eastAsia"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：长期护理保险工作经费10万元，其中</w:t>
      </w:r>
    </w:p>
    <w:p>
      <w:pPr>
        <w:spacing w:line="560" w:lineRule="exact"/>
        <w:rPr>
          <w:rFonts w:hint="eastAsia" w:ascii="仿宋_GB2312" w:hAnsi="黑体" w:eastAsia="仿宋_GB2312"/>
          <w:sz w:val="32"/>
          <w:szCs w:val="32"/>
        </w:rPr>
      </w:pPr>
      <w:r>
        <w:rPr>
          <w:rFonts w:hint="eastAsia" w:ascii="仿宋_GB2312" w:hAnsi="黑体" w:eastAsia="仿宋_GB2312"/>
          <w:sz w:val="32"/>
          <w:szCs w:val="32"/>
        </w:rPr>
        <w:t>1.5万元用于支付专家评审鉴定费，8.5万元用于长护工作经费。</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hint="eastAsia" w:ascii="仿宋_GB2312" w:hAnsi="宋体" w:eastAsia="仿宋_GB2312" w:cs="宋体"/>
          <w:kern w:val="0"/>
          <w:sz w:val="32"/>
          <w:szCs w:val="32"/>
          <w:lang w:val="en-US" w:eastAsia="zh-CN"/>
        </w:rPr>
      </w:pP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（三）</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：医疗基金监管工作经费</w:t>
      </w:r>
    </w:p>
    <w:p>
      <w:pPr>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新疆维吾尔自治区打击欺诈骗取医疗保障基金行为举报奖励暂行办法》（新医保办〔2019〕53号）、《自治区人民政府办公厅关于推进医疗保障基金监管制度体系改革的实施意见》（新政办发〔2021〕1号）、《关于做好2021年医疗保障基金监管工作的通知》（新医保函〔2021〕12号）、《关于印发&lt;自治州打击欺诈骗保专项整治行动方案&gt;的通知》（昌州医保发〔2021〕17号）。</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120</w:t>
      </w:r>
      <w:r>
        <w:rPr>
          <w:rFonts w:hint="eastAsia" w:ascii="仿宋_GB2312" w:hAnsi="宋体" w:eastAsia="仿宋_GB2312" w:cs="宋体"/>
          <w:kern w:val="0"/>
          <w:sz w:val="32"/>
          <w:szCs w:val="32"/>
        </w:rPr>
        <w:t>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：医疗基金监管工作经费共120万元，其中宣传费10万元，培训费8万元，差旅费费8万元，律师费4万元，第三方监管服务费70万元，租车费6万元，劳务费6万，办公费5万，其他商品和服务支出3万元。</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r>
        <w:rPr>
          <w:rFonts w:hint="eastAsia" w:ascii="仿宋_GB2312" w:hAnsi="宋体" w:eastAsia="仿宋_GB2312" w:cs="宋体"/>
          <w:kern w:val="0"/>
          <w:sz w:val="32"/>
          <w:szCs w:val="32"/>
        </w:rPr>
        <w:t xml:space="preserve"> </w:t>
      </w:r>
    </w:p>
    <w:p>
      <w:pPr>
        <w:spacing w:line="560" w:lineRule="exact"/>
        <w:ind w:firstLine="640" w:firstLineChars="200"/>
        <w:rPr>
          <w:rFonts w:hint="eastAsia" w:ascii="仿宋_GB2312" w:hAnsi="黑体" w:eastAsia="仿宋_GB2312"/>
          <w:sz w:val="32"/>
          <w:szCs w:val="32"/>
        </w:rPr>
      </w:pPr>
    </w:p>
    <w:p>
      <w:pPr>
        <w:spacing w:line="560" w:lineRule="exact"/>
        <w:ind w:firstLine="640" w:firstLineChars="200"/>
        <w:rPr>
          <w:rFonts w:ascii="仿宋_GB2312" w:hAnsi="宋体" w:eastAsia="仿宋_GB2312" w:cs="宋体"/>
          <w:kern w:val="0"/>
          <w:sz w:val="32"/>
          <w:szCs w:val="32"/>
        </w:rPr>
      </w:pPr>
      <w:r>
        <w:rPr>
          <w:rFonts w:hint="eastAsia" w:ascii="仿宋_GB2312" w:hAnsi="黑体" w:eastAsia="仿宋_GB2312"/>
          <w:sz w:val="32"/>
          <w:szCs w:val="32"/>
          <w:highlight w:val="yellow"/>
          <w:lang w:eastAsia="zh-CN"/>
        </w:rPr>
        <w:t>（四）</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地州级退休人员医疗补助经费</w:t>
      </w:r>
    </w:p>
    <w:p>
      <w:pPr>
        <w:spacing w:line="560" w:lineRule="exact"/>
        <w:ind w:firstLine="640" w:firstLineChars="200"/>
        <w:rPr>
          <w:rFonts w:ascii="仿宋_GB2312" w:hAnsi="仿宋_GB2312" w:eastAsia="仿宋_GB2312" w:cs="仿宋_GB2312"/>
          <w:kern w:val="0"/>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rPr>
        <w:t>《关于对昌吉回族自治州副州级退休国家公务员实行医疗补助的意见》昌州劳社发〔2005〕134号。</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200</w:t>
      </w:r>
      <w:r>
        <w:rPr>
          <w:rFonts w:hint="eastAsia" w:ascii="仿宋_GB2312" w:hAnsi="宋体" w:eastAsia="仿宋_GB2312" w:cs="宋体"/>
          <w:kern w:val="0"/>
          <w:sz w:val="32"/>
          <w:szCs w:val="32"/>
        </w:rPr>
        <w:t>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地州级退休人员医疗费共200万元，其中50万元用于支付退休人员住院医疗费，150万元用于支付退休人员门诊医疗费。</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资金来源</w:t>
      </w:r>
      <w:r>
        <w:rPr>
          <w:rFonts w:hint="eastAsia" w:ascii="仿宋_GB2312" w:hAnsi="黑体" w:eastAsia="仿宋_GB2312"/>
          <w:sz w:val="32"/>
          <w:szCs w:val="32"/>
        </w:rPr>
        <w:t>：</w:t>
      </w:r>
      <w:r>
        <w:rPr>
          <w:rFonts w:hint="eastAsia" w:ascii="仿宋_GB2312" w:hAnsi="宋体" w:eastAsia="仿宋_GB2312" w:cs="宋体"/>
          <w:kern w:val="0"/>
          <w:sz w:val="32"/>
          <w:szCs w:val="32"/>
        </w:rPr>
        <w:t>财政拨款</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补贴人数</w:t>
      </w:r>
      <w:r>
        <w:rPr>
          <w:rFonts w:hint="eastAsia" w:ascii="仿宋_GB2312" w:hAnsi="黑体" w:eastAsia="仿宋_GB2312"/>
          <w:sz w:val="32"/>
          <w:szCs w:val="32"/>
        </w:rPr>
        <w:t>：</w:t>
      </w:r>
      <w:r>
        <w:rPr>
          <w:rFonts w:hint="eastAsia" w:ascii="仿宋_GB2312" w:hAnsi="宋体" w:eastAsia="仿宋_GB2312" w:cs="宋体"/>
          <w:b w:val="0"/>
          <w:bCs w:val="0"/>
          <w:kern w:val="0"/>
          <w:sz w:val="32"/>
          <w:szCs w:val="32"/>
          <w:lang w:val="en-US" w:eastAsia="zh-CN"/>
        </w:rPr>
        <w:t>60</w:t>
      </w:r>
      <w:r>
        <w:rPr>
          <w:rFonts w:hint="eastAsia" w:ascii="仿宋_GB2312" w:hAnsi="宋体" w:eastAsia="仿宋_GB2312" w:cs="宋体"/>
          <w:kern w:val="0"/>
          <w:sz w:val="32"/>
          <w:szCs w:val="32"/>
        </w:rPr>
        <w:t>人</w:t>
      </w:r>
    </w:p>
    <w:p>
      <w:pPr>
        <w:spacing w:line="560" w:lineRule="exact"/>
        <w:ind w:firstLine="640" w:firstLineChars="200"/>
        <w:rPr>
          <w:rFonts w:ascii="仿宋_GB2312" w:hAnsi="黑体" w:eastAsia="仿宋_GB2312"/>
          <w:sz w:val="32"/>
          <w:szCs w:val="32"/>
        </w:rPr>
      </w:pPr>
      <w:r>
        <w:rPr>
          <w:rFonts w:ascii="仿宋_GB2312" w:hAnsi="宋体" w:eastAsia="仿宋_GB2312"/>
          <w:sz w:val="32"/>
          <w:szCs w:val="22"/>
        </w:rPr>
        <w:t>补贴标准</w:t>
      </w:r>
      <w:r>
        <w:rPr>
          <w:rFonts w:hint="eastAsia" w:ascii="仿宋_GB2312" w:hAnsi="黑体" w:eastAsia="仿宋_GB2312"/>
          <w:sz w:val="32"/>
          <w:szCs w:val="32"/>
        </w:rPr>
        <w:t>：自治州副州级退休国家公务员，在门诊（含慢性病）发生的医疗费用，先由个人账户支付，个人账户不足时，由本人垫付，凭医疗费发票和医疗费发生的数额依次按基本医疗保险、公务员医疗补助、大病医疗补助的顺序报销完后，差额部分给予医疗补助；自治州副州级退休国家公务员住院发生的医疗费用，凭医疗费发票和医疗费发生的数额依次按基本医疗保险、公务员医疗补助、大病医疗补助的顺序报销完后，差额部分给予医疗补助。</w:t>
      </w:r>
    </w:p>
    <w:p>
      <w:pPr>
        <w:spacing w:line="560" w:lineRule="exact"/>
        <w:ind w:firstLine="640" w:firstLineChars="200"/>
        <w:rPr>
          <w:rFonts w:ascii="仿宋_GB2312" w:hAnsi="宋体" w:eastAsia="仿宋_GB2312" w:cs="宋体"/>
          <w:kern w:val="0"/>
          <w:sz w:val="32"/>
          <w:szCs w:val="32"/>
        </w:rPr>
      </w:pPr>
      <w:r>
        <w:rPr>
          <w:rFonts w:ascii="仿宋_GB2312" w:hAnsi="宋体" w:eastAsia="仿宋_GB2312"/>
          <w:sz w:val="32"/>
          <w:szCs w:val="22"/>
        </w:rPr>
        <w:t>补贴范围</w:t>
      </w:r>
      <w:r>
        <w:rPr>
          <w:rFonts w:hint="eastAsia" w:ascii="仿宋_GB2312" w:hAnsi="黑体" w:eastAsia="仿宋_GB2312"/>
          <w:sz w:val="32"/>
          <w:szCs w:val="32"/>
        </w:rPr>
        <w:t>：</w:t>
      </w:r>
      <w:r>
        <w:rPr>
          <w:rFonts w:hint="eastAsia" w:ascii="仿宋_GB2312" w:hAnsi="宋体" w:eastAsia="仿宋_GB2312" w:cs="宋体"/>
          <w:kern w:val="0"/>
          <w:sz w:val="32"/>
          <w:szCs w:val="32"/>
        </w:rPr>
        <w:t>自治州党委、人大、政府、政协、审判机关、检察机关等工作的副州级退休国家公务员。</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宋体" w:eastAsia="仿宋_GB2312"/>
          <w:sz w:val="32"/>
          <w:szCs w:val="22"/>
        </w:rPr>
        <w:t>补贴方式</w:t>
      </w:r>
      <w:r>
        <w:rPr>
          <w:rFonts w:hint="eastAsia" w:ascii="仿宋_GB2312" w:hAnsi="黑体" w:eastAsia="仿宋_GB2312"/>
          <w:sz w:val="32"/>
          <w:szCs w:val="32"/>
        </w:rPr>
        <w:t>：</w:t>
      </w:r>
      <w:r>
        <w:rPr>
          <w:rFonts w:hint="eastAsia" w:ascii="仿宋_GB2312" w:hAnsi="宋体" w:eastAsia="仿宋_GB2312" w:cs="宋体"/>
          <w:kern w:val="0"/>
          <w:sz w:val="32"/>
          <w:szCs w:val="32"/>
        </w:rPr>
        <w:t>及时报销门诊、住院医疗费</w:t>
      </w:r>
      <w:r>
        <w:rPr>
          <w:rFonts w:hint="eastAsia" w:ascii="仿宋_GB2312" w:hAnsi="宋体" w:eastAsia="仿宋_GB2312" w:cs="宋体"/>
          <w:kern w:val="0"/>
          <w:sz w:val="32"/>
          <w:szCs w:val="32"/>
          <w:lang w:eastAsia="zh-CN"/>
        </w:rPr>
        <w:t>。</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发放程序：每月业务科室核算医疗费用结算票据，通过基金账户进行发放。</w:t>
      </w:r>
    </w:p>
    <w:p>
      <w:pPr>
        <w:spacing w:line="560" w:lineRule="exact"/>
        <w:ind w:firstLine="640" w:firstLineChars="200"/>
        <w:rPr>
          <w:rFonts w:hint="eastAsia" w:ascii="仿宋_GB2312" w:hAnsi="宋体" w:eastAsia="仿宋_GB2312" w:cs="宋体"/>
          <w:kern w:val="0"/>
          <w:sz w:val="32"/>
          <w:szCs w:val="32"/>
        </w:rPr>
      </w:pPr>
      <w:r>
        <w:rPr>
          <w:rFonts w:ascii="仿宋_GB2312" w:hAnsi="宋体" w:eastAsia="仿宋_GB2312"/>
          <w:sz w:val="32"/>
          <w:szCs w:val="22"/>
        </w:rPr>
        <w:t>受益人群和社会效益</w:t>
      </w:r>
      <w:r>
        <w:rPr>
          <w:rFonts w:hint="eastAsia" w:ascii="仿宋_GB2312" w:hAnsi="黑体" w:eastAsia="仿宋_GB2312"/>
          <w:sz w:val="32"/>
          <w:szCs w:val="32"/>
        </w:rPr>
        <w:t>：</w:t>
      </w:r>
      <w:r>
        <w:rPr>
          <w:rFonts w:hint="eastAsia" w:ascii="仿宋_GB2312" w:hAnsi="宋体" w:eastAsia="仿宋_GB2312" w:cs="宋体"/>
          <w:kern w:val="0"/>
          <w:sz w:val="32"/>
          <w:szCs w:val="32"/>
        </w:rPr>
        <w:t>享受地州级退休人员医疗补助经费</w:t>
      </w:r>
      <w:r>
        <w:rPr>
          <w:rFonts w:hint="eastAsia" w:ascii="仿宋_GB2312" w:hAnsi="宋体" w:eastAsia="仿宋_GB2312" w:cs="宋体"/>
          <w:b w:val="0"/>
          <w:bCs w:val="0"/>
          <w:kern w:val="0"/>
          <w:sz w:val="32"/>
          <w:szCs w:val="32"/>
          <w:lang w:val="en-US" w:eastAsia="zh-CN"/>
        </w:rPr>
        <w:t>60</w:t>
      </w:r>
      <w:r>
        <w:rPr>
          <w:rFonts w:hint="eastAsia" w:ascii="仿宋_GB2312" w:hAnsi="宋体" w:eastAsia="仿宋_GB2312" w:cs="宋体"/>
          <w:kern w:val="0"/>
          <w:sz w:val="32"/>
          <w:szCs w:val="32"/>
        </w:rPr>
        <w:t>人，提高地州级退休人员生活质量。</w:t>
      </w:r>
    </w:p>
    <w:p>
      <w:pPr>
        <w:spacing w:line="560" w:lineRule="exact"/>
        <w:ind w:firstLine="640" w:firstLineChars="200"/>
        <w:rPr>
          <w:rFonts w:hint="eastAsia" w:ascii="仿宋_GB2312" w:hAnsi="宋体" w:eastAsia="仿宋_GB2312" w:cs="宋体"/>
          <w:kern w:val="0"/>
          <w:sz w:val="32"/>
          <w:szCs w:val="32"/>
        </w:rPr>
      </w:pPr>
    </w:p>
    <w:p>
      <w:pPr>
        <w:spacing w:line="560" w:lineRule="exact"/>
        <w:ind w:firstLine="640" w:firstLineChars="200"/>
        <w:rPr>
          <w:rFonts w:ascii="仿宋_GB2312" w:hAnsi="宋体" w:eastAsia="仿宋_GB2312" w:cs="宋体"/>
          <w:kern w:val="0"/>
          <w:sz w:val="32"/>
          <w:szCs w:val="32"/>
        </w:rPr>
      </w:pPr>
      <w:r>
        <w:rPr>
          <w:rFonts w:hint="eastAsia" w:ascii="仿宋_GB2312" w:hAnsi="黑体" w:eastAsia="仿宋_GB2312"/>
          <w:sz w:val="32"/>
          <w:szCs w:val="32"/>
          <w:highlight w:val="yellow"/>
          <w:lang w:eastAsia="zh-CN"/>
        </w:rPr>
        <w:t>（五）</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国务院特殊津贴专家保健医疗费</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rPr>
        <w:t>《州劳动和社会保障局财政局关于享受国务院特殊津贴专家实行保健医疗待遇实施办法》（昌州政办发〔2003〕30号）</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rPr>
        <w:t>40万元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特贴专家医疗费40万元用于支付9位专家医疗费。</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资金来源</w:t>
      </w:r>
      <w:r>
        <w:rPr>
          <w:rFonts w:hint="eastAsia" w:ascii="仿宋_GB2312" w:hAnsi="黑体" w:eastAsia="仿宋_GB2312"/>
          <w:sz w:val="32"/>
          <w:szCs w:val="32"/>
        </w:rPr>
        <w:t>：</w:t>
      </w:r>
      <w:r>
        <w:rPr>
          <w:rFonts w:hint="eastAsia" w:ascii="仿宋_GB2312" w:hAnsi="宋体" w:eastAsia="仿宋_GB2312" w:cs="宋体"/>
          <w:kern w:val="0"/>
          <w:sz w:val="32"/>
          <w:szCs w:val="32"/>
        </w:rPr>
        <w:t>财政拨款</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补贴人数</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人</w:t>
      </w:r>
    </w:p>
    <w:p>
      <w:pPr>
        <w:spacing w:line="560" w:lineRule="exact"/>
        <w:ind w:left="2238" w:leftChars="304" w:hanging="1600" w:hangingChars="500"/>
        <w:rPr>
          <w:rFonts w:ascii="仿宋_GB2312" w:hAnsi="宋体" w:eastAsia="仿宋_GB2312" w:cs="宋体"/>
          <w:kern w:val="0"/>
          <w:sz w:val="32"/>
          <w:szCs w:val="32"/>
        </w:rPr>
      </w:pPr>
      <w:r>
        <w:rPr>
          <w:rFonts w:ascii="仿宋_GB2312" w:hAnsi="宋体" w:eastAsia="仿宋_GB2312"/>
          <w:sz w:val="32"/>
          <w:szCs w:val="22"/>
        </w:rPr>
        <w:t>补贴标准</w:t>
      </w:r>
      <w:r>
        <w:rPr>
          <w:rFonts w:hint="eastAsia" w:ascii="仿宋_GB2312" w:hAnsi="黑体" w:eastAsia="仿宋_GB2312"/>
          <w:sz w:val="32"/>
          <w:szCs w:val="32"/>
        </w:rPr>
        <w:t>：</w:t>
      </w:r>
      <w:r>
        <w:rPr>
          <w:rFonts w:hint="eastAsia" w:ascii="仿宋_GB2312" w:hAnsi="宋体" w:eastAsia="仿宋_GB2312" w:cs="宋体"/>
          <w:kern w:val="0"/>
          <w:sz w:val="32"/>
          <w:szCs w:val="32"/>
        </w:rPr>
        <w:t>专家所需医疗费按上年度专家医疗费实际支出额计算。</w:t>
      </w:r>
    </w:p>
    <w:p>
      <w:pPr>
        <w:spacing w:line="560" w:lineRule="exact"/>
        <w:ind w:firstLine="640" w:firstLineChars="200"/>
        <w:rPr>
          <w:rFonts w:hint="eastAsia" w:ascii="仿宋_GB2312" w:hAnsi="宋体" w:eastAsia="仿宋_GB2312"/>
          <w:sz w:val="32"/>
          <w:szCs w:val="22"/>
          <w:lang w:eastAsia="zh-CN"/>
        </w:rPr>
      </w:pPr>
      <w:r>
        <w:rPr>
          <w:rFonts w:ascii="仿宋_GB2312" w:hAnsi="宋体" w:eastAsia="仿宋_GB2312"/>
          <w:sz w:val="32"/>
          <w:szCs w:val="22"/>
        </w:rPr>
        <w:t>补贴范围</w:t>
      </w:r>
      <w:r>
        <w:rPr>
          <w:rFonts w:hint="eastAsia" w:ascii="仿宋_GB2312" w:hAnsi="黑体" w:eastAsia="仿宋_GB2312"/>
          <w:sz w:val="32"/>
          <w:szCs w:val="32"/>
        </w:rPr>
        <w:t>：</w:t>
      </w:r>
      <w:r>
        <w:rPr>
          <w:rFonts w:hint="eastAsia" w:ascii="仿宋_GB2312" w:hAnsi="宋体" w:eastAsia="仿宋_GB2312" w:cs="宋体"/>
          <w:kern w:val="0"/>
          <w:sz w:val="32"/>
          <w:szCs w:val="32"/>
        </w:rPr>
        <w:t>国务院特殊津贴专家保健医疗费享受人员</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cs="宋体"/>
          <w:kern w:val="0"/>
          <w:sz w:val="32"/>
          <w:szCs w:val="32"/>
          <w:lang w:eastAsia="zh-CN"/>
        </w:rPr>
      </w:pPr>
      <w:r>
        <w:rPr>
          <w:rFonts w:ascii="仿宋_GB2312" w:hAnsi="宋体" w:eastAsia="仿宋_GB2312"/>
          <w:sz w:val="32"/>
          <w:szCs w:val="22"/>
        </w:rPr>
        <w:t>补贴方式</w:t>
      </w:r>
      <w:r>
        <w:rPr>
          <w:rFonts w:hint="eastAsia" w:ascii="仿宋_GB2312" w:hAnsi="黑体" w:eastAsia="仿宋_GB2312"/>
          <w:sz w:val="32"/>
          <w:szCs w:val="32"/>
        </w:rPr>
        <w:t>：</w:t>
      </w:r>
      <w:r>
        <w:rPr>
          <w:rFonts w:hint="eastAsia" w:ascii="仿宋_GB2312" w:hAnsi="宋体" w:eastAsia="仿宋_GB2312" w:cs="宋体"/>
          <w:kern w:val="0"/>
          <w:sz w:val="32"/>
          <w:szCs w:val="32"/>
        </w:rPr>
        <w:t>报销门诊、住院医疗费</w:t>
      </w:r>
      <w:r>
        <w:rPr>
          <w:rFonts w:hint="eastAsia" w:ascii="仿宋_GB2312" w:hAnsi="宋体" w:eastAsia="仿宋_GB2312" w:cs="宋体"/>
          <w:kern w:val="0"/>
          <w:sz w:val="32"/>
          <w:szCs w:val="32"/>
          <w:lang w:eastAsia="zh-CN"/>
        </w:rPr>
        <w:t>。</w:t>
      </w:r>
    </w:p>
    <w:p>
      <w:pPr>
        <w:spacing w:line="240" w:lineRule="auto"/>
        <w:ind w:left="0" w:leftChars="0"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发放程序：业务科室核算上年度专家医疗费用结算票据，通过单位账户进行发放。</w:t>
      </w:r>
    </w:p>
    <w:p>
      <w:pPr>
        <w:spacing w:line="560" w:lineRule="exact"/>
        <w:ind w:firstLine="640" w:firstLineChars="200"/>
        <w:rPr>
          <w:rFonts w:hint="eastAsia" w:ascii="仿宋_GB2312" w:hAnsi="宋体" w:eastAsia="仿宋_GB2312" w:cs="宋体"/>
          <w:kern w:val="0"/>
          <w:sz w:val="32"/>
          <w:szCs w:val="32"/>
          <w:lang w:eastAsia="zh-CN"/>
        </w:rPr>
      </w:pPr>
      <w:r>
        <w:rPr>
          <w:rFonts w:ascii="仿宋_GB2312" w:hAnsi="宋体" w:eastAsia="仿宋_GB2312"/>
          <w:sz w:val="32"/>
          <w:szCs w:val="22"/>
        </w:rPr>
        <w:t>受益人群和社会效益</w:t>
      </w:r>
      <w:r>
        <w:rPr>
          <w:rFonts w:hint="eastAsia" w:ascii="仿宋_GB2312" w:hAnsi="黑体" w:eastAsia="仿宋_GB2312"/>
          <w:sz w:val="32"/>
          <w:szCs w:val="32"/>
        </w:rPr>
        <w:t>：</w:t>
      </w:r>
      <w:r>
        <w:rPr>
          <w:rFonts w:hint="eastAsia" w:ascii="仿宋_GB2312" w:hAnsi="宋体" w:eastAsia="仿宋_GB2312" w:cs="宋体"/>
          <w:kern w:val="0"/>
          <w:sz w:val="32"/>
          <w:szCs w:val="32"/>
        </w:rPr>
        <w:t>国务院特殊津贴专家保健医疗费享受人员，提高国务院特殊津贴专家生活质量</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cs="宋体"/>
          <w:kern w:val="0"/>
          <w:sz w:val="32"/>
          <w:szCs w:val="32"/>
          <w:lang w:eastAsia="zh-CN"/>
        </w:rPr>
      </w:pPr>
    </w:p>
    <w:p>
      <w:pPr>
        <w:spacing w:line="560" w:lineRule="exact"/>
        <w:ind w:firstLine="640" w:firstLineChars="200"/>
        <w:rPr>
          <w:rFonts w:ascii="仿宋_GB2312" w:hAnsi="宋体" w:eastAsia="仿宋_GB2312" w:cs="宋体"/>
          <w:kern w:val="0"/>
          <w:sz w:val="32"/>
          <w:szCs w:val="32"/>
        </w:rPr>
      </w:pPr>
      <w:r>
        <w:rPr>
          <w:rFonts w:hint="eastAsia" w:ascii="仿宋_GB2312" w:hAnsi="黑体" w:eastAsia="仿宋_GB2312"/>
          <w:sz w:val="32"/>
          <w:szCs w:val="32"/>
          <w:highlight w:val="yellow"/>
          <w:lang w:eastAsia="zh-CN"/>
        </w:rPr>
        <w:t>（六）</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国务院特殊津贴专家保健医疗周转金</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rPr>
        <w:t>《州劳动和社会保障局财政局关于享受国务院特殊津贴专家实行保健医疗待遇实施办法》（昌州政办发</w:t>
      </w:r>
      <w:r>
        <w:rPr>
          <w:rFonts w:hint="eastAsia" w:ascii="仿宋_GB2312" w:hAnsi="仿宋_GB2312" w:eastAsia="仿宋_GB2312" w:cs="仿宋_GB2312"/>
          <w:sz w:val="32"/>
          <w:szCs w:val="32"/>
        </w:rPr>
        <w:t>〔</w:t>
      </w:r>
      <w:r>
        <w:rPr>
          <w:rFonts w:hint="eastAsia" w:ascii="仿宋_GB2312" w:hAnsi="黑体" w:eastAsia="仿宋_GB2312"/>
          <w:sz w:val="32"/>
          <w:szCs w:val="32"/>
        </w:rPr>
        <w:t>2003</w:t>
      </w:r>
      <w:r>
        <w:rPr>
          <w:rFonts w:hint="eastAsia" w:ascii="仿宋_GB2312" w:hAnsi="仿宋_GB2312" w:eastAsia="仿宋_GB2312" w:cs="仿宋_GB2312"/>
          <w:sz w:val="32"/>
          <w:szCs w:val="32"/>
        </w:rPr>
        <w:t>〕</w:t>
      </w:r>
      <w:r>
        <w:rPr>
          <w:rFonts w:hint="eastAsia" w:ascii="仿宋_GB2312" w:hAnsi="宋体" w:eastAsia="仿宋_GB2312" w:cs="宋体"/>
          <w:kern w:val="0"/>
          <w:sz w:val="32"/>
          <w:szCs w:val="32"/>
        </w:rPr>
        <w:t>30号）</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7.65</w:t>
      </w:r>
      <w:r>
        <w:rPr>
          <w:rFonts w:hint="eastAsia" w:ascii="仿宋_GB2312" w:hAnsi="宋体" w:eastAsia="仿宋_GB2312" w:cs="宋体"/>
          <w:kern w:val="0"/>
          <w:sz w:val="32"/>
          <w:szCs w:val="32"/>
        </w:rPr>
        <w:t>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黑体" w:eastAsia="仿宋_GB2312"/>
          <w:sz w:val="32"/>
          <w:szCs w:val="32"/>
          <w:lang w:val="en-US" w:eastAsia="zh-CN"/>
        </w:rPr>
        <w:t>9</w:t>
      </w:r>
      <w:r>
        <w:rPr>
          <w:rFonts w:hint="eastAsia" w:ascii="仿宋_GB2312" w:hAnsi="黑体" w:eastAsia="仿宋_GB2312"/>
          <w:sz w:val="32"/>
          <w:szCs w:val="32"/>
        </w:rPr>
        <w:t>位专家</w:t>
      </w:r>
      <w:r>
        <w:rPr>
          <w:rFonts w:hint="eastAsia" w:ascii="仿宋_GB2312" w:hAnsi="宋体" w:eastAsia="仿宋_GB2312" w:cs="宋体"/>
          <w:kern w:val="0"/>
          <w:sz w:val="32"/>
          <w:szCs w:val="32"/>
        </w:rPr>
        <w:t>周转金按每人每年8500元拨付</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资金来源</w:t>
      </w:r>
      <w:r>
        <w:rPr>
          <w:rFonts w:hint="eastAsia" w:ascii="仿宋_GB2312" w:hAnsi="黑体" w:eastAsia="仿宋_GB2312"/>
          <w:sz w:val="32"/>
          <w:szCs w:val="32"/>
        </w:rPr>
        <w:t>：</w:t>
      </w:r>
      <w:r>
        <w:rPr>
          <w:rFonts w:hint="eastAsia" w:ascii="仿宋_GB2312" w:hAnsi="宋体" w:eastAsia="仿宋_GB2312" w:cs="宋体"/>
          <w:kern w:val="0"/>
          <w:sz w:val="32"/>
          <w:szCs w:val="32"/>
        </w:rPr>
        <w:t>财政拨款</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补贴人数</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人</w:t>
      </w:r>
    </w:p>
    <w:p>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宋体" w:eastAsia="仿宋_GB2312"/>
          <w:sz w:val="32"/>
          <w:szCs w:val="22"/>
        </w:rPr>
        <w:t>补贴标准</w:t>
      </w:r>
      <w:r>
        <w:rPr>
          <w:rFonts w:hint="eastAsia" w:ascii="仿宋_GB2312" w:hAnsi="黑体" w:eastAsia="仿宋_GB2312"/>
          <w:sz w:val="32"/>
          <w:szCs w:val="32"/>
        </w:rPr>
        <w:t>：</w:t>
      </w:r>
      <w:r>
        <w:rPr>
          <w:rFonts w:hint="eastAsia" w:ascii="仿宋_GB2312" w:hAnsi="宋体" w:eastAsia="仿宋_GB2312" w:cs="宋体"/>
          <w:kern w:val="0"/>
          <w:sz w:val="32"/>
          <w:szCs w:val="32"/>
        </w:rPr>
        <w:t>周转金按每人每年8500元拨付（含每年一次500元常规体检费和疗养期间的检查费、医疗费）</w:t>
      </w:r>
      <w:r>
        <w:rPr>
          <w:rFonts w:hint="eastAsia" w:ascii="仿宋_GB2312" w:hAnsi="宋体" w:eastAsia="仿宋_GB2312" w:cs="宋体"/>
          <w:kern w:val="0"/>
          <w:sz w:val="32"/>
          <w:szCs w:val="32"/>
          <w:lang w:eastAsia="zh-CN"/>
        </w:rPr>
        <w:t>。</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补贴范围</w:t>
      </w:r>
      <w:r>
        <w:rPr>
          <w:rFonts w:hint="eastAsia" w:ascii="仿宋_GB2312" w:hAnsi="黑体" w:eastAsia="仿宋_GB2312"/>
          <w:sz w:val="32"/>
          <w:szCs w:val="32"/>
        </w:rPr>
        <w:t>：</w:t>
      </w:r>
      <w:r>
        <w:rPr>
          <w:rFonts w:hint="eastAsia" w:ascii="仿宋_GB2312" w:hAnsi="宋体" w:eastAsia="仿宋_GB2312" w:cs="宋体"/>
          <w:kern w:val="0"/>
          <w:sz w:val="32"/>
          <w:szCs w:val="32"/>
        </w:rPr>
        <w:t>享受国务院特殊津贴专家保健医疗周转金人员</w:t>
      </w:r>
    </w:p>
    <w:p>
      <w:pPr>
        <w:spacing w:line="560" w:lineRule="exact"/>
        <w:ind w:firstLine="640" w:firstLineChars="200"/>
        <w:rPr>
          <w:rFonts w:ascii="仿宋_GB2312" w:hAnsi="宋体" w:eastAsia="仿宋_GB2312" w:cs="宋体"/>
          <w:kern w:val="0"/>
          <w:sz w:val="32"/>
          <w:szCs w:val="32"/>
        </w:rPr>
      </w:pPr>
      <w:r>
        <w:rPr>
          <w:rFonts w:ascii="仿宋_GB2312" w:hAnsi="宋体" w:eastAsia="仿宋_GB2312"/>
          <w:sz w:val="32"/>
          <w:szCs w:val="22"/>
        </w:rPr>
        <w:t>补贴方式</w:t>
      </w:r>
      <w:r>
        <w:rPr>
          <w:rFonts w:hint="eastAsia" w:ascii="仿宋_GB2312" w:hAnsi="黑体" w:eastAsia="仿宋_GB2312"/>
          <w:sz w:val="32"/>
          <w:szCs w:val="32"/>
        </w:rPr>
        <w:t>：专家医疗保健经费使用实行</w:t>
      </w:r>
      <w:r>
        <w:rPr>
          <w:rFonts w:hint="eastAsia" w:ascii="仿宋_GB2312" w:hAnsi="宋体" w:eastAsia="仿宋_GB2312" w:cs="宋体"/>
          <w:kern w:val="0"/>
          <w:sz w:val="32"/>
          <w:szCs w:val="32"/>
        </w:rPr>
        <w:t>发放周转金，节约归己。</w:t>
      </w:r>
    </w:p>
    <w:p>
      <w:pPr>
        <w:spacing w:line="560" w:lineRule="exact"/>
        <w:ind w:firstLine="640" w:firstLineChars="200"/>
        <w:rPr>
          <w:rFonts w:ascii="仿宋_GB2312" w:hAnsi="宋体" w:eastAsia="仿宋_GB2312"/>
          <w:sz w:val="32"/>
          <w:szCs w:val="22"/>
        </w:rPr>
      </w:pPr>
      <w:r>
        <w:rPr>
          <w:rFonts w:hint="eastAsia" w:ascii="仿宋_GB2312" w:hAnsi="宋体" w:eastAsia="仿宋_GB2312" w:cs="宋体"/>
          <w:kern w:val="0"/>
          <w:sz w:val="32"/>
          <w:szCs w:val="32"/>
        </w:rPr>
        <w:t>发放程序：</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位特贴专家按每人每年8500元通过单位账户进行发放。</w:t>
      </w:r>
    </w:p>
    <w:p>
      <w:pPr>
        <w:spacing w:line="560" w:lineRule="exact"/>
        <w:ind w:firstLine="640" w:firstLineChars="200"/>
        <w:rPr>
          <w:rFonts w:hint="eastAsia" w:ascii="仿宋_GB2312" w:hAnsi="宋体" w:eastAsia="仿宋_GB2312" w:cs="宋体"/>
          <w:kern w:val="0"/>
          <w:sz w:val="32"/>
          <w:szCs w:val="32"/>
          <w:lang w:eastAsia="zh-CN"/>
        </w:rPr>
      </w:pPr>
      <w:r>
        <w:rPr>
          <w:rFonts w:ascii="仿宋_GB2312" w:hAnsi="宋体" w:eastAsia="仿宋_GB2312"/>
          <w:sz w:val="32"/>
          <w:szCs w:val="22"/>
        </w:rPr>
        <w:t>受益人群和社会效益</w:t>
      </w:r>
      <w:r>
        <w:rPr>
          <w:rFonts w:hint="eastAsia" w:ascii="仿宋_GB2312" w:hAnsi="黑体" w:eastAsia="仿宋_GB2312"/>
          <w:sz w:val="32"/>
          <w:szCs w:val="32"/>
        </w:rPr>
        <w:t>：</w:t>
      </w:r>
      <w:r>
        <w:rPr>
          <w:rFonts w:hint="eastAsia" w:ascii="仿宋_GB2312" w:hAnsi="宋体" w:eastAsia="仿宋_GB2312" w:cs="宋体"/>
          <w:kern w:val="0"/>
          <w:sz w:val="32"/>
          <w:szCs w:val="32"/>
        </w:rPr>
        <w:t>享受国务院特殊津贴专家保健医疗周转金</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人，提高国务院特殊津贴专家生活质量</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cs="宋体"/>
          <w:kern w:val="0"/>
          <w:sz w:val="32"/>
          <w:szCs w:val="32"/>
          <w:lang w:val="en-US" w:eastAsia="zh-CN"/>
        </w:rPr>
      </w:pP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highlight w:val="yellow"/>
          <w:lang w:eastAsia="zh-CN"/>
        </w:rPr>
        <w:t>（七）</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离休人员医疗费</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500</w:t>
      </w:r>
      <w:r>
        <w:rPr>
          <w:rFonts w:hint="eastAsia" w:ascii="仿宋_GB2312" w:hAnsi="宋体" w:eastAsia="仿宋_GB2312" w:cs="宋体"/>
          <w:kern w:val="0"/>
          <w:sz w:val="32"/>
          <w:szCs w:val="32"/>
        </w:rPr>
        <w:t>万元</w:t>
      </w:r>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昌吉州医疗保障局</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离休人员医疗费共500万元，其中150万元用于支付离休人员住院医疗费，350万元用于支付离休人员门诊医疗费。</w:t>
      </w:r>
    </w:p>
    <w:p>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资金执行时间</w:t>
      </w:r>
      <w:r>
        <w:rPr>
          <w:rFonts w:hint="eastAsia" w:ascii="仿宋_GB2312" w:hAnsi="黑体" w:eastAsia="仿宋_GB2312"/>
          <w:sz w:val="32"/>
          <w:szCs w:val="32"/>
        </w:rPr>
        <w:t>：</w:t>
      </w: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1月1日-2022年12月31日</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资金来源</w:t>
      </w:r>
      <w:r>
        <w:rPr>
          <w:rFonts w:hint="eastAsia" w:ascii="仿宋_GB2312" w:hAnsi="黑体" w:eastAsia="仿宋_GB2312"/>
          <w:sz w:val="32"/>
          <w:szCs w:val="32"/>
        </w:rPr>
        <w:t>：</w:t>
      </w:r>
      <w:r>
        <w:rPr>
          <w:rFonts w:hint="eastAsia" w:ascii="仿宋_GB2312" w:hAnsi="宋体" w:eastAsia="仿宋_GB2312" w:cs="宋体"/>
          <w:kern w:val="0"/>
          <w:sz w:val="32"/>
          <w:szCs w:val="32"/>
        </w:rPr>
        <w:t>财政拨款</w:t>
      </w:r>
    </w:p>
    <w:p>
      <w:pPr>
        <w:spacing w:line="560" w:lineRule="exact"/>
        <w:ind w:firstLine="640" w:firstLineChars="200"/>
        <w:rPr>
          <w:rFonts w:ascii="仿宋_GB2312" w:hAnsi="宋体" w:eastAsia="仿宋_GB2312"/>
          <w:sz w:val="32"/>
          <w:szCs w:val="22"/>
        </w:rPr>
      </w:pPr>
      <w:r>
        <w:rPr>
          <w:rFonts w:ascii="仿宋_GB2312" w:hAnsi="宋体" w:eastAsia="仿宋_GB2312"/>
          <w:sz w:val="32"/>
          <w:szCs w:val="22"/>
        </w:rPr>
        <w:t>补贴人数</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79</w:t>
      </w:r>
      <w:r>
        <w:rPr>
          <w:rFonts w:hint="eastAsia" w:ascii="仿宋_GB2312" w:hAnsi="宋体" w:eastAsia="仿宋_GB2312" w:cs="宋体"/>
          <w:kern w:val="0"/>
          <w:sz w:val="32"/>
          <w:szCs w:val="32"/>
        </w:rPr>
        <w:t>人</w:t>
      </w:r>
    </w:p>
    <w:p>
      <w:pPr>
        <w:spacing w:line="560" w:lineRule="exact"/>
        <w:ind w:firstLine="640" w:firstLineChars="200"/>
        <w:rPr>
          <w:rFonts w:hint="eastAsia" w:ascii="仿宋_GB2312" w:hAnsi="宋体" w:eastAsia="仿宋_GB2312"/>
          <w:sz w:val="32"/>
          <w:szCs w:val="22"/>
          <w:lang w:val="en-US" w:eastAsia="zh-CN"/>
        </w:rPr>
      </w:pPr>
      <w:r>
        <w:rPr>
          <w:rFonts w:ascii="仿宋_GB2312" w:hAnsi="宋体" w:eastAsia="仿宋_GB2312"/>
          <w:sz w:val="32"/>
          <w:szCs w:val="22"/>
        </w:rPr>
        <w:t>补贴标准</w:t>
      </w:r>
      <w:r>
        <w:rPr>
          <w:rFonts w:hint="eastAsia" w:ascii="仿宋_GB2312" w:hAnsi="黑体" w:eastAsia="仿宋_GB2312"/>
          <w:sz w:val="32"/>
          <w:szCs w:val="32"/>
        </w:rPr>
        <w:t>：规定范围内发生的</w:t>
      </w:r>
      <w:r>
        <w:rPr>
          <w:rFonts w:hint="eastAsia" w:ascii="仿宋_GB2312" w:hAnsi="宋体" w:eastAsia="仿宋_GB2312" w:cs="宋体"/>
          <w:kern w:val="0"/>
          <w:sz w:val="32"/>
          <w:szCs w:val="32"/>
        </w:rPr>
        <w:t>医疗费实报实销</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sz w:val="32"/>
          <w:szCs w:val="22"/>
          <w:lang w:eastAsia="zh-CN"/>
        </w:rPr>
      </w:pPr>
      <w:r>
        <w:rPr>
          <w:rFonts w:ascii="仿宋_GB2312" w:hAnsi="宋体" w:eastAsia="仿宋_GB2312"/>
          <w:sz w:val="32"/>
          <w:szCs w:val="22"/>
        </w:rPr>
        <w:t>补贴范围</w:t>
      </w:r>
      <w:r>
        <w:rPr>
          <w:rFonts w:hint="eastAsia" w:ascii="仿宋_GB2312" w:hAnsi="黑体" w:eastAsia="仿宋_GB2312"/>
          <w:sz w:val="32"/>
          <w:szCs w:val="32"/>
        </w:rPr>
        <w:t>：</w:t>
      </w:r>
      <w:r>
        <w:rPr>
          <w:rFonts w:hint="eastAsia" w:ascii="仿宋_GB2312" w:hAnsi="宋体" w:eastAsia="仿宋_GB2312" w:cs="宋体"/>
          <w:kern w:val="0"/>
          <w:sz w:val="32"/>
          <w:szCs w:val="32"/>
        </w:rPr>
        <w:t>离休人员医疗费享受人员</w:t>
      </w:r>
      <w:r>
        <w:rPr>
          <w:rFonts w:hint="eastAsia" w:ascii="仿宋_GB2312" w:hAnsi="宋体" w:eastAsia="仿宋_GB2312" w:cs="宋体"/>
          <w:kern w:val="0"/>
          <w:sz w:val="32"/>
          <w:szCs w:val="32"/>
          <w:lang w:eastAsia="zh-CN"/>
        </w:rPr>
        <w:t>。</w:t>
      </w:r>
    </w:p>
    <w:p>
      <w:pPr>
        <w:spacing w:line="560" w:lineRule="exact"/>
        <w:ind w:firstLine="640" w:firstLineChars="200"/>
        <w:rPr>
          <w:rFonts w:hint="eastAsia" w:ascii="仿宋_GB2312" w:hAnsi="宋体" w:eastAsia="仿宋_GB2312" w:cs="宋体"/>
          <w:kern w:val="0"/>
          <w:sz w:val="32"/>
          <w:szCs w:val="32"/>
          <w:lang w:eastAsia="zh-CN"/>
        </w:rPr>
      </w:pPr>
      <w:r>
        <w:rPr>
          <w:rFonts w:ascii="仿宋_GB2312" w:hAnsi="宋体" w:eastAsia="仿宋_GB2312"/>
          <w:sz w:val="32"/>
          <w:szCs w:val="22"/>
        </w:rPr>
        <w:t>补贴方式</w:t>
      </w:r>
      <w:r>
        <w:rPr>
          <w:rFonts w:hint="eastAsia" w:ascii="仿宋_GB2312" w:hAnsi="黑体" w:eastAsia="仿宋_GB2312"/>
          <w:sz w:val="32"/>
          <w:szCs w:val="32"/>
        </w:rPr>
        <w:t>：</w:t>
      </w:r>
      <w:r>
        <w:rPr>
          <w:rFonts w:hint="eastAsia" w:ascii="仿宋_GB2312" w:hAnsi="宋体" w:eastAsia="仿宋_GB2312" w:cs="宋体"/>
          <w:kern w:val="0"/>
          <w:sz w:val="32"/>
          <w:szCs w:val="32"/>
        </w:rPr>
        <w:t>报销门诊、住院医疗费</w:t>
      </w:r>
      <w:r>
        <w:rPr>
          <w:rFonts w:hint="eastAsia" w:ascii="仿宋_GB2312" w:hAnsi="宋体" w:eastAsia="仿宋_GB2312" w:cs="宋体"/>
          <w:kern w:val="0"/>
          <w:sz w:val="32"/>
          <w:szCs w:val="32"/>
          <w:lang w:eastAsia="zh-CN"/>
        </w:rPr>
        <w:t>。</w:t>
      </w:r>
    </w:p>
    <w:p>
      <w:pPr>
        <w:spacing w:line="560" w:lineRule="exact"/>
        <w:ind w:left="2238" w:leftChars="304" w:hanging="1600" w:hangingChars="5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发放程序：每月业务科室核算医疗费用结算票据，通过</w:t>
      </w:r>
    </w:p>
    <w:p>
      <w:pPr>
        <w:spacing w:line="560" w:lineRule="exact"/>
        <w:ind w:left="2238" w:leftChars="304" w:hanging="1600" w:hangingChars="500"/>
        <w:rPr>
          <w:rFonts w:ascii="仿宋_GB2312" w:hAnsi="宋体" w:eastAsia="仿宋_GB2312"/>
          <w:sz w:val="32"/>
          <w:szCs w:val="22"/>
        </w:rPr>
      </w:pPr>
      <w:r>
        <w:rPr>
          <w:rFonts w:hint="eastAsia" w:ascii="仿宋_GB2312" w:hAnsi="宋体" w:eastAsia="仿宋_GB2312" w:cs="宋体"/>
          <w:kern w:val="0"/>
          <w:sz w:val="32"/>
          <w:szCs w:val="32"/>
        </w:rPr>
        <w:t>基金账户进行发放。</w:t>
      </w:r>
    </w:p>
    <w:p>
      <w:pPr>
        <w:spacing w:line="560" w:lineRule="exact"/>
        <w:ind w:left="3838" w:leftChars="304" w:hanging="3200" w:hangingChars="1000"/>
        <w:rPr>
          <w:rFonts w:hint="eastAsia" w:ascii="仿宋_GB2312" w:hAnsi="宋体" w:eastAsia="仿宋_GB2312" w:cs="宋体"/>
          <w:kern w:val="0"/>
          <w:sz w:val="32"/>
          <w:szCs w:val="32"/>
        </w:rPr>
      </w:pPr>
      <w:r>
        <w:rPr>
          <w:rFonts w:ascii="仿宋_GB2312" w:hAnsi="宋体" w:eastAsia="仿宋_GB2312"/>
          <w:sz w:val="32"/>
          <w:szCs w:val="22"/>
        </w:rPr>
        <w:t>受益人群和社会效益</w:t>
      </w:r>
      <w:r>
        <w:rPr>
          <w:rFonts w:hint="eastAsia" w:ascii="仿宋_GB2312" w:hAnsi="黑体" w:eastAsia="仿宋_GB2312"/>
          <w:sz w:val="32"/>
          <w:szCs w:val="32"/>
        </w:rPr>
        <w:t>：</w:t>
      </w:r>
      <w:r>
        <w:rPr>
          <w:rFonts w:hint="eastAsia" w:ascii="仿宋_GB2312" w:hAnsi="宋体" w:eastAsia="仿宋_GB2312" w:cs="宋体"/>
          <w:kern w:val="0"/>
          <w:sz w:val="32"/>
          <w:szCs w:val="32"/>
        </w:rPr>
        <w:t>离休人员医疗费享受人员</w:t>
      </w:r>
      <w:r>
        <w:rPr>
          <w:rFonts w:hint="eastAsia" w:ascii="仿宋_GB2312" w:hAnsi="宋体" w:eastAsia="仿宋_GB2312" w:cs="宋体"/>
          <w:kern w:val="0"/>
          <w:sz w:val="32"/>
          <w:szCs w:val="32"/>
          <w:lang w:val="en-US" w:eastAsia="zh-CN"/>
        </w:rPr>
        <w:t>79</w:t>
      </w:r>
      <w:r>
        <w:rPr>
          <w:rFonts w:hint="eastAsia" w:ascii="仿宋_GB2312" w:hAnsi="宋体" w:eastAsia="仿宋_GB2312" w:cs="宋体"/>
          <w:kern w:val="0"/>
          <w:sz w:val="32"/>
          <w:szCs w:val="32"/>
        </w:rPr>
        <w:t>人，</w:t>
      </w:r>
    </w:p>
    <w:p>
      <w:pPr>
        <w:spacing w:line="560" w:lineRule="exact"/>
        <w:ind w:left="3838" w:leftChars="304" w:hanging="3200" w:hangingChars="1000"/>
        <w:rPr>
          <w:rFonts w:hint="eastAsia" w:ascii="楷体_GB2312" w:hAnsi="楷体_GB2312" w:eastAsia="楷体_GB2312" w:cs="楷体_GB2312"/>
          <w:b/>
          <w:bCs/>
          <w:kern w:val="0"/>
          <w:sz w:val="32"/>
          <w:szCs w:val="32"/>
        </w:rPr>
      </w:pPr>
      <w:r>
        <w:rPr>
          <w:rFonts w:hint="eastAsia" w:ascii="仿宋_GB2312" w:hAnsi="宋体" w:eastAsia="仿宋_GB2312" w:cs="宋体"/>
          <w:kern w:val="0"/>
          <w:sz w:val="32"/>
          <w:szCs w:val="32"/>
        </w:rPr>
        <w:t>提高离休人员生活质量。</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八、关于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kern w:val="0"/>
          <w:sz w:val="32"/>
          <w:szCs w:val="32"/>
        </w:rPr>
        <w:t>2022年一般公共预算“三公”经费预算情况说明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昌吉州医疗保障局</w:t>
      </w:r>
      <w:r>
        <w:rPr>
          <w:rFonts w:hint="eastAsia" w:ascii="仿宋_GB2312" w:hAnsi="宋体" w:eastAsia="仿宋_GB2312" w:cs="宋体"/>
          <w:kern w:val="0"/>
          <w:sz w:val="32"/>
          <w:szCs w:val="32"/>
        </w:rPr>
        <w:t>2022年一般公共预算“三公”经费数为</w:t>
      </w:r>
      <w:r>
        <w:rPr>
          <w:rFonts w:hint="eastAsia" w:ascii="仿宋_GB2312" w:hAnsi="宋体" w:eastAsia="仿宋_GB2312" w:cs="宋体"/>
          <w:kern w:val="0"/>
          <w:sz w:val="32"/>
          <w:szCs w:val="32"/>
          <w:lang w:val="en-US" w:eastAsia="zh-CN"/>
        </w:rPr>
        <w:t>4.9</w:t>
      </w:r>
      <w:r>
        <w:rPr>
          <w:rFonts w:hint="eastAsia" w:ascii="仿宋_GB2312" w:hAnsi="宋体" w:eastAsia="仿宋_GB2312" w:cs="宋体"/>
          <w:kern w:val="0"/>
          <w:sz w:val="32"/>
          <w:szCs w:val="32"/>
        </w:rPr>
        <w:t>万元，其中：因公出国（境）费</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万元，公务用车购置</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万元，公务用车运行费</w:t>
      </w:r>
      <w:r>
        <w:rPr>
          <w:rFonts w:hint="eastAsia" w:ascii="仿宋_GB2312" w:hAnsi="宋体" w:eastAsia="仿宋_GB2312" w:cs="宋体"/>
          <w:kern w:val="0"/>
          <w:sz w:val="32"/>
          <w:szCs w:val="32"/>
          <w:lang w:val="en-US" w:eastAsia="zh-CN"/>
        </w:rPr>
        <w:t>4.5</w:t>
      </w:r>
      <w:r>
        <w:rPr>
          <w:rFonts w:hint="eastAsia" w:ascii="仿宋_GB2312" w:hAnsi="宋体" w:eastAsia="仿宋_GB2312" w:cs="宋体"/>
          <w:kern w:val="0"/>
          <w:sz w:val="32"/>
          <w:szCs w:val="32"/>
        </w:rPr>
        <w:t>万元，公务接待费</w:t>
      </w:r>
      <w:r>
        <w:rPr>
          <w:rFonts w:hint="eastAsia" w:ascii="仿宋_GB2312" w:hAnsi="宋体" w:eastAsia="仿宋_GB2312" w:cs="宋体"/>
          <w:kern w:val="0"/>
          <w:sz w:val="32"/>
          <w:szCs w:val="32"/>
          <w:lang w:val="en-US" w:eastAsia="zh-CN"/>
        </w:rPr>
        <w:t>0.4</w:t>
      </w:r>
      <w:r>
        <w:rPr>
          <w:rFonts w:hint="eastAsia" w:ascii="仿宋_GB2312" w:hAnsi="宋体" w:eastAsia="仿宋_GB2312" w:cs="宋体"/>
          <w:kern w:val="0"/>
          <w:sz w:val="32"/>
          <w:szCs w:val="32"/>
        </w:rPr>
        <w:t>万元。</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2022年一般公共预算“三公”经费比上年增加</w:t>
      </w:r>
      <w:r>
        <w:rPr>
          <w:rFonts w:hint="eastAsia" w:ascii="仿宋_GB2312" w:hAnsi="宋体" w:eastAsia="仿宋_GB2312" w:cs="宋体"/>
          <w:kern w:val="0"/>
          <w:sz w:val="32"/>
          <w:szCs w:val="32"/>
          <w:lang w:val="en-US" w:eastAsia="zh-CN"/>
        </w:rPr>
        <w:t>2.52</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106.9</w:t>
      </w:r>
      <w:r>
        <w:rPr>
          <w:rFonts w:hint="eastAsia" w:ascii="仿宋_GB2312" w:hAnsi="宋体" w:eastAsia="仿宋_GB2312" w:cs="宋体"/>
          <w:kern w:val="0"/>
          <w:sz w:val="32"/>
          <w:szCs w:val="32"/>
        </w:rPr>
        <w:t>%，其中：</w:t>
      </w:r>
      <w:r>
        <w:rPr>
          <w:rFonts w:ascii="仿宋_GB2312" w:hAnsi="宋体" w:eastAsia="仿宋_GB2312" w:cs="宋体"/>
          <w:kern w:val="0"/>
          <w:sz w:val="32"/>
          <w:szCs w:val="32"/>
          <w:highlight w:val="yellow"/>
        </w:rPr>
        <w:t>因公出国（境）费</w:t>
      </w:r>
      <w:r>
        <w:rPr>
          <w:rFonts w:hint="eastAsia" w:ascii="仿宋_GB2312" w:hAnsi="宋体" w:eastAsia="仿宋_GB2312" w:cs="宋体"/>
          <w:kern w:val="0"/>
          <w:sz w:val="32"/>
          <w:szCs w:val="32"/>
          <w:highlight w:val="yellow"/>
        </w:rPr>
        <w:t>比上年增加0万元，增长0%</w:t>
      </w:r>
      <w:r>
        <w:rPr>
          <w:rFonts w:ascii="仿宋_GB2312" w:hAnsi="宋体" w:eastAsia="仿宋_GB2312" w:cs="宋体"/>
          <w:kern w:val="0"/>
          <w:sz w:val="32"/>
          <w:szCs w:val="32"/>
          <w:highlight w:val="yellow"/>
        </w:rPr>
        <w:t>，主要原因是</w:t>
      </w:r>
      <w:r>
        <w:rPr>
          <w:rFonts w:hint="eastAsia" w:ascii="仿宋_GB2312" w:hAnsi="宋体" w:eastAsia="仿宋_GB2312" w:cs="宋体"/>
          <w:kern w:val="0"/>
          <w:sz w:val="32"/>
          <w:szCs w:val="32"/>
          <w:highlight w:val="yellow"/>
        </w:rPr>
        <w:t>未安排</w:t>
      </w:r>
      <w:r>
        <w:rPr>
          <w:rFonts w:ascii="仿宋_GB2312" w:hAnsi="宋体" w:eastAsia="仿宋_GB2312" w:cs="宋体"/>
          <w:kern w:val="0"/>
          <w:sz w:val="32"/>
          <w:szCs w:val="32"/>
          <w:highlight w:val="yellow"/>
        </w:rPr>
        <w:t>预算；</w:t>
      </w:r>
      <w:r>
        <w:rPr>
          <w:rFonts w:hint="eastAsia" w:ascii="仿宋_GB2312" w:hAnsi="宋体" w:eastAsia="仿宋_GB2312" w:cs="宋体"/>
          <w:kern w:val="0"/>
          <w:sz w:val="32"/>
          <w:szCs w:val="32"/>
          <w:highlight w:val="yellow"/>
        </w:rPr>
        <w:t>公务用车购置费0万元，比上年增加0万元，增长0%，主要原因是未安排预算；</w:t>
      </w:r>
      <w:r>
        <w:rPr>
          <w:rFonts w:hint="eastAsia" w:ascii="仿宋_GB2312" w:hAnsi="宋体" w:eastAsia="仿宋_GB2312" w:cs="宋体"/>
          <w:kern w:val="0"/>
          <w:sz w:val="32"/>
          <w:szCs w:val="32"/>
        </w:rPr>
        <w:t>公务用车运行费</w:t>
      </w:r>
      <w:r>
        <w:rPr>
          <w:rFonts w:hint="eastAsia" w:ascii="仿宋_GB2312" w:hAnsi="宋体" w:eastAsia="仿宋_GB2312" w:cs="宋体"/>
          <w:kern w:val="0"/>
          <w:sz w:val="32"/>
          <w:szCs w:val="32"/>
          <w:highlight w:val="yellow"/>
        </w:rPr>
        <w:t>比上年</w:t>
      </w:r>
      <w:r>
        <w:rPr>
          <w:rFonts w:hint="eastAsia" w:ascii="仿宋_GB2312" w:hAnsi="宋体" w:eastAsia="仿宋_GB2312" w:cs="宋体"/>
          <w:kern w:val="0"/>
          <w:sz w:val="32"/>
          <w:szCs w:val="32"/>
        </w:rPr>
        <w:t>增加</w:t>
      </w:r>
      <w:r>
        <w:rPr>
          <w:rFonts w:hint="eastAsia" w:ascii="仿宋_GB2312" w:hAnsi="宋体" w:eastAsia="仿宋_GB2312" w:cs="宋体"/>
          <w:kern w:val="0"/>
          <w:sz w:val="32"/>
          <w:szCs w:val="32"/>
          <w:lang w:val="en-US" w:eastAsia="zh-CN"/>
        </w:rPr>
        <w:t>2.32</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106.4</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2021年医保新系统上线，工作人员赴县市检查指导工作导致</w:t>
      </w:r>
      <w:r>
        <w:rPr>
          <w:rFonts w:hint="eastAsia" w:ascii="仿宋_GB2312" w:hAnsi="宋体" w:eastAsia="仿宋_GB2312" w:cs="宋体"/>
          <w:kern w:val="0"/>
          <w:sz w:val="32"/>
          <w:szCs w:val="32"/>
        </w:rPr>
        <w:t>公务用车运行费增加；公务接待费</w:t>
      </w:r>
      <w:r>
        <w:rPr>
          <w:rFonts w:hint="eastAsia" w:ascii="仿宋_GB2312" w:hAnsi="宋体" w:eastAsia="仿宋_GB2312" w:cs="宋体"/>
          <w:kern w:val="0"/>
          <w:sz w:val="32"/>
          <w:szCs w:val="32"/>
          <w:highlight w:val="yellow"/>
        </w:rPr>
        <w:t>比上年</w:t>
      </w:r>
      <w:r>
        <w:rPr>
          <w:rFonts w:hint="eastAsia" w:ascii="仿宋_GB2312" w:hAnsi="宋体" w:eastAsia="仿宋_GB2312" w:cs="宋体"/>
          <w:kern w:val="0"/>
          <w:sz w:val="32"/>
          <w:szCs w:val="32"/>
        </w:rPr>
        <w:t>增加</w:t>
      </w:r>
      <w:r>
        <w:rPr>
          <w:rFonts w:hint="eastAsia" w:ascii="仿宋_GB2312" w:hAnsi="宋体" w:eastAsia="仿宋_GB2312" w:cs="宋体"/>
          <w:kern w:val="0"/>
          <w:sz w:val="32"/>
          <w:szCs w:val="32"/>
          <w:lang w:val="en-US" w:eastAsia="zh-CN"/>
        </w:rPr>
        <w:t>0.2</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eastAsia="zh-CN"/>
        </w:rPr>
        <w:t>医保新系统上线，各地州互相交流学习的需求导致</w:t>
      </w:r>
      <w:r>
        <w:rPr>
          <w:rFonts w:hint="eastAsia" w:ascii="仿宋_GB2312" w:hAnsi="宋体" w:eastAsia="仿宋_GB2312" w:cs="宋体"/>
          <w:kern w:val="0"/>
          <w:sz w:val="32"/>
          <w:szCs w:val="32"/>
        </w:rPr>
        <w:t>公务接待费增加。</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九、关于</w:t>
      </w:r>
      <w:r>
        <w:rPr>
          <w:rFonts w:hint="eastAsia" w:ascii="楷体_GB2312" w:hAnsi="楷体_GB2312" w:eastAsia="楷体_GB2312" w:cs="楷体_GB2312"/>
          <w:b/>
          <w:bCs/>
          <w:kern w:val="0"/>
          <w:sz w:val="32"/>
          <w:szCs w:val="32"/>
          <w:lang w:eastAsia="zh-CN"/>
        </w:rPr>
        <w:t>昌吉州医疗保障局</w:t>
      </w:r>
      <w:r>
        <w:rPr>
          <w:rFonts w:hint="eastAsia" w:ascii="楷体_GB2312" w:hAnsi="楷体_GB2312" w:eastAsia="楷体_GB2312" w:cs="楷体_GB2312"/>
          <w:b/>
          <w:bCs/>
          <w:kern w:val="0"/>
          <w:sz w:val="32"/>
          <w:szCs w:val="32"/>
        </w:rPr>
        <w:t>2022年政府性基金预算拨款情况说明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昌吉州医疗保障局</w:t>
      </w:r>
      <w:r>
        <w:rPr>
          <w:rFonts w:hint="eastAsia" w:ascii="仿宋_GB2312" w:hAnsi="仿宋_GB2312" w:eastAsia="仿宋_GB2312" w:cs="仿宋_GB2312"/>
          <w:kern w:val="0"/>
          <w:sz w:val="32"/>
          <w:szCs w:val="32"/>
        </w:rPr>
        <w:t>2022年没有使用政府性基金预算拨款安排的支出，政府性基金预算支出情况表为空表。</w:t>
      </w:r>
    </w:p>
    <w:p>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十、其他重要事项的情况说明</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（一）机关运行经费情况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w:t>
      </w:r>
      <w:r>
        <w:rPr>
          <w:rFonts w:hint="eastAsia" w:ascii="仿宋_GB2312" w:hAnsi="仿宋_GB2312" w:eastAsia="仿宋_GB2312" w:cs="仿宋_GB2312"/>
          <w:kern w:val="0"/>
          <w:sz w:val="32"/>
          <w:szCs w:val="32"/>
          <w:lang w:eastAsia="zh-CN"/>
        </w:rPr>
        <w:t>昌吉州医疗保障局</w:t>
      </w:r>
      <w:r>
        <w:rPr>
          <w:rFonts w:hint="eastAsia" w:ascii="仿宋_GB2312" w:hAnsi="仿宋_GB2312" w:eastAsia="仿宋_GB2312" w:cs="仿宋_GB2312"/>
          <w:kern w:val="0"/>
          <w:sz w:val="32"/>
          <w:szCs w:val="32"/>
        </w:rPr>
        <w:t>机关运行经费财政拨款预算</w:t>
      </w:r>
      <w:r>
        <w:rPr>
          <w:rFonts w:hint="eastAsia" w:ascii="仿宋_GB2312" w:hAnsi="仿宋_GB2312" w:eastAsia="仿宋_GB2312" w:cs="仿宋_GB2312"/>
          <w:kern w:val="0"/>
          <w:sz w:val="32"/>
          <w:szCs w:val="32"/>
          <w:lang w:val="en-US" w:eastAsia="zh-CN"/>
        </w:rPr>
        <w:t>36.77</w:t>
      </w:r>
      <w:r>
        <w:rPr>
          <w:rFonts w:hint="eastAsia" w:ascii="仿宋_GB2312" w:hAnsi="仿宋_GB2312" w:eastAsia="仿宋_GB2312" w:cs="仿宋_GB2312"/>
          <w:kern w:val="0"/>
          <w:sz w:val="32"/>
          <w:szCs w:val="32"/>
        </w:rPr>
        <w:t>万元，比上年预算增加</w:t>
      </w:r>
      <w:r>
        <w:rPr>
          <w:rFonts w:hint="eastAsia" w:ascii="仿宋_GB2312" w:hAnsi="仿宋_GB2312" w:eastAsia="仿宋_GB2312" w:cs="仿宋_GB2312"/>
          <w:kern w:val="0"/>
          <w:sz w:val="32"/>
          <w:szCs w:val="32"/>
          <w:lang w:val="en-US" w:eastAsia="zh-CN"/>
        </w:rPr>
        <w:t>1.16</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3.26</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本单位合理均衡各项公用经费开支，总体略微增加预算</w:t>
      </w:r>
      <w:r>
        <w:rPr>
          <w:rFonts w:hint="eastAsia" w:ascii="仿宋_GB2312" w:hAnsi="仿宋_GB2312" w:eastAsia="仿宋_GB2312" w:cs="仿宋_GB2312"/>
          <w:kern w:val="0"/>
          <w:sz w:val="32"/>
          <w:szCs w:val="32"/>
        </w:rPr>
        <w:t>。</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（二）政府采购情况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w:t>
      </w:r>
      <w:r>
        <w:rPr>
          <w:rFonts w:hint="eastAsia" w:ascii="仿宋_GB2312" w:hAnsi="仿宋_GB2312" w:eastAsia="仿宋_GB2312" w:cs="仿宋_GB2312"/>
          <w:kern w:val="0"/>
          <w:sz w:val="32"/>
          <w:szCs w:val="32"/>
          <w:lang w:eastAsia="zh-CN"/>
        </w:rPr>
        <w:t>昌吉州医疗保障局</w:t>
      </w:r>
      <w:r>
        <w:rPr>
          <w:rFonts w:hint="eastAsia" w:ascii="仿宋_GB2312" w:hAnsi="仿宋_GB2312" w:eastAsia="仿宋_GB2312" w:cs="仿宋_GB2312"/>
          <w:kern w:val="0"/>
          <w:sz w:val="32"/>
          <w:szCs w:val="32"/>
        </w:rPr>
        <w:t>政府采购预算</w:t>
      </w:r>
      <w:r>
        <w:rPr>
          <w:rFonts w:hint="eastAsia" w:ascii="仿宋_GB2312" w:hAnsi="仿宋_GB2312" w:eastAsia="仿宋_GB2312" w:cs="仿宋_GB2312"/>
          <w:kern w:val="0"/>
          <w:sz w:val="32"/>
          <w:szCs w:val="32"/>
          <w:lang w:val="en-US" w:eastAsia="zh-CN"/>
        </w:rPr>
        <w:t>286.8</w:t>
      </w:r>
      <w:r>
        <w:rPr>
          <w:rFonts w:hint="eastAsia" w:ascii="仿宋_GB2312" w:hAnsi="仿宋_GB2312" w:eastAsia="仿宋_GB2312" w:cs="仿宋_GB2312"/>
          <w:kern w:val="0"/>
          <w:sz w:val="32"/>
          <w:szCs w:val="32"/>
        </w:rPr>
        <w:t>万元，其中：政府采购货物预算</w:t>
      </w:r>
      <w:r>
        <w:rPr>
          <w:rFonts w:hint="eastAsia" w:ascii="仿宋_GB2312" w:hAnsi="仿宋_GB2312" w:eastAsia="仿宋_GB2312" w:cs="仿宋_GB2312"/>
          <w:kern w:val="0"/>
          <w:sz w:val="32"/>
          <w:szCs w:val="32"/>
          <w:lang w:val="en-US" w:eastAsia="zh-CN"/>
        </w:rPr>
        <w:t>69.91</w:t>
      </w:r>
      <w:r>
        <w:rPr>
          <w:rFonts w:hint="eastAsia" w:ascii="仿宋_GB2312" w:hAnsi="仿宋_GB2312" w:eastAsia="仿宋_GB2312" w:cs="仿宋_GB2312"/>
          <w:kern w:val="0"/>
          <w:sz w:val="32"/>
          <w:szCs w:val="32"/>
        </w:rPr>
        <w:t>万元，政府采购工程预算</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万元，政府采购服务预算</w:t>
      </w:r>
      <w:r>
        <w:rPr>
          <w:rFonts w:hint="eastAsia" w:ascii="仿宋_GB2312" w:hAnsi="仿宋_GB2312" w:eastAsia="仿宋_GB2312" w:cs="仿宋_GB2312"/>
          <w:kern w:val="0"/>
          <w:sz w:val="32"/>
          <w:szCs w:val="32"/>
          <w:lang w:val="en-US" w:eastAsia="zh-CN"/>
        </w:rPr>
        <w:t>216.89</w:t>
      </w:r>
      <w:r>
        <w:rPr>
          <w:rFonts w:hint="eastAsia" w:ascii="仿宋_GB2312" w:hAnsi="仿宋_GB2312" w:eastAsia="仿宋_GB2312" w:cs="仿宋_GB2312"/>
          <w:kern w:val="0"/>
          <w:sz w:val="32"/>
          <w:szCs w:val="32"/>
        </w:rPr>
        <w:t>万元。</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rPr>
        <w:t>2022年度本部门（单位）面向中小企业预留政府采购项目预算金额</w:t>
      </w:r>
      <w:r>
        <w:rPr>
          <w:rFonts w:hint="eastAsia" w:ascii="仿宋_GB2312" w:hAnsi="仿宋_GB2312" w:eastAsia="仿宋_GB2312" w:cs="仿宋_GB2312"/>
          <w:sz w:val="32"/>
          <w:lang w:val="en-US" w:eastAsia="zh-CN"/>
        </w:rPr>
        <w:t>162.51</w:t>
      </w:r>
      <w:r>
        <w:rPr>
          <w:rFonts w:hint="eastAsia" w:ascii="仿宋_GB2312" w:hAnsi="仿宋_GB2312" w:eastAsia="仿宋_GB2312" w:cs="仿宋_GB2312"/>
          <w:sz w:val="32"/>
        </w:rPr>
        <w:t>万元，其中：面向小微企业预留政府采购项目预算金额</w:t>
      </w:r>
      <w:r>
        <w:rPr>
          <w:rFonts w:hint="eastAsia" w:ascii="仿宋_GB2312" w:hAnsi="仿宋_GB2312" w:eastAsia="仿宋_GB2312" w:cs="仿宋_GB2312"/>
          <w:sz w:val="32"/>
          <w:lang w:val="en-US" w:eastAsia="zh-CN"/>
        </w:rPr>
        <w:t>48.56</w:t>
      </w:r>
      <w:r>
        <w:rPr>
          <w:rFonts w:hint="eastAsia" w:ascii="仿宋_GB2312" w:hAnsi="仿宋_GB2312" w:eastAsia="仿宋_GB2312" w:cs="仿宋_GB2312"/>
          <w:sz w:val="32"/>
        </w:rPr>
        <w:t>万元。</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（三）国有资产占用使用情况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截至2021年底，</w:t>
      </w:r>
      <w:r>
        <w:rPr>
          <w:rFonts w:hint="eastAsia" w:ascii="仿宋_GB2312" w:hAnsi="仿宋_GB2312" w:eastAsia="仿宋_GB2312" w:cs="仿宋_GB2312"/>
          <w:kern w:val="0"/>
          <w:sz w:val="32"/>
          <w:szCs w:val="32"/>
          <w:lang w:eastAsia="zh-CN"/>
        </w:rPr>
        <w:t>昌吉州医疗保障局</w:t>
      </w:r>
      <w:r>
        <w:rPr>
          <w:rFonts w:hint="eastAsia" w:ascii="仿宋_GB2312" w:hAnsi="仿宋_GB2312" w:eastAsia="仿宋_GB2312" w:cs="仿宋_GB2312"/>
          <w:kern w:val="0"/>
          <w:sz w:val="32"/>
          <w:szCs w:val="32"/>
        </w:rPr>
        <w:t>占用使用国有资产总体情况为</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1.房屋</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平方米，价值</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Pr>
        <w:spacing w:line="560" w:lineRule="exact"/>
        <w:ind w:firstLine="640" w:firstLineChars="200"/>
        <w:rPr>
          <w:rFonts w:ascii="仿宋_GB2312" w:hAnsi="仿宋_GB2312" w:eastAsia="仿宋_GB2312" w:cs="仿宋_GB2312"/>
          <w:kern w:val="0"/>
          <w:sz w:val="32"/>
          <w:szCs w:val="32"/>
          <w:highlight w:val="yellow"/>
        </w:rPr>
      </w:pPr>
      <w:r>
        <w:rPr>
          <w:rFonts w:hint="eastAsia" w:ascii="仿宋_GB2312" w:hAnsi="仿宋_GB2312" w:eastAsia="仿宋_GB2312" w:cs="仿宋_GB2312"/>
          <w:kern w:val="0"/>
          <w:sz w:val="32"/>
          <w:szCs w:val="32"/>
          <w:highlight w:val="yellow"/>
        </w:rPr>
        <w:t>2.车辆</w:t>
      </w:r>
      <w:r>
        <w:rPr>
          <w:rFonts w:hint="eastAsia" w:ascii="仿宋_GB2312" w:hAnsi="仿宋_GB2312" w:eastAsia="仿宋_GB2312" w:cs="仿宋_GB2312"/>
          <w:kern w:val="0"/>
          <w:sz w:val="32"/>
          <w:szCs w:val="32"/>
          <w:highlight w:val="yellow"/>
          <w:lang w:val="en-US" w:eastAsia="zh-CN"/>
        </w:rPr>
        <w:t>2</w:t>
      </w:r>
      <w:r>
        <w:rPr>
          <w:rFonts w:hint="eastAsia" w:ascii="仿宋_GB2312" w:hAnsi="仿宋_GB2312" w:eastAsia="仿宋_GB2312" w:cs="仿宋_GB2312"/>
          <w:kern w:val="0"/>
          <w:sz w:val="32"/>
          <w:szCs w:val="32"/>
          <w:highlight w:val="yellow"/>
        </w:rPr>
        <w:t>辆，价值</w:t>
      </w:r>
      <w:r>
        <w:rPr>
          <w:rFonts w:hint="eastAsia" w:ascii="仿宋_GB2312" w:hAnsi="仿宋_GB2312" w:eastAsia="仿宋_GB2312" w:cs="仿宋_GB2312"/>
          <w:kern w:val="0"/>
          <w:sz w:val="32"/>
          <w:szCs w:val="32"/>
          <w:highlight w:val="yellow"/>
          <w:lang w:val="en-US" w:eastAsia="zh-CN"/>
        </w:rPr>
        <w:t>44.7</w:t>
      </w:r>
      <w:r>
        <w:rPr>
          <w:rFonts w:hint="eastAsia" w:ascii="仿宋_GB2312" w:hAnsi="仿宋_GB2312" w:eastAsia="仿宋_GB2312" w:cs="仿宋_GB2312"/>
          <w:kern w:val="0"/>
          <w:sz w:val="32"/>
          <w:szCs w:val="32"/>
          <w:highlight w:val="yellow"/>
        </w:rPr>
        <w:t>万元；其中：一般公务用车</w:t>
      </w:r>
      <w:r>
        <w:rPr>
          <w:rFonts w:hint="eastAsia" w:ascii="仿宋_GB2312" w:hAnsi="仿宋_GB2312" w:eastAsia="仿宋_GB2312" w:cs="仿宋_GB2312"/>
          <w:kern w:val="0"/>
          <w:sz w:val="32"/>
          <w:szCs w:val="32"/>
          <w:highlight w:val="yellow"/>
          <w:lang w:val="en-US" w:eastAsia="zh-CN"/>
        </w:rPr>
        <w:t>2</w:t>
      </w:r>
      <w:r>
        <w:rPr>
          <w:rFonts w:hint="eastAsia" w:ascii="仿宋_GB2312" w:hAnsi="仿宋_GB2312" w:eastAsia="仿宋_GB2312" w:cs="仿宋_GB2312"/>
          <w:kern w:val="0"/>
          <w:sz w:val="32"/>
          <w:szCs w:val="32"/>
          <w:highlight w:val="yellow"/>
        </w:rPr>
        <w:t>辆，价值</w:t>
      </w:r>
      <w:r>
        <w:rPr>
          <w:rFonts w:hint="eastAsia" w:ascii="仿宋_GB2312" w:hAnsi="仿宋_GB2312" w:eastAsia="仿宋_GB2312" w:cs="仿宋_GB2312"/>
          <w:kern w:val="0"/>
          <w:sz w:val="32"/>
          <w:szCs w:val="32"/>
          <w:highlight w:val="yellow"/>
          <w:lang w:val="en-US" w:eastAsia="zh-CN"/>
        </w:rPr>
        <w:t>44.7</w:t>
      </w:r>
      <w:r>
        <w:rPr>
          <w:rFonts w:hint="eastAsia" w:ascii="仿宋_GB2312" w:hAnsi="仿宋_GB2312" w:eastAsia="仿宋_GB2312" w:cs="仿宋_GB2312"/>
          <w:kern w:val="0"/>
          <w:sz w:val="32"/>
          <w:szCs w:val="32"/>
          <w:highlight w:val="yellow"/>
        </w:rPr>
        <w:t>万元</w:t>
      </w:r>
      <w:r>
        <w:rPr>
          <w:rFonts w:hint="eastAsia" w:ascii="仿宋_GB2312" w:hAnsi="仿宋_GB2312" w:eastAsia="仿宋_GB2312" w:cs="仿宋_GB2312"/>
          <w:kern w:val="0"/>
          <w:sz w:val="32"/>
          <w:szCs w:val="32"/>
        </w:rPr>
        <w:t>；执法执勤用车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辆，价值</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r>
        <w:rPr>
          <w:rFonts w:hint="eastAsia" w:ascii="仿宋_GB2312" w:hAnsi="宋体" w:eastAsia="仿宋_GB2312" w:cs="宋体"/>
          <w:kern w:val="0"/>
          <w:sz w:val="32"/>
          <w:szCs w:val="32"/>
          <w:highlight w:val="yellow"/>
        </w:rPr>
        <w:t>其他车辆</w:t>
      </w:r>
      <w:r>
        <w:rPr>
          <w:rFonts w:hint="eastAsia" w:ascii="仿宋_GB2312" w:hAnsi="宋体" w:eastAsia="仿宋_GB2312" w:cs="宋体"/>
          <w:kern w:val="0"/>
          <w:sz w:val="32"/>
          <w:szCs w:val="32"/>
          <w:highlight w:val="yellow"/>
          <w:lang w:val="en-US" w:eastAsia="zh-CN"/>
        </w:rPr>
        <w:t>0</w:t>
      </w:r>
      <w:r>
        <w:rPr>
          <w:rFonts w:hint="eastAsia" w:ascii="仿宋_GB2312" w:hAnsi="宋体" w:eastAsia="仿宋_GB2312" w:cs="宋体"/>
          <w:kern w:val="0"/>
          <w:sz w:val="32"/>
          <w:szCs w:val="32"/>
          <w:highlight w:val="yellow"/>
        </w:rPr>
        <w:t>辆，价值</w:t>
      </w:r>
      <w:r>
        <w:rPr>
          <w:rFonts w:hint="eastAsia" w:ascii="仿宋_GB2312" w:hAnsi="宋体" w:eastAsia="仿宋_GB2312" w:cs="宋体"/>
          <w:kern w:val="0"/>
          <w:sz w:val="32"/>
          <w:szCs w:val="32"/>
          <w:highlight w:val="yellow"/>
          <w:lang w:val="en-US" w:eastAsia="zh-CN"/>
        </w:rPr>
        <w:t>0</w:t>
      </w:r>
      <w:r>
        <w:rPr>
          <w:rFonts w:hint="eastAsia" w:ascii="仿宋_GB2312" w:hAnsi="宋体" w:eastAsia="仿宋_GB2312" w:cs="宋体"/>
          <w:kern w:val="0"/>
          <w:sz w:val="32"/>
          <w:szCs w:val="32"/>
          <w:highlight w:val="yellow"/>
        </w:rPr>
        <w:t>万元</w:t>
      </w:r>
      <w:r>
        <w:rPr>
          <w:rFonts w:hint="eastAsia" w:ascii="仿宋_GB2312" w:hAnsi="仿宋_GB2312" w:eastAsia="仿宋_GB2312" w:cs="仿宋_GB2312"/>
          <w:kern w:val="0"/>
          <w:sz w:val="32"/>
          <w:szCs w:val="32"/>
          <w:highlight w:val="yellow"/>
        </w:rPr>
        <w:t>。</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3.办公家具价值</w:t>
      </w:r>
      <w:r>
        <w:rPr>
          <w:rFonts w:hint="eastAsia" w:ascii="仿宋_GB2312" w:hAnsi="仿宋_GB2312" w:eastAsia="仿宋_GB2312" w:cs="仿宋_GB2312"/>
          <w:kern w:val="0"/>
          <w:sz w:val="32"/>
          <w:szCs w:val="32"/>
          <w:lang w:val="en-US" w:eastAsia="zh-CN"/>
        </w:rPr>
        <w:t>7.25</w:t>
      </w:r>
      <w:r>
        <w:rPr>
          <w:rFonts w:hint="eastAsia" w:ascii="仿宋_GB2312" w:hAnsi="仿宋_GB2312" w:eastAsia="仿宋_GB2312" w:cs="仿宋_GB2312"/>
          <w:kern w:val="0"/>
          <w:sz w:val="32"/>
          <w:szCs w:val="32"/>
        </w:rPr>
        <w:t>万元。</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4.其他资产价值</w:t>
      </w:r>
      <w:r>
        <w:rPr>
          <w:rFonts w:hint="eastAsia" w:ascii="仿宋_GB2312" w:hAnsi="仿宋_GB2312" w:eastAsia="仿宋_GB2312" w:cs="仿宋_GB2312"/>
          <w:kern w:val="0"/>
          <w:sz w:val="32"/>
          <w:szCs w:val="32"/>
          <w:lang w:val="en-US" w:eastAsia="zh-CN"/>
        </w:rPr>
        <w:t>152.16</w:t>
      </w:r>
      <w:r>
        <w:rPr>
          <w:rFonts w:hint="eastAsia" w:ascii="仿宋_GB2312" w:hAnsi="仿宋_GB2312" w:eastAsia="仿宋_GB2312" w:cs="仿宋_GB2312"/>
          <w:kern w:val="0"/>
          <w:sz w:val="32"/>
          <w:szCs w:val="32"/>
        </w:rPr>
        <w:t>万元。</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单位价值50万元以上大型设备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台（套），单位价值100万元以上大型设备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2022年部门（单位）预算未安排购置车辆经费，安排购置50万元以上大型设备0台（套），单位价值100万元以上大型设备0台（套）。</w:t>
      </w:r>
    </w:p>
    <w:p>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（四）预算绩效情况</w:t>
      </w:r>
    </w:p>
    <w:p>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2022年，本年度预算绩效管理的</w:t>
      </w:r>
      <w:r>
        <w:rPr>
          <w:rFonts w:hint="eastAsia" w:ascii="仿宋_GB2312" w:hAnsi="仿宋_GB2312" w:eastAsia="仿宋_GB2312" w:cs="仿宋_GB2312"/>
          <w:kern w:val="0"/>
          <w:sz w:val="32"/>
          <w:szCs w:val="32"/>
          <w:lang w:eastAsia="zh-Hans"/>
        </w:rPr>
        <w:t>财政拨款</w:t>
      </w:r>
      <w:r>
        <w:rPr>
          <w:rFonts w:hint="eastAsia" w:ascii="仿宋_GB2312" w:hAnsi="仿宋_GB2312" w:eastAsia="仿宋_GB2312" w:cs="仿宋_GB2312"/>
          <w:kern w:val="0"/>
          <w:sz w:val="32"/>
          <w:szCs w:val="32"/>
        </w:rPr>
        <w:t>项目</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个，涉及预算金额</w:t>
      </w:r>
      <w:r>
        <w:rPr>
          <w:rFonts w:hint="eastAsia" w:ascii="仿宋_GB2312" w:hAnsi="仿宋_GB2312" w:eastAsia="仿宋_GB2312" w:cs="仿宋_GB2312"/>
          <w:kern w:val="0"/>
          <w:sz w:val="32"/>
          <w:szCs w:val="32"/>
          <w:lang w:val="en-US" w:eastAsia="zh-CN"/>
        </w:rPr>
        <w:t>977.65</w:t>
      </w:r>
      <w:r>
        <w:rPr>
          <w:rFonts w:hint="eastAsia" w:ascii="仿宋_GB2312" w:hAnsi="仿宋_GB2312" w:eastAsia="仿宋_GB2312" w:cs="仿宋_GB2312"/>
          <w:kern w:val="0"/>
          <w:sz w:val="32"/>
          <w:szCs w:val="32"/>
        </w:rPr>
        <w:t>万元。具体情况见下表（按项目分别填报）：</w:t>
      </w:r>
    </w:p>
    <w:tbl>
      <w:tblPr>
        <w:tblStyle w:val="6"/>
        <w:tblpPr w:leftFromText="180" w:rightFromText="180" w:vertAnchor="text" w:horzAnchor="page" w:tblpX="1097" w:tblpY="449"/>
        <w:tblOverlap w:val="never"/>
        <w:tblW w:w="10148" w:type="dxa"/>
        <w:tblInd w:w="0" w:type="dxa"/>
        <w:tblLayout w:type="fixed"/>
        <w:tblCellMar>
          <w:top w:w="0" w:type="dxa"/>
          <w:left w:w="0" w:type="dxa"/>
          <w:bottom w:w="0" w:type="dxa"/>
          <w:right w:w="0" w:type="dxa"/>
        </w:tblCellMar>
      </w:tblPr>
      <w:tblGrid>
        <w:gridCol w:w="1398"/>
        <w:gridCol w:w="1136"/>
        <w:gridCol w:w="648"/>
        <w:gridCol w:w="906"/>
        <w:gridCol w:w="1476"/>
        <w:gridCol w:w="1630"/>
        <w:gridCol w:w="890"/>
        <w:gridCol w:w="2064"/>
      </w:tblGrid>
      <w:tr>
        <w:tblPrEx>
          <w:tblCellMar>
            <w:top w:w="0" w:type="dxa"/>
            <w:left w:w="0" w:type="dxa"/>
            <w:bottom w:w="0" w:type="dxa"/>
            <w:right w:w="0" w:type="dxa"/>
          </w:tblCellMar>
        </w:tblPrEx>
        <w:trPr>
          <w:trHeight w:val="356" w:hRule="atLeast"/>
        </w:trPr>
        <w:tc>
          <w:tcPr>
            <w:tcW w:w="10148"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仿宋_GB2312" w:hAnsi="宋体" w:eastAsia="仿宋_GB2312" w:cs="仿宋_GB2312"/>
                <w:b/>
                <w:color w:val="auto"/>
                <w:sz w:val="32"/>
                <w:szCs w:val="32"/>
              </w:rPr>
            </w:pPr>
            <w:r>
              <w:rPr>
                <w:rFonts w:hint="eastAsia" w:ascii="仿宋_GB2312" w:hAnsi="宋体" w:eastAsia="仿宋_GB2312" w:cs="仿宋_GB2312"/>
                <w:b/>
                <w:color w:val="auto"/>
                <w:kern w:val="0"/>
                <w:sz w:val="32"/>
                <w:szCs w:val="32"/>
                <w:lang w:bidi="ar"/>
              </w:rPr>
              <w:t>项  目  支  出  绩  效  目  标  表</w:t>
            </w:r>
          </w:p>
        </w:tc>
      </w:tr>
      <w:tr>
        <w:tblPrEx>
          <w:tblCellMar>
            <w:top w:w="0" w:type="dxa"/>
            <w:left w:w="0" w:type="dxa"/>
            <w:bottom w:w="0" w:type="dxa"/>
            <w:right w:w="0" w:type="dxa"/>
          </w:tblCellMar>
        </w:tblPrEx>
        <w:trPr>
          <w:trHeight w:val="342" w:hRule="atLeast"/>
        </w:trPr>
        <w:tc>
          <w:tcPr>
            <w:tcW w:w="10148"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auto"/>
                <w:sz w:val="22"/>
                <w:szCs w:val="22"/>
              </w:rPr>
            </w:pPr>
            <w:r>
              <w:rPr>
                <w:rFonts w:hint="eastAsia" w:ascii="宋体" w:hAnsi="宋体" w:cs="宋体"/>
                <w:color w:val="auto"/>
                <w:kern w:val="0"/>
                <w:sz w:val="22"/>
                <w:szCs w:val="22"/>
                <w:lang w:bidi="ar"/>
              </w:rPr>
              <w:t>（202</w:t>
            </w:r>
            <w:r>
              <w:rPr>
                <w:rFonts w:ascii="宋体" w:hAnsi="宋体" w:cs="宋体"/>
                <w:color w:val="auto"/>
                <w:kern w:val="0"/>
                <w:sz w:val="22"/>
                <w:szCs w:val="22"/>
                <w:lang w:bidi="ar"/>
              </w:rPr>
              <w:t>2</w:t>
            </w:r>
            <w:r>
              <w:rPr>
                <w:rFonts w:hint="eastAsia" w:ascii="宋体" w:hAnsi="宋体" w:cs="宋体"/>
                <w:color w:val="auto"/>
                <w:kern w:val="0"/>
                <w:sz w:val="22"/>
                <w:szCs w:val="22"/>
                <w:lang w:bidi="ar"/>
              </w:rPr>
              <w:t>年）</w:t>
            </w:r>
          </w:p>
        </w:tc>
      </w:tr>
      <w:tr>
        <w:tblPrEx>
          <w:tblCellMar>
            <w:top w:w="0" w:type="dxa"/>
            <w:left w:w="0" w:type="dxa"/>
            <w:bottom w:w="0" w:type="dxa"/>
            <w:right w:w="0" w:type="dxa"/>
          </w:tblCellMar>
        </w:tblPrEx>
        <w:trPr>
          <w:trHeight w:val="413" w:hRule="atLeast"/>
        </w:trPr>
        <w:tc>
          <w:tcPr>
            <w:tcW w:w="139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预算单位</w:t>
            </w:r>
          </w:p>
        </w:tc>
        <w:tc>
          <w:tcPr>
            <w:tcW w:w="4166"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hint="eastAsia" w:ascii="宋体" w:hAnsi="宋体" w:eastAsia="宋体" w:cs="宋体"/>
                <w:color w:val="auto"/>
                <w:sz w:val="18"/>
                <w:szCs w:val="18"/>
                <w:lang w:eastAsia="zh-CN"/>
              </w:rPr>
            </w:pPr>
            <w:r>
              <w:rPr>
                <w:rFonts w:hint="eastAsia" w:ascii="宋体" w:hAnsi="宋体" w:cs="宋体"/>
                <w:color w:val="auto"/>
                <w:sz w:val="18"/>
                <w:szCs w:val="18"/>
                <w:lang w:eastAsia="zh-CN"/>
              </w:rPr>
              <w:t>昌吉回族自治州医疗保障局</w:t>
            </w:r>
          </w:p>
        </w:tc>
        <w:tc>
          <w:tcPr>
            <w:tcW w:w="16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项目名称</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ascii="宋体" w:hAnsi="宋体" w:cs="宋体"/>
                <w:color w:val="auto"/>
                <w:sz w:val="18"/>
                <w:szCs w:val="18"/>
              </w:rPr>
            </w:pPr>
            <w:r>
              <w:rPr>
                <w:rFonts w:hint="eastAsia" w:ascii="宋体" w:hAnsi="宋体" w:cs="宋体"/>
                <w:color w:val="auto"/>
                <w:sz w:val="18"/>
                <w:szCs w:val="18"/>
                <w:lang w:eastAsia="zh-CN"/>
              </w:rPr>
              <w:t>长期护理保险工作经费</w:t>
            </w:r>
          </w:p>
        </w:tc>
      </w:tr>
      <w:tr>
        <w:tblPrEx>
          <w:tblCellMar>
            <w:top w:w="0" w:type="dxa"/>
            <w:left w:w="0" w:type="dxa"/>
            <w:bottom w:w="0" w:type="dxa"/>
            <w:right w:w="0" w:type="dxa"/>
          </w:tblCellMar>
        </w:tblPrEx>
        <w:trPr>
          <w:trHeight w:val="402" w:hRule="atLeast"/>
        </w:trPr>
        <w:tc>
          <w:tcPr>
            <w:tcW w:w="139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项目资金（万元）</w:t>
            </w:r>
          </w:p>
        </w:tc>
        <w:tc>
          <w:tcPr>
            <w:tcW w:w="178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其中：财政拨款</w:t>
            </w:r>
          </w:p>
        </w:tc>
        <w:tc>
          <w:tcPr>
            <w:tcW w:w="16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89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其他资金</w:t>
            </w:r>
          </w:p>
        </w:tc>
        <w:tc>
          <w:tcPr>
            <w:tcW w:w="2064"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0</w:t>
            </w:r>
          </w:p>
        </w:tc>
      </w:tr>
      <w:tr>
        <w:tblPrEx>
          <w:tblCellMar>
            <w:top w:w="0" w:type="dxa"/>
            <w:left w:w="0" w:type="dxa"/>
            <w:bottom w:w="0" w:type="dxa"/>
            <w:right w:w="0" w:type="dxa"/>
          </w:tblCellMar>
        </w:tblPrEx>
        <w:trPr>
          <w:trHeight w:val="1260" w:hRule="atLeast"/>
        </w:trPr>
        <w:tc>
          <w:tcPr>
            <w:tcW w:w="139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项目总体目标</w:t>
            </w:r>
          </w:p>
        </w:tc>
        <w:tc>
          <w:tcPr>
            <w:tcW w:w="8750"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ascii="宋体" w:hAnsi="宋体" w:cs="宋体"/>
                <w:color w:val="auto"/>
                <w:sz w:val="18"/>
                <w:szCs w:val="18"/>
              </w:rPr>
            </w:pPr>
            <w:r>
              <w:rPr>
                <w:rFonts w:hint="eastAsia" w:ascii="宋体" w:hAnsi="宋体" w:cs="宋体"/>
                <w:color w:val="auto"/>
                <w:sz w:val="18"/>
                <w:szCs w:val="18"/>
                <w:lang w:eastAsia="zh-CN"/>
              </w:rPr>
              <w:t>目标1：长期护理保险全年鉴定次数12次。目标2： 试点长期护理保险失能人员评定费小于等于1.5万元。目标3：不断增加人民群众在共建共享发展中的认同感和幸福感，促进经济社会协调发展，提高自治州城镇职工长期护理保险实施方案执行力。</w:t>
            </w:r>
          </w:p>
        </w:tc>
      </w:tr>
      <w:tr>
        <w:tblPrEx>
          <w:tblCellMar>
            <w:top w:w="0" w:type="dxa"/>
            <w:left w:w="0" w:type="dxa"/>
            <w:bottom w:w="0" w:type="dxa"/>
            <w:right w:w="0" w:type="dxa"/>
          </w:tblCellMar>
        </w:tblPrEx>
        <w:trPr>
          <w:trHeight w:val="425" w:hRule="atLeast"/>
        </w:trPr>
        <w:tc>
          <w:tcPr>
            <w:tcW w:w="139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一级指标</w:t>
            </w:r>
          </w:p>
        </w:tc>
        <w:tc>
          <w:tcPr>
            <w:tcW w:w="11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二级指标</w:t>
            </w:r>
          </w:p>
        </w:tc>
        <w:tc>
          <w:tcPr>
            <w:tcW w:w="4660"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三级指标</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auto"/>
                <w:sz w:val="18"/>
                <w:szCs w:val="18"/>
              </w:rPr>
            </w:pPr>
            <w:r>
              <w:rPr>
                <w:rFonts w:hint="eastAsia" w:ascii="宋体" w:hAnsi="宋体" w:cs="宋体"/>
                <w:b/>
                <w:color w:val="auto"/>
                <w:kern w:val="0"/>
                <w:sz w:val="18"/>
                <w:szCs w:val="18"/>
                <w:lang w:bidi="ar"/>
              </w:rPr>
              <w:t>指标值（包含数字及文字描述）</w:t>
            </w:r>
          </w:p>
        </w:tc>
      </w:tr>
      <w:tr>
        <w:tblPrEx>
          <w:tblCellMar>
            <w:top w:w="0" w:type="dxa"/>
            <w:left w:w="0" w:type="dxa"/>
            <w:bottom w:w="0" w:type="dxa"/>
            <w:right w:w="0" w:type="dxa"/>
          </w:tblCellMar>
        </w:tblPrEx>
        <w:trPr>
          <w:trHeight w:val="467" w:hRule="atLeast"/>
        </w:trPr>
        <w:tc>
          <w:tcPr>
            <w:tcW w:w="1398"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产出指标</w:t>
            </w: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数量指标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长期护理保险享受人数</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=100人</w:t>
            </w: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长期护理保险鉴定次数</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=12次</w:t>
            </w: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质量指标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宋体" w:hAnsi="宋体" w:cs="宋体"/>
                <w:color w:val="auto"/>
                <w:sz w:val="18"/>
                <w:szCs w:val="18"/>
              </w:rPr>
            </w:pPr>
            <w:r>
              <w:rPr>
                <w:rFonts w:ascii="Arial" w:hAnsi="Arial" w:eastAsia="宋体" w:cs="Arial"/>
                <w:i w:val="0"/>
                <w:caps w:val="0"/>
                <w:color w:val="auto"/>
                <w:spacing w:val="0"/>
                <w:sz w:val="18"/>
                <w:szCs w:val="18"/>
                <w:shd w:val="clear"/>
              </w:rPr>
              <w:t>符合政策要求的鉴定工作完成率</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=100%</w:t>
            </w:r>
          </w:p>
        </w:tc>
      </w:tr>
      <w:tr>
        <w:tblPrEx>
          <w:tblCellMar>
            <w:top w:w="0" w:type="dxa"/>
            <w:left w:w="0" w:type="dxa"/>
            <w:bottom w:w="0" w:type="dxa"/>
            <w:right w:w="0" w:type="dxa"/>
          </w:tblCellMar>
        </w:tblPrEx>
        <w:trPr>
          <w:trHeight w:val="357"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宋体" w:hAnsi="宋体" w:cs="宋体"/>
                <w:color w:val="auto"/>
                <w:sz w:val="18"/>
                <w:szCs w:val="18"/>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时效指标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长期护理保险专家鉴定费报销及时率</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r>
              <w:rPr>
                <w:rFonts w:hint="eastAsia" w:ascii="宋体" w:hAnsi="宋体" w:cs="宋体"/>
                <w:color w:val="auto"/>
                <w:sz w:val="18"/>
                <w:szCs w:val="18"/>
                <w:lang w:val="en-US" w:eastAsia="zh-CN"/>
              </w:rPr>
              <w:t>=100%</w:t>
            </w: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发放专家评定费截止时间</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12月31日</w:t>
            </w: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成本指标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试点长期护理保险失能人员评定费</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auto"/>
                <w:sz w:val="18"/>
                <w:szCs w:val="18"/>
                <w:lang w:eastAsia="zh-CN"/>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1.5</w:t>
            </w:r>
            <w:r>
              <w:rPr>
                <w:rFonts w:hint="eastAsia" w:ascii="宋体" w:hAnsi="宋体" w:cs="宋体"/>
                <w:color w:val="auto"/>
                <w:sz w:val="18"/>
                <w:szCs w:val="18"/>
                <w:lang w:eastAsia="zh-CN"/>
              </w:rPr>
              <w:t>万元</w:t>
            </w: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印刷费、水费、电费等办公经费</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8.5</w:t>
            </w:r>
            <w:r>
              <w:rPr>
                <w:rFonts w:hint="eastAsia" w:ascii="宋体" w:hAnsi="宋体" w:cs="宋体"/>
                <w:color w:val="auto"/>
                <w:sz w:val="18"/>
                <w:szCs w:val="18"/>
                <w:lang w:eastAsia="zh-CN"/>
              </w:rPr>
              <w:t>万元</w:t>
            </w:r>
          </w:p>
        </w:tc>
      </w:tr>
      <w:tr>
        <w:tblPrEx>
          <w:tblCellMar>
            <w:top w:w="0" w:type="dxa"/>
            <w:left w:w="0" w:type="dxa"/>
            <w:bottom w:w="0" w:type="dxa"/>
            <w:right w:w="0" w:type="dxa"/>
          </w:tblCellMar>
        </w:tblPrEx>
        <w:trPr>
          <w:trHeight w:val="272" w:hRule="atLeast"/>
        </w:trPr>
        <w:tc>
          <w:tcPr>
            <w:tcW w:w="1398"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效益指标</w:t>
            </w: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经济效益指标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9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928"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社会效益指标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不断增加人民群众在共建共享发展中的认同感和幸福感，促进经济社会协调发展。</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auto"/>
                <w:sz w:val="18"/>
                <w:szCs w:val="18"/>
                <w:lang w:eastAsia="zh-CN"/>
              </w:rPr>
            </w:pPr>
            <w:r>
              <w:rPr>
                <w:rFonts w:hint="eastAsia" w:ascii="宋体" w:hAnsi="宋体" w:cs="宋体"/>
                <w:color w:val="auto"/>
                <w:sz w:val="18"/>
                <w:szCs w:val="18"/>
                <w:lang w:eastAsia="zh-CN"/>
              </w:rPr>
              <w:t>提升</w:t>
            </w:r>
          </w:p>
        </w:tc>
      </w:tr>
      <w:tr>
        <w:tblPrEx>
          <w:tblCellMar>
            <w:top w:w="0" w:type="dxa"/>
            <w:left w:w="0" w:type="dxa"/>
            <w:bottom w:w="0" w:type="dxa"/>
            <w:right w:w="0" w:type="dxa"/>
          </w:tblCellMar>
        </w:tblPrEx>
        <w:trPr>
          <w:trHeight w:val="38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323"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生态效益指标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440"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可持续影响指标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提高自治州城镇职工长期护理保险实施方案执行力</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auto"/>
                <w:sz w:val="18"/>
                <w:szCs w:val="18"/>
                <w:lang w:eastAsia="zh-CN"/>
              </w:rPr>
            </w:pPr>
            <w:r>
              <w:rPr>
                <w:rFonts w:hint="eastAsia" w:ascii="宋体" w:hAnsi="宋体" w:cs="宋体"/>
                <w:color w:val="auto"/>
                <w:sz w:val="18"/>
                <w:szCs w:val="18"/>
                <w:lang w:eastAsia="zh-CN"/>
              </w:rPr>
              <w:t>长期</w:t>
            </w:r>
          </w:p>
        </w:tc>
      </w:tr>
      <w:tr>
        <w:tblPrEx>
          <w:tblCellMar>
            <w:top w:w="0" w:type="dxa"/>
            <w:left w:w="0" w:type="dxa"/>
            <w:bottom w:w="0" w:type="dxa"/>
            <w:right w:w="0" w:type="dxa"/>
          </w:tblCellMar>
        </w:tblPrEx>
        <w:trPr>
          <w:trHeight w:val="317" w:hRule="atLeast"/>
        </w:trPr>
        <w:tc>
          <w:tcPr>
            <w:tcW w:w="1398"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1136"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auto"/>
                <w:sz w:val="18"/>
                <w:szCs w:val="18"/>
              </w:rPr>
            </w:pPr>
          </w:p>
        </w:tc>
      </w:tr>
      <w:tr>
        <w:tblPrEx>
          <w:tblCellMar>
            <w:top w:w="0" w:type="dxa"/>
            <w:left w:w="0" w:type="dxa"/>
            <w:bottom w:w="0" w:type="dxa"/>
            <w:right w:w="0" w:type="dxa"/>
          </w:tblCellMar>
        </w:tblPrEx>
        <w:trPr>
          <w:trHeight w:val="414" w:hRule="atLeast"/>
        </w:trPr>
        <w:tc>
          <w:tcPr>
            <w:tcW w:w="139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满意度指标</w:t>
            </w:r>
          </w:p>
        </w:tc>
        <w:tc>
          <w:tcPr>
            <w:tcW w:w="11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满意度指标</w:t>
            </w:r>
          </w:p>
        </w:tc>
        <w:tc>
          <w:tcPr>
            <w:tcW w:w="466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480" w:lineRule="exact"/>
              <w:jc w:val="center"/>
              <w:rPr>
                <w:rFonts w:ascii="Arial" w:hAnsi="Arial" w:eastAsia="宋体" w:cs="Arial"/>
                <w:i w:val="0"/>
                <w:caps w:val="0"/>
                <w:color w:val="auto"/>
                <w:spacing w:val="0"/>
                <w:sz w:val="18"/>
                <w:szCs w:val="18"/>
                <w:shd w:val="clear"/>
              </w:rPr>
            </w:pPr>
            <w:r>
              <w:rPr>
                <w:rFonts w:ascii="Arial" w:hAnsi="Arial" w:eastAsia="宋体" w:cs="Arial"/>
                <w:i w:val="0"/>
                <w:caps w:val="0"/>
                <w:color w:val="auto"/>
                <w:spacing w:val="0"/>
                <w:sz w:val="18"/>
                <w:szCs w:val="18"/>
                <w:shd w:val="clear"/>
              </w:rPr>
              <w:t>享受长期护理保险的参保人满意度</w:t>
            </w:r>
          </w:p>
        </w:tc>
        <w:tc>
          <w:tcPr>
            <w:tcW w:w="295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95%</w:t>
            </w:r>
          </w:p>
        </w:tc>
      </w:tr>
    </w:tbl>
    <w:tbl>
      <w:tblPr>
        <w:tblStyle w:val="6"/>
        <w:tblpPr w:leftFromText="180" w:rightFromText="180" w:vertAnchor="text" w:horzAnchor="page" w:tblpX="1466" w:tblpY="-153"/>
        <w:tblOverlap w:val="never"/>
        <w:tblW w:w="8980" w:type="dxa"/>
        <w:tblInd w:w="0" w:type="dxa"/>
        <w:tblLayout w:type="fixed"/>
        <w:tblCellMar>
          <w:top w:w="0" w:type="dxa"/>
          <w:left w:w="0" w:type="dxa"/>
          <w:bottom w:w="0" w:type="dxa"/>
          <w:right w:w="0" w:type="dxa"/>
        </w:tblCellMar>
      </w:tblPr>
      <w:tblGrid>
        <w:gridCol w:w="1515"/>
        <w:gridCol w:w="914"/>
        <w:gridCol w:w="466"/>
        <w:gridCol w:w="906"/>
        <w:gridCol w:w="1476"/>
        <w:gridCol w:w="1493"/>
        <w:gridCol w:w="1027"/>
        <w:gridCol w:w="1183"/>
      </w:tblGrid>
      <w:tr>
        <w:tblPrEx>
          <w:tblCellMar>
            <w:top w:w="0" w:type="dxa"/>
            <w:left w:w="0" w:type="dxa"/>
            <w:bottom w:w="0" w:type="dxa"/>
            <w:right w:w="0" w:type="dxa"/>
          </w:tblCellMar>
        </w:tblPrEx>
        <w:trPr>
          <w:trHeight w:val="90" w:hRule="atLeast"/>
        </w:trPr>
        <w:tc>
          <w:tcPr>
            <w:tcW w:w="8980"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275" w:hRule="atLeast"/>
        </w:trPr>
        <w:tc>
          <w:tcPr>
            <w:tcW w:w="8980"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50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4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医疗基金监管工作经费</w:t>
            </w:r>
          </w:p>
        </w:tc>
      </w:tr>
      <w:tr>
        <w:tblPrEx>
          <w:tblCellMar>
            <w:top w:w="0" w:type="dxa"/>
            <w:left w:w="0" w:type="dxa"/>
            <w:bottom w:w="0" w:type="dxa"/>
            <w:right w:w="0" w:type="dxa"/>
          </w:tblCellMar>
        </w:tblPrEx>
        <w:trPr>
          <w:trHeight w:val="9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4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120</w:t>
            </w:r>
          </w:p>
        </w:tc>
        <w:tc>
          <w:tcPr>
            <w:tcW w:w="1027"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183"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45"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465"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ascii="宋体" w:hAnsi="宋体" w:cs="宋体"/>
                <w:color w:val="000000"/>
                <w:sz w:val="18"/>
                <w:szCs w:val="18"/>
              </w:rPr>
            </w:pPr>
            <w:r>
              <w:rPr>
                <w:rFonts w:hint="eastAsia" w:ascii="宋体" w:hAnsi="宋体" w:cs="宋体"/>
                <w:color w:val="000000"/>
                <w:sz w:val="18"/>
                <w:szCs w:val="18"/>
                <w:lang w:eastAsia="zh-CN"/>
              </w:rPr>
              <w:t>目标1：检查监管全州医疗机构1117家。目标2：定点医疗机构监督检查覆盖率100%。目标3： 实现医保基金监管法制化、专业化、规范化、智能化、常态化。</w:t>
            </w:r>
          </w:p>
        </w:tc>
      </w:tr>
      <w:tr>
        <w:tblPrEx>
          <w:tblCellMar>
            <w:top w:w="0" w:type="dxa"/>
            <w:left w:w="0" w:type="dxa"/>
            <w:bottom w:w="0" w:type="dxa"/>
            <w:right w:w="0" w:type="dxa"/>
          </w:tblCellMar>
        </w:tblPrEx>
        <w:trPr>
          <w:trHeight w:val="9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5"/>
                <w:szCs w:val="15"/>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检查监管全州医疗机构个数</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=1117家</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val="en-US" w:eastAsia="zh-CN"/>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交叉检查抽查率5%</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定点医疗机构监督检查覆盖率</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举报案件处理及时率</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医疗基金监管工作截止时间</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成本指标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政府购买第三方监管服务经费</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70万元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培训费、委托业务费、其他商品和服务支出等办公经费</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50万元</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构建全领域、全流程的基金安全防控机制，严厉打击欺诈骗保行为，维护社会公平正义，不断提高人民群众的获得感。</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不断提高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298"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382"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295"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ascii="Arial" w:hAnsi="Arial" w:eastAsia="宋体" w:cs="Arial"/>
                <w:i w:val="0"/>
                <w:caps w:val="0"/>
                <w:color w:val="2B2B2B"/>
                <w:spacing w:val="0"/>
                <w:sz w:val="18"/>
                <w:szCs w:val="18"/>
                <w:shd w:val="clear"/>
              </w:rPr>
              <w:t>实现医保基金监管法制化、专业化、规范化、智能化、常态化。</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长期</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332"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ascii="Arial" w:hAnsi="Arial" w:eastAsia="宋体" w:cs="Arial"/>
                <w:i w:val="0"/>
                <w:caps w:val="0"/>
                <w:color w:val="2B2B2B"/>
                <w:spacing w:val="0"/>
                <w:sz w:val="18"/>
                <w:szCs w:val="18"/>
                <w:shd w:val="clear"/>
              </w:rPr>
              <w:t>举报人对举报案件处理结果满意度</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90%</w:t>
            </w:r>
          </w:p>
        </w:tc>
      </w:tr>
      <w:tr>
        <w:tblPrEx>
          <w:tblCellMar>
            <w:top w:w="0" w:type="dxa"/>
            <w:left w:w="0" w:type="dxa"/>
            <w:bottom w:w="0" w:type="dxa"/>
            <w:right w:w="0" w:type="dxa"/>
          </w:tblCellMar>
        </w:tblPrEx>
        <w:trPr>
          <w:trHeight w:val="159"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341"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ascii="Arial" w:hAnsi="Arial" w:eastAsia="宋体" w:cs="Arial"/>
                <w:i w:val="0"/>
                <w:caps w:val="0"/>
                <w:color w:val="2B2B2B"/>
                <w:spacing w:val="0"/>
                <w:sz w:val="18"/>
                <w:szCs w:val="18"/>
                <w:shd w:val="clear"/>
              </w:rPr>
              <w:t>群众满意度</w:t>
            </w:r>
          </w:p>
        </w:tc>
        <w:tc>
          <w:tcPr>
            <w:tcW w:w="221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bl>
    <w:tbl>
      <w:tblPr>
        <w:tblStyle w:val="6"/>
        <w:tblpPr w:leftFromText="180" w:rightFromText="180" w:vertAnchor="text" w:horzAnchor="page" w:tblpX="1426" w:tblpY="108"/>
        <w:tblOverlap w:val="never"/>
        <w:tblW w:w="8980" w:type="dxa"/>
        <w:tblInd w:w="0" w:type="dxa"/>
        <w:tblLayout w:type="fixed"/>
        <w:tblCellMar>
          <w:top w:w="0" w:type="dxa"/>
          <w:left w:w="0" w:type="dxa"/>
          <w:bottom w:w="0" w:type="dxa"/>
          <w:right w:w="0" w:type="dxa"/>
        </w:tblCellMar>
      </w:tblPr>
      <w:tblGrid>
        <w:gridCol w:w="1515"/>
        <w:gridCol w:w="1062"/>
        <w:gridCol w:w="318"/>
        <w:gridCol w:w="906"/>
        <w:gridCol w:w="1476"/>
        <w:gridCol w:w="1039"/>
        <w:gridCol w:w="1481"/>
        <w:gridCol w:w="1183"/>
      </w:tblGrid>
      <w:tr>
        <w:tblPrEx>
          <w:tblCellMar>
            <w:top w:w="0" w:type="dxa"/>
            <w:left w:w="0" w:type="dxa"/>
            <w:bottom w:w="0" w:type="dxa"/>
            <w:right w:w="0" w:type="dxa"/>
          </w:tblCellMar>
        </w:tblPrEx>
        <w:trPr>
          <w:trHeight w:val="327" w:hRule="atLeast"/>
        </w:trPr>
        <w:tc>
          <w:tcPr>
            <w:tcW w:w="8980" w:type="dxa"/>
            <w:gridSpan w:val="8"/>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bottom"/>
          </w:tcPr>
          <w:p>
            <w:pPr>
              <w:keepNext w:val="0"/>
              <w:keepLines w:val="0"/>
              <w:pageBreakBefore w:val="0"/>
              <w:widowControl/>
              <w:kinsoku/>
              <w:wordWrap/>
              <w:overflowPunct/>
              <w:topLinePunct w:val="0"/>
              <w:autoSpaceDE/>
              <w:autoSpaceDN/>
              <w:bidi w:val="0"/>
              <w:adjustRightInd/>
              <w:snapToGrid/>
              <w:spacing w:line="240" w:lineRule="atLeas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327" w:hRule="atLeast"/>
        </w:trPr>
        <w:tc>
          <w:tcPr>
            <w:tcW w:w="8980" w:type="dxa"/>
            <w:gridSpan w:val="8"/>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bottom"/>
          </w:tcPr>
          <w:p>
            <w:pPr>
              <w:keepNext w:val="0"/>
              <w:keepLines w:val="0"/>
              <w:pageBreakBefore w:val="0"/>
              <w:widowControl/>
              <w:kinsoku/>
              <w:wordWrap/>
              <w:overflowPunct/>
              <w:topLinePunct w:val="0"/>
              <w:autoSpaceDE/>
              <w:autoSpaceDN/>
              <w:bidi w:val="0"/>
              <w:adjustRightInd/>
              <w:snapToGrid/>
              <w:spacing w:line="240" w:lineRule="atLeas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500"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039"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center"/>
              <w:rPr>
                <w:rFonts w:hint="eastAsia" w:ascii="宋体" w:hAnsi="宋体" w:eastAsia="宋体" w:cs="宋体"/>
                <w:color w:val="000000"/>
                <w:sz w:val="18"/>
                <w:szCs w:val="18"/>
                <w:lang w:eastAsia="zh-CN"/>
              </w:rPr>
            </w:pPr>
            <w:r>
              <w:rPr>
                <w:rFonts w:hint="eastAsia" w:ascii="宋体" w:hAnsi="宋体" w:cs="宋体"/>
                <w:color w:val="000000"/>
                <w:kern w:val="0"/>
                <w:sz w:val="18"/>
                <w:szCs w:val="18"/>
                <w:lang w:eastAsia="zh-CN" w:bidi="ar"/>
              </w:rPr>
              <w:t>医保局医保经办中心公共耗材及工作经费</w:t>
            </w:r>
          </w:p>
        </w:tc>
      </w:tr>
      <w:tr>
        <w:tblPrEx>
          <w:tblCellMar>
            <w:top w:w="0" w:type="dxa"/>
            <w:left w:w="0" w:type="dxa"/>
            <w:bottom w:w="0" w:type="dxa"/>
            <w:right w:w="0" w:type="dxa"/>
          </w:tblCellMar>
        </w:tblPrEx>
        <w:trPr>
          <w:trHeight w:val="540"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c>
          <w:tcPr>
            <w:tcW w:w="1476"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039"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c>
          <w:tcPr>
            <w:tcW w:w="1481"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183"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52"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465" w:type="dxa"/>
            <w:gridSpan w:val="7"/>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tcPr>
          <w:p>
            <w:pPr>
              <w:keepNext w:val="0"/>
              <w:keepLines w:val="0"/>
              <w:pageBreakBefore w:val="0"/>
              <w:kinsoku/>
              <w:wordWrap/>
              <w:overflowPunct/>
              <w:topLinePunct w:val="0"/>
              <w:autoSpaceDE/>
              <w:autoSpaceDN/>
              <w:bidi w:val="0"/>
              <w:adjustRightInd/>
              <w:snapToGrid/>
              <w:spacing w:line="240" w:lineRule="atLeast"/>
              <w:jc w:val="left"/>
              <w:rPr>
                <w:rFonts w:ascii="宋体" w:hAnsi="宋体" w:cs="宋体"/>
                <w:color w:val="000000"/>
                <w:sz w:val="18"/>
                <w:szCs w:val="18"/>
              </w:rPr>
            </w:pPr>
            <w:r>
              <w:rPr>
                <w:rFonts w:hint="eastAsia" w:ascii="宋体" w:hAnsi="宋体" w:cs="宋体"/>
                <w:color w:val="000000"/>
                <w:sz w:val="18"/>
                <w:szCs w:val="18"/>
              </w:rPr>
              <w:t>目标1：继续实施全民参保计划，巩固基本医疗保险参保覆盖面。目标2：2022年自治州城乡居民医疗保障参保率保持在95%以上，确保企业职工应保尽保。目标3：医保信息系统正常运行率100%。目标4：提高办事效率，办事程序公开，办事时间缩短。</w:t>
            </w:r>
          </w:p>
        </w:tc>
      </w:tr>
      <w:tr>
        <w:tblPrEx>
          <w:tblCellMar>
            <w:top w:w="0" w:type="dxa"/>
            <w:left w:w="0" w:type="dxa"/>
            <w:bottom w:w="0" w:type="dxa"/>
            <w:right w:w="0" w:type="dxa"/>
          </w:tblCellMar>
        </w:tblPrEx>
        <w:trPr>
          <w:trHeight w:val="480"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1062"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继续实施全民参保计划，巩固基本医疗保险参保覆盖面。确保企业职工应保尽保。2022年自治州城乡居民医疗保障参保率保持在95%以上。</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113万人</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医保信息系统正常运行率</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医疗费用报销合规性</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医疗费用报销及时率</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经办服务中心工作截止时间</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rPr>
                <w:color w:val="000000"/>
              </w:rPr>
            </w:pPr>
            <w:r>
              <w:rPr>
                <w:rFonts w:hint="eastAsia"/>
                <w:color w:val="000000"/>
              </w:rPr>
              <w:t>成本指标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完成医保经办中心外包费</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50万元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其他支出</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cs="宋体"/>
                <w:color w:val="000000"/>
                <w:sz w:val="18"/>
                <w:szCs w:val="18"/>
                <w:lang w:val="en-US"/>
              </w:rPr>
            </w:pPr>
            <w:r>
              <w:rPr>
                <w:rFonts w:hint="eastAsia" w:ascii="宋体" w:hAnsi="宋体" w:eastAsia="宋体" w:cs="宋体"/>
                <w:color w:val="000000"/>
                <w:sz w:val="18"/>
                <w:szCs w:val="18"/>
                <w:lang w:val="en-US" w:eastAsia="zh-CN"/>
              </w:rPr>
              <w:t>≦</w:t>
            </w:r>
            <w:r>
              <w:rPr>
                <w:rFonts w:hint="eastAsia" w:ascii="宋体" w:hAnsi="宋体" w:cs="宋体"/>
                <w:color w:val="000000"/>
                <w:sz w:val="18"/>
                <w:szCs w:val="18"/>
                <w:lang w:val="en-US" w:eastAsia="zh-CN"/>
              </w:rPr>
              <w:t>20万元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委托业务费、培训费等办公经费</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ind w:firstLine="900" w:firstLineChars="500"/>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30万元</w:t>
            </w:r>
          </w:p>
        </w:tc>
      </w:tr>
      <w:tr>
        <w:tblPrEx>
          <w:tblCellMar>
            <w:top w:w="0" w:type="dxa"/>
            <w:left w:w="0" w:type="dxa"/>
            <w:bottom w:w="0" w:type="dxa"/>
            <w:right w:w="0" w:type="dxa"/>
          </w:tblCellMar>
        </w:tblPrEx>
        <w:trPr>
          <w:trHeight w:val="440" w:hRule="atLeast"/>
        </w:trPr>
        <w:tc>
          <w:tcPr>
            <w:tcW w:w="1515"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提高办事效率，办事程序公开，办事时间缩短。</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cs="宋体"/>
                <w:color w:val="000000"/>
                <w:sz w:val="18"/>
                <w:szCs w:val="18"/>
                <w:lang w:eastAsia="zh-CN"/>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cs="宋体"/>
                <w:color w:val="000000"/>
                <w:sz w:val="18"/>
                <w:szCs w:val="18"/>
                <w:lang w:eastAsia="zh-CN"/>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cs="宋体"/>
                <w:color w:val="000000"/>
                <w:sz w:val="18"/>
                <w:szCs w:val="18"/>
                <w:lang w:eastAsia="zh-CN"/>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经办中心服务事项一次性办结率</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1062" w:type="dxa"/>
            <w:vMerge w:val="restart"/>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eastAsia="zh-CN"/>
              </w:rPr>
              <w:t>参保群众满意度</w:t>
            </w: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1062" w:type="dxa"/>
            <w:vMerge w:val="continue"/>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3739" w:type="dxa"/>
            <w:gridSpan w:val="4"/>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c>
          <w:tcPr>
            <w:tcW w:w="2664" w:type="dxa"/>
            <w:gridSpan w:val="2"/>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240" w:lineRule="atLeast"/>
              <w:jc w:val="center"/>
              <w:rPr>
                <w:rFonts w:ascii="宋体" w:hAnsi="宋体" w:cs="宋体"/>
                <w:color w:val="000000"/>
                <w:sz w:val="18"/>
                <w:szCs w:val="18"/>
              </w:rPr>
            </w:pPr>
          </w:p>
        </w:tc>
      </w:tr>
    </w:tbl>
    <w:tbl>
      <w:tblPr>
        <w:tblStyle w:val="6"/>
        <w:tblpPr w:leftFromText="180" w:rightFromText="180" w:vertAnchor="text" w:horzAnchor="page" w:tblpX="1384" w:tblpY="449"/>
        <w:tblOverlap w:val="never"/>
        <w:tblW w:w="9157" w:type="dxa"/>
        <w:tblInd w:w="0" w:type="dxa"/>
        <w:tblLayout w:type="fixed"/>
        <w:tblCellMar>
          <w:top w:w="0" w:type="dxa"/>
          <w:left w:w="0" w:type="dxa"/>
          <w:bottom w:w="0" w:type="dxa"/>
          <w:right w:w="0" w:type="dxa"/>
        </w:tblCellMar>
      </w:tblPr>
      <w:tblGrid>
        <w:gridCol w:w="1515"/>
        <w:gridCol w:w="914"/>
        <w:gridCol w:w="466"/>
        <w:gridCol w:w="906"/>
        <w:gridCol w:w="1476"/>
        <w:gridCol w:w="1345"/>
        <w:gridCol w:w="1175"/>
        <w:gridCol w:w="1360"/>
      </w:tblGrid>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hint="eastAsia" w:ascii="仿宋_GB2312" w:hAnsi="宋体" w:eastAsia="仿宋_GB2312" w:cs="仿宋_GB2312"/>
                <w:b/>
                <w:color w:val="000000"/>
                <w:kern w:val="0"/>
                <w:sz w:val="32"/>
                <w:szCs w:val="32"/>
                <w:lang w:bidi="ar"/>
              </w:rPr>
            </w:pPr>
          </w:p>
          <w:p>
            <w:pPr>
              <w:widowControl/>
              <w:spacing w:line="480" w:lineRule="exac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50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离休人员医疗费</w:t>
            </w:r>
          </w:p>
        </w:tc>
      </w:tr>
      <w:tr>
        <w:tblPrEx>
          <w:tblCellMar>
            <w:top w:w="0" w:type="dxa"/>
            <w:left w:w="0" w:type="dxa"/>
            <w:bottom w:w="0" w:type="dxa"/>
            <w:right w:w="0" w:type="dxa"/>
          </w:tblCellMar>
        </w:tblPrEx>
        <w:trPr>
          <w:trHeight w:val="54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500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500</w:t>
            </w:r>
          </w:p>
        </w:tc>
        <w:tc>
          <w:tcPr>
            <w:tcW w:w="117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36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52"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642"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hint="eastAsia" w:ascii="宋体" w:hAnsi="宋体" w:cs="宋体"/>
                <w:color w:val="000000"/>
                <w:sz w:val="18"/>
                <w:szCs w:val="18"/>
              </w:rPr>
            </w:pPr>
            <w:r>
              <w:rPr>
                <w:rFonts w:hint="eastAsia" w:ascii="宋体" w:hAnsi="宋体" w:cs="宋体"/>
                <w:color w:val="000000"/>
                <w:sz w:val="18"/>
                <w:szCs w:val="18"/>
              </w:rPr>
              <w:t>目标1：离休人员医疗费享受人数为79人。目标2：报销门诊、住院医疗费及时率为100%。</w:t>
            </w:r>
          </w:p>
          <w:p>
            <w:pPr>
              <w:spacing w:line="480" w:lineRule="exact"/>
              <w:jc w:val="left"/>
              <w:rPr>
                <w:rFonts w:ascii="宋体" w:hAnsi="宋体" w:cs="宋体"/>
                <w:color w:val="000000"/>
                <w:sz w:val="18"/>
                <w:szCs w:val="18"/>
              </w:rPr>
            </w:pPr>
            <w:r>
              <w:rPr>
                <w:rFonts w:hint="eastAsia" w:ascii="宋体" w:hAnsi="宋体" w:cs="宋体"/>
                <w:color w:val="000000"/>
                <w:sz w:val="18"/>
                <w:szCs w:val="18"/>
              </w:rPr>
              <w:t>目标3：以建立社会保险全覆盖体系为目标，提高州直离休人员生活质量，使参保人员的幸福感、获得感、安全感不断增强。</w:t>
            </w:r>
          </w:p>
        </w:tc>
      </w:tr>
      <w:tr>
        <w:tblPrEx>
          <w:tblCellMar>
            <w:top w:w="0" w:type="dxa"/>
            <w:left w:w="0" w:type="dxa"/>
            <w:bottom w:w="0" w:type="dxa"/>
            <w:right w:w="0" w:type="dxa"/>
          </w:tblCellMar>
        </w:tblPrEx>
        <w:trPr>
          <w:trHeight w:val="48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离休人员医疗费享受人数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=79人</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补助人数覆盖率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资金使用合规率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报销门诊、住院医疗费及时率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医疗费发放截止时间</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成本指标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离休人员住院费</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150万元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r>
              <w:rPr>
                <w:rFonts w:hint="default" w:ascii="Arial" w:hAnsi="Arial" w:cs="Arial"/>
                <w:color w:val="000000"/>
                <w:sz w:val="18"/>
                <w:szCs w:val="18"/>
              </w:rPr>
              <w:t>离休人员门诊医疗费</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default" w:ascii="Arial" w:hAnsi="Arial" w:cs="Arial"/>
                <w:color w:val="000000"/>
                <w:sz w:val="18"/>
                <w:szCs w:val="18"/>
              </w:rPr>
              <w:t>≤</w:t>
            </w:r>
            <w:r>
              <w:rPr>
                <w:rFonts w:hint="eastAsia" w:ascii="宋体" w:hAnsi="宋体" w:cs="宋体"/>
                <w:color w:val="000000"/>
                <w:sz w:val="18"/>
                <w:szCs w:val="18"/>
                <w:lang w:val="en-US" w:eastAsia="zh-CN"/>
              </w:rPr>
              <w:t>350万元</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r>
              <w:rPr>
                <w:rFonts w:hint="default" w:ascii="Arial" w:hAnsi="Arial" w:cs="Arial"/>
                <w:color w:val="000000"/>
                <w:sz w:val="18"/>
                <w:szCs w:val="18"/>
              </w:rPr>
              <w:t>提高离休人员生活质量</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r>
              <w:rPr>
                <w:rFonts w:hint="default" w:ascii="Arial" w:hAnsi="Arial" w:cs="Arial"/>
                <w:color w:val="000000"/>
                <w:sz w:val="18"/>
                <w:szCs w:val="18"/>
              </w:rPr>
              <w:t>增强离休人员的幸福感、获得感、安全感</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长期</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Arial" w:hAnsi="Arial" w:cs="Arial"/>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Arial" w:hAnsi="Arial" w:cs="Arial"/>
                <w:color w:val="000000"/>
                <w:sz w:val="18"/>
                <w:szCs w:val="18"/>
                <w:lang w:eastAsia="zh-CN"/>
              </w:rPr>
            </w:pPr>
            <w:r>
              <w:rPr>
                <w:rFonts w:hint="eastAsia" w:ascii="Arial" w:hAnsi="Arial" w:cs="Arial"/>
                <w:color w:val="000000"/>
                <w:sz w:val="18"/>
                <w:szCs w:val="18"/>
                <w:lang w:eastAsia="zh-CN"/>
              </w:rPr>
              <w:t>离休人员满意度</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hint="eastAsia" w:ascii="仿宋_GB2312" w:hAnsi="宋体" w:eastAsia="仿宋_GB2312" w:cs="仿宋_GB2312"/>
                <w:b/>
                <w:color w:val="000000"/>
                <w:kern w:val="0"/>
                <w:sz w:val="32"/>
                <w:szCs w:val="32"/>
                <w:lang w:bidi="ar"/>
              </w:rPr>
            </w:pPr>
          </w:p>
          <w:p>
            <w:pPr>
              <w:widowControl/>
              <w:spacing w:line="480" w:lineRule="exac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791"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国务院特殊津贴专家保健医疗周转金</w:t>
            </w:r>
          </w:p>
        </w:tc>
      </w:tr>
      <w:tr>
        <w:tblPrEx>
          <w:tblCellMar>
            <w:top w:w="0" w:type="dxa"/>
            <w:left w:w="0" w:type="dxa"/>
            <w:bottom w:w="0" w:type="dxa"/>
            <w:right w:w="0" w:type="dxa"/>
          </w:tblCellMar>
        </w:tblPrEx>
        <w:trPr>
          <w:trHeight w:val="54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7.65</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7.65</w:t>
            </w:r>
          </w:p>
        </w:tc>
        <w:tc>
          <w:tcPr>
            <w:tcW w:w="117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36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52"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642"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目标1：国务院特殊津贴专家保健医疗周转金享受人数（人次）9人。 目标2： 国务院特殊津贴专家人均保健医疗周转金0.85万元。 目标3：增强特贴专家的幸福感、获得感、安全感。</w:t>
            </w:r>
          </w:p>
        </w:tc>
      </w:tr>
      <w:tr>
        <w:tblPrEx>
          <w:tblCellMar>
            <w:top w:w="0" w:type="dxa"/>
            <w:left w:w="0" w:type="dxa"/>
            <w:bottom w:w="0" w:type="dxa"/>
            <w:right w:w="0" w:type="dxa"/>
          </w:tblCellMar>
        </w:tblPrEx>
        <w:trPr>
          <w:trHeight w:val="48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国务院特殊津贴专家保健医疗周转金享受人数（人次）</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=9人</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周转金发放次数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val="en-US"/>
              </w:rPr>
            </w:pPr>
            <w:r>
              <w:rPr>
                <w:rFonts w:hint="eastAsia" w:ascii="宋体" w:hAnsi="宋体" w:eastAsia="宋体" w:cs="宋体"/>
                <w:color w:val="000000"/>
                <w:sz w:val="18"/>
                <w:szCs w:val="18"/>
                <w:lang w:val="en-US" w:eastAsia="zh-CN"/>
              </w:rPr>
              <w:t>≧</w:t>
            </w:r>
            <w:r>
              <w:rPr>
                <w:rFonts w:hint="eastAsia" w:ascii="宋体" w:hAnsi="宋体" w:cs="宋体"/>
                <w:color w:val="000000"/>
                <w:sz w:val="18"/>
                <w:szCs w:val="18"/>
                <w:lang w:val="en-US" w:eastAsia="zh-CN"/>
              </w:rPr>
              <w:t>1次</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享受补助人员覆盖率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资金使用合规率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周转金发放及时率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补助发放截止时间</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2022年7月31日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成本指标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r>
              <w:rPr>
                <w:rFonts w:hint="default" w:ascii="宋体" w:hAnsi="宋体" w:cs="宋体"/>
                <w:color w:val="000000"/>
                <w:sz w:val="18"/>
                <w:szCs w:val="18"/>
                <w:lang w:eastAsia="zh-CN"/>
              </w:rPr>
              <w:t>国务院特殊津贴专家人均保健医疗周转金</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default" w:ascii="Arial" w:hAnsi="Arial" w:cs="Arial"/>
                <w:color w:val="000000"/>
                <w:sz w:val="18"/>
                <w:szCs w:val="18"/>
              </w:rPr>
              <w:t>≤</w:t>
            </w:r>
            <w:r>
              <w:rPr>
                <w:rFonts w:hint="eastAsia" w:ascii="宋体" w:hAnsi="宋体" w:cs="宋体"/>
                <w:color w:val="000000"/>
                <w:sz w:val="18"/>
                <w:szCs w:val="18"/>
                <w:lang w:val="en-US" w:eastAsia="zh-CN"/>
              </w:rPr>
              <w:t>0.85万元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r>
              <w:rPr>
                <w:rFonts w:hint="default" w:ascii="宋体" w:hAnsi="宋体" w:cs="宋体"/>
                <w:color w:val="000000"/>
                <w:sz w:val="18"/>
                <w:szCs w:val="18"/>
                <w:lang w:eastAsia="zh-CN"/>
              </w:rPr>
              <w:t>提高国务院特殊津贴专家生活质量</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eastAsia="zh-CN"/>
              </w:rPr>
            </w:pPr>
            <w:r>
              <w:rPr>
                <w:rFonts w:hint="default" w:ascii="宋体" w:hAnsi="宋体" w:cs="宋体"/>
                <w:color w:val="000000"/>
                <w:sz w:val="18"/>
                <w:szCs w:val="18"/>
                <w:lang w:eastAsia="zh-CN"/>
              </w:rPr>
              <w:t>增强特贴专家的幸福感、获得感、安全感</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长期</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国务院特殊津贴专家满意度</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hint="eastAsia" w:ascii="仿宋_GB2312" w:hAnsi="宋体" w:eastAsia="仿宋_GB2312" w:cs="仿宋_GB2312"/>
                <w:b/>
                <w:color w:val="000000"/>
                <w:kern w:val="0"/>
                <w:sz w:val="32"/>
                <w:szCs w:val="32"/>
                <w:lang w:bidi="ar"/>
              </w:rPr>
            </w:pPr>
          </w:p>
          <w:p>
            <w:pPr>
              <w:widowControl/>
              <w:spacing w:line="480" w:lineRule="exac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50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国务院特殊津贴专家保健医疗费</w:t>
            </w:r>
          </w:p>
        </w:tc>
      </w:tr>
      <w:tr>
        <w:tblPrEx>
          <w:tblCellMar>
            <w:top w:w="0" w:type="dxa"/>
            <w:left w:w="0" w:type="dxa"/>
            <w:bottom w:w="0" w:type="dxa"/>
            <w:right w:w="0" w:type="dxa"/>
          </w:tblCellMar>
        </w:tblPrEx>
        <w:trPr>
          <w:trHeight w:val="54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40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40</w:t>
            </w:r>
          </w:p>
        </w:tc>
        <w:tc>
          <w:tcPr>
            <w:tcW w:w="117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36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52"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642"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ascii="宋体" w:hAnsi="宋体" w:cs="宋体"/>
                <w:color w:val="000000"/>
                <w:sz w:val="18"/>
                <w:szCs w:val="18"/>
              </w:rPr>
            </w:pPr>
            <w:r>
              <w:rPr>
                <w:rFonts w:hint="eastAsia" w:ascii="宋体" w:hAnsi="宋体" w:cs="宋体"/>
                <w:color w:val="000000"/>
                <w:sz w:val="18"/>
                <w:szCs w:val="18"/>
              </w:rPr>
              <w:t>目标1：核定国务院特殊津贴专家保健医疗费享受人数（人次）9人。目标2：报销门诊、住院医疗费及时率100%。目标3：增强国务院感特殊津贴专家的幸福感、获得感、安全感。</w:t>
            </w:r>
          </w:p>
        </w:tc>
      </w:tr>
      <w:tr>
        <w:tblPrEx>
          <w:tblCellMar>
            <w:top w:w="0" w:type="dxa"/>
            <w:left w:w="0" w:type="dxa"/>
            <w:bottom w:w="0" w:type="dxa"/>
            <w:right w:w="0" w:type="dxa"/>
          </w:tblCellMar>
        </w:tblPrEx>
        <w:trPr>
          <w:trHeight w:val="48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核定国务院特殊津贴专家保健医疗费享受人数（人次）</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=9人</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享受补助人员覆盖率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资金使用合规率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报销门诊、住院医疗费及时率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发放医疗补贴经费截止时限</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成本指标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国务院特殊津贴专家住院医疗费</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default" w:ascii="Arial" w:hAnsi="Arial" w:cs="Arial"/>
                <w:color w:val="000000"/>
                <w:sz w:val="18"/>
                <w:szCs w:val="18"/>
              </w:rPr>
              <w:t>≤</w:t>
            </w:r>
            <w:r>
              <w:rPr>
                <w:rFonts w:hint="eastAsia" w:ascii="宋体" w:hAnsi="宋体" w:cs="宋体"/>
                <w:color w:val="000000"/>
                <w:sz w:val="18"/>
                <w:szCs w:val="18"/>
                <w:lang w:val="en-US" w:eastAsia="zh-CN"/>
              </w:rPr>
              <w:t>26万元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国务院特殊津贴专家门诊费</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default" w:ascii="Arial" w:hAnsi="Arial" w:cs="Arial"/>
                <w:color w:val="000000"/>
                <w:sz w:val="18"/>
                <w:szCs w:val="18"/>
              </w:rPr>
              <w:t>≤</w:t>
            </w:r>
            <w:r>
              <w:rPr>
                <w:rFonts w:hint="eastAsia" w:ascii="宋体" w:hAnsi="宋体" w:cs="宋体"/>
                <w:color w:val="000000"/>
                <w:sz w:val="18"/>
                <w:szCs w:val="18"/>
                <w:lang w:val="en-US" w:eastAsia="zh-CN"/>
              </w:rPr>
              <w:t>14万元</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提高国务院特殊津贴专家生活质量</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增强国务院感特殊津贴专家的幸福感、获得感、安全感。</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长期</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国务院特殊津贴专家满意度</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  目  支  出  绩  效  目  标  表</w:t>
            </w:r>
          </w:p>
        </w:tc>
      </w:tr>
      <w:tr>
        <w:tblPrEx>
          <w:tblCellMar>
            <w:top w:w="0" w:type="dxa"/>
            <w:left w:w="0" w:type="dxa"/>
            <w:bottom w:w="0" w:type="dxa"/>
            <w:right w:w="0" w:type="dxa"/>
          </w:tblCellMar>
        </w:tblPrEx>
        <w:trPr>
          <w:trHeight w:val="327" w:hRule="atLeast"/>
        </w:trPr>
        <w:tc>
          <w:tcPr>
            <w:tcW w:w="9157" w:type="dxa"/>
            <w:gridSpan w:val="8"/>
            <w:tcBorders>
              <w:top w:val="nil"/>
              <w:left w:val="nil"/>
              <w:bottom w:val="nil"/>
              <w:right w:val="nil"/>
            </w:tcBorders>
            <w:tcMar>
              <w:top w:w="12" w:type="dxa"/>
              <w:left w:w="12" w:type="dxa"/>
              <w:right w:w="12" w:type="dxa"/>
            </w:tcMar>
            <w:vAlign w:val="bottom"/>
          </w:tcPr>
          <w:p>
            <w:pPr>
              <w:widowControl/>
              <w:spacing w:line="480" w:lineRule="exact"/>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（202</w:t>
            </w:r>
            <w:r>
              <w:rPr>
                <w:rFonts w:ascii="宋体" w:hAnsi="宋体" w:cs="宋体"/>
                <w:color w:val="000000"/>
                <w:kern w:val="0"/>
                <w:sz w:val="22"/>
                <w:szCs w:val="22"/>
                <w:lang w:bidi="ar"/>
              </w:rPr>
              <w:t>2</w:t>
            </w:r>
            <w:r>
              <w:rPr>
                <w:rFonts w:hint="eastAsia" w:ascii="宋体" w:hAnsi="宋体" w:cs="宋体"/>
                <w:color w:val="000000"/>
                <w:kern w:val="0"/>
                <w:sz w:val="22"/>
                <w:szCs w:val="22"/>
                <w:lang w:bidi="ar"/>
              </w:rPr>
              <w:t>年）</w:t>
            </w:r>
          </w:p>
        </w:tc>
      </w:tr>
      <w:tr>
        <w:tblPrEx>
          <w:tblCellMar>
            <w:top w:w="0" w:type="dxa"/>
            <w:left w:w="0" w:type="dxa"/>
            <w:bottom w:w="0" w:type="dxa"/>
            <w:right w:w="0" w:type="dxa"/>
          </w:tblCellMar>
        </w:tblPrEx>
        <w:trPr>
          <w:trHeight w:val="50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昌吉回族自治州医疗保障局</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项目名称</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left"/>
              <w:textAlignment w:val="center"/>
              <w:rPr>
                <w:rFonts w:ascii="宋体" w:hAnsi="宋体" w:cs="宋体"/>
                <w:color w:val="000000"/>
                <w:sz w:val="18"/>
                <w:szCs w:val="18"/>
              </w:rPr>
            </w:pPr>
            <w:r>
              <w:rPr>
                <w:rFonts w:hint="eastAsia" w:ascii="宋体" w:hAnsi="宋体" w:cs="宋体"/>
                <w:color w:val="000000"/>
                <w:sz w:val="18"/>
                <w:szCs w:val="18"/>
                <w:lang w:eastAsia="zh-CN"/>
              </w:rPr>
              <w:t>地州级退休人员医疗补助经费</w:t>
            </w:r>
          </w:p>
        </w:tc>
      </w:tr>
      <w:tr>
        <w:tblPrEx>
          <w:tblCellMar>
            <w:top w:w="0" w:type="dxa"/>
            <w:left w:w="0" w:type="dxa"/>
            <w:bottom w:w="0" w:type="dxa"/>
            <w:right w:w="0" w:type="dxa"/>
          </w:tblCellMar>
        </w:tblPrEx>
        <w:trPr>
          <w:trHeight w:val="54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200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其中：财政拨款</w:t>
            </w:r>
          </w:p>
        </w:tc>
        <w:tc>
          <w:tcPr>
            <w:tcW w:w="134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200</w:t>
            </w:r>
          </w:p>
        </w:tc>
        <w:tc>
          <w:tcPr>
            <w:tcW w:w="117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其他资金</w:t>
            </w:r>
          </w:p>
        </w:tc>
        <w:tc>
          <w:tcPr>
            <w:tcW w:w="136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tblPrEx>
          <w:tblCellMar>
            <w:top w:w="0" w:type="dxa"/>
            <w:left w:w="0" w:type="dxa"/>
            <w:bottom w:w="0" w:type="dxa"/>
            <w:right w:w="0" w:type="dxa"/>
          </w:tblCellMar>
        </w:tblPrEx>
        <w:trPr>
          <w:trHeight w:val="652"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项目总体目标</w:t>
            </w:r>
          </w:p>
        </w:tc>
        <w:tc>
          <w:tcPr>
            <w:tcW w:w="7642"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pPr>
              <w:spacing w:line="480" w:lineRule="exact"/>
              <w:jc w:val="left"/>
              <w:rPr>
                <w:rFonts w:ascii="宋体" w:hAnsi="宋体" w:cs="宋体"/>
                <w:color w:val="000000"/>
                <w:sz w:val="18"/>
                <w:szCs w:val="18"/>
              </w:rPr>
            </w:pPr>
            <w:r>
              <w:rPr>
                <w:rFonts w:hint="eastAsia" w:ascii="宋体" w:hAnsi="宋体" w:cs="宋体"/>
                <w:color w:val="000000"/>
                <w:sz w:val="18"/>
                <w:szCs w:val="18"/>
                <w:lang w:eastAsia="zh-CN"/>
              </w:rPr>
              <w:t>目标1：核定地州级退休人员医疗补助经费享受人数（人次）60人。 目标2：报销门诊、住院医疗费及时率100%。 目标3：以建立社会保险全覆盖体系为目标，提高地州级退休人员生活质量，使参保人员的幸福感、获得感、安全感不断增强。</w:t>
            </w:r>
          </w:p>
        </w:tc>
      </w:tr>
      <w:tr>
        <w:tblPrEx>
          <w:tblCellMar>
            <w:top w:w="0" w:type="dxa"/>
            <w:left w:w="0" w:type="dxa"/>
            <w:bottom w:w="0" w:type="dxa"/>
            <w:right w:w="0" w:type="dxa"/>
          </w:tblCellMar>
        </w:tblPrEx>
        <w:trPr>
          <w:trHeight w:val="48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二级指标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三级指标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指标值（包含数字及文字描述）</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核定地州级退休人员医疗补助经费享受人数（人次）</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=60人</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质量指标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享受补助人员覆盖率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资金使用合规率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报销门诊、住院医疗费及时率</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eastAsia" w:ascii="宋体" w:hAnsi="宋体" w:cs="宋体"/>
                <w:color w:val="000000"/>
                <w:sz w:val="18"/>
                <w:szCs w:val="18"/>
                <w:lang w:val="en-US" w:eastAsia="zh-CN"/>
              </w:rPr>
              <w:t>=100%</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补助发放截止时间</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12月31日</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成本指标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地州级退休人员医疗门诊补助费（万元）</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default" w:ascii="Arial" w:hAnsi="Arial" w:cs="Arial"/>
                <w:color w:val="000000"/>
                <w:sz w:val="18"/>
                <w:szCs w:val="18"/>
              </w:rPr>
              <w:t>≤</w:t>
            </w:r>
            <w:r>
              <w:rPr>
                <w:rFonts w:hint="eastAsia" w:ascii="宋体" w:hAnsi="宋体" w:cs="宋体"/>
                <w:color w:val="000000"/>
                <w:sz w:val="18"/>
                <w:szCs w:val="18"/>
                <w:lang w:val="en-US" w:eastAsia="zh-CN"/>
              </w:rPr>
              <w:t>150万元</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地州级退休人员住院医疗补助费（万元）</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r>
              <w:rPr>
                <w:rFonts w:hint="default" w:ascii="Arial" w:hAnsi="Arial" w:cs="Arial"/>
                <w:color w:val="000000"/>
                <w:sz w:val="18"/>
                <w:szCs w:val="18"/>
              </w:rPr>
              <w:t>≤</w:t>
            </w:r>
            <w:r>
              <w:rPr>
                <w:rFonts w:hint="eastAsia" w:ascii="宋体" w:hAnsi="宋体" w:cs="宋体"/>
                <w:color w:val="000000"/>
                <w:sz w:val="18"/>
                <w:szCs w:val="18"/>
                <w:lang w:val="en-US" w:eastAsia="zh-CN"/>
              </w:rPr>
              <w:t>50万元</w:t>
            </w: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提高地州级退休人员生活质量</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提高</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增强地州级退休人员的幸福感、获得感、安全感</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eastAsia="宋体" w:cs="宋体"/>
                <w:color w:val="000000"/>
                <w:sz w:val="18"/>
                <w:szCs w:val="18"/>
                <w:lang w:eastAsia="zh-CN"/>
              </w:rPr>
            </w:pPr>
            <w:r>
              <w:rPr>
                <w:rFonts w:hint="eastAsia" w:ascii="宋体" w:hAnsi="宋体" w:cs="宋体"/>
                <w:color w:val="000000"/>
                <w:sz w:val="18"/>
                <w:szCs w:val="18"/>
                <w:lang w:eastAsia="zh-CN"/>
              </w:rPr>
              <w:t>长期</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r>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91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spacing w:line="48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eastAsia" w:ascii="宋体" w:hAnsi="宋体" w:cs="宋体"/>
                <w:color w:val="000000"/>
                <w:sz w:val="18"/>
                <w:szCs w:val="18"/>
                <w:lang w:eastAsia="zh-CN"/>
              </w:rPr>
            </w:pPr>
            <w:r>
              <w:rPr>
                <w:rFonts w:hint="eastAsia" w:ascii="宋体" w:hAnsi="宋体" w:cs="宋体"/>
                <w:color w:val="000000"/>
                <w:sz w:val="18"/>
                <w:szCs w:val="18"/>
                <w:lang w:eastAsia="zh-CN"/>
              </w:rPr>
              <w:t>地州级退休人员满意度</w:t>
            </w: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w:t>
            </w:r>
            <w:r>
              <w:rPr>
                <w:rFonts w:hint="eastAsia" w:ascii="宋体" w:hAnsi="宋体" w:cs="宋体"/>
                <w:color w:val="000000"/>
                <w:sz w:val="18"/>
                <w:szCs w:val="18"/>
                <w:lang w:val="en-US" w:eastAsia="zh-CN"/>
              </w:rPr>
              <w:t>95%</w:t>
            </w:r>
          </w:p>
        </w:tc>
      </w:tr>
      <w:tr>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419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c>
          <w:tcPr>
            <w:tcW w:w="253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80" w:lineRule="exact"/>
              <w:jc w:val="center"/>
              <w:rPr>
                <w:rFonts w:ascii="宋体" w:hAnsi="宋体" w:cs="宋体"/>
                <w:color w:val="000000"/>
                <w:sz w:val="18"/>
                <w:szCs w:val="18"/>
              </w:rPr>
            </w:pPr>
          </w:p>
        </w:tc>
      </w:tr>
    </w:tbl>
    <w:p>
      <w:pPr>
        <w:spacing w:line="600" w:lineRule="exact"/>
        <w:rPr>
          <w:rFonts w:hint="eastAsia" w:ascii="楷体_GB2312" w:hAnsi="宋体" w:eastAsia="楷体_GB2312" w:cs="宋体"/>
          <w:b/>
          <w:kern w:val="0"/>
          <w:sz w:val="32"/>
          <w:szCs w:val="32"/>
        </w:rPr>
      </w:pPr>
    </w:p>
    <w:p>
      <w:pPr>
        <w:spacing w:line="600" w:lineRule="exact"/>
        <w:rPr>
          <w:rFonts w:ascii="楷体_GB2312" w:hAnsi="宋体" w:eastAsia="楷体_GB2312" w:cs="宋体"/>
          <w:b/>
          <w:kern w:val="0"/>
          <w:sz w:val="32"/>
          <w:szCs w:val="32"/>
        </w:rPr>
      </w:pPr>
      <w:r>
        <w:rPr>
          <w:rFonts w:hint="eastAsia" w:ascii="楷体_GB2312" w:hAnsi="宋体" w:eastAsia="楷体_GB2312" w:cs="宋体"/>
          <w:b/>
          <w:kern w:val="0"/>
          <w:sz w:val="32"/>
          <w:szCs w:val="32"/>
        </w:rPr>
        <w:t>（五）其他需说明的事项</w:t>
      </w:r>
    </w:p>
    <w:p>
      <w:pPr>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无其他需要说明的事项。</w:t>
      </w:r>
    </w:p>
    <w:p>
      <w:pPr>
        <w:spacing w:line="600" w:lineRule="exact"/>
        <w:ind w:firstLine="640" w:firstLineChars="200"/>
        <w:rPr>
          <w:rFonts w:ascii="仿宋_GB2312" w:hAnsi="宋体" w:eastAsia="仿宋_GB2312" w:cs="宋体"/>
          <w:kern w:val="0"/>
          <w:sz w:val="32"/>
          <w:szCs w:val="32"/>
        </w:rPr>
      </w:pPr>
    </w:p>
    <w:p>
      <w:pPr>
        <w:spacing w:line="560" w:lineRule="exact"/>
        <w:jc w:val="center"/>
        <w:rPr>
          <w:rFonts w:ascii="黑体" w:hAnsi="黑体" w:eastAsia="黑体"/>
          <w:kern w:val="0"/>
          <w:sz w:val="32"/>
          <w:szCs w:val="32"/>
        </w:rPr>
      </w:pPr>
      <w:r>
        <w:rPr>
          <w:rFonts w:hint="eastAsia" w:ascii="黑体" w:hAnsi="黑体" w:eastAsia="黑体"/>
          <w:kern w:val="0"/>
          <w:sz w:val="32"/>
          <w:szCs w:val="32"/>
        </w:rPr>
        <w:t>第四部分  名词解释</w:t>
      </w:r>
    </w:p>
    <w:p>
      <w:pPr>
        <w:spacing w:line="560" w:lineRule="exact"/>
        <w:ind w:firstLine="640" w:firstLineChars="200"/>
        <w:rPr>
          <w:rFonts w:ascii="黑体" w:hAnsi="黑体" w:eastAsia="黑体"/>
          <w:sz w:val="32"/>
          <w:szCs w:val="32"/>
        </w:rPr>
      </w:pPr>
    </w:p>
    <w:p>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一、财政拨款：</w:t>
      </w:r>
      <w:r>
        <w:rPr>
          <w:rFonts w:hint="eastAsia" w:ascii="仿宋_GB2312" w:eastAsia="仿宋_GB2312"/>
          <w:sz w:val="32"/>
          <w:szCs w:val="32"/>
        </w:rPr>
        <w:t>指由一般公共预算、政府性基金预算、国有资本经营预算安排的财政拨款数。</w:t>
      </w:r>
    </w:p>
    <w:p>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二、一般公共预算：</w:t>
      </w:r>
      <w:r>
        <w:rPr>
          <w:rFonts w:hint="eastAsia" w:ascii="仿宋_GB2312" w:eastAsia="仿宋_GB2312"/>
          <w:spacing w:val="-6"/>
          <w:sz w:val="32"/>
          <w:szCs w:val="32"/>
        </w:rPr>
        <w:t>包括公共财政拨款（补助）资金、专项收入。</w:t>
      </w:r>
    </w:p>
    <w:p>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、基本支出：</w:t>
      </w:r>
      <w:r>
        <w:rPr>
          <w:rFonts w:hint="eastAsia" w:ascii="仿宋_GB2312" w:eastAsia="仿宋_GB2312"/>
          <w:sz w:val="32"/>
          <w:szCs w:val="32"/>
        </w:rPr>
        <w:t>包括人员经费、公用经费（定额）。其中，人员经费包括工资福利支出、对个人和家庭的补助。</w:t>
      </w:r>
    </w:p>
    <w:p>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rPr>
        <w:t>、项目支出：</w:t>
      </w:r>
      <w:r>
        <w:rPr>
          <w:rFonts w:hint="eastAsia" w:ascii="仿宋_GB2312" w:eastAsia="仿宋_GB2312"/>
          <w:sz w:val="32"/>
          <w:szCs w:val="32"/>
        </w:rPr>
        <w:t>部门（单位）支出预算的组成部分，是</w:t>
      </w:r>
      <w:r>
        <w:rPr>
          <w:rFonts w:hint="eastAsia" w:ascii="仿宋_GB2312" w:eastAsia="仿宋_GB2312"/>
          <w:sz w:val="32"/>
          <w:szCs w:val="32"/>
          <w:lang w:eastAsia="zh-CN"/>
        </w:rPr>
        <w:t>昌吉州</w:t>
      </w:r>
      <w:r>
        <w:rPr>
          <w:rFonts w:hint="eastAsia" w:ascii="仿宋_GB2312" w:eastAsia="仿宋_GB2312"/>
          <w:sz w:val="32"/>
          <w:szCs w:val="32"/>
        </w:rPr>
        <w:t>本级部门（单位）为完成其特定的行政任务或事业发展目标，在基本支出预算之外编制的年度项目支出计划。</w:t>
      </w:r>
    </w:p>
    <w:p>
      <w:pPr>
        <w:spacing w:line="560" w:lineRule="exact"/>
        <w:ind w:firstLine="643" w:firstLineChars="200"/>
        <w:rPr>
          <w:rFonts w:ascii="仿宋_GB2312" w:eastAsia="仿宋_GB2312"/>
          <w:spacing w:val="-6"/>
          <w:sz w:val="32"/>
          <w:szCs w:val="32"/>
        </w:rPr>
      </w:pP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rPr>
        <w:t>、“三公”经费：</w:t>
      </w:r>
      <w:r>
        <w:rPr>
          <w:rFonts w:hint="eastAsia" w:ascii="仿宋_GB2312" w:eastAsia="仿宋_GB2312"/>
          <w:sz w:val="32"/>
          <w:szCs w:val="32"/>
        </w:rPr>
        <w:t>指</w:t>
      </w:r>
      <w:r>
        <w:rPr>
          <w:rFonts w:hint="eastAsia" w:ascii="仿宋_GB2312" w:eastAsia="仿宋_GB2312"/>
          <w:sz w:val="32"/>
          <w:szCs w:val="32"/>
          <w:lang w:eastAsia="zh-CN"/>
        </w:rPr>
        <w:t>昌吉州</w:t>
      </w:r>
      <w:r>
        <w:rPr>
          <w:rFonts w:hint="eastAsia" w:ascii="仿宋_GB2312" w:eastAsia="仿宋_GB2312"/>
          <w:sz w:val="32"/>
          <w:szCs w:val="32"/>
        </w:rPr>
        <w:t>本级部门（单位）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w:t>
      </w:r>
      <w:r>
        <w:rPr>
          <w:rFonts w:hint="eastAsia" w:ascii="仿宋_GB2312" w:eastAsia="仿宋_GB2312"/>
          <w:spacing w:val="-11"/>
          <w:sz w:val="32"/>
          <w:szCs w:val="32"/>
        </w:rPr>
        <w:t>务接待费指单位按规定开支的各类公务接待（含外宾接待）支出。</w:t>
      </w:r>
    </w:p>
    <w:p>
      <w:pPr>
        <w:spacing w:line="560" w:lineRule="exact"/>
        <w:ind w:firstLine="643" w:firstLineChars="200"/>
        <w:rPr>
          <w:rFonts w:ascii="仿宋_GB2312" w:eastAsia="仿宋_GB2312"/>
          <w:spacing w:val="-11"/>
          <w:sz w:val="32"/>
          <w:szCs w:val="32"/>
        </w:rPr>
      </w:pP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rPr>
        <w:t>、机关运行经费：</w:t>
      </w:r>
      <w:r>
        <w:rPr>
          <w:rFonts w:hint="eastAsia" w:ascii="仿宋_GB2312" w:eastAsia="仿宋_GB2312"/>
          <w:sz w:val="32"/>
          <w:szCs w:val="32"/>
        </w:rPr>
        <w:t>指各部门（单位）的公用经费，包括办公及印刷费、邮电费、差旅费、会议费、福利费、日常维修费、专用材料及一般设备购置费、办公用房水电费、办公用房</w:t>
      </w:r>
      <w:r>
        <w:rPr>
          <w:rFonts w:hint="eastAsia" w:ascii="仿宋_GB2312" w:eastAsia="仿宋_GB2312"/>
          <w:spacing w:val="-11"/>
          <w:sz w:val="32"/>
          <w:szCs w:val="32"/>
        </w:rPr>
        <w:t>取暖费、办公用房物业管理费、公务用车运行维护费及其他费用。</w:t>
      </w:r>
    </w:p>
    <w:p>
      <w:pPr>
        <w:spacing w:line="560" w:lineRule="exact"/>
        <w:ind w:firstLine="596" w:firstLineChars="200"/>
        <w:rPr>
          <w:rFonts w:ascii="仿宋_GB2312" w:eastAsia="仿宋_GB2312"/>
          <w:spacing w:val="-11"/>
          <w:sz w:val="32"/>
          <w:szCs w:val="32"/>
        </w:rPr>
      </w:pPr>
      <w:bookmarkStart w:id="0" w:name="_GoBack"/>
      <w:bookmarkEnd w:id="0"/>
    </w:p>
    <w:p>
      <w:pPr>
        <w:spacing w:line="560" w:lineRule="exact"/>
        <w:ind w:firstLine="640" w:firstLineChars="200"/>
        <w:rPr>
          <w:rFonts w:ascii="仿宋_GB2312" w:hAnsi="宋体" w:eastAsia="仿宋_GB2312" w:cs="宋体"/>
          <w:kern w:val="0"/>
          <w:sz w:val="32"/>
          <w:szCs w:val="32"/>
        </w:rPr>
      </w:pPr>
    </w:p>
    <w:p>
      <w:pPr>
        <w:spacing w:line="560" w:lineRule="exact"/>
        <w:ind w:firstLine="640" w:firstLineChars="200"/>
        <w:rPr>
          <w:rFonts w:ascii="仿宋_GB2312" w:hAnsi="宋体" w:eastAsia="仿宋_GB2312" w:cs="宋体"/>
          <w:kern w:val="0"/>
          <w:sz w:val="32"/>
          <w:szCs w:val="32"/>
        </w:rPr>
      </w:pPr>
    </w:p>
    <w:p>
      <w:pPr>
        <w:spacing w:line="560" w:lineRule="exact"/>
        <w:ind w:left="5758" w:leftChars="304" w:hanging="5120" w:hangingChars="1600"/>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昌吉州</w:t>
      </w:r>
      <w:r>
        <w:rPr>
          <w:rFonts w:hint="eastAsia" w:ascii="仿宋_GB2312" w:hAnsi="宋体" w:eastAsia="仿宋_GB2312" w:cs="宋体"/>
          <w:kern w:val="0"/>
          <w:sz w:val="32"/>
          <w:szCs w:val="32"/>
          <w:lang w:eastAsia="zh-CN"/>
        </w:rPr>
        <w:t>医疗保障局</w:t>
      </w:r>
      <w:r>
        <w:rPr>
          <w:rFonts w:hint="eastAsia" w:ascii="仿宋_GB2312" w:hAnsi="宋体" w:eastAsia="仿宋_GB2312" w:cs="宋体"/>
          <w:kern w:val="0"/>
          <w:sz w:val="32"/>
          <w:szCs w:val="32"/>
        </w:rPr>
        <w:t xml:space="preserve">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2022</w:t>
      </w:r>
      <w:r>
        <w:rPr>
          <w:rFonts w:ascii="仿宋_GB2312" w:hAnsi="宋体" w:eastAsia="仿宋_GB2312" w:cs="宋体"/>
          <w:kern w:val="0"/>
          <w:sz w:val="32"/>
          <w:szCs w:val="32"/>
        </w:rPr>
        <w:t>年</w:t>
      </w:r>
      <w:r>
        <w:rPr>
          <w:rFonts w:hint="eastAsia" w:ascii="仿宋_GB2312" w:hAnsi="宋体" w:eastAsia="仿宋_GB2312" w:cs="宋体"/>
          <w:kern w:val="0"/>
          <w:sz w:val="32"/>
          <w:szCs w:val="32"/>
        </w:rPr>
        <w:t>2</w:t>
      </w:r>
      <w:r>
        <w:rPr>
          <w:rFonts w:ascii="仿宋_GB2312" w:hAnsi="宋体" w:eastAsia="仿宋_GB2312" w:cs="宋体"/>
          <w:kern w:val="0"/>
          <w:sz w:val="32"/>
          <w:szCs w:val="32"/>
        </w:rPr>
        <w:t>月</w:t>
      </w:r>
      <w:r>
        <w:rPr>
          <w:rFonts w:hint="eastAsia" w:ascii="仿宋_GB2312" w:hAnsi="宋体" w:eastAsia="仿宋_GB2312" w:cs="宋体"/>
          <w:kern w:val="0"/>
          <w:sz w:val="32"/>
          <w:szCs w:val="32"/>
        </w:rPr>
        <w:t>12</w:t>
      </w:r>
      <w:r>
        <w:rPr>
          <w:rFonts w:ascii="仿宋_GB2312" w:hAnsi="宋体" w:eastAsia="仿宋_GB2312" w:cs="宋体"/>
          <w:kern w:val="0"/>
          <w:sz w:val="32"/>
          <w:szCs w:val="32"/>
        </w:rPr>
        <w:t>日</w:t>
      </w:r>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30505"/>
              <wp:effectExtent l="0" t="0" r="18415" b="17145"/>
              <wp:wrapNone/>
              <wp:docPr id="8" name="文本框 8"/>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- 53 -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P5+2abGAQAAiwMAAA4AAAAAAAAAAQAgAAAAIAEAAGRycy9lMm9Eb2Mu&#10;eG1sUEsFBgAAAAAGAAYAWQEAAFgFAAAAAA==&#10;">
              <v:fill on="f" focussize="0,0"/>
              <v:stroke on="f"/>
              <v:imagedata o:title=""/>
              <o:lock v:ext="edit" aspectratio="f"/>
              <v:textbox inset="0mm,0mm,0mm,0mm" style="mso-fit-shape-to-text:t;">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- 53 -</w:t>
                    </w:r>
                    <w:r>
                      <w:rPr>
                        <w:rFonts w:hint="eastAsia" w:ascii="宋体" w:hAnsi="宋体" w:cs="宋体"/>
                        <w:sz w:val="28"/>
                        <w:szCs w:val="28"/>
                      </w:rP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534035" cy="230505"/>
              <wp:effectExtent l="0" t="0" r="18415" b="17145"/>
              <wp:wrapNone/>
              <wp:docPr id="9" name="文本框 9"/>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- 54 -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61312;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Ir5F1HGAQAAiwMAAA4AAAAAAAAAAQAgAAAAIAEAAGRycy9lMm9Eb2Mu&#10;eG1sUEsFBgAAAAAGAAYAWQEAAFgFAAAAAA==&#10;">
              <v:fill on="f" focussize="0,0"/>
              <v:stroke on="f"/>
              <v:imagedata o:title=""/>
              <o:lock v:ext="edit" aspectratio="f"/>
              <v:textbox inset="0mm,0mm,0mm,0mm" style="mso-fit-shape-to-text:t;">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- 54 -</w:t>
                    </w:r>
                    <w:r>
                      <w:rPr>
                        <w:rFonts w:hint="eastAsia" w:ascii="宋体" w:hAnsi="宋体" w:cs="宋体"/>
                        <w:sz w:val="28"/>
                        <w:szCs w:val="28"/>
                      </w:rPr>
                      <w:fldChar w:fldCharType="end"/>
                    </w:r>
                  </w:p>
                </w:txbxContent>
              </v:textbox>
            </v:shape>
          </w:pict>
        </mc:Fallback>
      </mc:AlternateConten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12065" b="10795"/>
              <wp:wrapNone/>
              <wp:docPr id="10" name="文本框 10"/>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wps:spPr>
                    <wps:txbx>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- 56 -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bPU0HSAAAAAwEAAA8AAAAAAAAAAQAgAAAAIgAAAGRycy9k&#10;b3ducmV2LnhtbFBLAQIUABQAAAAIAIdO4kAquSaazwEAAJYDAAAOAAAAAAAAAAEAIAAAACEBAABk&#10;cnMvZTJvRG9jLnhtbFBLBQYAAAAABgAGAFkBAABiBQAAAAA=&#10;">
              <v:fill on="f" focussize="0,0"/>
              <v:stroke on="f" weight="0.5pt"/>
              <v:imagedata o:title=""/>
              <o:lock v:ext="edit" aspectratio="f"/>
              <v:textbox inset="0mm,0mm,0mm,0mm" style="mso-fit-shape-to-text:t;">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- 56 -</w:t>
                    </w:r>
                    <w:r>
                      <w:rPr>
                        <w:rFonts w:hint="eastAsia" w:ascii="宋体" w:hAnsi="宋体" w:cs="宋体"/>
                        <w:sz w:val="28"/>
                        <w:szCs w:val="28"/>
                      </w:rPr>
                      <w:fldChar w:fldCharType="end"/>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77F"/>
    <w:rsid w:val="002E5250"/>
    <w:rsid w:val="003923D8"/>
    <w:rsid w:val="004265FD"/>
    <w:rsid w:val="00432BE1"/>
    <w:rsid w:val="0047118F"/>
    <w:rsid w:val="004D477F"/>
    <w:rsid w:val="0059437A"/>
    <w:rsid w:val="00811918"/>
    <w:rsid w:val="0090107A"/>
    <w:rsid w:val="00944B81"/>
    <w:rsid w:val="00AF3F7E"/>
    <w:rsid w:val="00B141E5"/>
    <w:rsid w:val="00B649BD"/>
    <w:rsid w:val="00C12D75"/>
    <w:rsid w:val="00CE4C77"/>
    <w:rsid w:val="00D85033"/>
    <w:rsid w:val="00F91EEB"/>
    <w:rsid w:val="01207004"/>
    <w:rsid w:val="018F2C68"/>
    <w:rsid w:val="021D558D"/>
    <w:rsid w:val="02F25DE3"/>
    <w:rsid w:val="070D3DBA"/>
    <w:rsid w:val="070F36F0"/>
    <w:rsid w:val="07337A3B"/>
    <w:rsid w:val="075F3CE4"/>
    <w:rsid w:val="08C05F18"/>
    <w:rsid w:val="09CA74B3"/>
    <w:rsid w:val="09D21BBB"/>
    <w:rsid w:val="0A452CBE"/>
    <w:rsid w:val="0A50736F"/>
    <w:rsid w:val="0ACC2BC2"/>
    <w:rsid w:val="0AFF7B32"/>
    <w:rsid w:val="0B2608F1"/>
    <w:rsid w:val="0B286D25"/>
    <w:rsid w:val="0B516A49"/>
    <w:rsid w:val="0B7519B9"/>
    <w:rsid w:val="0CC00B93"/>
    <w:rsid w:val="0D3C4824"/>
    <w:rsid w:val="0DA909BD"/>
    <w:rsid w:val="0DF934DF"/>
    <w:rsid w:val="0E0C2D66"/>
    <w:rsid w:val="0E8C2BDC"/>
    <w:rsid w:val="0E8C52B5"/>
    <w:rsid w:val="0EDA1574"/>
    <w:rsid w:val="0EDD5D03"/>
    <w:rsid w:val="0F535677"/>
    <w:rsid w:val="0F5D6690"/>
    <w:rsid w:val="0F6D0A7C"/>
    <w:rsid w:val="10B004DA"/>
    <w:rsid w:val="10D864F2"/>
    <w:rsid w:val="114A7908"/>
    <w:rsid w:val="1163039D"/>
    <w:rsid w:val="131E030E"/>
    <w:rsid w:val="133016A0"/>
    <w:rsid w:val="136F39A4"/>
    <w:rsid w:val="13ED1285"/>
    <w:rsid w:val="15046F65"/>
    <w:rsid w:val="16551906"/>
    <w:rsid w:val="16600CDC"/>
    <w:rsid w:val="168C504B"/>
    <w:rsid w:val="168F3102"/>
    <w:rsid w:val="16962734"/>
    <w:rsid w:val="179923AF"/>
    <w:rsid w:val="17CB729C"/>
    <w:rsid w:val="186F07A7"/>
    <w:rsid w:val="18E06BCF"/>
    <w:rsid w:val="192834ED"/>
    <w:rsid w:val="19E92ED4"/>
    <w:rsid w:val="1A73676C"/>
    <w:rsid w:val="1A944C94"/>
    <w:rsid w:val="1AA13BB7"/>
    <w:rsid w:val="1AB73EDA"/>
    <w:rsid w:val="1BC32DBC"/>
    <w:rsid w:val="1BD37BEB"/>
    <w:rsid w:val="1BDA0CB1"/>
    <w:rsid w:val="1C0F546C"/>
    <w:rsid w:val="1C3B2017"/>
    <w:rsid w:val="1C987767"/>
    <w:rsid w:val="1D1450D7"/>
    <w:rsid w:val="1D6A4F26"/>
    <w:rsid w:val="1D714E3B"/>
    <w:rsid w:val="1DC44A96"/>
    <w:rsid w:val="1E176975"/>
    <w:rsid w:val="1ED375CD"/>
    <w:rsid w:val="1EFC27CA"/>
    <w:rsid w:val="1F26335F"/>
    <w:rsid w:val="1F2A1760"/>
    <w:rsid w:val="1F301EEB"/>
    <w:rsid w:val="1F601D81"/>
    <w:rsid w:val="1F7A3769"/>
    <w:rsid w:val="1F7C0C6E"/>
    <w:rsid w:val="1FF435B0"/>
    <w:rsid w:val="1FF63713"/>
    <w:rsid w:val="20D13874"/>
    <w:rsid w:val="21BC3F4A"/>
    <w:rsid w:val="22010E53"/>
    <w:rsid w:val="22300D21"/>
    <w:rsid w:val="225F13BA"/>
    <w:rsid w:val="229A032C"/>
    <w:rsid w:val="23096245"/>
    <w:rsid w:val="250D5F78"/>
    <w:rsid w:val="26985144"/>
    <w:rsid w:val="26AF36DF"/>
    <w:rsid w:val="26D9428A"/>
    <w:rsid w:val="27421BF1"/>
    <w:rsid w:val="27902438"/>
    <w:rsid w:val="27EF00E1"/>
    <w:rsid w:val="283F1588"/>
    <w:rsid w:val="2874440A"/>
    <w:rsid w:val="287B6E8F"/>
    <w:rsid w:val="28A82B01"/>
    <w:rsid w:val="28FC15B1"/>
    <w:rsid w:val="29964953"/>
    <w:rsid w:val="29B034A4"/>
    <w:rsid w:val="2A0C1DCC"/>
    <w:rsid w:val="2B2E16B8"/>
    <w:rsid w:val="2B8622BC"/>
    <w:rsid w:val="2B8E16E1"/>
    <w:rsid w:val="2BB57CD1"/>
    <w:rsid w:val="2C0D65DB"/>
    <w:rsid w:val="2C51288C"/>
    <w:rsid w:val="2CF76497"/>
    <w:rsid w:val="2D075E44"/>
    <w:rsid w:val="2D1D47E1"/>
    <w:rsid w:val="2E8A6824"/>
    <w:rsid w:val="31571DB5"/>
    <w:rsid w:val="31E131A1"/>
    <w:rsid w:val="32733B53"/>
    <w:rsid w:val="33512C64"/>
    <w:rsid w:val="33BA2BEB"/>
    <w:rsid w:val="33E46A19"/>
    <w:rsid w:val="35736ACC"/>
    <w:rsid w:val="365A30C4"/>
    <w:rsid w:val="36DC320D"/>
    <w:rsid w:val="377E6145"/>
    <w:rsid w:val="37DC191D"/>
    <w:rsid w:val="37F86C04"/>
    <w:rsid w:val="389C7D68"/>
    <w:rsid w:val="38D15942"/>
    <w:rsid w:val="391F2007"/>
    <w:rsid w:val="3936529E"/>
    <w:rsid w:val="39833EE2"/>
    <w:rsid w:val="3AFC403A"/>
    <w:rsid w:val="3B1B3791"/>
    <w:rsid w:val="3B7657B8"/>
    <w:rsid w:val="3B897E8A"/>
    <w:rsid w:val="3B97616C"/>
    <w:rsid w:val="3B980CDD"/>
    <w:rsid w:val="3BA3741F"/>
    <w:rsid w:val="3BD72F43"/>
    <w:rsid w:val="3C232387"/>
    <w:rsid w:val="3C6C4349"/>
    <w:rsid w:val="3C921834"/>
    <w:rsid w:val="3CF22D00"/>
    <w:rsid w:val="3D112611"/>
    <w:rsid w:val="3D6200E5"/>
    <w:rsid w:val="3DBB5395"/>
    <w:rsid w:val="3E735B1F"/>
    <w:rsid w:val="40907F3D"/>
    <w:rsid w:val="40AC4E84"/>
    <w:rsid w:val="418E1FF1"/>
    <w:rsid w:val="41B80745"/>
    <w:rsid w:val="41E05396"/>
    <w:rsid w:val="424C6E05"/>
    <w:rsid w:val="428E70D2"/>
    <w:rsid w:val="42BF4A08"/>
    <w:rsid w:val="436A4974"/>
    <w:rsid w:val="43C5132E"/>
    <w:rsid w:val="43CB545F"/>
    <w:rsid w:val="44077127"/>
    <w:rsid w:val="44400732"/>
    <w:rsid w:val="454C0D23"/>
    <w:rsid w:val="45662078"/>
    <w:rsid w:val="45782CE9"/>
    <w:rsid w:val="466E65E5"/>
    <w:rsid w:val="46E0010E"/>
    <w:rsid w:val="46EE2F1C"/>
    <w:rsid w:val="47370FBC"/>
    <w:rsid w:val="4811434B"/>
    <w:rsid w:val="491A5C0C"/>
    <w:rsid w:val="4A2E2AA8"/>
    <w:rsid w:val="4AB55513"/>
    <w:rsid w:val="4B06522F"/>
    <w:rsid w:val="4C067D49"/>
    <w:rsid w:val="4C6E5CA5"/>
    <w:rsid w:val="4CC54CD2"/>
    <w:rsid w:val="4CC76124"/>
    <w:rsid w:val="4CE769C9"/>
    <w:rsid w:val="4E9973F7"/>
    <w:rsid w:val="4EBB579C"/>
    <w:rsid w:val="4F07696D"/>
    <w:rsid w:val="4F380E42"/>
    <w:rsid w:val="4F4A7A1D"/>
    <w:rsid w:val="4F970338"/>
    <w:rsid w:val="4FED24CF"/>
    <w:rsid w:val="4FFF1D02"/>
    <w:rsid w:val="50A02029"/>
    <w:rsid w:val="50C127AB"/>
    <w:rsid w:val="50F866BF"/>
    <w:rsid w:val="5111781C"/>
    <w:rsid w:val="513B5BAD"/>
    <w:rsid w:val="514017EB"/>
    <w:rsid w:val="518B3957"/>
    <w:rsid w:val="51DD2BC2"/>
    <w:rsid w:val="51F548C0"/>
    <w:rsid w:val="52252277"/>
    <w:rsid w:val="5482780D"/>
    <w:rsid w:val="54D607CE"/>
    <w:rsid w:val="551049C7"/>
    <w:rsid w:val="555E3147"/>
    <w:rsid w:val="559F2217"/>
    <w:rsid w:val="55DB171D"/>
    <w:rsid w:val="56D10797"/>
    <w:rsid w:val="574665CC"/>
    <w:rsid w:val="57710D38"/>
    <w:rsid w:val="57A61D9A"/>
    <w:rsid w:val="57E253AC"/>
    <w:rsid w:val="583D5699"/>
    <w:rsid w:val="5A106C19"/>
    <w:rsid w:val="5AA73E9D"/>
    <w:rsid w:val="5B980188"/>
    <w:rsid w:val="5BC0036E"/>
    <w:rsid w:val="5BDD6603"/>
    <w:rsid w:val="5C142635"/>
    <w:rsid w:val="5C464198"/>
    <w:rsid w:val="5C921FF3"/>
    <w:rsid w:val="5CA50870"/>
    <w:rsid w:val="5D647511"/>
    <w:rsid w:val="5D75097E"/>
    <w:rsid w:val="5D79501E"/>
    <w:rsid w:val="5DD12808"/>
    <w:rsid w:val="5E3F17B0"/>
    <w:rsid w:val="5E8F4CD5"/>
    <w:rsid w:val="5ECC50B8"/>
    <w:rsid w:val="5EE56BB8"/>
    <w:rsid w:val="5F255718"/>
    <w:rsid w:val="5F413B34"/>
    <w:rsid w:val="5F427592"/>
    <w:rsid w:val="5F75232E"/>
    <w:rsid w:val="5F9273E9"/>
    <w:rsid w:val="602A701B"/>
    <w:rsid w:val="610D3185"/>
    <w:rsid w:val="613F0332"/>
    <w:rsid w:val="613F099F"/>
    <w:rsid w:val="617C4393"/>
    <w:rsid w:val="61FA3C38"/>
    <w:rsid w:val="62460926"/>
    <w:rsid w:val="62A76810"/>
    <w:rsid w:val="63BE3F31"/>
    <w:rsid w:val="63C379F2"/>
    <w:rsid w:val="63D0727D"/>
    <w:rsid w:val="63FA576E"/>
    <w:rsid w:val="646A5369"/>
    <w:rsid w:val="64957F83"/>
    <w:rsid w:val="65291312"/>
    <w:rsid w:val="65943AE9"/>
    <w:rsid w:val="65B1525F"/>
    <w:rsid w:val="661F3A03"/>
    <w:rsid w:val="662D7FA0"/>
    <w:rsid w:val="669E6B22"/>
    <w:rsid w:val="669F4D16"/>
    <w:rsid w:val="66B84083"/>
    <w:rsid w:val="67B146FE"/>
    <w:rsid w:val="681059D7"/>
    <w:rsid w:val="682D7314"/>
    <w:rsid w:val="690137F4"/>
    <w:rsid w:val="69A8670F"/>
    <w:rsid w:val="6A087F87"/>
    <w:rsid w:val="6A9E2486"/>
    <w:rsid w:val="6B3E2934"/>
    <w:rsid w:val="6B70692B"/>
    <w:rsid w:val="6C5D3FDC"/>
    <w:rsid w:val="6C6027D2"/>
    <w:rsid w:val="6CB071B8"/>
    <w:rsid w:val="6CE77B37"/>
    <w:rsid w:val="6D2C6B60"/>
    <w:rsid w:val="6D3A45DD"/>
    <w:rsid w:val="6DFF0522"/>
    <w:rsid w:val="6E7970F6"/>
    <w:rsid w:val="6E8350EA"/>
    <w:rsid w:val="6ED26AD6"/>
    <w:rsid w:val="6F0207A0"/>
    <w:rsid w:val="6F85248A"/>
    <w:rsid w:val="70403E71"/>
    <w:rsid w:val="70DB5429"/>
    <w:rsid w:val="70F14044"/>
    <w:rsid w:val="71215823"/>
    <w:rsid w:val="712A59A0"/>
    <w:rsid w:val="71CF1B52"/>
    <w:rsid w:val="71F179D5"/>
    <w:rsid w:val="725B1F11"/>
    <w:rsid w:val="729C0062"/>
    <w:rsid w:val="738636D2"/>
    <w:rsid w:val="73A315C5"/>
    <w:rsid w:val="74162A24"/>
    <w:rsid w:val="743E3D19"/>
    <w:rsid w:val="7444393D"/>
    <w:rsid w:val="74AA6908"/>
    <w:rsid w:val="74F31720"/>
    <w:rsid w:val="756130AF"/>
    <w:rsid w:val="75713CEB"/>
    <w:rsid w:val="75842030"/>
    <w:rsid w:val="75F51F43"/>
    <w:rsid w:val="76A47071"/>
    <w:rsid w:val="76FB5836"/>
    <w:rsid w:val="7747462D"/>
    <w:rsid w:val="77952162"/>
    <w:rsid w:val="781C55C0"/>
    <w:rsid w:val="786039AF"/>
    <w:rsid w:val="78EE4DDD"/>
    <w:rsid w:val="79134FC8"/>
    <w:rsid w:val="796053AF"/>
    <w:rsid w:val="796549C9"/>
    <w:rsid w:val="79774B3E"/>
    <w:rsid w:val="7A1072B2"/>
    <w:rsid w:val="7AA56571"/>
    <w:rsid w:val="7ACC44CA"/>
    <w:rsid w:val="7B7C548C"/>
    <w:rsid w:val="7BB55121"/>
    <w:rsid w:val="7BF31C77"/>
    <w:rsid w:val="7D9B5EC9"/>
    <w:rsid w:val="7EC326F8"/>
    <w:rsid w:val="7FC45EB1"/>
    <w:rsid w:val="7FDC7423"/>
    <w:rsid w:val="7FF62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2"/>
    <w:qFormat/>
    <w:uiPriority w:val="0"/>
    <w:pPr>
      <w:ind w:left="1277"/>
      <w:outlineLvl w:val="1"/>
    </w:pPr>
    <w:rPr>
      <w:rFonts w:ascii="仿宋_GB2312" w:hAnsi="仿宋_GB2312" w:eastAsia="仿宋_GB2312" w:cs="仿宋_GB2312"/>
      <w:b/>
      <w:bCs/>
      <w:sz w:val="32"/>
      <w:szCs w:val="32"/>
      <w:lang w:val="zh-CN" w:bidi="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3"/>
    <w:qFormat/>
    <w:uiPriority w:val="0"/>
    <w:rPr>
      <w:rFonts w:ascii="方正仿宋_GBK" w:hAnsi="方正仿宋_GBK" w:eastAsia="方正仿宋_GBK" w:cs="方正仿宋_GBK"/>
      <w:sz w:val="32"/>
      <w:szCs w:val="32"/>
      <w:lang w:val="zh-CN" w:bidi="zh-CN"/>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basedOn w:val="8"/>
    <w:link w:val="5"/>
    <w:qFormat/>
    <w:uiPriority w:val="0"/>
    <w:rPr>
      <w:sz w:val="18"/>
      <w:szCs w:val="18"/>
    </w:rPr>
  </w:style>
  <w:style w:type="character" w:customStyle="1" w:styleId="11">
    <w:name w:val="页脚 Char"/>
    <w:basedOn w:val="8"/>
    <w:link w:val="4"/>
    <w:qFormat/>
    <w:uiPriority w:val="99"/>
    <w:rPr>
      <w:sz w:val="18"/>
      <w:szCs w:val="18"/>
    </w:rPr>
  </w:style>
  <w:style w:type="character" w:customStyle="1" w:styleId="12">
    <w:name w:val="标题 2 Char"/>
    <w:basedOn w:val="8"/>
    <w:link w:val="2"/>
    <w:qFormat/>
    <w:uiPriority w:val="0"/>
    <w:rPr>
      <w:rFonts w:ascii="仿宋_GB2312" w:hAnsi="仿宋_GB2312" w:eastAsia="仿宋_GB2312" w:cs="仿宋_GB2312"/>
      <w:b/>
      <w:bCs/>
      <w:sz w:val="32"/>
      <w:szCs w:val="32"/>
      <w:lang w:val="zh-CN" w:bidi="zh-CN"/>
    </w:rPr>
  </w:style>
  <w:style w:type="character" w:customStyle="1" w:styleId="13">
    <w:name w:val="正文文本 Char"/>
    <w:basedOn w:val="8"/>
    <w:link w:val="3"/>
    <w:qFormat/>
    <w:uiPriority w:val="0"/>
    <w:rPr>
      <w:rFonts w:ascii="方正仿宋_GBK" w:hAnsi="方正仿宋_GBK" w:eastAsia="方正仿宋_GBK" w:cs="方正仿宋_GBK"/>
      <w:sz w:val="32"/>
      <w:szCs w:val="32"/>
      <w:lang w:val="zh-CN" w:bidi="zh-CN"/>
    </w:rPr>
  </w:style>
  <w:style w:type="paragraph" w:customStyle="1" w:styleId="14">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36</Pages>
  <Words>13286</Words>
  <Characters>15403</Characters>
  <Lines>69</Lines>
  <Paragraphs>19</Paragraphs>
  <TotalTime>0</TotalTime>
  <ScaleCrop>false</ScaleCrop>
  <LinksUpToDate>false</LinksUpToDate>
  <CharactersWithSpaces>16268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2022-02-11T11:16:00Z</dcterms:created>
  <dc:creator>闫超</dc:creator>
  <cp:lastModifiedBy>Administrator</cp:lastModifiedBy>
  <cp:lastPrinted>2022-04-02T04:28:00Z</cp:lastPrinted>
  <dcterms:modified xsi:type="dcterms:W3CDTF">2022-04-13T03:37:13Z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804B3BBCE5E544D194C33A34A9246926</vt:lpwstr>
  </property>
</Properties>
</file>