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5BC2F">
      <w:pPr>
        <w:spacing w:line="540" w:lineRule="exact"/>
        <w:jc w:val="left"/>
        <w:rPr>
          <w:rFonts w:ascii="仿宋" w:hAnsi="仿宋" w:eastAsia="仿宋" w:cs="宋体"/>
          <w:color w:val="auto"/>
          <w:kern w:val="0"/>
          <w:sz w:val="32"/>
          <w:szCs w:val="32"/>
        </w:rPr>
      </w:pPr>
      <w:bookmarkStart w:id="0" w:name="_GoBack"/>
      <w:r>
        <w:rPr>
          <w:rFonts w:hint="eastAsia" w:ascii="仿宋" w:hAnsi="仿宋" w:eastAsia="仿宋" w:cs="宋体"/>
          <w:color w:val="auto"/>
          <w:kern w:val="0"/>
          <w:sz w:val="32"/>
          <w:szCs w:val="32"/>
        </w:rPr>
        <w:t>附件2：</w:t>
      </w:r>
    </w:p>
    <w:p w14:paraId="65C6F24C">
      <w:pPr>
        <w:spacing w:line="540" w:lineRule="exact"/>
        <w:jc w:val="center"/>
        <w:rPr>
          <w:rFonts w:ascii="华文中宋" w:hAnsi="华文中宋" w:eastAsia="华文中宋" w:cs="宋体"/>
          <w:b/>
          <w:color w:val="auto"/>
          <w:kern w:val="0"/>
          <w:sz w:val="52"/>
          <w:szCs w:val="52"/>
        </w:rPr>
      </w:pPr>
    </w:p>
    <w:p w14:paraId="16FF7575">
      <w:pPr>
        <w:spacing w:line="540" w:lineRule="exact"/>
        <w:jc w:val="center"/>
        <w:rPr>
          <w:rFonts w:ascii="华文中宋" w:hAnsi="华文中宋" w:eastAsia="华文中宋" w:cs="宋体"/>
          <w:b/>
          <w:color w:val="auto"/>
          <w:kern w:val="0"/>
          <w:sz w:val="52"/>
          <w:szCs w:val="52"/>
        </w:rPr>
      </w:pPr>
    </w:p>
    <w:p w14:paraId="631A1C06">
      <w:pPr>
        <w:spacing w:line="540" w:lineRule="exact"/>
        <w:jc w:val="center"/>
        <w:rPr>
          <w:rFonts w:ascii="华文中宋" w:hAnsi="华文中宋" w:eastAsia="华文中宋" w:cs="宋体"/>
          <w:b/>
          <w:color w:val="auto"/>
          <w:kern w:val="0"/>
          <w:sz w:val="52"/>
          <w:szCs w:val="52"/>
        </w:rPr>
      </w:pPr>
    </w:p>
    <w:p w14:paraId="3E4D402F">
      <w:pPr>
        <w:spacing w:line="540" w:lineRule="exact"/>
        <w:jc w:val="center"/>
        <w:rPr>
          <w:rFonts w:ascii="华文中宋" w:hAnsi="华文中宋" w:eastAsia="华文中宋" w:cs="宋体"/>
          <w:b/>
          <w:color w:val="auto"/>
          <w:kern w:val="0"/>
          <w:sz w:val="52"/>
          <w:szCs w:val="52"/>
        </w:rPr>
      </w:pPr>
    </w:p>
    <w:p w14:paraId="16536C9A">
      <w:pPr>
        <w:spacing w:line="540" w:lineRule="exact"/>
        <w:jc w:val="center"/>
        <w:rPr>
          <w:rFonts w:ascii="华文中宋" w:hAnsi="华文中宋" w:eastAsia="华文中宋" w:cs="宋体"/>
          <w:b/>
          <w:color w:val="auto"/>
          <w:kern w:val="0"/>
          <w:sz w:val="52"/>
          <w:szCs w:val="52"/>
        </w:rPr>
      </w:pPr>
    </w:p>
    <w:p w14:paraId="5FBBFA9C">
      <w:pPr>
        <w:spacing w:line="540" w:lineRule="exact"/>
        <w:jc w:val="center"/>
        <w:rPr>
          <w:rFonts w:ascii="华文中宋" w:hAnsi="华文中宋" w:eastAsia="华文中宋" w:cs="宋体"/>
          <w:b/>
          <w:color w:val="auto"/>
          <w:kern w:val="0"/>
          <w:sz w:val="52"/>
          <w:szCs w:val="52"/>
        </w:rPr>
      </w:pPr>
    </w:p>
    <w:p w14:paraId="1B949025">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14:paraId="354ADAC6">
      <w:pPr>
        <w:spacing w:line="540" w:lineRule="exact"/>
        <w:jc w:val="center"/>
        <w:rPr>
          <w:rFonts w:ascii="华文中宋" w:hAnsi="华文中宋" w:eastAsia="华文中宋" w:cs="宋体"/>
          <w:b/>
          <w:color w:val="auto"/>
          <w:kern w:val="0"/>
          <w:sz w:val="52"/>
          <w:szCs w:val="52"/>
        </w:rPr>
      </w:pPr>
    </w:p>
    <w:p w14:paraId="2B1326FE">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14:paraId="6FB590A0">
      <w:pPr>
        <w:spacing w:line="540" w:lineRule="exact"/>
        <w:jc w:val="center"/>
        <w:rPr>
          <w:rFonts w:hAnsi="宋体" w:eastAsia="仿宋_GB2312" w:cs="宋体"/>
          <w:color w:val="auto"/>
          <w:kern w:val="0"/>
          <w:sz w:val="30"/>
          <w:szCs w:val="30"/>
        </w:rPr>
      </w:pPr>
    </w:p>
    <w:p w14:paraId="274DEF67">
      <w:pPr>
        <w:spacing w:line="540" w:lineRule="exact"/>
        <w:jc w:val="center"/>
        <w:rPr>
          <w:rFonts w:hAnsi="宋体" w:eastAsia="仿宋_GB2312" w:cs="宋体"/>
          <w:color w:val="auto"/>
          <w:kern w:val="0"/>
          <w:sz w:val="30"/>
          <w:szCs w:val="30"/>
        </w:rPr>
      </w:pPr>
    </w:p>
    <w:p w14:paraId="362A0781">
      <w:pPr>
        <w:spacing w:line="540" w:lineRule="exact"/>
        <w:jc w:val="center"/>
        <w:rPr>
          <w:rFonts w:hAnsi="宋体" w:eastAsia="仿宋_GB2312" w:cs="宋体"/>
          <w:color w:val="auto"/>
          <w:kern w:val="0"/>
          <w:sz w:val="30"/>
          <w:szCs w:val="30"/>
        </w:rPr>
      </w:pPr>
    </w:p>
    <w:p w14:paraId="53A5579F">
      <w:pPr>
        <w:spacing w:line="540" w:lineRule="exact"/>
        <w:jc w:val="center"/>
        <w:rPr>
          <w:rFonts w:hAnsi="宋体" w:eastAsia="仿宋_GB2312" w:cs="宋体"/>
          <w:color w:val="auto"/>
          <w:kern w:val="0"/>
          <w:sz w:val="30"/>
          <w:szCs w:val="30"/>
        </w:rPr>
      </w:pPr>
    </w:p>
    <w:p w14:paraId="5783825A">
      <w:pPr>
        <w:spacing w:line="540" w:lineRule="exact"/>
        <w:jc w:val="center"/>
        <w:rPr>
          <w:rFonts w:hAnsi="宋体" w:eastAsia="仿宋_GB2312" w:cs="宋体"/>
          <w:color w:val="auto"/>
          <w:kern w:val="0"/>
          <w:sz w:val="30"/>
          <w:szCs w:val="30"/>
        </w:rPr>
      </w:pPr>
    </w:p>
    <w:p w14:paraId="198BDE65">
      <w:pPr>
        <w:spacing w:line="540" w:lineRule="exact"/>
        <w:jc w:val="center"/>
        <w:rPr>
          <w:rFonts w:hAnsi="宋体" w:eastAsia="仿宋_GB2312" w:cs="宋体"/>
          <w:color w:val="auto"/>
          <w:kern w:val="0"/>
          <w:sz w:val="30"/>
          <w:szCs w:val="30"/>
        </w:rPr>
      </w:pPr>
    </w:p>
    <w:p w14:paraId="2F509FC7">
      <w:pPr>
        <w:spacing w:line="540" w:lineRule="exact"/>
        <w:rPr>
          <w:rFonts w:hAnsi="宋体" w:eastAsia="仿宋_GB2312" w:cs="宋体"/>
          <w:color w:val="auto"/>
          <w:kern w:val="0"/>
          <w:sz w:val="30"/>
          <w:szCs w:val="30"/>
        </w:rPr>
      </w:pPr>
    </w:p>
    <w:p w14:paraId="570373C0">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0AAE2654">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昌吉州应急管理局指挥中心信息化项目</w:t>
      </w:r>
    </w:p>
    <w:p w14:paraId="0C50AB83">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昌吉回族自治州应急管理局</w:t>
      </w:r>
    </w:p>
    <w:p w14:paraId="1906F622">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昌吉回族自治州应急管理局</w:t>
      </w:r>
    </w:p>
    <w:p w14:paraId="208F3AC8">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常军</w:t>
      </w:r>
    </w:p>
    <w:p w14:paraId="428AECF1">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2024年04月01日</w:t>
      </w:r>
    </w:p>
    <w:p w14:paraId="3B5D980E">
      <w:pPr>
        <w:spacing w:line="700" w:lineRule="exact"/>
        <w:ind w:firstLine="708" w:firstLineChars="236"/>
        <w:jc w:val="left"/>
        <w:rPr>
          <w:rFonts w:hAnsi="宋体" w:eastAsia="仿宋_GB2312" w:cs="宋体"/>
          <w:color w:val="auto"/>
          <w:kern w:val="0"/>
          <w:sz w:val="30"/>
          <w:szCs w:val="30"/>
        </w:rPr>
      </w:pPr>
    </w:p>
    <w:p w14:paraId="34932BEB">
      <w:pPr>
        <w:spacing w:line="540" w:lineRule="exact"/>
        <w:rPr>
          <w:rStyle w:val="18"/>
          <w:rFonts w:ascii="黑体" w:hAnsi="黑体" w:eastAsia="黑体"/>
          <w:b w:val="0"/>
          <w:color w:val="auto"/>
          <w:spacing w:val="-4"/>
          <w:sz w:val="32"/>
          <w:szCs w:val="32"/>
        </w:rPr>
      </w:pPr>
    </w:p>
    <w:p w14:paraId="5D750308">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208CA709">
      <w:pPr>
        <w:spacing w:line="540" w:lineRule="exact"/>
        <w:ind w:firstLine="567"/>
        <w:rPr>
          <w:rStyle w:val="18"/>
          <w:rFonts w:hint="default" w:ascii="楷体" w:hAnsi="楷体" w:eastAsia="楷体"/>
          <w:color w:val="auto"/>
          <w:spacing w:val="-4"/>
          <w:sz w:val="32"/>
          <w:szCs w:val="32"/>
          <w:lang w:val="en-US" w:eastAsia="zh-CN"/>
        </w:rPr>
      </w:pPr>
      <w:r>
        <w:rPr>
          <w:rStyle w:val="18"/>
          <w:rFonts w:hint="eastAsia" w:ascii="楷体" w:hAnsi="楷体" w:eastAsia="楷体"/>
          <w:color w:val="auto"/>
          <w:spacing w:val="-4"/>
          <w:sz w:val="32"/>
          <w:szCs w:val="32"/>
        </w:rPr>
        <w:t>（一）项目概况</w:t>
      </w:r>
      <w:r>
        <w:rPr>
          <w:rStyle w:val="18"/>
          <w:rFonts w:hint="eastAsia" w:ascii="楷体" w:hAnsi="楷体" w:eastAsia="楷体"/>
          <w:color w:val="auto"/>
          <w:spacing w:val="-4"/>
          <w:sz w:val="32"/>
          <w:szCs w:val="32"/>
          <w:lang w:eastAsia="zh-CN"/>
        </w:rPr>
        <w:t>。</w:t>
      </w:r>
    </w:p>
    <w:p w14:paraId="7BEBF951">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一、基本情况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（一）项目概况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随着信息技术的快速发展和应用，信息化已成为提高政府工作效率、优化服务、保障公共安全的重要手段。昌吉回族自治州应急管理局作为负责应急管理工作的政府部门，面临着对突发事件快速响应、有效协调和高效处置的迫切需求。因此，推进信息化建设，提高应急管理工作的科技化、智能化水平，成为昌吉回族自治州应急管理局的重要任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面临着各种安全生产风险和挑战，如煤矿安全生产、消防安全、环境保护等。为了加强对这些领域的监管和预警，提高应对突发事件的能力，昌吉回族自治州应急管理局需要建立一个集数据采集分析、事故预测预警、辅助监管监察执法等功能于一体的综合监管系统。按照《国家煤监局关于加快推进煤矿安全风险监测预警系统建设的指导意见》（煤安监办〔2019〕42 号）要求重新完善安全监控系统、人员定位系统、工业视频监控系统，开发基础信息管理系统、双重预防信息管理、风险监测预警、视频 AI 辅助监管执法等，完善煤矿安全监管体系。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为了更好地服务于社会公众和企业，昌吉回族自治州应急管理局还需要建立一个高效稳定的视频监控接入系统，实现各类重点企业视频接入，以便对企业的生产经营活动进行实时监控和监管。同时，建设一个统一的身份认证系统和370MHz窄带无线通信网络，可以提高应急管理工作的效率和安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（1）项目名称：昌吉回族自治州应急管理局指挥中心信息化项目（以下简称“该项目”或“项目”）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将原有指挥中心的特殊作业实时监管平台、自治区危险化学品企业重大危险源监测预警等系统平台搬迁至新指挥中心；在六楼指挥中心和六楼视频会议室建设全彩 LED 大屏显示系统、三楼党委会议室建设智能交互屏幕、六楼视频会议室和三楼党委会议室会议扩声系统、视频会议融合、中央控制系统、全楼视频监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控、3-6 楼无线网络覆盖和指挥中心装修改造等。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实施主体：昌吉回族自治州应急管理局。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实施时间：本项目实施周期为2023年12月-2024年5月。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情况：本项目根据《“数字昌吉”发展规划（2021-2025）》文件要求，我单位上报《关于上报&lt;昌吉州应急管理指挥中心信息化项目（一期）初步设计报告&gt;的请示》（昌州应急〔2023〕106号），经昌吉州发展和改革委员会审核，下发《昌吉州发改委关于昌吉州应急管理指挥中心信息化项目（一期）初步设计的批复》（昌州发改项目〔2023〕51号）批复文件。2023年11月18日，昌吉州应急管理指挥中心信息化项目（一期）在州政资服务中心公开招标，中标单位为中移系统集成有限公司，中标价为9879988.5元。11月25日，局党委研究审议通过了该项目合同内容。11月26日，项目正式实施。目前已完成项目合同内容的95%。昌吉州应急管理局聚焦“实用、实战”目标，应用数字化推进应急管理全方位、系统性、重塑性变革，以“看得见、喊的通、调的动”为原则，从信息化层面达到“一屏知昌吉，一屏管昌吉，平时能预警、战时能指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（1）主要职能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负责应急管理工作，指导各级、各部门应对安全生产类、自然灾害类突发事件和综合防灾减灾救灾工作。负责自治州安全生产综合监督管理和工矿商贸行业安全生产监督管理工作。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组织编制应急体系建设、安全生产和综合防灾减灾规划，起草应急管理、安全生产等地方规范性文件和相关规程、地方标准并监督实施。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牵头建立统一的应急管理信息系统，负责信息传输和共享，建立监测预警和灾情报告制度，健全自然灾害信息资源获取和共享机制，依法统一发布灾情。</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指导和协调安全生产类、自然灾害类突发事件应急救援，承担自治州应对较大灾害指挥工作，综合研判突发事件发展态势并提出应对建议，协助自治州党委、自治州人民政府指定的负责同志组织较大灾害应急处置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协调指挥各类应急专业队伍，建立应急协调联动机制，推进应急指挥平台对接，提请衔接驻昌吉州部队参与应急救援工作。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统筹应急救援力量建设，负责消防、森林和草原火灾扑救、抗洪抢险、地震和地质灾害救援、生产安全事故救援专业应急救援力量建设，建设和管理指挥自治州综合性应急救援队伍，指导各级及社会应急救援力量建设。</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负责消防管理工作，指导消防监督、火灾预防、火灾扑救等工作。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组织协调灾害救助工作，组织和指导灾情核查、损失评估、救灾捐赠工作，管理、分配中央、自治区和自治州救灾款物并监督使用。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依法行使自治州安全生产综合监督管理职权，指导、协调和监督自治州负有安全生产监督管理职责的部门及下级政府的安全生产工作，组织开展安全生产巡查、考核工作。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依法组织指导生产安全事故调查处理，监督和评估事故查处和责任追究落实情况。组织开展自然灾害类突发事件的调查评估工作。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制定应急物资储备和应急救援装备规划并组织实施，会同粮食物资储备等部门建立健全应急物资信息平台和调拨制度，在救灾时统一调度。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负责应急管理、安全生产宣传教育和培训工作，组织和指导自治州应急管理、安全生产的科学技术研究、推广应用和信息化建设工作，开展应急管理方面的合作与交流。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完成自治州党委、自治州人民政府交办的其他任务。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职能转变。自治州应急管理局应加强、优化、统筹自治州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州应急管理水平和防灾减灾救灾能力，防范化解重大安全风险；二是坚持以人为本，把确保人民群众生命安全放在首位，确保受灾群众基本生活，加强应急预案演练，增强全州公民防灾减灾意识，提升公众知识普及和自救互救技能，切实减少人员伤亡和财产损失；三是树立安全发展理念，坚持生命至上、安全第一，完善安全生产责任，坚决遏制重特大安全事故。</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（2）机构设置情况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应急管理局下设州自然灾害综合监测预警中心、昌吉州矿山安全服务保障中心、昌吉州应急管理综合行政执法支队3个局属单位和办公室、综合减灾和风险监测科、应急救援和火灾管理科、危险化学品安全监督管理科、工贸安全监督管理科、安全生产综合协调科、法规科（组织人事科）、煤矿安全监督管理科、非煤矿山安全监督管理科、煤田灭火管理科等10个科室。</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本项目预算安排总额为1398万元，资金来源为财政拨款，其中：财政资金1398万元，2023年实际收到预算资金1398万元，预算资金到位率为100%。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截至2023年12月31日，本项目实际支付资金822.32万元，预算执行率70%，结转资金575.68万元。本项目资金主要用于支付指挥中心LED全彩屏及配套设施费用150万元、指挥中心项目建设费用672.32万元。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t>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App，并配备建设电梯一部。构建一个高效、智能、可靠的应急指挥信息化系统，以提升应急管理和救援能力，保障人民群众的生命财产安全。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“建成一个指挥中心信息化系统”指标，预期指标值为“大于等于1个”；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“建成一部电梯”指标，预期指标值为“大于等于1个”。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“指挥中心使用率”指标，预期指标值为“大于等于80%”；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“指挥中心信息化平台完成及时率”指标，预期指标值为“大于等于95%”；</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“建成一个指挥中心信息化平台”指标，预期指标值为“小于等于1228万元”；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“建设电梯数”指标，预期指标值为“小于等于170万元”。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“提升指挥中心信息化系统，提升煤矿监管水平”指标，预期指标值为“提升”；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“企业满意度”指标，预期指标值为“大于等于90%。</w:t>
      </w:r>
    </w:p>
    <w:p w14:paraId="69F749F9">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50916C83">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t>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App，并配备建设电梯一部。构建一个高效、智能、可靠的应急指挥信息化系统，以提升应急管理和救援能力，保障人民群众的生命财产安全。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“建成一个指挥中心信息化系统”指标，预期指标值为“大于等于1个”；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“建成一部电梯”指标，预期指标值为“大于等于1个”。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“指挥中心使用率”指标，预期指标值为“大于等于80%”；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“指挥中心信息化平台完成及时率”指标，预期指标值为“大于等于95%”；</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“建成一个指挥中心信息化平台”指标，预期指标值为“小于等于1228万元”；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“建设电梯数”指标，预期指标值为“小于等于170万元”。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“提升指挥中心信息化系统，提升煤矿监管水平”指标，预期指标值为“提升”；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“企业满意度”指标，预期指标值为“大于等于90%。</w:t>
      </w:r>
    </w:p>
    <w:p w14:paraId="0C3E91FF">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15CDCC27">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6A787AB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（一）绩效评价的目的、对象和范围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1.绩效评价的目的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此次我单位根据《财政支出绩效评价管理暂行办法》（财预〔2020〕10号）文件要求实施评价工作，本次评价对象为昌吉回族自治州应急管理局指挥中心信息化项目，评价核心为项目资金、项目产出、项目效益。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4.绩效评价依据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t>《中华人民共和国预算法》；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w:t>
      </w:r>
      <w:r>
        <w:rPr>
          <w:rStyle w:val="18"/>
          <w:rFonts w:hint="eastAsia" w:ascii="楷体" w:hAnsi="楷体" w:eastAsia="楷体"/>
          <w:b w:val="0"/>
          <w:bCs w:val="0"/>
          <w:color w:val="auto"/>
          <w:spacing w:val="-4"/>
          <w:sz w:val="32"/>
          <w:szCs w:val="32"/>
        </w:rPr>
        <w:tab/>
        <w:t>《中共中央国务院关于全面实施预算绩效管理的意见》（中发〔2018〕34号）；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w:t>
      </w:r>
      <w:r>
        <w:rPr>
          <w:rStyle w:val="18"/>
          <w:rFonts w:hint="eastAsia" w:ascii="楷体" w:hAnsi="楷体" w:eastAsia="楷体"/>
          <w:b w:val="0"/>
          <w:bCs w:val="0"/>
          <w:color w:val="auto"/>
          <w:spacing w:val="-4"/>
          <w:sz w:val="32"/>
          <w:szCs w:val="32"/>
        </w:rPr>
        <w:tab/>
        <w:t>《项目支出绩效评价管理办法》（财预〔2020〕10号）；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w:t>
      </w:r>
      <w:r>
        <w:rPr>
          <w:rStyle w:val="18"/>
          <w:rFonts w:hint="eastAsia" w:ascii="楷体" w:hAnsi="楷体" w:eastAsia="楷体"/>
          <w:b w:val="0"/>
          <w:bCs w:val="0"/>
          <w:color w:val="auto"/>
          <w:spacing w:val="-4"/>
          <w:sz w:val="32"/>
          <w:szCs w:val="32"/>
        </w:rPr>
        <w:tab/>
        <w:t>《自治区财政支出绩效评价管理暂行办法》（新财预〔2018〕189号）；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w:t>
      </w:r>
      <w:r>
        <w:rPr>
          <w:rStyle w:val="18"/>
          <w:rFonts w:hint="eastAsia" w:ascii="楷体" w:hAnsi="楷体" w:eastAsia="楷体"/>
          <w:b w:val="0"/>
          <w:bCs w:val="0"/>
          <w:color w:val="auto"/>
          <w:spacing w:val="-4"/>
          <w:sz w:val="32"/>
          <w:szCs w:val="32"/>
        </w:rPr>
        <w:tab/>
        <w:t>项目其他相关资料。</w:t>
      </w:r>
    </w:p>
    <w:p w14:paraId="4AD641E5">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7636D5C3">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（二）绩效评价原则、评价指标体系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30.0%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（三）绩效评价工作过程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2023年11月1日-11月30日，评价工作进入实施阶段。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2024年3月1-3月15日，评价小组撰写绩效评价报告，按照新疆维吾尔自治区财政绩效管理信息系统绩效评价模块中统一格式和文本框架撰写绩效评价报告并提交审核。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7FE7DA18">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389E7412">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2023年11月1日-11月30日，评价工作进入实施阶段。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2024年3月1-3月15日，评价小组撰写绩效评价报告，按照新疆维吾尔自治区财政绩效管理信息系统绩效评价模块中统一格式和文本框架撰写绩效评价报告并提交审核。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069F226A">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667AED7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评价，本较大程度上达成年初设立的绩效目标，在实施过程中取得了良好的成效，具体表现在：通过项目的实施，完成了建成一个指挥中心信息化系统产出目标，发挥了提升指挥中心信息化系统，提升煤矿监管水平的效益。但在实施过程中也存在一些不足：1、项目工期进展较慢；2、绩效档案归档工作有待提高；3、项目中已完工部分验收过程存在施工瑕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因素分析法和比较法对本项目绩效进行客观评价，本项目共设置三级指标数量19个，实现三级指标数量15个，总体完成率为87.73%。最终评分结果：总分为88.97分，绩效评级为“良”。综合评价结论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项目决策类指标共设置6个，满分指标6个，得分率100%；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过程管理类指标共设置5个，满分指标4个，得分率89.08%；</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项目产出类指标共设置6个，满分指标3个，得分率70.13%；</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项目效益类指标共设置2个，满分指标2个，得分率100%。</w:t>
      </w:r>
    </w:p>
    <w:p w14:paraId="21C37F26">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03F12BF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73FE5294">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项目决策类指标由6个二级指标和8个三级指标构成，权重分90分，实际得分60分。</w:t>
      </w:r>
      <w:r>
        <w:rPr>
          <w:rStyle w:val="18"/>
          <w:rFonts w:hint="eastAsia" w:ascii="楷体" w:hAnsi="楷体" w:eastAsia="楷体"/>
          <w:b w:val="0"/>
          <w:bCs w:val="0"/>
          <w:color w:val="auto"/>
          <w:spacing w:val="-4"/>
          <w:sz w:val="32"/>
          <w:szCs w:val="32"/>
        </w:rPr>
        <w:tab/>
      </w:r>
    </w:p>
    <w:p w14:paraId="639B6D0F">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400569F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项目过程管理类指标由2个二级指标和5个三级指标构成，权重分19.00分，实际得分15分。</w:t>
      </w:r>
    </w:p>
    <w:p w14:paraId="4241BF3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65EE3516">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项目产出类指标由3个二级指标和4个三级指标构成，权重分40.0分，实际得分30分。</w:t>
      </w:r>
    </w:p>
    <w:p w14:paraId="15E2C553">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36AD5D00">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项目效益类指标由1个二级指标和1个三级指标构成，权重分10分，实际得分10分。</w:t>
      </w:r>
    </w:p>
    <w:p w14:paraId="769EEB04">
      <w:pPr>
        <w:spacing w:line="540" w:lineRule="exact"/>
        <w:ind w:firstLine="567"/>
        <w:rPr>
          <w:rStyle w:val="18"/>
          <w:rFonts w:ascii="楷体" w:hAnsi="楷体" w:eastAsia="楷体"/>
          <w:color w:val="auto"/>
          <w:spacing w:val="-4"/>
          <w:sz w:val="32"/>
          <w:szCs w:val="32"/>
        </w:rPr>
      </w:pPr>
    </w:p>
    <w:p w14:paraId="7DB02C06">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预算执行进度与绩效指标偏差</w:t>
      </w:r>
    </w:p>
    <w:p w14:paraId="7DF9FEC6">
      <w:pPr>
        <w:spacing w:line="540" w:lineRule="exact"/>
        <w:ind w:firstLine="567"/>
        <w:rPr>
          <w:rStyle w:val="18"/>
          <w:rFonts w:hint="default" w:ascii="黑体" w:hAnsi="黑体" w:eastAsia="黑体"/>
          <w:b w:val="0"/>
          <w:color w:val="auto"/>
          <w:spacing w:val="-4"/>
          <w:sz w:val="32"/>
          <w:szCs w:val="32"/>
          <w:lang w:val="en-US" w:eastAsia="zh-CN"/>
        </w:rPr>
      </w:pPr>
      <w:r>
        <w:rPr>
          <w:rStyle w:val="18"/>
          <w:rFonts w:hint="eastAsia" w:ascii="楷体" w:hAnsi="楷体" w:eastAsia="楷体"/>
          <w:b w:val="0"/>
          <w:bCs w:val="0"/>
          <w:color w:val="auto"/>
          <w:spacing w:val="-4"/>
          <w:sz w:val="32"/>
          <w:szCs w:val="32"/>
        </w:rPr>
        <w:t>五、预算执行进度与绩效指标偏差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本项目年初预算资金总额为1398万元，全年预算数为1398万元，全年执行数为822.32万元，预算执行率为58.82%。</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本项目共设置三级指标数量19个，满分指标数量15个，扣分指标数量4个，经分析计算所有三级指标完成率得出，本项目总体完成率为87.73%。</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综上所述本项目预算执行率与总体完成进度之间的偏差为28.91%。主要偏差原因：项目招标时间较晚，进入冬季无法进行施工，导致电梯未完成建设。</w:t>
      </w:r>
    </w:p>
    <w:p w14:paraId="461C1343">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主要经验及做法、存在的问题及原因分析</w:t>
      </w:r>
    </w:p>
    <w:p w14:paraId="21A026C7">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为做好项目实施的跟踪检查工作，我局定期不定期对项目实施情况和经费使用情况进行跟踪检查，对能实现预期绩效目标的项目予以充分肯定。对进展缓慢，预期绩效目标较差的项目，及时进行协调和提出整改措施，确保项目实施工作正常运行，达到预期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预算资金执行率较低。项目前期工作准备周期较长，合同签订到实施已进入年末。建成一个指挥中心信息化系统项目资金使用率达70%计划2024年5月完工。建成一部电梯项目资金使用率达0%，计划2024年4月-7月施工并完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5.项目实施的实际产出率较低。数量指标中建成一部电梯在合同签订后未施工。根据施工要求气温达到零下5度即停止施工，此项目于2024年4月开始施工预计2024年7月完工。</w:t>
      </w:r>
    </w:p>
    <w:p w14:paraId="0A0FD861">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七</w:t>
      </w:r>
      <w:r>
        <w:rPr>
          <w:rStyle w:val="18"/>
          <w:rFonts w:hint="eastAsia" w:ascii="黑体" w:hAnsi="黑体" w:eastAsia="黑体"/>
          <w:b w:val="0"/>
          <w:color w:val="auto"/>
          <w:spacing w:val="-4"/>
          <w:sz w:val="32"/>
          <w:szCs w:val="32"/>
        </w:rPr>
        <w:t>、有关建议</w:t>
      </w:r>
    </w:p>
    <w:p w14:paraId="2112702F">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高度重视，加强领导。高度重视，加强领导，精心组织。项目绩效领导小组对绩效评价工作进行指导、监督、检查，确保项目绩效评价反映项目完成真实情况。严格执行项目绩效评价工作要求，切实提高项目绩效报告的客观性和公正性。</w:t>
      </w:r>
    </w:p>
    <w:p w14:paraId="1FFDC6FB">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八</w:t>
      </w:r>
      <w:r>
        <w:rPr>
          <w:rStyle w:val="18"/>
          <w:rFonts w:hint="eastAsia" w:ascii="黑体" w:hAnsi="黑体" w:eastAsia="黑体"/>
          <w:b w:val="0"/>
          <w:color w:val="auto"/>
          <w:spacing w:val="-4"/>
          <w:sz w:val="32"/>
          <w:szCs w:val="32"/>
        </w:rPr>
        <w:t>、其他需要说明的问题</w:t>
      </w:r>
    </w:p>
    <w:p w14:paraId="7BDA2687">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（三）我单位对上述项目支出绩效评价报告内反映内容的真实性、完整性负责，接受上级部门及社会公众监督。</w:t>
      </w:r>
    </w:p>
    <w:p w14:paraId="7F7D3DDB">
      <w:pPr>
        <w:spacing w:line="540" w:lineRule="exact"/>
        <w:ind w:firstLine="567"/>
        <w:rPr>
          <w:rStyle w:val="18"/>
          <w:rFonts w:ascii="仿宋" w:hAnsi="仿宋" w:eastAsia="仿宋"/>
          <w:b w:val="0"/>
          <w:color w:val="auto"/>
          <w:spacing w:val="-4"/>
          <w:sz w:val="32"/>
          <w:szCs w:val="32"/>
        </w:rPr>
      </w:pPr>
    </w:p>
    <w:p w14:paraId="1972B8EF">
      <w:pPr>
        <w:spacing w:line="540" w:lineRule="exact"/>
        <w:ind w:firstLine="567"/>
        <w:rPr>
          <w:rStyle w:val="18"/>
          <w:rFonts w:ascii="仿宋" w:hAnsi="仿宋" w:eastAsia="仿宋"/>
          <w:b w:val="0"/>
          <w:color w:val="auto"/>
          <w:spacing w:val="-4"/>
          <w:sz w:val="32"/>
          <w:szCs w:val="32"/>
        </w:rPr>
      </w:pPr>
    </w:p>
    <w:p w14:paraId="5562110A">
      <w:pPr>
        <w:spacing w:line="540" w:lineRule="exact"/>
        <w:ind w:firstLine="567"/>
        <w:rPr>
          <w:rStyle w:val="18"/>
          <w:rFonts w:ascii="仿宋" w:hAnsi="仿宋" w:eastAsia="仿宋"/>
          <w:b w:val="0"/>
          <w:color w:val="auto"/>
          <w:spacing w:val="-4"/>
          <w:sz w:val="32"/>
          <w:szCs w:val="32"/>
        </w:rPr>
      </w:pPr>
    </w:p>
    <w:p w14:paraId="730C1593">
      <w:pPr>
        <w:spacing w:line="540" w:lineRule="exact"/>
        <w:ind w:firstLine="567"/>
        <w:rPr>
          <w:rStyle w:val="18"/>
          <w:rFonts w:ascii="仿宋" w:hAnsi="仿宋" w:eastAsia="仿宋"/>
          <w:b w:val="0"/>
          <w:color w:val="auto"/>
          <w:spacing w:val="-4"/>
          <w:sz w:val="32"/>
          <w:szCs w:val="32"/>
        </w:rPr>
      </w:pPr>
    </w:p>
    <w:p w14:paraId="2D218523">
      <w:pPr>
        <w:spacing w:line="540" w:lineRule="exact"/>
        <w:ind w:firstLine="567"/>
        <w:rPr>
          <w:rStyle w:val="18"/>
          <w:rFonts w:ascii="仿宋" w:hAnsi="仿宋" w:eastAsia="仿宋"/>
          <w:b w:val="0"/>
          <w:color w:val="auto"/>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E392C70">
        <w:pPr>
          <w:pStyle w:val="12"/>
          <w:jc w:val="center"/>
        </w:pPr>
        <w:r>
          <w:fldChar w:fldCharType="begin"/>
        </w:r>
        <w:r>
          <w:instrText xml:space="preserve">PAGE   \* MERGEFORMAT</w:instrText>
        </w:r>
        <w:r>
          <w:fldChar w:fldCharType="separate"/>
        </w:r>
        <w:r>
          <w:rPr>
            <w:lang w:val="zh-CN"/>
          </w:rPr>
          <w:t>2</w:t>
        </w:r>
        <w:r>
          <w:fldChar w:fldCharType="end"/>
        </w:r>
      </w:p>
    </w:sdtContent>
  </w:sdt>
  <w:p w14:paraId="4281BD0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580774"/>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10863</Words>
  <Characters>11285</Characters>
  <Lines>4</Lines>
  <Paragraphs>1</Paragraphs>
  <TotalTime>2</TotalTime>
  <ScaleCrop>false</ScaleCrop>
  <LinksUpToDate>false</LinksUpToDate>
  <CharactersWithSpaces>11327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仰～</cp:lastModifiedBy>
  <cp:lastPrinted>2018-12-31T10:56:00Z</cp:lastPrinted>
  <dcterms:modified xsi:type="dcterms:W3CDTF">2024-12-02T05:43:41Z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ies>
</file>