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1C0F1"/>
    <w:p w14:paraId="696F857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7887438">
      <w:pPr>
        <w:spacing w:line="540" w:lineRule="exact"/>
        <w:jc w:val="center"/>
        <w:rPr>
          <w:rFonts w:ascii="华文中宋" w:hAnsi="华文中宋" w:eastAsia="华文中宋" w:cs="宋体"/>
          <w:b/>
          <w:kern w:val="0"/>
          <w:sz w:val="52"/>
          <w:szCs w:val="52"/>
        </w:rPr>
      </w:pPr>
    </w:p>
    <w:p w14:paraId="0BE48E87">
      <w:pPr>
        <w:spacing w:line="540" w:lineRule="exact"/>
        <w:jc w:val="center"/>
        <w:rPr>
          <w:rFonts w:ascii="华文中宋" w:hAnsi="华文中宋" w:eastAsia="华文中宋" w:cs="宋体"/>
          <w:b/>
          <w:kern w:val="0"/>
          <w:sz w:val="52"/>
          <w:szCs w:val="52"/>
        </w:rPr>
      </w:pPr>
    </w:p>
    <w:p w14:paraId="2165C8E7">
      <w:pPr>
        <w:spacing w:line="540" w:lineRule="exact"/>
        <w:jc w:val="center"/>
        <w:rPr>
          <w:rFonts w:ascii="华文中宋" w:hAnsi="华文中宋" w:eastAsia="华文中宋" w:cs="宋体"/>
          <w:b/>
          <w:kern w:val="0"/>
          <w:sz w:val="52"/>
          <w:szCs w:val="52"/>
        </w:rPr>
      </w:pPr>
    </w:p>
    <w:p w14:paraId="78CF8FCE">
      <w:pPr>
        <w:spacing w:line="540" w:lineRule="exact"/>
        <w:jc w:val="center"/>
        <w:rPr>
          <w:rFonts w:ascii="华文中宋" w:hAnsi="华文中宋" w:eastAsia="华文中宋" w:cs="宋体"/>
          <w:b/>
          <w:kern w:val="0"/>
          <w:sz w:val="52"/>
          <w:szCs w:val="52"/>
        </w:rPr>
      </w:pPr>
    </w:p>
    <w:p w14:paraId="0A849444">
      <w:pPr>
        <w:spacing w:line="540" w:lineRule="exact"/>
        <w:jc w:val="center"/>
        <w:rPr>
          <w:rFonts w:ascii="华文中宋" w:hAnsi="华文中宋" w:eastAsia="华文中宋" w:cs="宋体"/>
          <w:b/>
          <w:kern w:val="0"/>
          <w:sz w:val="52"/>
          <w:szCs w:val="52"/>
        </w:rPr>
      </w:pPr>
    </w:p>
    <w:p w14:paraId="5501D699">
      <w:pPr>
        <w:spacing w:line="540" w:lineRule="exact"/>
        <w:jc w:val="center"/>
        <w:rPr>
          <w:rFonts w:ascii="华文中宋" w:hAnsi="华文中宋" w:eastAsia="华文中宋" w:cs="宋体"/>
          <w:b/>
          <w:kern w:val="0"/>
          <w:sz w:val="52"/>
          <w:szCs w:val="52"/>
        </w:rPr>
      </w:pPr>
    </w:p>
    <w:p w14:paraId="5CD1C06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1164D46">
      <w:pPr>
        <w:spacing w:line="540" w:lineRule="exact"/>
        <w:jc w:val="center"/>
        <w:rPr>
          <w:rFonts w:ascii="华文中宋" w:hAnsi="华文中宋" w:eastAsia="华文中宋" w:cs="宋体"/>
          <w:b/>
          <w:kern w:val="0"/>
          <w:sz w:val="52"/>
          <w:szCs w:val="52"/>
        </w:rPr>
      </w:pPr>
    </w:p>
    <w:p w14:paraId="0FAE581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C4F2CB6">
      <w:pPr>
        <w:spacing w:line="540" w:lineRule="exact"/>
        <w:jc w:val="center"/>
        <w:rPr>
          <w:rFonts w:hAnsi="宋体" w:eastAsia="仿宋_GB2312" w:cs="宋体"/>
          <w:kern w:val="0"/>
          <w:sz w:val="30"/>
          <w:szCs w:val="30"/>
        </w:rPr>
      </w:pPr>
    </w:p>
    <w:p w14:paraId="4A4FE777">
      <w:pPr>
        <w:spacing w:line="540" w:lineRule="exact"/>
        <w:jc w:val="both"/>
        <w:rPr>
          <w:rFonts w:hAnsi="宋体" w:eastAsia="仿宋_GB2312" w:cs="宋体"/>
          <w:kern w:val="0"/>
          <w:sz w:val="30"/>
          <w:szCs w:val="30"/>
        </w:rPr>
      </w:pPr>
      <w:bookmarkStart w:id="0" w:name="_GoBack"/>
      <w:bookmarkEnd w:id="0"/>
    </w:p>
    <w:p w14:paraId="758133B3">
      <w:pPr>
        <w:spacing w:line="540" w:lineRule="exact"/>
        <w:jc w:val="center"/>
        <w:rPr>
          <w:rFonts w:hAnsi="宋体" w:eastAsia="仿宋_GB2312" w:cs="宋体"/>
          <w:kern w:val="0"/>
          <w:sz w:val="30"/>
          <w:szCs w:val="30"/>
        </w:rPr>
      </w:pPr>
    </w:p>
    <w:p w14:paraId="6C0D2921">
      <w:pPr>
        <w:spacing w:line="540" w:lineRule="exact"/>
        <w:rPr>
          <w:rFonts w:hAnsi="宋体" w:eastAsia="仿宋_GB2312" w:cs="宋体"/>
          <w:kern w:val="0"/>
          <w:sz w:val="30"/>
          <w:szCs w:val="30"/>
        </w:rPr>
      </w:pPr>
    </w:p>
    <w:p w14:paraId="0FE5748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B06CBD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昌吉州政资中心交易大厅家具采购/昌吉州公共资源交易信息化建设</w:t>
      </w:r>
    </w:p>
    <w:p w14:paraId="2AB9DD8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昌吉回族自治州政务服务和公共资源交易管理局</w:t>
      </w:r>
    </w:p>
    <w:p w14:paraId="683F2FD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昌吉回族自治州政务服务和公共资源交易管理局</w:t>
      </w:r>
    </w:p>
    <w:p w14:paraId="36DA856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冯梅</w:t>
      </w:r>
    </w:p>
    <w:p w14:paraId="449CBCC1">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2025年05月12日</w:t>
      </w:r>
    </w:p>
    <w:p w14:paraId="3E07903F">
      <w:pPr>
        <w:spacing w:line="700" w:lineRule="exact"/>
        <w:ind w:firstLine="708" w:firstLineChars="236"/>
        <w:jc w:val="left"/>
        <w:rPr>
          <w:rFonts w:hAnsi="宋体" w:eastAsia="仿宋_GB2312" w:cs="宋体"/>
          <w:kern w:val="0"/>
          <w:sz w:val="30"/>
          <w:szCs w:val="30"/>
        </w:rPr>
      </w:pPr>
    </w:p>
    <w:p w14:paraId="64056873">
      <w:pPr>
        <w:spacing w:line="540" w:lineRule="exact"/>
        <w:rPr>
          <w:rStyle w:val="19"/>
          <w:rFonts w:ascii="黑体" w:hAnsi="黑体" w:eastAsia="黑体"/>
          <w:b w:val="0"/>
          <w:spacing w:val="-4"/>
          <w:sz w:val="32"/>
          <w:szCs w:val="32"/>
        </w:rPr>
      </w:pPr>
    </w:p>
    <w:p w14:paraId="2663A06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99364E8">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829FBB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公共资源交易大厅建于2013年6月，交易大厅各项设施设备尤其是信息化设备已接近十年未更新，性能严重老化，已影响到当前公共资源交易效率。现存在场地设施建设无法满足现有政策要求、场地相关智能化系统建设不能满足业务全流程电子化需要、现有交易中心工作人员数量对交易场地维护存在制约、交易系统评标过程无法满足新的评标办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公共资源交易平台招投标评标系统需改造。一是按照《新疆维吾尔自治区房屋建筑和市政基础设施工程施工评标办法（试行）》，当前昌吉州公共资源交易平台的4套评标办法需改造。二是交易平台无法满足全州房屋建筑和市政基础设施项目勘察、设计、监理、施工、设备或材料采购以及工程总承包采用“评定分离”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照《自治区发展改革委关于请提供落实&lt;自治区促进民营经济发展壮大若干政策措施2024年任务清单&gt;进展情况的函》要求，自治区计划推进“席位制”分散评标相关内容建设。综上所述，中心场地改造和智能化建设以及招投标系统的改造都是昌吉州中心迫切需要解决的问题，特设立此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（1）项目名称：昌吉州公共资源交易信息化建设/昌吉州政资中心交易大厅家具采购项目（以下简称“该项目”或“项目”）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1)完成交易大厅信息化改造，包括公共服务区、开标区、评标区、监督见证区、专家抽取室、涉密开评标室和信息机房的规划设计。开展场地智能化服务系统建设，建设评标区域门禁管理系统、人员轨迹定位系统、寻呼交互系统、智能化总控平台和涉密开标室、评标室、机房、监控系统、电子门禁系统的设计和装修工作，实现对公共资源交易场地统筹设计，通过为各个交易主体提供完善的招投标评标功能以及优质的综合场地管理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2)完成招投标评标系统升级，包括房屋建筑和市政基础设施工程施工评标办法研发，施工、监理、工程总承包评标办法研发，“评定分离”办法适配及系统改造，远程异地评标专家在线签名功能。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实施主体：昌吉州政务服务和公共资源交易中心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实施时间：本项目实施周期为2024年8月-2024年12月。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该项目于2024年8月开始计划实施，进行公开招标，最后由国泰新点软件股份有限公司中标；实施内容一是完成交易大厅信息化改造，二是完成招投标评标系统升级；接着成立评估工作组，根据昌吉州财政支出事前绩效评估管理要求，由昌吉州政资中心财务管理处室负责人、项目负责人、相关行业领域专家以及相关业务部门工作人员组成评估小组，评估工作组成员对评估结果的真实性负责。该项目于2025年3月完工，由信息科和督办科进行合格验收，3月公共资源交易大厅正式开始投入使用；完成了评标区域门禁管理系统、人员轨迹定位系统、寻呼交互系统、智能化总控平台和涉密开标室、评标室、机房、监控系统、电子门禁系统的设计和装修工作，实现对公共资源交易场地统筹设计，通过为各个交易主体提供完善的招投标评标功能以及优质的综合场地管理服务，同时也完成了“评定分离”办法适配及系统改造，远程异地评标专家在线签名功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①统筹管理州公共资源交易，协调督促各类应进事项进场交易；会同相关职能部门制定公共资源交易的配套政策和制度规则；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②加强市场交易活动的现场监管；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③建设公共资源交易电子监察系统，强化交易全过程的监控；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④协助各部门开展监管工作，协助有关部门查处公共资源交易活动中的违法违纪行为；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⑤负责各类公共资源进场交易的服务工作；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⑥负责公共资源交易专业化的设施和场所服务的建设和管理；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⑦负责收集、存贮和发布各类公共资源交易信息，为公共资源交易活动提供政策、法规和技术咨询等相关服务；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⑧会同有关部门建设并管理公共资源交易信息库，保存交易过程相关资料；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⑨负责维护正常交易秩序，对发现的场内交易活动违法违规行为，及时向监管部门报告并协助调查；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单位内设机构：办公室（组织人事科）、工程建设交易服务科、政府采购交易服务科、矿业权及产权交易服务科、信息科。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本项目预算安排总额为1011.87万元，资金来源为上级安排支出，其中：财政资金1011.87万元，其他资金0万元，2024年实际收到预算资金1011.87万元，预算资金到位率为100%。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1011.23万元，预算执行率99%。结转或结余0.64万元；本项目资金主要用于支付软件开发费用638.83万元、信息技术服务费用278.28万元、购置计算机、显示器设备费用39.84万元、购置公共资源交易大厅家具费用54.28万元。</w:t>
      </w:r>
    </w:p>
    <w:p w14:paraId="7738536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6DA84A5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现有业务需要以及未来发展趋势，通过软硬件一体化建设，优化创新公共资源交易发展体制，实现对公共资源交易场地统筹设计，通过为各个交易主体提供完善的招投标评标功能以及优质的综合场地管理服务，来打造国内领先、疆内一流的新型智慧交易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“语音交互系统”指标，预期指标值为“≥3套”；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“智能化总控配套硬件设备”指标，预期指标值为“≥1套”；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“专家轨迹系统”指标，预期指标值为“≥1套”；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“购置家具验收合格率”指标，预期指标值为“≥98%”；</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“项目完成及时率”指标，预期指标值为“=100%”；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“公共资源交易信息化建设成本”指标，预期指标值为“≤957万元”；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“家具购置成本”指标，预期指标值为“≤54.87万元”；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“提升交易主体办事效率”指标，预期指标值为“提升”；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“交易主体满意度”指标，预期指标值为“≥90%”。</w:t>
      </w:r>
    </w:p>
    <w:p w14:paraId="10F9267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83F7C41">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EB1671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全面实施预算绩效管理的意见》(中发(2018) 34号文)、《关于印发《自治区全面实施预算 绩效管理的工作方案》的通知》(新财预〔2018〕158号)、《关于做好昌吉州本级2025年预算绩效工作的通知》、《关于印发昌吉州财政支出事前绩效评估管理办法（试行）的通知》(昌州财服〔2024〕15号)》《关于印发&lt;自治区项目支出绩效目标设置指引&gt;的通知》（新财预〔2022〕42号）文件精神，我单位针对昌吉州公共资源交易信息化建设/昌吉州政资中心交易大厅家具采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昌吉州公共资源交易信息化建设/昌吉州政资中心交易大厅家具采购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59BCC6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9D2C0A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10781B5">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41DECA7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1.评估负责人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冯梅(信息科科长),主要负责项目策划和监督，全面负责 项目绩效评价报告的最终质量，对评估人员出具的最终报告 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2.评估人员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刘志远(信息科科员),主要负责资料的收集、取证、数据统计分析等，配合完成绩效评估报告。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3.财务人员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张爱华(财务),主要负责对项目预算申请金额与实施 内容是否匹配，资金额度测算依据是否充足，额度测算是否合理等进行审核。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2025年2月26日-3月10日，评价小组按照绩效评价的原则和规范，对取得的资料进行审查核实，对采集的数据进行分析，按照绩效评价指标评分表逐项进行打分、分析、汇总各方评价结果。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2025年3月11日-3月15日，评价小组撰写绩效评价报告，按照新疆维吾尔自治区财政绩效管理信息系统绩效评价模块中统一格式和文本框架撰写绩效评价报告并提交审核。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B5DE15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91E2A5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该项目的实施，完成了3套语音交互系统、1套智能化总控配套硬件设备、1套专家轨迹系统，完成了购置公共资源交易大厅家具，发挥了优化创新公共资源交易发展体制，实现对公共资源交易场地统筹设计，通过为各个交易主体提供完善的招投标评标功能以及优质的综合场地管理服务，来打造国内领先、疆内一流的新型智慧交易中心。但在实施过程中也存在一些不足：1、交易大厅家具采购中未充足考虑到不同交易区域的人员密度和操作流程，采购的桌椅尺寸出现不合适，影响工作效率；2、预算编制缺乏科学依据，出现过低估家具采购成本，无法满足正常办公需求；3、公共资源交易信息化建设缺乏系统性、前瞻性的规则，导致各个子系统之间信息不共享、功能不协调，形成信息孤岛，影响整体交易效率和管理水平；4、公共资源交易信息化建设计多个子系统和不同的技术平台，系统集成难度较大，导致各系统之间数据传输不畅、接口不兼容、影响系统的整体运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99.76分，绩效评级为“优”。综合评价结论如下：本项目共设置三级指标数量20个，实现三级指标数量18个，总体完成率为100.55%。项目决策类指标共设置6个，满分指标6个，得分率100%；过程管理类指标共设置5个，满分指标5个，得分率100%；项目产出类指标共设置7个，满分指标5个，得分率99.2%；项目效益类指标共设置1个，满分指标1个，得分率100%；项目满意度类指标共设置1个，满分指标1个，得分率111%。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29.76 20.00 10.00 99.76</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99.2% 100% 100% 99.76%</w:t>
      </w:r>
    </w:p>
    <w:p w14:paraId="5A067B18">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2E51EC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C2D3554">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国家发展改革委颁发的《国务院办公厅转发关于深化公共资源交易平台整合共享的指导意见》（国办函〔2019〕41号）中：“积极推动整合分散设立的工程建设项目招标投标、土地使用权和矿业权出让、国有产权交易、政府采购等交易平台，全国范围内规则统一、公开透明、服务高效、监督规范的平台体系初步构建，公共资源交易市场迅速发展，公共资源配置的效率和效益明显提高，促进了经济社会持续健康发展。”；本项目立项符合《国家发展改革委等部门关于严格执行招标投标法规制度进一步规范招标投标主体行为的若干意见》》（发改法规〔2022〕1117号）中：“当前招标投标市场还存在不少突出问题，招标人主体责任落实不到位，各类不合理限制和隐性壁垒尚未完全消除，规避招标、虚假招标、围标串标、有关部门及领导干部插手干预等违法行为仍然易发高发，招标代理服务水平参差不齐，一些评标专家不公正、不专业，导致部分项目中标结果不符合实际需求或者实施效果不佳，制约了招标投标制度竞争择优功能的发挥。”内容，符合行业发展规划和政策要求；本项目立项符合《昌吉回族自治州公共资源交易中心配置内设机构和人员编制规定》中职责范围中的“负责公共资源交易专业化的设施和场所服务的建设和管理；负责维护正常交易顺序，对发现的场内交易活动违法违规行为，及时向监管部门报告并协助调查”，属于我单位履职所需；根据《财政资金直接支付申请书》，本项目资金性质为“公共财政预算”功能分类为“2010302一般行政管理事务”经济分类为“家具：31002办公设备购置；信息化：31007信息网络及软件购置更新、31002办公设备购置、30227委托业务费”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解决昌吉州公共资源交易大厅信息化建设和办公家具采购经费的请示》（昌州政资【2024】20号）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根据现有业务需要以及未来发展趋势，通过软硬件一体化建设，优化创新公共资源交易发展体制，实现对公共资源交易场地统筹设计，通过为各个交易主体提供完善的招投标评标功能以及优质的综合场地管理服务，来打造国内领先、疆内一流的新型智慧交易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交易大厅家具采购、软件开发、信息技术服务、购置计算机、显示器设备、交易大厅信息化软件及设备购置、交易大厅信息化建设项目三标段软件开发。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过软硬件一体化建设，优化创新公共资源交易发展体制，实现对公共资源交易场地统筹设计，通过为各个交易主体提供完善的招投标评标功能以及优质的综合场地管理服务，，达到了国内领先、疆内一流的新型智慧交易中心，预期产出效益和效果是否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④该项目批复的预算金额为1011.87万元，《项目支出绩效目标表》中预算金额为1011.87万元，预算确定的项目资金与预算确定的项目投资额相匹配。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语音交互系统大于等于3套”“智能化总控配套硬件设备大于等于1套”“专家轨迹系统大于等于1套”，三级指标的年度指标值与年度绩效目标中任务数一致，已设置时效指标“项目完成时间（例）”。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本项目预算编制通过以往年度的实际执行情况，综合考虑本年度情况，综合编制预算，即预算编制较科学且经过论证；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昌吉州公共资源交易信息化建设/昌吉州政资中心交易大厅家具采购项目，项目实际内容为昌吉州公共资源交易信息化建设/昌吉州政资中心交易大厅家具采购项目，预算申请与《昌吉州公共资源交易信息化建设项目实施方案》和《昌吉州政资中心交易大厅家具采购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1011.87万元，我单位在预算申请中严格按照项目实施内容及测算标准进行核算，其中：支付软件开发费用638.83万元、信息技术服务费用278.28万元、购置计算机、显示器设备费用39.84万元、购置公共资源交易大厅家具费用54.28万元，结转或结余0.64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昌吉州公共资源交易信息化建设/昌吉州政资中心交易大厅家具采购项目资金的请示》和《昌吉州公共资源交易信息化建设/昌吉州政资中心交易大厅家具采购项目实施方案》为依据进行资金分配，预算资金分配依据充分。根据《昌吉回族自治州政务服务和公共资源交易中心》（昌州政资〔2024〕20号），本项目实际到位资金1011.87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0130C903">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50EC02A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1011.87万元，其中：财政安排资金1011.87万元，其他资金0万元，实际到位资金1011.87万元，资金到位率=（实际到位资金/预算资金）×100.00%=（1011.87/1011.87）×100.00%=100%。得分=（实际执行率-60.00%）/（1-60.00%）×4.00=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本项目实际支出资金1011.23万元，预算执行率=（实际支出资金/实际到位资金）×100.00%=（1011.23/1011.87）×100.00%=99%；</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项目已完成，总体完成率为101.22%；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州政资局会计内控制度》《昌吉州政资局收支内控管理制度》《财务审批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政府会计制度》《州政资局会计内控制度》《昌吉州政资局收支内控管理制度》《财务审批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财务审批管理制度》《昌吉州政资局收支内控管理制度》《州政资局会计内控制度》《昌吉州政资局公务卡使用管理办法(已修改）》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XX项目工作领导小组，由王小坤任组长，负责项目的组织工作；王晓坤任副组长，负责项目的实施工作；组员包括：廖娜、陈豫新，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4E4FA0C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201FFAA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项目产出类指标由4个二级指标和7个三级指标构成，权重分30.00分，实际得分29.76分。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“语音交互系统”指标：预期指标值为“≥3套”，实际完成指标值为“=3套”，指标完成率为100.00%。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“智能化总控配套硬件设备”指标：预期指标值为“≥1套”，实际完成指标值为“=1套”，指标完成率为100%。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“专家轨迹系统”指标：预期指标值为“≥1套”，实际完成指标值为“=1套”，指标完成率为100%。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“购置家具验收合格率”指标：预期指标值为“≥98%”，实际完成指标值为“=100%”，指标完成率为102%。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公共资源交易信息化建设成本”指标：预期指标值为“≤957万元”，实际完成指标值为“=956.95万元”，指标完成率为99%。扣分原因分析：因项目为工程招投标项目，年初预算数以招标数为准，但招标时报价数与实际执行数产生偏差，该项目略有结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综上所述，本指标满分为5.00分，根据评分标准得4.88分。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“家具购置成本”指标：预期指标值为“≤54.87万元”，实际完成指标值为“=54.28万元”，指标完成率为99%。扣分原因分析：该项目在执行期间因尺寸与数量的问题，存在更换家具，与年初预算数存在偏差。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综上所述，本指标满分为5.00分，根据评分标准得4.88分。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01AC8F2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0F8C7C8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项目效益类指标由1个二级指标和1个三级指标构成，权重分20.00分，实际得分20.00分。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“提升交易主体办事效率”指标：预期指标值为“提升”，实际完成指标值为“达到预期指标”，指标完成率为100.00%。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综上所述，本指标满分为20.00分，根据评分标准得20.00分。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80040A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“交易主体满意度”指标：预期指标值为“≥90%”，实际完成指标值为“=100%”，指标完成率为111.11%。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五、预算执行进度与绩效指标偏差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本项目年初预算资金总额为1011.87万元，全年预算数为1011.87万元，全年执行数为1011.23万元，预算执行率为99.94%。</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本项目共设置三级指标数量20个，满分指标数量18个，扣分指标数量2个，经分析计算所有三级指标完成率得出，本项目总体完成率为100.55%。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0.61%。主要偏差原因是：1、年初设置满意度指标偏低，因为该项目是由两个科室共同完成，参加人员较多，项目较大，交易主体中人数偏多，无法做到尽善尽美，但该项目完成较好，交易主体满意度较高，所以存在偏差；2、该项目预算资金与全年执行数略有偏差，该项目略有结余，因家具存在调换，与最初预算数存在差异，所以存在偏差。3、信息化建设项目为工程招投标项目，与最初招标时预算数存在偏差，结余500元，所以存在偏差。</w:t>
      </w:r>
    </w:p>
    <w:p w14:paraId="2E0249B4">
      <w:pPr>
        <w:spacing w:line="540" w:lineRule="exact"/>
        <w:ind w:firstLine="567"/>
        <w:rPr>
          <w:rStyle w:val="19"/>
          <w:rFonts w:hint="eastAsia" w:ascii="楷体" w:hAnsi="楷体" w:eastAsia="楷体"/>
          <w:b w:val="0"/>
          <w:bCs w:val="0"/>
          <w:spacing w:val="-4"/>
          <w:sz w:val="32"/>
          <w:szCs w:val="32"/>
        </w:rPr>
      </w:pPr>
    </w:p>
    <w:p w14:paraId="47B2F0FC">
      <w:pPr>
        <w:spacing w:line="540" w:lineRule="exact"/>
        <w:ind w:firstLine="567"/>
        <w:rPr>
          <w:rStyle w:val="19"/>
          <w:rFonts w:ascii="楷体" w:hAnsi="楷体" w:eastAsia="楷体"/>
          <w:spacing w:val="-4"/>
          <w:sz w:val="32"/>
          <w:szCs w:val="32"/>
        </w:rPr>
      </w:pPr>
    </w:p>
    <w:p w14:paraId="27793362">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3CF9C2D2">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部门工作的立项依据，做到立项依据充分，资金管理办法且符合规范等；根据部门工作合理性分配项目资金，做到重点突出，公平公正，资金分配和使用方向与资金管理办法相符。资金申请和使用时，按照国家财政财务制度和财经纪律规定加强资金使用管理，做到专款专用，按照“增收节支、收支平衡、统筹兼顾、保证重点”的原则，保证资金用到实处。通过分析，及时发现问题并整改。科室之间配合紧密，做到互相支持且积极配合，使该项目完成较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远程异地评标推进缓慢：虽然公共资源交易向网络虚拟交易环节转变是发展趋势，但交易平台在信息系统建设上仍然滞后，远程异地评标系统的推进速度不快，各级平台之间的对接和调试需要一定时间，影响了工作效率，也不利于专家资源的共享和优化配置；平台数字化水平不高：电子交易系统功能还需进一步健全和完善，系统存在稳定性不足、交易流程在线化程度不够、数据交互不畅等问题，无法很好地满足公共资源交易服务发展新质生产力的需求，也会影响交易主体的使用体验和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交易大厅家具特殊性被忽略：未考虑公共资源交易大厅的高频使用场景，采购的办公桌椅未选用耐磨面料，或等候区沙发未设置防滑、易清洁材质，导致短期内磨损严重；采购前未实地勘测：未根据大厅实际空间布局定制家具尺寸，档案柜数量与文件存储需求不匹配，造成空间浪费和不足；电子档案不规范：采购合同、验收报告等文件未统一采用电子签章和区块链存证，纸质档案易丢失和篡改，后期审计时难以追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纸质文件为主，电子化程度低：多数地区仍采用纸质中标通知书，易出现伪造、丢失、篡改等问题；标准化缺失：缺乏全国统一的保证金管理规范和电子中标通知书技术标准，各地自行建设系统，形成“信息壁垒”；监管模块薄弱：交易平台的监管功能未能覆盖保证金和中标通知书全流程，缺乏自动预警和数据分析能力；系统碎片化：保证金和中标通知书管理依赖分散的业务系统，未能与交易平台、监管平台实现数据互通，导致流程割裂。</w:t>
      </w:r>
    </w:p>
    <w:p w14:paraId="4FB0513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1CBCE4BD">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1、关于解决信息化建设中存在远程异地评标推进缓慢等出现的问题：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①、以“全国一张网”为目标，明确阶段任务，避免各地区、部门独立建设导致的标准混乱；</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建立数据资产目录，明确涉密数据、公开数据的共享范围；引入区块链技术实现数据存证，确保共享数据不可篡改；开放标准化数据接口，企业可查询交易进度、资质预审结果，公众可获取交易公告、中标公示等信息，减少重复填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③通过“顶层设计+技术赋能+制度约束”的组合拳，可系统性解决公共资源交易中信息孤岛与功能割裂问题，推动从“分散建设”向“协同治理”转型，最终实现交易流程标准化、服务智能化、监管精准化。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 关于解决公共资源交易大厅家具采购中出现的问题：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①委托专业监理机构对生产环节进行抽检，核查原材料采购凭证、加工工艺记录，确保尺寸精度；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②执行“采管分离”制度，采购决策、执行、验收岗位互相制衡；利用大数据分析历史采购案例，优化尺寸标准，统计不同区域家具尺寸适配率，形成标准化参数库；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③通过全流程管控与细节优化，可有效提升公共资源交易大厅家具采购的精准度与合规性，确保功能与体验的双重达标。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3、关于解决保证金延迟到账及节省企业等待中标通知书时间的问题：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①依托政府采购网、公共资源交易中心电子平台或企业自建招投标系统，中标结果公示后直接通过平台向中标企业推送电子中标通知书，无需线下邮寄；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制定标准化中标通知书模版，中标候选人公示结束后，通过系统发起“中标签发通知”流程，审批节点设置为“招标部门负责人→分管领导”，限定总审批时间≤1个工作日；对重复招标项目，可预设模版变量，通过系统自动填写信息，减少人工编辑时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③中标通知书通过电子平台发送的同时，同步以短信、邮件形式推送链接及验证码，要求中标企业24小时内在线确认接受，系统自动记录确认时间，避免尹因快递延误导致的时间浪费。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④对流程规范、结果明确的项目，在评标结束且公示无异议前，可提前生成中标通知书草稿，待公示结束立即完成签章并发送，压缩文件制作时间。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⑤建立“保证金到账-中标通知触发”联动机制，若招标文件要求中标企业需先缴纳保证金，可通过系统设置：当保证金到账且完成核验后，自动触发中标通知书发送流程，避免因人工确认延迟导致的通知滞后。</w:t>
      </w:r>
    </w:p>
    <w:p w14:paraId="749996C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0751B9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D81E33C">
      <w:pPr>
        <w:spacing w:line="540" w:lineRule="exact"/>
        <w:ind w:firstLine="567"/>
        <w:rPr>
          <w:rStyle w:val="19"/>
          <w:rFonts w:ascii="仿宋" w:hAnsi="仿宋" w:eastAsia="仿宋"/>
          <w:b w:val="0"/>
          <w:spacing w:val="-4"/>
          <w:sz w:val="32"/>
          <w:szCs w:val="32"/>
        </w:rPr>
      </w:pPr>
    </w:p>
    <w:p w14:paraId="466122AB">
      <w:pPr>
        <w:spacing w:line="540" w:lineRule="exact"/>
        <w:ind w:firstLine="567"/>
        <w:rPr>
          <w:rStyle w:val="19"/>
          <w:rFonts w:ascii="仿宋" w:hAnsi="仿宋" w:eastAsia="仿宋"/>
          <w:b w:val="0"/>
          <w:spacing w:val="-4"/>
          <w:sz w:val="32"/>
          <w:szCs w:val="32"/>
        </w:rPr>
      </w:pPr>
    </w:p>
    <w:p w14:paraId="75DCA706">
      <w:pPr>
        <w:spacing w:line="540" w:lineRule="exact"/>
        <w:ind w:firstLine="567"/>
        <w:rPr>
          <w:rStyle w:val="19"/>
          <w:rFonts w:ascii="仿宋" w:hAnsi="仿宋" w:eastAsia="仿宋"/>
          <w:b w:val="0"/>
          <w:spacing w:val="-4"/>
          <w:sz w:val="32"/>
          <w:szCs w:val="32"/>
        </w:rPr>
      </w:pPr>
    </w:p>
    <w:p w14:paraId="2964077F">
      <w:pPr>
        <w:spacing w:line="540" w:lineRule="exact"/>
        <w:ind w:firstLine="567"/>
        <w:rPr>
          <w:rStyle w:val="19"/>
          <w:rFonts w:ascii="仿宋" w:hAnsi="仿宋" w:eastAsia="仿宋"/>
          <w:b w:val="0"/>
          <w:spacing w:val="-4"/>
          <w:sz w:val="32"/>
          <w:szCs w:val="32"/>
        </w:rPr>
      </w:pPr>
    </w:p>
    <w:p w14:paraId="1666BAB5">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E546984">
        <w:pPr>
          <w:pStyle w:val="12"/>
          <w:jc w:val="center"/>
        </w:pPr>
        <w:r>
          <w:fldChar w:fldCharType="begin"/>
        </w:r>
        <w:r>
          <w:instrText xml:space="preserve">PAGE   \* MERGEFORMAT</w:instrText>
        </w:r>
        <w:r>
          <w:fldChar w:fldCharType="separate"/>
        </w:r>
        <w:r>
          <w:rPr>
            <w:lang w:val="zh-CN"/>
          </w:rPr>
          <w:t>2</w:t>
        </w:r>
        <w:r>
          <w:fldChar w:fldCharType="end"/>
        </w:r>
      </w:p>
    </w:sdtContent>
  </w:sdt>
  <w:p w14:paraId="39F3B93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6A3B50B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3c6bc421-ab8e-492c-9fad-5885d47ddf45}">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15502</Words>
  <Characters>16415</Characters>
  <Lines>4</Lines>
  <Paragraphs>1</Paragraphs>
  <TotalTime>7</TotalTime>
  <ScaleCrop>false</ScaleCrop>
  <LinksUpToDate>false</LinksUpToDate>
  <CharactersWithSpaces>16464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来财&amp;十个晴天</cp:lastModifiedBy>
  <cp:lastPrinted>2018-12-31T10:56:00Z</cp:lastPrinted>
  <dcterms:modified xsi:type="dcterms:W3CDTF">2025-10-15T07:26:58Z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eyJoZGlkIjoiNTM1NjJiMTUwNmFhZWNlZmQwNDVjMDAxNDMwM2IwMDkiLCJ1c2VySWQiOiIzNzI2MDMzNTYifQ==</vt:lpwstr>
  </property>
</Properties>
</file>