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1854D6">
      <w:bookmarkStart w:id="0" w:name="_GoBack"/>
      <w:bookmarkEnd w:id="0"/>
    </w:p>
    <w:p w14:paraId="340AFA37">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3958244A">
      <w:pPr>
        <w:spacing w:line="540" w:lineRule="exact"/>
        <w:jc w:val="center"/>
        <w:rPr>
          <w:rFonts w:ascii="华文中宋" w:hAnsi="华文中宋" w:eastAsia="华文中宋" w:cs="宋体"/>
          <w:b/>
          <w:kern w:val="0"/>
          <w:sz w:val="52"/>
          <w:szCs w:val="52"/>
        </w:rPr>
      </w:pPr>
    </w:p>
    <w:p w14:paraId="00827022">
      <w:pPr>
        <w:spacing w:line="540" w:lineRule="exact"/>
        <w:jc w:val="center"/>
        <w:rPr>
          <w:rFonts w:ascii="华文中宋" w:hAnsi="华文中宋" w:eastAsia="华文中宋" w:cs="宋体"/>
          <w:b/>
          <w:kern w:val="0"/>
          <w:sz w:val="52"/>
          <w:szCs w:val="52"/>
        </w:rPr>
      </w:pPr>
    </w:p>
    <w:p w14:paraId="006EC92B">
      <w:pPr>
        <w:spacing w:line="540" w:lineRule="exact"/>
        <w:jc w:val="center"/>
        <w:rPr>
          <w:rFonts w:ascii="华文中宋" w:hAnsi="华文中宋" w:eastAsia="华文中宋" w:cs="宋体"/>
          <w:b/>
          <w:kern w:val="0"/>
          <w:sz w:val="52"/>
          <w:szCs w:val="52"/>
        </w:rPr>
      </w:pPr>
    </w:p>
    <w:p w14:paraId="4C9D17F6">
      <w:pPr>
        <w:spacing w:line="540" w:lineRule="exact"/>
        <w:jc w:val="center"/>
        <w:rPr>
          <w:rFonts w:ascii="华文中宋" w:hAnsi="华文中宋" w:eastAsia="华文中宋" w:cs="宋体"/>
          <w:b/>
          <w:kern w:val="0"/>
          <w:sz w:val="52"/>
          <w:szCs w:val="52"/>
        </w:rPr>
      </w:pPr>
    </w:p>
    <w:p w14:paraId="15BD38FF">
      <w:pPr>
        <w:spacing w:line="540" w:lineRule="exact"/>
        <w:jc w:val="center"/>
        <w:rPr>
          <w:rFonts w:ascii="华文中宋" w:hAnsi="华文中宋" w:eastAsia="华文中宋" w:cs="宋体"/>
          <w:b/>
          <w:kern w:val="0"/>
          <w:sz w:val="52"/>
          <w:szCs w:val="52"/>
        </w:rPr>
      </w:pPr>
    </w:p>
    <w:p w14:paraId="3F904332">
      <w:pPr>
        <w:spacing w:line="540" w:lineRule="exact"/>
        <w:jc w:val="center"/>
        <w:rPr>
          <w:rFonts w:ascii="华文中宋" w:hAnsi="华文中宋" w:eastAsia="华文中宋" w:cs="宋体"/>
          <w:b/>
          <w:kern w:val="0"/>
          <w:sz w:val="52"/>
          <w:szCs w:val="52"/>
        </w:rPr>
      </w:pPr>
    </w:p>
    <w:p w14:paraId="2E3611C6">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5B118E25">
      <w:pPr>
        <w:spacing w:line="540" w:lineRule="exact"/>
        <w:jc w:val="center"/>
        <w:rPr>
          <w:rFonts w:ascii="华文中宋" w:hAnsi="华文中宋" w:eastAsia="华文中宋" w:cs="宋体"/>
          <w:b/>
          <w:kern w:val="0"/>
          <w:sz w:val="52"/>
          <w:szCs w:val="52"/>
        </w:rPr>
      </w:pPr>
    </w:p>
    <w:p w14:paraId="09A13089">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7A6689CF">
      <w:pPr>
        <w:spacing w:line="540" w:lineRule="exact"/>
        <w:jc w:val="center"/>
        <w:rPr>
          <w:rFonts w:hAnsi="宋体" w:eastAsia="仿宋_GB2312" w:cs="宋体"/>
          <w:kern w:val="0"/>
          <w:sz w:val="30"/>
          <w:szCs w:val="30"/>
        </w:rPr>
      </w:pPr>
    </w:p>
    <w:p w14:paraId="5EDB2AF1">
      <w:pPr>
        <w:spacing w:line="540" w:lineRule="exact"/>
        <w:jc w:val="center"/>
        <w:rPr>
          <w:rFonts w:hAnsi="宋体" w:eastAsia="仿宋_GB2312" w:cs="宋体"/>
          <w:kern w:val="0"/>
          <w:sz w:val="30"/>
          <w:szCs w:val="30"/>
        </w:rPr>
      </w:pPr>
    </w:p>
    <w:p w14:paraId="7479F750">
      <w:pPr>
        <w:spacing w:line="540" w:lineRule="exact"/>
        <w:jc w:val="center"/>
        <w:rPr>
          <w:rFonts w:hAnsi="宋体" w:eastAsia="仿宋_GB2312" w:cs="宋体"/>
          <w:kern w:val="0"/>
          <w:sz w:val="30"/>
          <w:szCs w:val="30"/>
        </w:rPr>
      </w:pPr>
    </w:p>
    <w:p w14:paraId="1D74CF98">
      <w:pPr>
        <w:spacing w:line="540" w:lineRule="exact"/>
        <w:jc w:val="center"/>
        <w:rPr>
          <w:rFonts w:hAnsi="宋体" w:eastAsia="仿宋_GB2312" w:cs="宋体"/>
          <w:kern w:val="0"/>
          <w:sz w:val="30"/>
          <w:szCs w:val="30"/>
        </w:rPr>
      </w:pPr>
    </w:p>
    <w:p w14:paraId="18E574EF">
      <w:pPr>
        <w:spacing w:line="540" w:lineRule="exact"/>
        <w:jc w:val="center"/>
        <w:rPr>
          <w:rFonts w:hAnsi="宋体" w:eastAsia="仿宋_GB2312" w:cs="宋体"/>
          <w:kern w:val="0"/>
          <w:sz w:val="30"/>
          <w:szCs w:val="30"/>
        </w:rPr>
      </w:pPr>
    </w:p>
    <w:p w14:paraId="124D678B">
      <w:pPr>
        <w:spacing w:line="540" w:lineRule="exact"/>
        <w:jc w:val="center"/>
        <w:rPr>
          <w:rFonts w:hAnsi="宋体" w:eastAsia="仿宋_GB2312" w:cs="宋体"/>
          <w:kern w:val="0"/>
          <w:sz w:val="30"/>
          <w:szCs w:val="30"/>
        </w:rPr>
      </w:pPr>
    </w:p>
    <w:p w14:paraId="4662F7D6">
      <w:pPr>
        <w:spacing w:line="540" w:lineRule="exact"/>
        <w:rPr>
          <w:rFonts w:hAnsi="宋体" w:eastAsia="仿宋_GB2312" w:cs="宋体"/>
          <w:kern w:val="0"/>
          <w:sz w:val="30"/>
          <w:szCs w:val="30"/>
        </w:rPr>
      </w:pPr>
    </w:p>
    <w:p w14:paraId="0E5D2479">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4F3BF895">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9"/>
          <w:rFonts w:hint="eastAsia" w:ascii="楷体" w:hAnsi="楷体" w:eastAsia="楷体"/>
          <w:spacing w:val="-4"/>
          <w:sz w:val="32"/>
          <w:szCs w:val="32"/>
        </w:rPr>
        <w:t>参政议政费</w:t>
      </w:r>
    </w:p>
    <w:p w14:paraId="293A546D">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9"/>
          <w:rFonts w:hint="eastAsia" w:ascii="楷体" w:hAnsi="楷体" w:eastAsia="楷体"/>
          <w:spacing w:val="-4"/>
          <w:sz w:val="28"/>
          <w:szCs w:val="28"/>
        </w:rPr>
        <w:t>中国民主同盟昌吉市委员会</w:t>
      </w:r>
    </w:p>
    <w:p w14:paraId="66814FC4">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9"/>
          <w:rFonts w:hint="eastAsia" w:ascii="楷体" w:hAnsi="楷体" w:eastAsia="楷体"/>
          <w:spacing w:val="-4"/>
          <w:sz w:val="28"/>
          <w:szCs w:val="28"/>
        </w:rPr>
        <w:t>中国民主同盟昌吉市委员会</w:t>
      </w:r>
    </w:p>
    <w:p w14:paraId="6F32BF72">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9"/>
          <w:rFonts w:hint="eastAsia" w:ascii="楷体" w:hAnsi="楷体" w:eastAsia="楷体"/>
          <w:spacing w:val="-4"/>
          <w:sz w:val="32"/>
          <w:szCs w:val="32"/>
        </w:rPr>
        <w:t>陈亮</w:t>
      </w:r>
    </w:p>
    <w:p w14:paraId="71D4DC12">
      <w:pPr>
        <w:spacing w:line="540" w:lineRule="exact"/>
        <w:ind w:left="273" w:firstLine="567"/>
        <w:rPr>
          <w:rStyle w:val="19"/>
          <w:rFonts w:ascii="楷体" w:hAnsi="楷体" w:eastAsia="楷体"/>
          <w:spacing w:val="-4"/>
          <w:sz w:val="32"/>
          <w:szCs w:val="32"/>
        </w:rPr>
      </w:pPr>
      <w:r>
        <w:rPr>
          <w:rFonts w:hint="eastAsia" w:hAnsi="宋体" w:eastAsia="仿宋_GB2312" w:cs="宋体"/>
          <w:kern w:val="0"/>
          <w:sz w:val="36"/>
          <w:szCs w:val="36"/>
        </w:rPr>
        <w:t>填报时间：</w:t>
      </w:r>
      <w:r>
        <w:rPr>
          <w:rStyle w:val="19"/>
          <w:rFonts w:hint="eastAsia" w:ascii="楷体" w:hAnsi="楷体" w:eastAsia="楷体"/>
          <w:spacing w:val="-4"/>
          <w:sz w:val="32"/>
          <w:szCs w:val="32"/>
        </w:rPr>
        <w:t>2025年05月07日</w:t>
      </w:r>
    </w:p>
    <w:p w14:paraId="25CB833B">
      <w:pPr>
        <w:spacing w:line="700" w:lineRule="exact"/>
        <w:ind w:firstLine="708" w:firstLineChars="236"/>
        <w:jc w:val="left"/>
        <w:rPr>
          <w:rFonts w:hAnsi="宋体" w:eastAsia="仿宋_GB2312" w:cs="宋体"/>
          <w:kern w:val="0"/>
          <w:sz w:val="30"/>
          <w:szCs w:val="30"/>
        </w:rPr>
      </w:pPr>
    </w:p>
    <w:p w14:paraId="67F78AA0">
      <w:pPr>
        <w:spacing w:line="540" w:lineRule="exact"/>
        <w:rPr>
          <w:rStyle w:val="19"/>
          <w:rFonts w:ascii="黑体" w:hAnsi="黑体" w:eastAsia="黑体"/>
          <w:b w:val="0"/>
          <w:spacing w:val="-4"/>
          <w:sz w:val="32"/>
          <w:szCs w:val="32"/>
        </w:rPr>
      </w:pPr>
    </w:p>
    <w:p w14:paraId="104F657C">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一、基本情况</w:t>
      </w:r>
    </w:p>
    <w:p w14:paraId="4D7D817C">
      <w:pPr>
        <w:spacing w:line="540" w:lineRule="exact"/>
        <w:ind w:firstLine="567"/>
        <w:rPr>
          <w:rStyle w:val="19"/>
          <w:rFonts w:hint="default" w:ascii="楷体" w:hAnsi="楷体" w:eastAsia="楷体"/>
          <w:spacing w:val="-4"/>
          <w:sz w:val="32"/>
          <w:szCs w:val="32"/>
          <w:lang w:val="en-US" w:eastAsia="zh-CN"/>
        </w:rPr>
      </w:pPr>
      <w:r>
        <w:rPr>
          <w:rStyle w:val="19"/>
          <w:rFonts w:hint="eastAsia" w:ascii="楷体" w:hAnsi="楷体" w:eastAsia="楷体"/>
          <w:spacing w:val="-4"/>
          <w:sz w:val="32"/>
          <w:szCs w:val="32"/>
        </w:rPr>
        <w:t>（一）项目概况</w:t>
      </w:r>
      <w:r>
        <w:rPr>
          <w:rStyle w:val="19"/>
          <w:rFonts w:hint="eastAsia" w:ascii="楷体" w:hAnsi="楷体" w:eastAsia="楷体"/>
          <w:spacing w:val="-4"/>
          <w:sz w:val="32"/>
          <w:szCs w:val="32"/>
          <w:lang w:eastAsia="zh-CN"/>
        </w:rPr>
        <w:t>。</w:t>
      </w:r>
    </w:p>
    <w:p w14:paraId="1790E382">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1.项目背景</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2005年2月，中共中央制定并颁发了《中共中央关于进一步加强中国共产党领导的多党合作和政重要形式。中共党委和政府要积极支持民主党派和无党派人士就全局性和战略性问题进行有组织的考察调研，也治协商制度建设的意见》（中发〔2005〕5号），文件中强调“要充分发挥民主党派成员和无党派人士在国家政权中的参政作用，健全民主党派考察调研制度。民主党派和无党派人士通过考察调研建言献策，是发挥参政议政作用的可委托民主党派就有关问题进行考察调研。对民主党派和无党派人士的调研成果，要认真研究并反馈情况。切实为民主党派和无党派人士履行职能、发挥作用创造条件。要把民主党派的办公经费和考察调研、教育培训等专项经费列入同级财政预算。”按照民盟章程规定，民盟昌吉市委会每年要听取政府有关部门工作通报，开展知情问政、民主评议和大量的社会调研、考察活动，为自治州党委、人民政府做好建言献策工作，履行好政治协商、参政议政、民主监督职能。2005年，经州党委批准同意将“参政议政费”作为民主党派的专项工作经费，纳入2006年财政预算下拨执行，本项目属于持续性、常年性项目，金额逐年增加，至2021年达到4万元。 立项政策依据：中发〔2005〕5号、中发〔2012〕4号、新党发〔2006〕3号、昌州党办〔2008〕4号文件、昌州财行〔2021〕19号。2.主要内容</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（1）项目名称：参政议政费（以下简称“该项目”或“项目”）</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（2）项目主要内容：主要保障民主党派参政议政工作顺利开展，发挥好中国共产党领导的多党合作和政治协商制度，使民主党派更好的发挥参政议政作用。</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3.实施情况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实施主体：中国民主同盟昌吉市委员会。</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实施时间：本项目实施周期为2024年1月-2024年12月。</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实施情况：依据《中共中央关于进一步加强中国共产党领导的多党合作和政治协商制度建设的意见》（中发〔2005〕5号）等文件，明确参政议政项目的核心目标：围绕昌吉州党委中心工作及群众关切问题，开展课题调研、建言献策。每年完成调研报告2篇、各级政协提案30件、微信公众号刊发稿件20条、编印《昌吉盟讯》刊物300本，并组织盟员参与活动30人次以上。</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2024年项目预算总额为4万元，全部来自财政拨款，资金分配如下：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调研活动：制定调研方案，组织专业盟员参与课题研究。专题培训：开展参政议政能力提升培训，强化盟员履职能力。</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采用实地走访、座谈会、问卷调查等方式，广泛吸纳盟员及专家意见等方式开展调研活动。结合调研成果，形成高质量提案，提交至昌吉州政协及相关部门。通过专题协商会、情况通报会等渠道，及时反馈调研发现的问题及建议。维护“昌吉民盟”微信公众号，发布工作动态及政策解读。</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调研成果及提案被纳入昌吉州党委、政府决策参考，推动相关政策制定。通过媒体宣传及活动开展，提升民主党派社会影响力，增强盟员凝聚力。使民主党派更好的发挥参政议政作用。</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4.项目实施主体</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（1）主要职能</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①贯彻执行中国共产党领导的多党合作和政治协商制度。在宪法赋予的权限之内，按照章程和有关规定，履行政治协商、民主监督、参政议政职能，为自治州经济社会高质量发展服务。</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②政治协商是对国家和地方的大政方针以及政治、经济、文化和社会生活中的重要问题在决策之前进行协商和就决策执行过程中的重要问题进行协商。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③民主监督是对国家宪法、法律和法规的实施，重大方针政策的贯彻执行、国家机关及其工作人员的工作，通过建议和批评进行监督。</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参政议政是对政治、经济、文化和社会生活中的重要问题以及人民群众普遍关心的问题，开展调查研究，反映社情民意，进行协商讨论。通过调研报告、提案、建议案或其他形式，向中国共产党和国家机关提出意见和建议。</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（2）机构设置情况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单位内设机构：民盟办公室。</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5.资金投入和使用情况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（1）项目资金安排落实、总投入等情况分析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本项目预算安排总额为4.00万元，资金来源为，其中：财政资金4.00万元，其他资金0.00万元，2024年实际收到预算资金4.00万元，预算资金到位率为100.00%。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（2）项目资金实际使用情况分析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截至2024年12月31日，本项目实际支付资金4.00万元，预算执行率100.00%。本项目资金主要用于支付办公费费用0.40万元、差旅费费用2.00万元、培训费费用0.80万元、其他交通费用费用0.80万元。</w:t>
      </w:r>
    </w:p>
    <w:p w14:paraId="2992BC39">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（二）项目绩效目标</w:t>
      </w:r>
    </w:p>
    <w:p w14:paraId="48FFD5C1">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1.总体目标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用于保障民主党派参政议政工作的顺利开展，发挥好中国共产党领导的多党合作和政治协商制度，开展调研2次，撰写提案30件，完成调研报告2篇，使民主党派更好的发挥参政议政作用。</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2.阶段性目标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自治州财政支出绩效评价管理暂行办法》（昌州财预〔2018〕171号）的规定，结合我单位的规章制度以及项目实施和财务相关资料，评价小组对项目绩效指标进行了进一步的完善，完善后绩效指标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（1）项目产出指标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①数量指标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“开展调查研究次数”指标，预期指标值为“&gt;=2次”；</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“撰写各级政协提案数量”指标，预期指标值为“&gt;=30件”；</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“完成专题调查研究报告数量”指标，预期指标值为“&gt;=2篇”；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“参加政协协商议政会次数”指标，预期指标值为“&gt;=2次”；</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②质量指标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“调研工作保障率”指标，预期指标值为“=100%”；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③时效指标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“调研活动完成时间”指标，预期指标值为“2024年12月10日”；</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（2）项目成本指标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①经济成本指标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“开展调研活动经费成本”指标，预期指标值为“&lt;=3.6万元”；</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“调研活动租车费”指标，预期指标值为“&lt;=0.40万元”；</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②社会成本指标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③生态环境成本指标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（3）项目效益指标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①经济效益指标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②社会效益指标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“提高盟员对中国共产党领导的多党合作和政治协商制度的思想认识”指标，预期指标值为“有效提高”；</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③生态效益指标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（4）项目满意度指标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①满意度指标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“盟员对民盟参政议政成果满意度”指标，预期指标值为“&gt;=90%”。</w:t>
      </w:r>
    </w:p>
    <w:p w14:paraId="11738282">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二、绩效评价工作开展情况</w:t>
      </w:r>
    </w:p>
    <w:p w14:paraId="332738AD">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（一）绩效评价目的、对象和范围</w:t>
      </w:r>
    </w:p>
    <w:p w14:paraId="441059AF">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1.绩效评价的目的</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为全面实施预算绩效管理，建立科学、合理的项目支出绩效评价管理体系，提高财政资源配置效率和使用效益，根据财政部印发《项目支出绩效评价管理办法》（财预〔2020〕10号）、《自治区财政支出绩效评价管理暂行办法》（新财预〔2018〕189号）、《自治州财政支出绩效评价管理暂行办法》（昌州财预〔2018〕171号）、《关于做好昌吉州本级2025年预算绩效工作的通知》、《关于印发&lt;自治区项目支出绩效目标设置指引&gt;的通知》（新财预〔2022〕42号）文件精神，我单位针对参政议政费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2.绩效评价对象</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此次我单位根据《财政支出绩效评价管理暂行办法》（财预〔2020〕10号）文件要求实施评价工作，本次评价对象为参政议政费，评价核心为项目资金、项目产出、项目效益。</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3.绩效评价范围</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14:paraId="682E5EF0">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（二）绩效评价原则、评价指标体系、评价方法、评价标准</w:t>
      </w:r>
    </w:p>
    <w:p w14:paraId="6B8C2A7F">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1.绩效评价原则</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中共阿克苏地委阿克苏地区行署印发&lt;关于全面实施预算绩效管理的实施意见&gt;》（阿地党字〔2019〕18号）、《阿克苏地区财政支出绩效评价管理暂行办法》（阿地财预〔2019〕26号）、《关于印发&lt;自治区项目支出绩效目标设置指引&gt;的通知》（新财预〔2022〕42号）等要求，绩效评价应遵循如下原则：</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（1）科学公正。绩效评价应当运用科学合理的方法，按照规范的程序，对项目绩效进行客观、公正地反映。</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（4）公开透明。绩效评价结果应依法依规公开，并自觉接受社会监督。</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根据以上原则，绩效评价应遵循如下要求：</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（1）在数据采集时，采取客观数据，主管部门审查、社会中介组织复查，与问卷调查相结合的形式，以保证各项指标的真实性。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（2）保证评价结果的真实性、公正性，提高评价报告的公信力。</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2.绩效评价指标体系</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3.评价方法</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三级指标分析环节：总体采用比较法，同时辅以文献法、成本效益法、因素分析法以及公众评判法，根据不同三级指标类型进行逐项分析。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立项依据充分性：比较法、文献法，查找法律法规政策以及规划，对比实际执行内容和政策支持内容是否匹配。</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立项程序规范性：比较法、文献法，查找相关项目设立的政策和文件要求，对比分析实际执行程序是否按照政策及文件要求执行，分析立项程序的规范性。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绩效目标合理性：比较法，对比分析年初编制项目支出绩效目标表与项目内容的相关性、资金的匹配性等。</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绩效指标明确性：比较法，比较分析年初编制项目支出绩效目标表是否符合双七原则，是否可衡量。</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预算编制科学性：成本效益分析法，分析在产出一定的情况下，成本取值是否有依据，是否经过询价，是否按照市场最低成本编制。</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资金分配合理性：因素分析法，综合分析资金的分配依据是否充分，分配金额是否与项目实施单位需求金额一致，</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资金到位率：比较法，资金到位率预期指标值应为100.00%，通过实际计算，分析实际完成值和预期指标值之间的差距和原因。</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预算执行率：比较法，预算执行率预期指标值应为100.00%，通过实际计算，分析实际完成值和预期指标值之间的差距和原因。</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资金使用合规性：文献法、实地勘察法，一是查找资金管理办法，包括专项资金管理办法和单位自有资金管理办法；二是通过查账了解具体开支情况，是否专款专用，是否按照标准支出。</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管理制度健全性：文献法、比较法，查阅项目实施人员提供的财务和业务管理制度，将已建立的制度与现行的法律法规和政策要求进行对比，分析项目制度的合法性、合规性、完整性。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制度执行有效性：比较法，结合项目实际实施过程性文件，根据已建设的财务管理制度和项目管理制度综合分析制度执行的有效性。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定性指标：公众评判法，通过问卷及抽样调查等方式评价本项目实施后社会公众对于其实施效果的满意程度。</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4.评价标准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绩效评价标准通常包括计划标准、行业标准、历史标准等，用于对绩效指标完成情况进行比较、分析、评价。具体绩效评价标准解释如下：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计划标准：指以预先制定的目标、计划、预算、定额等作为评价标准。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行业标准：指参照国家公布的行业指标数据制定的评价标准。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历史标准：指参照历史数据制定的评价标准，为体现绩效改进的原则，在可实现的条件下应当确定相对较高的评价标准。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49D20713">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（三）绩效评价工作过程</w:t>
      </w:r>
    </w:p>
    <w:p w14:paraId="20EC0056">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1.前期准备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我单位于2025年2月17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樊欣章（评价小组组长）：主要负责项目策划和监督，全面负责项目绩效评价报告的最终质量，对评价人员出具的最终报告质量进行复核，确保评估结果的客观性；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杨娜（评价小组组员）：主要负责资料的收集，取证、数据统计分析；主要负责项目报告的制定，指标的研判，数据分析及报告撰写。</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2.组织实施</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2025年2月18日-2月25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3.分析评价</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2025年2月26日-3月10日，评价小组按照绩效评价的原则和规范，对取得的资料进行审查核实，对采集的数据进行分析，按照绩效评价指标评分表逐项进行打分、分析、汇总各方评价结果。　</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4.撰写与提交评价报告</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2025年3月11日-3月15日，评价小组撰写绩效评价报告，按照新疆维吾尔自治区财政绩效管理信息系统绩效评价模块中统一格式和文本框架撰写绩效评价报告并提交审核。</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5.问题整改</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6.档案整理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5A9D9668">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三、综合评价情况及评价结论</w:t>
      </w:r>
    </w:p>
    <w:p w14:paraId="7D58B73F">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（一）综合评价情况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经评价，本项目达成年初设立的绩效目标，在实施过程中取得了良好的成效，具体表现在：开展调查研究2次，调研工作保障率为100%，撰写各级政协提案30篇，完成专题调查研究报告2篇，参加政协协商议政会2次，通过该项目的实施，提高盟员对中国共产党领导的多党合作和政治协商制度的思想认识：有效提高盟员对民盟参政议政成果满意度，发挥好中国共产党领导的多党合作和政治协商制度，使民主党派更好的发挥参政议政作用。</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（二）评价结论</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此次绩效评价通过绩效评价小组论证的评价指标体系及评分标准，采用因素分析法和比较法对本项目绩效进行客观评价，最终评分结果：总分为100.00分，绩效评级为“优”。综合评价结论如下：本项目共设置三级指标数量21个，实现三级指标数量21个，总体完成率为100.00%。项目决策类指标共设置6个，满分指标6个，得分率100.00%；过程管理类指标共设置5个，满分指标5个，得分率100.00%；项目产出类指标共设置8个，满分指标8个，得分率100.00%；项目效益类指标共设置1个，满分指标1个，得分率100.00%；项目满意度类指标共设置1个，满分指标1个，得分率100.00%。详细情况见“表3-1：项目综合得分表”及“附件2：项目综合得分表”。</w:t>
      </w:r>
    </w:p>
    <w:p w14:paraId="756A705C">
      <w:pPr>
        <w:spacing w:line="540" w:lineRule="exact"/>
        <w:ind w:firstLine="640"/>
        <w:rPr>
          <w:rStyle w:val="19"/>
          <w:rFonts w:ascii="黑体" w:hAnsi="黑体" w:eastAsia="黑体"/>
        </w:rPr>
      </w:pPr>
      <w:r>
        <w:rPr>
          <w:rStyle w:val="19"/>
          <w:rFonts w:hint="eastAsia" w:ascii="黑体" w:hAnsi="黑体" w:eastAsia="黑体"/>
          <w:b w:val="0"/>
          <w:spacing w:val="-4"/>
          <w:sz w:val="32"/>
          <w:szCs w:val="32"/>
        </w:rPr>
        <w:t>四、绩效评价指标分析</w:t>
      </w:r>
      <w:r>
        <w:rPr>
          <w:rStyle w:val="19"/>
          <w:rFonts w:hint="eastAsia" w:ascii="黑体" w:hAnsi="黑体" w:eastAsia="黑体"/>
        </w:rPr>
        <w:t xml:space="preserve"> </w:t>
      </w:r>
    </w:p>
    <w:p w14:paraId="6F35DA94">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9"/>
          <w:rFonts w:hint="eastAsia" w:ascii="楷体" w:hAnsi="楷体" w:eastAsia="楷体"/>
          <w:spacing w:val="-4"/>
          <w:sz w:val="32"/>
          <w:szCs w:val="32"/>
        </w:rPr>
        <w:t>项目决策情况</w:t>
      </w:r>
    </w:p>
    <w:p w14:paraId="08719D00">
      <w:pPr>
        <w:tabs>
          <w:tab w:val="center" w:pos="4295"/>
        </w:tabs>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（一）项目决策情况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项目决策类指标由3个二级指标和6个三级指标构成，权重分21.00分，实际得分21.00分。1.项目立项情况分析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（1）立项依据充分性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立项符合中发〔2005〕5号、中发〔2012〕4号、新党发〔2006〕3号、昌州党办〔2008〕4号文件、昌州财行〔2021〕19号。；符合行业发展规划和政策要求；本项目立项符合《中国民主同盟昌吉市委员会单位配置内设机构和人员编制规定》中职责范围中的“贯彻执行中国共产党领导的多党合作和政治协商制度。在宪法赋予的权限之内，按照章程和有关规定，履行政治协商、民主监督、参政议政职能，为自治州经济社会高质量发展服务”，属于我单位履职所需；根据《财政资金直接支付申请书》，本项目资金性质为“公共财政预算”功能分类为“  参政议政”经济分类为“办公费费用0.40万元、差旅费费用2.00万元、培训费费用0.80万元、其他交通费用费用0.80万元”属于公共财政支持范围，符合中央、地方事权支出责任划分原则；经检查我单位财政管理一体化信息系统，本项目不存在重复。</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综上所述，本指标满分为5.00分，根据评分标准得5.00分，本项目立项依据充分。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（2）立项程序规范性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中共党委和政府要积极支持民主党派和无党派人士就全局性和战略性问题进行有组织的考察调研，也治协商制度建设的意见》（中发〔2005〕5号）文件要求实施项目。</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综上所述，本指标满分为3.00分，根据评分标准得3.00分，本项目立项程序规范。</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2.绩效目标情况分析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（1）绩效目标合理性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该项目已设置年度绩效目标，具体内容为“用于保障民主党派参政议政工作的顺利开展，发挥好中国共产党领导的多党合作和政治协商制度，开展调研2次，撰写提案30件，完成调研报告2篇，使民主党派更好的发挥参政议政作用。”。</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该项目实际工作内容为：该项目实际完成，开展调查研究2次，调研工作保障率为100%，撰写各级政协提案30篇，完成专题调查研究报告2篇，参加政协协商议政会2次，通过该项目的实施，提高盟员对中国共产党领导的多党合作和政治协商制度的思想认识：有效提高盟员对民盟参政议政成果满意度，发挥好中国共产党领导的多党合作和政治协商制度，使民主党派更好的发挥参政议政作用。绩效目标与实际工作内容一致，两者具有相关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③该项目按照绩效目标完成数量指标、质量指标、时效指标、成本指标，完成了开展调查研究2次，调研工作保障率为100%，撰写各级政协提案30篇，完成专题调查研究报告2篇，参加政协协商议政会2次，达到提高盟员对中国共产党领导的多党合作和政治协商制度的思想认识：有效提高盟员对民盟参政议政成果满意度，发挥好中国共产党领导的多党合作和政治协商制度，使民主党派更好的发挥参政议政作用效益，预期产出效益和效果是否符合正常的业绩水平。</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④该项目批复的预算金额为4.00万元，《项目支出绩效目标表》中预算金额为4.00万元，预算确定的项目资金与预算确定的项目投资额相匹配。</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综上所述，本指标满分为4.00分，根据评分标准得4.00分，本项目绩效目标设置合理。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（2）绩效指标明确性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4个，二级指标6个，三级指标10个，定量指标8个，定性指标2个，指标量化率为80.00%，量化率达70.00%以上。</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该《项目绩效目标表》中，数量指标指标值为“开展调查研究次数”“撰写各级政协提案数量”“完成专题调查研究报告数量”“参加政协协商议政会次数”，三级指标的年度指标值与年度绩效目标中任务数一致，已设置时效指标“调研活动完成时间”。已设置的绩效目标具备明确性、可衡量性、可实现性、相关性、时限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综上所述，本指标满分为3.00分，根据评分标准得3.00分，本项目所设置绩效指标明确。</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3.资金投入情况分析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（1）预算编制科学性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本项目预算编制通过以往年度的实际执行情况，综合考虑本年度情况，综合编制预算，即预算编制较科学且经过论证；</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预算申请内容为用于保障民主党派参政议政工作的顺利开展，发挥好中国共产党领导的多党合作和政治协商制度，开展调研2次，撰写提案30件，完成调研报告2篇，使民主党派更好的发挥参政议政作用，项目实际内容为开展调查研究2次，调研工作保障率为100%，撰写各级政协提案30篇，完成专题调查研究报告2篇，参加政协协商议政会2次，通过该项目的实施，提高盟员对中国共产党领导的多党合作和政治协商制度的思想认识：有效提高盟员对民盟参政议政成果满意度，发挥好中国共产党领导的多党合作和政治协商制度，使民主党派更好的发挥参政议政作用，预算申请与《参政议政费实施方案》中涉及的项目内容匹配；</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预算申请资金4.00万元，我单位在预算申请中严格按照项目实施内容及测算标准进行核算，其中：办公费费用0.40万元、差旅费费用2.00万元、培训费费用0.80万元、其他交通费用费用0.80万元。预算确定资金量与实际工作任务相匹配。本项目预算额度测算依据充分，严格按照标准编制，预算确定资金量与实际工作任务相匹配；</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综上所述，本指标满分为4.00分，根据评分标准得4.00分，本项目预算编制科学。</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（2）资金分配合理性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实际分配资金以《关于申请参政议政费资金的请示》和《参政议政费实施方案》为依据进行资金分配，预算资金分配依据充分。根据《关于下达2024年部门预算的通知》（昌州财预〔2024〕2号），本项目实际到位资金4.00万元，资金分配额度合理，与我单位实际需求相适应。</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综上所述，本指标满分为2.00分，根据评分标准得2.00分，本项目资金分配合理。</w:t>
      </w:r>
      <w:r>
        <w:rPr>
          <w:rStyle w:val="19"/>
          <w:rFonts w:hint="eastAsia" w:ascii="楷体" w:hAnsi="楷体" w:eastAsia="楷体"/>
          <w:b w:val="0"/>
          <w:bCs w:val="0"/>
          <w:spacing w:val="-4"/>
          <w:sz w:val="32"/>
          <w:szCs w:val="32"/>
        </w:rPr>
        <w:tab/>
      </w:r>
    </w:p>
    <w:p w14:paraId="1019FBC0">
      <w:pPr>
        <w:spacing w:line="540" w:lineRule="exact"/>
        <w:ind w:firstLine="567" w:firstLineChars="181"/>
        <w:rPr>
          <w:rStyle w:val="19"/>
          <w:rFonts w:ascii="楷体" w:hAnsi="楷体" w:eastAsia="楷体"/>
          <w:spacing w:val="-4"/>
          <w:sz w:val="32"/>
          <w:szCs w:val="32"/>
        </w:rPr>
      </w:pPr>
      <w:r>
        <w:rPr>
          <w:rFonts w:hint="eastAsia" w:ascii="楷体" w:hAnsi="楷体" w:eastAsia="楷体"/>
          <w:b/>
          <w:spacing w:val="-4"/>
          <w:sz w:val="32"/>
          <w:szCs w:val="32"/>
        </w:rPr>
        <w:t>（二）</w:t>
      </w:r>
      <w:r>
        <w:rPr>
          <w:rStyle w:val="19"/>
          <w:rFonts w:hint="eastAsia" w:ascii="楷体" w:hAnsi="楷体" w:eastAsia="楷体"/>
          <w:spacing w:val="-4"/>
          <w:sz w:val="32"/>
          <w:szCs w:val="32"/>
        </w:rPr>
        <w:t>项目过程情况</w:t>
      </w:r>
    </w:p>
    <w:p w14:paraId="475F5007">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项目过程管理类指标由2个二级指标和5个三级指标构成，权重分19.00分，实际得分19.00分。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1.资金管理情况分析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（1）资金到位率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预算资金为4.00万元，其中：财政安排资金4.00万元，其他资金0.00万元，实际到位资金4.00万元，资金到位率=（实际到位资金/预算资金）×100.00%=（4.00/4.00）×100.00%=100.00%。得分=（实际执行率-60.00%）/（1-60.00%）×4.00=4.00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综上所述，本指标满分为4.00分，根据评分标准得4.00分，本项目资金分配合理。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（2）预算执行率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本项目实际支出资金4.00万元，预算执行率=（实际支出资金/实际到位资金）×100.00%=（4.00/4.00）×100.00%=100.00%；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项目已完成，总体完成率为100.00%；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得分=（实际完成率-60.00%）/（1-60.00%）×权重=100.00%×5.00=5.00分。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综上所述，本指标满分为5.00分，根据评分标准得5.00分，本项目资金分配合理。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（3）资金使用合规性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通过检查本项目签订的合同、资金申请文件、发票等财务付款凭证，得出本项目资金支出符合国家财经法规、《政府会计制度》《中国民主同盟昌吉市委员会单位资金管理办法》《中国民主同盟昌吉市委员会专项资金管理办法》，资金的拨付有完整的审批程序和手续，资金实际使用方向与预算批复用途一致，不存在截留、挤占、挪用、虚列支出的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综上所述，本指标满分为4.00分，根据评分标准得4.00分，资金支出符合我单位财务管理制度规定。</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2.组织实施情况分析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（1）管理制度健全性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我单位已制定《中国民主同盟昌吉市委员会资金管理办法》《中国民主同盟昌吉市委员会收支业务管理制度》《中国民主同盟昌吉市委员会政府采购业务管理制度》《中国民主同盟昌吉市委员会合同管理制度》，上述已建立的制度均符合行政事业单位内控管理要求，财务和业务管理制度合法、合规、完整，本项目执行符合上述制度规定。</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综上所述，本指标满分为2.00分，根据评分标准得2.00分，项目制度建设健全。</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（2）制度执行有效性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该项目的实施符合《项目资金管理办法》《收入支出管理制度》《中国民主同盟昌吉市委员会采购业务管理制度》《中国民主同盟昌吉市委员会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②经现场查证项目合同书、验收评审表、财务支付凭证等资料齐全并及时归档。</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③该项目实施过程中不存在调整事项。</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④该项目实施所需要的项目人员和场地设备均已落实到位，具体涉及内容包括：项目资金支出严格按照自治区、地区以及本单位资金管理办法执行，项目启动实施后，为了加快本项目的实施，成立了参政议政费工作领导小组，由陈亮任组长，负责项目的组织、实施工作；组员包括：李梦露，主要负责项目监督管理、验收以及资金核拨等工作。</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综上所述，本指标满分为4.00分，根据评分标准得4.00分，本项目所建立制度执行有效。</w:t>
      </w:r>
    </w:p>
    <w:p w14:paraId="29F39437">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9"/>
          <w:rFonts w:hint="eastAsia" w:ascii="楷体" w:hAnsi="楷体" w:eastAsia="楷体"/>
          <w:spacing w:val="-4"/>
          <w:sz w:val="32"/>
          <w:szCs w:val="32"/>
        </w:rPr>
        <w:t>项目产出情况</w:t>
      </w:r>
    </w:p>
    <w:p w14:paraId="6A40EAB8">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三）项目产出情况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项目产出类指标由4个二级指标和8个三级指标构成，权重分30.00分，实际得分30.00分。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1.数量指标完成情况分析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“开展调查研究次数”指标：预期指标值为“&gt;=2次”，实际完成指标值为“=2次”，指标完成率为100.00%。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综上所述，本指标满分为4.00分，根据评分标准得4.00分。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“撰写各级政协提案数量”指标：预期指标值为“&gt;=30件”，实际完成指标值为“=30件”，指标完成率为100.00%。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综上所述，本指标满分为4.00分，根据评分标准得4.00分。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“完成专题调查研究报告数量”指标：预期指标值为“&gt;=2篇”，实际完成指标值为“2篇”，指标完成率为100.00%。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综上所述，本指标满分为4.00分，根据评分标准得4.00分。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“参加政协协商议政会次数”指标：预期指标值为“&gt;=2次”，实际完成指标值为“2次”，指标完成率为100.00%。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综上所述，本指标满分为4.00分，根据评分标准得4.00分。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2.质量指标完成情况分析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“调研工作保障率”指标：预期指标值为“100%”，实际完成指标值为“100%”，指标完成率为100.00%。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综上所述，本指标满分为4.00分，根据评分标准得4.00分。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3.时效指标完成情况分析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“调研活动完成时间”指标：预期指标值为“2024年12月10日”，实际完成指标值为“2024年12月10日”，指标完成率为100.00%。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综上所述，本指标满分为4.00分，根据评分标准得4.00分。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4.成本指标完成情况分析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（1）经济成本指标完成情况分析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“开展调研活动经费成本”指标：预期指标值为“&lt;=3.6万元”，实际完成指标值为“=3.6万元”，指标完成率为100.00。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综上所述，本指标满分为3.00分，根据评分标准得3.00分。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“调研活动租车费”指标：预期指标值为“&lt;=0.40万元”，实际完成指标值为“=0.40万元”，指标完成率为100.00%。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综上所述，本指标满分为3.00分，根据评分标准得3.00分。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（2）社会成本指标完成情况分析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（3）生态环境成本指标完成情况分析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p>
    <w:p w14:paraId="44A75339">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9"/>
          <w:rFonts w:hint="eastAsia" w:ascii="楷体" w:hAnsi="楷体" w:eastAsia="楷体"/>
          <w:spacing w:val="-4"/>
          <w:sz w:val="32"/>
          <w:szCs w:val="32"/>
        </w:rPr>
        <w:t>项目效益情况</w:t>
      </w:r>
    </w:p>
    <w:p w14:paraId="18E83FF7">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（四）项目效益情况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项目效益类指标由1个二级指标和1个三级指标构成，权重分20.00分，实际得分20.00分。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1.经济效益完成情况分析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2.社会效益完成情况分析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“提高盟员对中国共产党领导的多党合作和政治协商制度的思想认识”指标：预期指标值为“有效提高”，实际完成指标值为“达到预期指标”，指标完成率为100.00%。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综上所述，本指标满分为20.00分，根据评分标准得20.00分。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3.生态效益完成情况分析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p>
    <w:p w14:paraId="3134A990">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项目满意度类指标由1个二级指标和1个三级指标构成，权重分10.00分，实际得分10.00分。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1.满意度完成情况分析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“盟员对民盟参政议政成果满意度”指标：预期指标值为“&gt;=90%”，实际完成指标值为“=90%”，指标完成率为100.00%。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综上所述，本指标满分为10.00分，根据评分标准得10.00分。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本项目年初预算资金总额为4.00万元，全年预算数为4.00万元，全年执行数为4.00万元，预算执行率为100.00%。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本项目共设置三级指标数量21个，满分指标数量21个，扣分指标数量0个，经分析计算所有三级指标完成率得出，本项目总体完成率为100.00%。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综上所述本项目预算执行率与总体完成率之间的偏差为0.00%。</w:t>
      </w:r>
    </w:p>
    <w:p w14:paraId="79E88640">
      <w:pPr>
        <w:spacing w:line="540" w:lineRule="exact"/>
        <w:ind w:firstLine="567"/>
        <w:rPr>
          <w:rStyle w:val="19"/>
          <w:rFonts w:hint="eastAsia" w:ascii="楷体" w:hAnsi="楷体" w:eastAsia="楷体"/>
          <w:b w:val="0"/>
          <w:bCs w:val="0"/>
          <w:spacing w:val="-4"/>
          <w:sz w:val="32"/>
          <w:szCs w:val="32"/>
        </w:rPr>
      </w:pPr>
    </w:p>
    <w:p w14:paraId="10DACF76">
      <w:pPr>
        <w:spacing w:line="540" w:lineRule="exact"/>
        <w:ind w:firstLine="567"/>
        <w:rPr>
          <w:rStyle w:val="19"/>
          <w:rFonts w:ascii="楷体" w:hAnsi="楷体" w:eastAsia="楷体"/>
          <w:spacing w:val="-4"/>
          <w:sz w:val="32"/>
          <w:szCs w:val="32"/>
        </w:rPr>
      </w:pPr>
    </w:p>
    <w:p w14:paraId="71F030BF">
      <w:pPr>
        <w:numPr>
          <w:ilvl w:val="0"/>
          <w:numId w:val="1"/>
        </w:numPr>
        <w:spacing w:line="540" w:lineRule="exact"/>
        <w:ind w:firstLine="640"/>
        <w:rPr>
          <w:rStyle w:val="19"/>
          <w:rFonts w:hint="eastAsia" w:ascii="黑体" w:hAnsi="黑体" w:eastAsia="黑体"/>
          <w:b w:val="0"/>
          <w:spacing w:val="-4"/>
          <w:sz w:val="32"/>
          <w:szCs w:val="32"/>
        </w:rPr>
      </w:pPr>
      <w:r>
        <w:rPr>
          <w:rStyle w:val="19"/>
          <w:rFonts w:hint="eastAsia" w:ascii="黑体" w:hAnsi="黑体" w:eastAsia="黑体"/>
          <w:b w:val="0"/>
          <w:spacing w:val="-4"/>
          <w:sz w:val="32"/>
          <w:szCs w:val="32"/>
        </w:rPr>
        <w:t>主要经验及做法、存在的问题及原因分析</w:t>
      </w:r>
    </w:p>
    <w:p w14:paraId="5CF1491A">
      <w:pPr>
        <w:spacing w:line="540" w:lineRule="exact"/>
        <w:ind w:firstLine="567"/>
        <w:rPr>
          <w:rFonts w:ascii="仿宋_GB2312" w:eastAsia="仿宋_GB2312"/>
          <w:spacing w:val="-4"/>
          <w:sz w:val="32"/>
          <w:szCs w:val="32"/>
        </w:rPr>
      </w:pPr>
      <w:r>
        <w:rPr>
          <w:rStyle w:val="19"/>
          <w:rFonts w:hint="eastAsia" w:ascii="楷体" w:hAnsi="楷体" w:eastAsia="楷体"/>
          <w:b w:val="0"/>
          <w:bCs w:val="0"/>
          <w:spacing w:val="-4"/>
          <w:sz w:val="32"/>
          <w:szCs w:val="32"/>
        </w:rPr>
        <w:t>六、主要经验及做法、存在的问题及原因分析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（一）主要经验及做法</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科学、合理做好项目经费预算编制工作。根据年度业务工作计划及项目业务流程，参考历年经费使用情况，认真测算、合理分配项目经费，做好项目经费分配使用计划，确保当年项目实施经费充足、资金分配科学、合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建立健全经费管理使用规章制度。在经费使用方面，严格执行经费使用管理制度，厉行节约，专款专用，对每笔经费使用情况建立监督机制，确保经费使用合理合规。对于重大经费支出等问题实行主委办公会集体研究讨论，确保项目按计划进行，项目资金支付安排高效、合理，杜绝截留、挤占或挪用项目资金的情况发生。</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提高项目经费使用效益。为有效推进项目工作开展，提高财政资金使用效益，明确责任和时间节点，及时对项目实施进度与资金支付进度进行全程跟踪问效，发现问题及时解决，确保项目按时保质完成，保障了项目效益发挥。</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（二）存在的问题及原因分析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 xml:space="preserve"> 1. 参政议政质量不高。虽然提交的参政议政成果数量增加，但部分建议缺乏深度和可操作性，未能充分反映群众关切或解决实际问题。在昌吉州政协会议上，部分提案因针对性不强或缺乏具体实施路径，未能被相关部门采纳。原因分析：资源投入不足。参政议政项目预算长期未增长，导致调研经费紧张，难以吸引外部专家参与。专职工作人员少，兼职成员精力分散，影响项目执行效率。 </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 xml:space="preserve">   2. 知情渠道不畅。成员获取政府工作信息和政策动态的渠道有限，主要依赖</w:t>
      </w:r>
      <w:r>
        <w:rPr>
          <w:rStyle w:val="19"/>
          <w:rFonts w:hint="eastAsia" w:ascii="楷体" w:hAnsi="楷体" w:eastAsia="楷体"/>
          <w:b w:val="0"/>
          <w:bCs w:val="0"/>
          <w:spacing w:val="-4"/>
          <w:sz w:val="32"/>
          <w:szCs w:val="32"/>
          <w:lang w:eastAsia="zh-CN"/>
        </w:rPr>
        <w:t>全国两会</w:t>
      </w:r>
      <w:r>
        <w:rPr>
          <w:rStyle w:val="19"/>
          <w:rFonts w:hint="eastAsia" w:ascii="楷体" w:hAnsi="楷体" w:eastAsia="楷体"/>
          <w:b w:val="0"/>
          <w:bCs w:val="0"/>
          <w:spacing w:val="-4"/>
          <w:sz w:val="32"/>
          <w:szCs w:val="32"/>
        </w:rPr>
        <w:t xml:space="preserve">和政情通报会，难以获取第一手资料。部分建议因信息滞后或不完整，难以提出前瞻性对策。原因分析：能力建设滞后。参政议政专题培训频次低，内容针对性不强，成员能力提升缓慢。对新兴领域（如数字经济、生态文明）的研究不足，建议滞后于政策需求。 </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 xml:space="preserve">  3. 调查研究深度不足。经费报销限制、激励机制缺失，导致调研团队组建困难，部分调研流于形式。在优化营商环境等课题中，因调研范围有限，部分建议未能触及核心问题。原因分析：外部协作不足。与政府部门、高校、研究机构的合作机制不健全，资源整合能力有限。公众意见征集渠道单一，部分建议未能充分反映民意。</w:t>
      </w:r>
    </w:p>
    <w:p w14:paraId="40854EA2">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lang w:val="en-US" w:eastAsia="zh-CN"/>
        </w:rPr>
        <w:t>六</w:t>
      </w:r>
      <w:r>
        <w:rPr>
          <w:rStyle w:val="19"/>
          <w:rFonts w:hint="eastAsia" w:ascii="黑体" w:hAnsi="黑体" w:eastAsia="黑体"/>
          <w:b w:val="0"/>
          <w:spacing w:val="-4"/>
          <w:sz w:val="32"/>
          <w:szCs w:val="32"/>
        </w:rPr>
        <w:t>、有关建议</w:t>
      </w:r>
    </w:p>
    <w:p w14:paraId="07A83BA7">
      <w:pPr>
        <w:spacing w:line="540" w:lineRule="exact"/>
        <w:ind w:firstLine="567"/>
        <w:rPr>
          <w:rStyle w:val="19"/>
          <w:rFonts w:ascii="楷体" w:hAnsi="楷体" w:eastAsia="楷体"/>
          <w:spacing w:val="-4"/>
          <w:sz w:val="32"/>
          <w:szCs w:val="32"/>
        </w:rPr>
      </w:pPr>
      <w:r>
        <w:rPr>
          <w:rStyle w:val="19"/>
          <w:rFonts w:hint="eastAsia" w:ascii="楷体" w:hAnsi="楷体" w:eastAsia="楷体"/>
          <w:b w:val="0"/>
          <w:bCs w:val="0"/>
          <w:spacing w:val="-4"/>
          <w:sz w:val="32"/>
          <w:szCs w:val="32"/>
        </w:rPr>
        <w:t xml:space="preserve"> 1. 提升参政议政质量。建立“小切口、深挖掘”调研机制，聚焦医疗、教育等民生领域，形成高质量报告。引入第三方机构对提案进行可行性评估，确保建议落地性。加强人才队伍建设。与高校合作开设参政议政能力提升班，重点培养年轻骨干。设立“特聘专家”制度，吸引高校、研究机构学者参与课题研究。 </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 xml:space="preserve">  2. 畅通知情渠道。推动建立政府-民主党派定期联席会议制度，确保信息共享。利用大数据平台整合政策文件、民生数据，为成员提供实时查询服务。完善调查研究机制。允许调研经费覆盖专家咨询费、数据采集费，提升调研专业性。将参政议政成果纳入成员考核体系，对优秀提案给予物质和精神奖励。 </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 xml:space="preserve">  3. 优化人员结构。重点发展经济、法律、科技等领域青年人才，改善年龄和专业结构。联合其他民主党派、无党派人士开展联合调研，整合多领域资源。强化社会联动。通过线上问卷、社区座谈会等形式拓宽公众参与渠道。建立提案办理跟踪机制，定期向社会公布建议落实情况，提升公信力。</w:t>
      </w:r>
    </w:p>
    <w:p w14:paraId="0653C763">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lang w:val="en-US" w:eastAsia="zh-CN"/>
        </w:rPr>
        <w:t>七</w:t>
      </w:r>
      <w:r>
        <w:rPr>
          <w:rStyle w:val="19"/>
          <w:rFonts w:hint="eastAsia" w:ascii="黑体" w:hAnsi="黑体" w:eastAsia="黑体"/>
          <w:b w:val="0"/>
          <w:spacing w:val="-4"/>
          <w:sz w:val="32"/>
          <w:szCs w:val="32"/>
        </w:rPr>
        <w:t>、其他需要说明的问题</w:t>
      </w:r>
    </w:p>
    <w:p w14:paraId="042665CE">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（三）评价结果分别编入政府决算和部门预算，报送本级人民代表大会常务委员会，并依法予以公开。</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14:paraId="3448D101">
      <w:pPr>
        <w:spacing w:line="540" w:lineRule="exact"/>
        <w:ind w:firstLine="567"/>
        <w:rPr>
          <w:rStyle w:val="19"/>
          <w:rFonts w:ascii="仿宋" w:hAnsi="仿宋" w:eastAsia="仿宋"/>
          <w:b w:val="0"/>
          <w:spacing w:val="-4"/>
          <w:sz w:val="32"/>
          <w:szCs w:val="32"/>
        </w:rPr>
      </w:pPr>
    </w:p>
    <w:p w14:paraId="77B4E095">
      <w:pPr>
        <w:spacing w:line="540" w:lineRule="exact"/>
        <w:ind w:firstLine="567"/>
        <w:rPr>
          <w:rStyle w:val="19"/>
          <w:rFonts w:ascii="仿宋" w:hAnsi="仿宋" w:eastAsia="仿宋"/>
          <w:b w:val="0"/>
          <w:spacing w:val="-4"/>
          <w:sz w:val="32"/>
          <w:szCs w:val="32"/>
        </w:rPr>
      </w:pPr>
    </w:p>
    <w:p w14:paraId="2EA76CBB">
      <w:pPr>
        <w:spacing w:line="540" w:lineRule="exact"/>
        <w:ind w:firstLine="567"/>
        <w:rPr>
          <w:rStyle w:val="19"/>
          <w:rFonts w:ascii="仿宋" w:hAnsi="仿宋" w:eastAsia="仿宋"/>
          <w:b w:val="0"/>
          <w:spacing w:val="-4"/>
          <w:sz w:val="32"/>
          <w:szCs w:val="32"/>
        </w:rPr>
      </w:pPr>
    </w:p>
    <w:p w14:paraId="5C031E0D">
      <w:pPr>
        <w:spacing w:line="540" w:lineRule="exact"/>
        <w:ind w:firstLine="567"/>
        <w:rPr>
          <w:rStyle w:val="19"/>
          <w:rFonts w:ascii="仿宋" w:hAnsi="仿宋" w:eastAsia="仿宋"/>
          <w:b w:val="0"/>
          <w:spacing w:val="-4"/>
          <w:sz w:val="32"/>
          <w:szCs w:val="32"/>
        </w:rPr>
      </w:pPr>
    </w:p>
    <w:p w14:paraId="38C017DF">
      <w:pPr>
        <w:spacing w:line="540" w:lineRule="exact"/>
        <w:ind w:firstLine="567"/>
        <w:rPr>
          <w:rStyle w:val="19"/>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6B0257B-9063-4F3D-9D34-4185E8D20C2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C67A81C3-A93C-4651-AE2A-44A22B11984C}"/>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embedRegular r:id="rId3" w:fontKey="{D5089C69-A931-4D12-ACAB-93292C9F9C39}"/>
  </w:font>
  <w:font w:name="华文中宋">
    <w:panose1 w:val="02010600040101010101"/>
    <w:charset w:val="86"/>
    <w:family w:val="auto"/>
    <w:pitch w:val="default"/>
    <w:sig w:usb0="00000287" w:usb1="080F0000" w:usb2="00000000" w:usb3="00000000" w:csb0="0004009F" w:csb1="DFD70000"/>
    <w:embedRegular r:id="rId4" w:fontKey="{8D9C1EE0-32C5-44E5-A31E-3DDF40888048}"/>
  </w:font>
  <w:font w:name="方正小标宋_GBK">
    <w:panose1 w:val="02000000000000000000"/>
    <w:charset w:val="86"/>
    <w:family w:val="script"/>
    <w:pitch w:val="default"/>
    <w:sig w:usb0="A00002BF" w:usb1="38CF7CFA" w:usb2="00082016" w:usb3="00000000" w:csb0="00040001" w:csb1="00000000"/>
    <w:embedRegular r:id="rId5" w:fontKey="{E5B47F94-6594-4798-9ECB-385FC549E487}"/>
  </w:font>
  <w:font w:name="仿宋_GB2312">
    <w:altName w:val="仿宋"/>
    <w:panose1 w:val="00000000000000000000"/>
    <w:charset w:val="86"/>
    <w:family w:val="modern"/>
    <w:pitch w:val="default"/>
    <w:sig w:usb0="00000000" w:usb1="00000000" w:usb2="00000010" w:usb3="00000000" w:csb0="00040000" w:csb1="00000000"/>
    <w:embedRegular r:id="rId6" w:fontKey="{AD8B8BFC-2450-4936-BF62-7FD4D505079B}"/>
  </w:font>
  <w:font w:name="楷体">
    <w:panose1 w:val="02010609060101010101"/>
    <w:charset w:val="86"/>
    <w:family w:val="modern"/>
    <w:pitch w:val="default"/>
    <w:sig w:usb0="800002BF" w:usb1="38CF7CFA" w:usb2="00000016" w:usb3="00000000" w:csb0="00040001" w:csb1="00000000"/>
    <w:embedRegular r:id="rId7" w:fontKey="{6A8850FA-B41C-4855-9977-8D30CE41424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3E7A14F8">
        <w:pPr>
          <w:pStyle w:val="12"/>
          <w:jc w:val="center"/>
        </w:pPr>
        <w:r>
          <w:fldChar w:fldCharType="begin"/>
        </w:r>
        <w:r>
          <w:instrText xml:space="preserve">PAGE   \* MERGEFORMAT</w:instrText>
        </w:r>
        <w:r>
          <w:fldChar w:fldCharType="separate"/>
        </w:r>
        <w:r>
          <w:rPr>
            <w:lang w:val="zh-CN"/>
          </w:rPr>
          <w:t>2</w:t>
        </w:r>
        <w:r>
          <w:fldChar w:fldCharType="end"/>
        </w:r>
      </w:p>
    </w:sdtContent>
  </w:sdt>
  <w:p w14:paraId="58D9FEB1">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singleLevel"/>
    <w:tmpl w:val="0053208E"/>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000000"/>
    <w:rsid w:val="0E592BE7"/>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6"/>
    <w:semiHidden/>
    <w:unhideWhenUsed/>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autoRedefine/>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Char"/>
    <w:basedOn w:val="18"/>
    <w:link w:val="2"/>
    <w:qFormat/>
    <w:uiPriority w:val="9"/>
    <w:rPr>
      <w:rFonts w:asciiTheme="majorHAnsi" w:hAnsiTheme="majorHAnsi" w:eastAsiaTheme="majorEastAsia"/>
      <w:b/>
      <w:bCs/>
      <w:kern w:val="32"/>
      <w:sz w:val="32"/>
      <w:szCs w:val="32"/>
    </w:rPr>
  </w:style>
  <w:style w:type="character" w:customStyle="1" w:styleId="22">
    <w:name w:val="标题 2 Char"/>
    <w:basedOn w:val="18"/>
    <w:link w:val="3"/>
    <w:semiHidden/>
    <w:qFormat/>
    <w:uiPriority w:val="9"/>
    <w:rPr>
      <w:rFonts w:asciiTheme="majorHAnsi" w:hAnsiTheme="majorHAnsi" w:eastAsiaTheme="majorEastAsia"/>
      <w:b/>
      <w:bCs/>
      <w:i/>
      <w:iCs/>
      <w:sz w:val="28"/>
      <w:szCs w:val="28"/>
    </w:rPr>
  </w:style>
  <w:style w:type="character" w:customStyle="1" w:styleId="23">
    <w:name w:val="标题 3 Char"/>
    <w:basedOn w:val="18"/>
    <w:link w:val="4"/>
    <w:semiHidden/>
    <w:qFormat/>
    <w:uiPriority w:val="9"/>
    <w:rPr>
      <w:rFonts w:asciiTheme="majorHAnsi" w:hAnsiTheme="majorHAnsi" w:eastAsiaTheme="majorEastAsia"/>
      <w:b/>
      <w:bCs/>
      <w:sz w:val="26"/>
      <w:szCs w:val="26"/>
    </w:rPr>
  </w:style>
  <w:style w:type="character" w:customStyle="1" w:styleId="24">
    <w:name w:val="标题 4 Char"/>
    <w:basedOn w:val="18"/>
    <w:link w:val="5"/>
    <w:semiHidden/>
    <w:qFormat/>
    <w:uiPriority w:val="9"/>
    <w:rPr>
      <w:b/>
      <w:bCs/>
      <w:sz w:val="28"/>
      <w:szCs w:val="28"/>
    </w:rPr>
  </w:style>
  <w:style w:type="character" w:customStyle="1" w:styleId="25">
    <w:name w:val="标题 5 Char"/>
    <w:basedOn w:val="18"/>
    <w:link w:val="6"/>
    <w:semiHidden/>
    <w:qFormat/>
    <w:uiPriority w:val="9"/>
    <w:rPr>
      <w:b/>
      <w:bCs/>
      <w:i/>
      <w:iCs/>
      <w:sz w:val="26"/>
      <w:szCs w:val="26"/>
    </w:rPr>
  </w:style>
  <w:style w:type="character" w:customStyle="1" w:styleId="26">
    <w:name w:val="标题 6 Char"/>
    <w:basedOn w:val="18"/>
    <w:link w:val="7"/>
    <w:semiHidden/>
    <w:qFormat/>
    <w:uiPriority w:val="9"/>
    <w:rPr>
      <w:b/>
      <w:bCs/>
    </w:rPr>
  </w:style>
  <w:style w:type="character" w:customStyle="1" w:styleId="27">
    <w:name w:val="标题 7 Char"/>
    <w:basedOn w:val="18"/>
    <w:link w:val="8"/>
    <w:semiHidden/>
    <w:qFormat/>
    <w:uiPriority w:val="9"/>
    <w:rPr>
      <w:sz w:val="24"/>
      <w:szCs w:val="24"/>
    </w:rPr>
  </w:style>
  <w:style w:type="character" w:customStyle="1" w:styleId="28">
    <w:name w:val="标题 8 Char"/>
    <w:basedOn w:val="18"/>
    <w:link w:val="9"/>
    <w:semiHidden/>
    <w:qFormat/>
    <w:uiPriority w:val="9"/>
    <w:rPr>
      <w:i/>
      <w:iCs/>
      <w:sz w:val="24"/>
      <w:szCs w:val="24"/>
    </w:rPr>
  </w:style>
  <w:style w:type="character" w:customStyle="1" w:styleId="29">
    <w:name w:val="标题 9 Char"/>
    <w:basedOn w:val="18"/>
    <w:link w:val="10"/>
    <w:semiHidden/>
    <w:qFormat/>
    <w:uiPriority w:val="9"/>
    <w:rPr>
      <w:rFonts w:asciiTheme="majorHAnsi" w:hAnsiTheme="majorHAnsi" w:eastAsiaTheme="majorEastAsia"/>
    </w:rPr>
  </w:style>
  <w:style w:type="character" w:customStyle="1" w:styleId="30">
    <w:name w:val="标题 Char"/>
    <w:basedOn w:val="18"/>
    <w:link w:val="15"/>
    <w:qFormat/>
    <w:uiPriority w:val="10"/>
    <w:rPr>
      <w:rFonts w:asciiTheme="majorHAnsi" w:hAnsiTheme="majorHAnsi" w:eastAsiaTheme="majorEastAsia"/>
      <w:b/>
      <w:bCs/>
      <w:kern w:val="28"/>
      <w:sz w:val="32"/>
      <w:szCs w:val="32"/>
    </w:rPr>
  </w:style>
  <w:style w:type="character" w:customStyle="1" w:styleId="31">
    <w:name w:val="副标题 Char"/>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Char"/>
    <w:basedOn w:val="18"/>
    <w:link w:val="13"/>
    <w:qFormat/>
    <w:uiPriority w:val="99"/>
    <w:rPr>
      <w:rFonts w:ascii="Calibri" w:hAnsi="Calibri" w:eastAsia="宋体"/>
      <w:kern w:val="2"/>
      <w:sz w:val="18"/>
      <w:szCs w:val="18"/>
    </w:rPr>
  </w:style>
  <w:style w:type="character" w:customStyle="1" w:styleId="45">
    <w:name w:val="页脚 Char"/>
    <w:basedOn w:val="18"/>
    <w:link w:val="12"/>
    <w:qFormat/>
    <w:uiPriority w:val="99"/>
    <w:rPr>
      <w:rFonts w:ascii="Calibri" w:hAnsi="Calibri" w:eastAsia="宋体"/>
      <w:kern w:val="2"/>
      <w:sz w:val="18"/>
      <w:szCs w:val="18"/>
    </w:rPr>
  </w:style>
  <w:style w:type="character" w:customStyle="1" w:styleId="46">
    <w:name w:val="批注框文本 Char"/>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

<file path=customXml/itemProps1.xml><?xml version="1.0" encoding="utf-8"?>
<ds:datastoreItem xmlns:ds="http://schemas.openxmlformats.org/officeDocument/2006/customXml" ds:itemID="{c32ea77d-faa0-4f4e-bd14-a267785a8ea4}">
  <ds:schemaRefs/>
</ds:datastoreItem>
</file>

<file path=docProps/app.xml><?xml version="1.0" encoding="utf-8"?>
<Properties xmlns="http://schemas.openxmlformats.org/officeDocument/2006/extended-properties" xmlns:vt="http://schemas.openxmlformats.org/officeDocument/2006/docPropsVTypes">
  <Template>Normal.dotm</Template>
  <Pages>27</Pages>
  <Words>14072</Words>
  <Characters>15003</Characters>
  <Lines>4</Lines>
  <Paragraphs>1</Paragraphs>
  <TotalTime>7</TotalTime>
  <ScaleCrop>false</ScaleCrop>
  <LinksUpToDate>false</LinksUpToDate>
  <CharactersWithSpaces>15044</CharactersWithSpaces>
  <Application>WPS Office_12.1.0.26890_F1E327BC-269C-435d-A152-05C5408002CA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恺_xFF08_预算处_xFF09_</dc:creator>
  <cp:lastModifiedBy>小麦啾</cp:lastModifiedBy>
  <cp:lastPrinted>2018-12-31T10:56:00Z</cp:lastPrinted>
  <dcterms:modified xsi:type="dcterms:W3CDTF">2026-06-01T08:29:57Z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2052-12.1.0.26890</vt:lpwstr>
  </property>
  <property fmtid="{D5CDD505-2E9C-101B-9397-08002B2CF9AE}" pid="3" name="ICV">
    <vt:lpwstr>86A4BE803B594D54BB30BEB283D7FDDD_13</vt:lpwstr>
  </property>
  <property fmtid="{D5CDD505-2E9C-101B-9397-08002B2CF9AE}" pid="4" name="KSOTemplateDocerSaveRecord">
    <vt:lpwstr>eyJoZGlkIjoiZGZmMjg3MDQ2MzExNDk0OWY5M2UwNzBmOWViMDBkMGMiLCJ1c2VySWQiOiIzMjQ5NjUzODcifQ==</vt:lpwstr>
  </property>
</Properties>
</file>