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CB0D6">
      <w:bookmarkStart w:id="0" w:name="_GoBack"/>
      <w:bookmarkEnd w:id="0"/>
    </w:p>
    <w:p w14:paraId="3AAA991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95C179C">
      <w:pPr>
        <w:spacing w:line="540" w:lineRule="exact"/>
        <w:jc w:val="center"/>
        <w:rPr>
          <w:rFonts w:ascii="华文中宋" w:hAnsi="华文中宋" w:eastAsia="华文中宋" w:cs="宋体"/>
          <w:b/>
          <w:kern w:val="0"/>
          <w:sz w:val="52"/>
          <w:szCs w:val="52"/>
        </w:rPr>
      </w:pPr>
    </w:p>
    <w:p w14:paraId="3138891C">
      <w:pPr>
        <w:spacing w:line="540" w:lineRule="exact"/>
        <w:jc w:val="center"/>
        <w:rPr>
          <w:rFonts w:ascii="华文中宋" w:hAnsi="华文中宋" w:eastAsia="华文中宋" w:cs="宋体"/>
          <w:b/>
          <w:kern w:val="0"/>
          <w:sz w:val="52"/>
          <w:szCs w:val="52"/>
        </w:rPr>
      </w:pPr>
    </w:p>
    <w:p w14:paraId="04F2DA19">
      <w:pPr>
        <w:spacing w:line="540" w:lineRule="exact"/>
        <w:jc w:val="center"/>
        <w:rPr>
          <w:rFonts w:ascii="华文中宋" w:hAnsi="华文中宋" w:eastAsia="华文中宋" w:cs="宋体"/>
          <w:b/>
          <w:kern w:val="0"/>
          <w:sz w:val="52"/>
          <w:szCs w:val="52"/>
        </w:rPr>
      </w:pPr>
    </w:p>
    <w:p w14:paraId="197FF97D">
      <w:pPr>
        <w:spacing w:line="540" w:lineRule="exact"/>
        <w:jc w:val="center"/>
        <w:rPr>
          <w:rFonts w:ascii="华文中宋" w:hAnsi="华文中宋" w:eastAsia="华文中宋" w:cs="宋体"/>
          <w:b/>
          <w:kern w:val="0"/>
          <w:sz w:val="52"/>
          <w:szCs w:val="52"/>
        </w:rPr>
      </w:pPr>
    </w:p>
    <w:p w14:paraId="613BC800">
      <w:pPr>
        <w:spacing w:line="540" w:lineRule="exact"/>
        <w:jc w:val="center"/>
        <w:rPr>
          <w:rFonts w:ascii="华文中宋" w:hAnsi="华文中宋" w:eastAsia="华文中宋" w:cs="宋体"/>
          <w:b/>
          <w:kern w:val="0"/>
          <w:sz w:val="52"/>
          <w:szCs w:val="52"/>
        </w:rPr>
      </w:pPr>
    </w:p>
    <w:p w14:paraId="42FA6DAC">
      <w:pPr>
        <w:spacing w:line="540" w:lineRule="exact"/>
        <w:jc w:val="center"/>
        <w:rPr>
          <w:rFonts w:ascii="华文中宋" w:hAnsi="华文中宋" w:eastAsia="华文中宋" w:cs="宋体"/>
          <w:b/>
          <w:kern w:val="0"/>
          <w:sz w:val="52"/>
          <w:szCs w:val="52"/>
        </w:rPr>
      </w:pPr>
    </w:p>
    <w:p w14:paraId="0F0271A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E9515D5">
      <w:pPr>
        <w:spacing w:line="540" w:lineRule="exact"/>
        <w:jc w:val="center"/>
        <w:rPr>
          <w:rFonts w:ascii="华文中宋" w:hAnsi="华文中宋" w:eastAsia="华文中宋" w:cs="宋体"/>
          <w:b/>
          <w:kern w:val="0"/>
          <w:sz w:val="52"/>
          <w:szCs w:val="52"/>
        </w:rPr>
      </w:pPr>
    </w:p>
    <w:p w14:paraId="14265B9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E6F5739">
      <w:pPr>
        <w:spacing w:line="540" w:lineRule="exact"/>
        <w:jc w:val="center"/>
        <w:rPr>
          <w:rFonts w:hAnsi="宋体" w:eastAsia="仿宋_GB2312" w:cs="宋体"/>
          <w:kern w:val="0"/>
          <w:sz w:val="30"/>
          <w:szCs w:val="30"/>
        </w:rPr>
      </w:pPr>
    </w:p>
    <w:p w14:paraId="6AE289A0">
      <w:pPr>
        <w:spacing w:line="540" w:lineRule="exact"/>
        <w:jc w:val="center"/>
        <w:rPr>
          <w:rFonts w:hAnsi="宋体" w:eastAsia="仿宋_GB2312" w:cs="宋体"/>
          <w:kern w:val="0"/>
          <w:sz w:val="30"/>
          <w:szCs w:val="30"/>
        </w:rPr>
      </w:pPr>
    </w:p>
    <w:p w14:paraId="6C017A13">
      <w:pPr>
        <w:spacing w:line="540" w:lineRule="exact"/>
        <w:jc w:val="center"/>
        <w:rPr>
          <w:rFonts w:hAnsi="宋体" w:eastAsia="仿宋_GB2312" w:cs="宋体"/>
          <w:kern w:val="0"/>
          <w:sz w:val="30"/>
          <w:szCs w:val="30"/>
        </w:rPr>
      </w:pPr>
    </w:p>
    <w:p w14:paraId="60307323">
      <w:pPr>
        <w:spacing w:line="540" w:lineRule="exact"/>
        <w:jc w:val="center"/>
        <w:rPr>
          <w:rFonts w:hAnsi="宋体" w:eastAsia="仿宋_GB2312" w:cs="宋体"/>
          <w:kern w:val="0"/>
          <w:sz w:val="30"/>
          <w:szCs w:val="30"/>
        </w:rPr>
      </w:pPr>
    </w:p>
    <w:p w14:paraId="2B9DAFDF">
      <w:pPr>
        <w:spacing w:line="540" w:lineRule="exact"/>
        <w:jc w:val="center"/>
        <w:rPr>
          <w:rFonts w:hAnsi="宋体" w:eastAsia="仿宋_GB2312" w:cs="宋体"/>
          <w:kern w:val="0"/>
          <w:sz w:val="30"/>
          <w:szCs w:val="30"/>
        </w:rPr>
      </w:pPr>
    </w:p>
    <w:p w14:paraId="4F452EBE">
      <w:pPr>
        <w:spacing w:line="540" w:lineRule="exact"/>
        <w:jc w:val="center"/>
        <w:rPr>
          <w:rFonts w:hAnsi="宋体" w:eastAsia="仿宋_GB2312" w:cs="宋体"/>
          <w:kern w:val="0"/>
          <w:sz w:val="30"/>
          <w:szCs w:val="30"/>
        </w:rPr>
      </w:pPr>
    </w:p>
    <w:p w14:paraId="5862F88F">
      <w:pPr>
        <w:spacing w:line="540" w:lineRule="exact"/>
        <w:rPr>
          <w:rFonts w:hAnsi="宋体" w:eastAsia="仿宋_GB2312" w:cs="宋体"/>
          <w:kern w:val="0"/>
          <w:sz w:val="30"/>
          <w:szCs w:val="30"/>
        </w:rPr>
      </w:pPr>
    </w:p>
    <w:p w14:paraId="36ED43B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4D0D86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环境监测运转费</w:t>
      </w:r>
    </w:p>
    <w:p w14:paraId="075488E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生态环境局玛纳斯县分局</w:t>
      </w:r>
    </w:p>
    <w:p w14:paraId="16A3E3B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生态环境局玛纳斯县分局</w:t>
      </w:r>
    </w:p>
    <w:p w14:paraId="7AA40B8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兰瑞</w:t>
      </w:r>
    </w:p>
    <w:p w14:paraId="42922683">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2025年05月08日</w:t>
      </w:r>
    </w:p>
    <w:p w14:paraId="440239EA">
      <w:pPr>
        <w:spacing w:line="700" w:lineRule="exact"/>
        <w:ind w:firstLine="708" w:firstLineChars="236"/>
        <w:jc w:val="left"/>
        <w:rPr>
          <w:rFonts w:hAnsi="宋体" w:eastAsia="仿宋_GB2312" w:cs="宋体"/>
          <w:kern w:val="0"/>
          <w:sz w:val="30"/>
          <w:szCs w:val="30"/>
        </w:rPr>
      </w:pPr>
    </w:p>
    <w:p w14:paraId="62583DFF">
      <w:pPr>
        <w:spacing w:line="540" w:lineRule="exact"/>
        <w:rPr>
          <w:rStyle w:val="19"/>
          <w:rFonts w:ascii="黑体" w:hAnsi="黑体" w:eastAsia="黑体"/>
          <w:b w:val="0"/>
          <w:spacing w:val="-4"/>
          <w:sz w:val="32"/>
          <w:szCs w:val="32"/>
        </w:rPr>
      </w:pPr>
    </w:p>
    <w:p w14:paraId="3CC7DA1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C553A6E">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371E99C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为全面反映环境质量状况和变化趋势，及时跟踪污染源变化情况，准确掌握大气、水、土壤及噪声环境质量状况，提升生态环境监测技术水平，确保监测质量并为决策提供依据，</w:t>
      </w:r>
      <w:r>
        <w:rPr>
          <w:rStyle w:val="19"/>
          <w:rFonts w:hint="eastAsia" w:ascii="楷体" w:hAnsi="楷体" w:eastAsia="楷体"/>
          <w:b w:val="0"/>
          <w:bCs w:val="0"/>
          <w:spacing w:val="-4"/>
          <w:sz w:val="32"/>
          <w:szCs w:val="32"/>
          <w:lang w:eastAsia="zh-CN"/>
        </w:rPr>
        <w:t>根据</w:t>
      </w:r>
      <w:r>
        <w:rPr>
          <w:rStyle w:val="19"/>
          <w:rFonts w:hint="eastAsia" w:ascii="楷体" w:hAnsi="楷体" w:eastAsia="楷体"/>
          <w:b w:val="0"/>
          <w:bCs w:val="0"/>
          <w:spacing w:val="-4"/>
          <w:sz w:val="32"/>
          <w:szCs w:val="32"/>
        </w:rPr>
        <w:t>《自治区生态环境机构监测监察执法垂直管理制度改革的实施方案》（新党厅字〔2019〕60号）、《关于调整县市生态环境监测管理体制有关事宜的通知》昌州党编委〔2022〕54号、《昌吉州生态环境监测方案》及生态环境监测机构工作职责，为了提升监测人员业务水平，确保生态环境质量保持稳定，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（1）项目名称：环境监测运转费（以下简称“该项目”或“项目”）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确保生态环境监测实施方案中各项工作顺利完成，按计划完成辖区土壤、生态、水质采样及噪声监测等常规生态环境监测工作；确保辖区内区控环境空气自动监测站及机动车尾气执法站房稳定运行；监测站实验室基础设施维修维护费；监测技术人员参加实验室质量运行管理培训；监测仪器设备维修、维护、检定、校准；监测站实验室危废处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实施主体：昌吉州生态环境局玛纳斯县分局（原玛纳斯县生态环境监测站）。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实施时间：本项目实施周期为2024年1月1日-2024年12月31日。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年初财政下达环境监测运转费7.00万元用于保障日常办公耗材及水电费用，保障监测运行正常，开展环境空气、农村生态、农村污水及噪声监测工作,对实验室仪器设备进行鉴定、维修、维护,组织人员开展各类业务培训，提升执法监测和应急监测能力，缩短突发事件环境处置监测时限，促进环境污染事件快速处置。截止2024年12月31日，项目主要完成内容如下：开展噪声监测工作4.00次、空气与废气专项监测1.00次；开展仪器设备鉴定、维修、维护1.00次；人员参加各类业务培训1.00次；实验室仪器检定合格率达到100.00%；设备运转率达到100.00%。通过实施本项目，提升了监测人员业务能力水平，确保生态环境质量保持稳定，对生态环境的满意度达到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生态环境局玛纳斯县分局为行政职能部门，目前下设玛纳斯县生态环境保护局综合行政执法大队、玛纳斯县生态环境监测站。主要职责是实施环境监督管理和环境监测分析管理，组织协调和监督污染防治工作，负责全县化学品环境管理工作，制定并实施玛纳斯县污染总量控制和污染减排工作，组织实施排污申报登记和排污许可证，排污收费、环境影响评价、“三同时”等国家制定的各项环境管理制度，指导协调监督全县生态环境保护工作及全县生态环境保护规划的组织实施，负责全县环境监测、统计、信息发布工作，组织指导和协调环境保护宣传教育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玛纳斯县生态环境监测站单位机构设置：无下属预算单位，内设7个科室，分别是：行政办、财务室、生态宣教办、党建办、污控办、监察法规办、生态环境监测站。昌吉州生态环境局玛纳斯县分局单位人员总数23名，其中：在职17名，退休6名，离休0名。实有人员23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本项目预算安排总额为7.00万元，资金来源为本级部门预算，其中：财政资金7.00万元，其他资金0.00万元，2024年实际收到预算资金7.00万元，预算资金到位率为100.00%。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6.90万元，预算执行率98.57%，项目资金剩余0.10万元未支付，年底指标已退回财政局。本项目资金主要用于支付日常办公费用费用6.00万元、实验室仪器设备检定维修维护费用0.90万元。</w:t>
      </w:r>
    </w:p>
    <w:p w14:paraId="6453327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1C9A24E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（二）项目绩效目标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本年度总体目标为保障日常办公耗材及水电费用，保障监测运行正常，开展环境空气、农村生态、农村污水及噪声监测工作,对实验室仪器设备进行鉴定、维修、维护,组织人员开展各类业务培训，提升执法监测和应急监测能力，缩短突发事件环境处置监测时限，促进环境污染事件快速处置，通过实施本项目，提升了监测人员业务能力水平，确保生态环境质量保持稳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“开展环境空气、农村生态、农村污水及噪声监测工作”指标，预期指标值为“≥4次”；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“仪器设备鉴定、维修、维护”指标，预期指标值为“≥1次”；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“人员参加各类业务培训”指标，预期指标值为“≥1次”；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“实验室仪器检定合格率”指标，预期指标值为“≥90%”；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“设备运转率”指标，预期指标值为“≥90%”；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“监测人员业务能力提升率”指标，预期指标值为“有效提升”；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“确保生态环境质量保持稳定”指标，预期指标值为“有效保证”；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“确保生态环境质量保持稳定”指标，预期指标值为“大于等于90%”。</w:t>
      </w:r>
    </w:p>
    <w:p w14:paraId="67441D9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A5D008B">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8A41D5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的通知）、《关于印发&lt;自治区项目支出绩效目标设置指引&gt;的通知》（新财预〔2022〕42号）文件精神，我单位针对环境监测运转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此次我单位根据《财政支出绩效评价管理暂行办法》（财预〔2020〕10号）文件要求实施评价工作，本次评价对象为环境监测运转费项目，评价核心为项目资金、项目产出、项目效益。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272C1D0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3A5DD2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（二）绩效评价原则、评价指标体系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955803A">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5717124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（三）绩效评价工作过程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李跟丽（评价小组组长）：主要负责项目策划和监督，全面负责项目绩效评价报告的最终质量，对评价人员出具的最终报告质量进行复核，确保评估结果的客观性；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梁苏新（评价小组组员）：主要负责资料的收集，取证、数据统计分析；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兰瑞（评价小组组员）：主要负责项目报告的制定，指标的研判，数据分析及报告撰写。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18日-3月7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2025年3月7日-3月9日，评价小组按照绩效评价的原则和规范，对取得的资料进行审查核实，对采集的数据进行分析，按照绩效评价指标评分表逐项进行打分、分析、汇总各方评价结果。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2025年3月10日-3月15日，评价小组撰写绩效评价报告，按照新疆维吾尔自治区财政绩效管理信息系统绩效评价模块中统一格式和文本框架撰写绩效评价报告并提交审核。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FF7540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5A4C02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较大程度达成年初设立的绩效目标，在实施过程中取得了良好的成效，具体表现在：通过项目的实施，完成了开展噪声监测工作4.00次、空气与废气专项监测1.00次；开展仪器设备鉴定、维修、维护1.00次；人员参加各类业务培训1.00次；实验室仪器检定合格率达到100.00%；设备运转率达到100.00%。通过实施本项目，提升了监测人员业务能力水平，确保生态环境质量保持稳定，对生态环境的满意度达到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100.00%；过程管理类指标共设置5个，满分指标5个，得分率100%；项目产出类指标共设置5个，满分指标5个，得分率100.00%；项目效益类指标共设置2个，满分指标2个，得分率100.00%；项目满意度类指标共设置1个，满分指标1个，得分率100.00%。详细情况见“表3-1：项目综合得分表”及“附件2：项目综合得分表”。</w:t>
      </w:r>
    </w:p>
    <w:p w14:paraId="5BE63641">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5B29BC9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CC6E7BD">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项目决策类指标由3个二级指标和6个三级指标构成，权重分21.00分，实际得分21.00分。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吉州颁发的《关于调整县市生态环境监测管理体制有关事宜的通知》（昌州党编委〔2022〕54号）中：“全面反映环境质量状况和变化趋势，及时跟踪污染源变化情况，准确掌握大气、水、土壤及噪声环境质量状况，提升生态环境监测技术水平，确保监测质量并为决策提供依据”；符合行业发展规划和政策要求；本项目立项符合《玛纳斯县生态环境监测站单位配置内设机构和人员编制规定》中职责范围中的“环境监测”，属于我单位履职所需；根据《财政资金直接支付申请书》，本项目资金性质为“公共财政预算”功能分类为“2111101环境监测与信息”经济分类为“50502商品和服务支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生态环境监测方案》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确保生态环境监测实施方案中各项工作顺利完成，按计划完成辖区土壤、生态、水质采样及噪声监测等常规生态环境监测工作；确保辖区内区控环境空气自动监测站及机动车尾气执法站房稳定运行；监测站实验室基础设施维修维护费；监测技术人员参加实验室质量运行管理培训；监测仪器设备维修、维护、检定、校准；监测站实验室危废处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用于保障日常办公耗材及水电费用，保障监测运行正常，开展环境空气、农村生态、农村污水及噪声监测工作,对实验室仪器设备进行鉴定、维修、维护,组织人员开展各类业务培训，提升执法监测和应急监测能力，缩短突发事件环境处置监测时限，促进环境污染事件快速处置。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生态效益指标、社会效益指标、满意度指标，完成了开展噪声监测工作4.00次、空气与废气专项监测1.00次；开展仪器设备鉴定、维修、维护1.00次；人员参加各类业务培训1.00次；实验室仪器检定合格率达到100.00%；设备运转率达到100.00%。通过实施本项目，提升了监测人员业务能力水平，确保生态环境质量保持稳定，对生态环境的满意度达到100.00%，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④该项目批复的预算金额为7.00万元，《项目支出绩效目标表》中预算金额为7.00万元，预算确定的项目资金与预算确定的项目投资额相匹配。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8个，定量指标6个，定性指标2个，指标量化率为100.00%，量化率达75.00%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开展环境空气、农村生态、农村污水及噪声监测工”、“仪器设备鉴定、维修、维护”、“人员参加各类业务培训”，三级指标的年度指标值与年度绩效目标中任务数一致，未设置时效指标。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本项目严格按照《生态环境监测方案》文件要求实施，即预算编制较科学且经过论证；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环境监测运转费，项目实际内容为确保生态环境监测实施方案中各项工作顺利完成，按计划完成辖区土壤、生态、水质采样及噪声监测等常规生态环境监测工作；确保辖区内区控环境空气自动监测站及机动车尾气执法站房稳定运行；监测站实验室基础设施维修维护费；监测技术人员参加实验室质量运行管理培训；监测仪器设备维修、维护、检定、校准；监测站实验室危废处理，预算申请与《环境监测运转费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7.00万元，我单位在预算申请中严格按照项目实施内容及测算标准进行核算，其中：环境监测运转费7.00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环境监测运转费项目资金的请示》和《环境监测运转费项目实施方案》为依据进行资金分配，预算资金分配依据充分。根据《环境监测运转费项目资金下达文件》，本项目实际到位资金7.00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18C8D7C4">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5822137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（二）项目过程情况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本项目预算资金为7.00万元，其中：财政安排资金7.00万元，其他资金0.00万元，实际到位资金7.00万元，资金到位率=（7.00/7.00）×100.00%=100.00%。得分=（100.00%-60.00%）/（100.00%-60.00%）×4.00=4.00分。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本项目实际支出资金6.90万元，预算执行率=（实际支出资金/实际到位资金）×100.00%=（6.90/7.00）×100.00%=98.57%；</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项目已完成，总体完成率为104.17%；总体目标完成率≥100.0%且90.0%≤执行率≤100.0%，得分5.00分。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昌吉州生态环境局玛纳斯县分局单位资金管理办法》《环境监测运转费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昌吉州生态环境局玛纳斯县分局资金管理办法》《昌吉州生态环境局玛纳斯县分局收支业务管理制度》《昌吉州生态环境局玛纳斯县分局政府采购业务管理制度》《昌吉州生态环境局玛纳斯县分局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昌吉州生态环境局玛纳斯县分局资金管理办法》《昌吉州生态环境局玛纳斯县分局收支业务管理制度》《昌吉州生态环境局玛纳斯县分局政府采购业务管理制度》《昌吉州生态环境局玛纳斯县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环境监测运转费项目工作领导小组，由黄晓望任组长，负责项目的组织工作；王雪柏任副组长，负责项目的实施工作；组员包括：郎青、段红燕，财务人员帕提曼，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211047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75B9FD8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（三）项目产出情况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项目产出类指标由2个二级指标和5个三级指标构成，权重分30.00分，实际得分30.00分。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“开展环境空气、农村生态、农村污水及噪声监测工作。 ”指标：预期指标值为“大于等于4次”，实际完成指标值为“等于4次”，指标完成率为100.00%。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综上所述，本指标满分为8.00分，根据评分标准得8.00分。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“仪器设备鉴定、维修、维护”指标：预期指标值为“等于1次”，实际完成指标值为“等于1次”，指标完成率为100.00%。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综上所述，本指标满分为8.00分，根据评分标准得8.00分。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“人员参加各类业务培训”指标：预期指标值为“等于1次”，实际完成指标值为“等于1次”，指标完成率为100.00%。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“实验室仪器检定合格率”指标：预期指标值为“大于等于90%”，实际完成指标值为“等于100%”，指标完成率为111.11%。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“设备运转率”指标：预期指标值为“大于等于90%”，实际完成指标值为“等于100%”，指标完成率为111.11%。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本项目无此类指标。</w:t>
      </w:r>
    </w:p>
    <w:p w14:paraId="30F8D83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2504DAD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项目效益类指标由2个二级指标和2个三级指标构成，权重分20.00分，实际得分20.00分。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“监测人员业务能力提升率”指标：预期指标值为“有效提升”，实际完成指标值为“达到预期指标”指标完成率为100.00%。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“确保生态环境质量保持稳定”指标：预期指标值为“有效保证”，实际完成指标值为“达到预期指标”，指标完成率为100.00%。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3134C17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（五）项目满意度情况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“对生态环境的满意度”指标：预期指标值为“大于等于90%”，实际完成指标值为“等于100%”，指标完成率为111.11%。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本项目年初预算资金总额为7.00万元，全年预算数为7.00万元，全年执行数为6.90万元，预算执行率为98.57%。</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本项目共设置三级指标数量19个，满分指标数量19个，扣分指标数量0个，经分析计算所有三级指标完成率得出，本项目总体完成率为101.85%。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综上所述本项目预算执行率与总体完成率之间的偏差为3.28%。主要偏差原因是：年初编制项目绩效目标时过于保守，年末完成值大于年初设定的目标，项目目标超额完成，导致存在偏差。</w:t>
      </w:r>
    </w:p>
    <w:p w14:paraId="5FF8C2DE">
      <w:pPr>
        <w:spacing w:line="540" w:lineRule="exact"/>
        <w:ind w:firstLine="567"/>
        <w:rPr>
          <w:rStyle w:val="19"/>
          <w:rFonts w:hint="eastAsia" w:ascii="楷体" w:hAnsi="楷体" w:eastAsia="楷体"/>
          <w:b w:val="0"/>
          <w:bCs w:val="0"/>
          <w:spacing w:val="-4"/>
          <w:sz w:val="32"/>
          <w:szCs w:val="32"/>
        </w:rPr>
      </w:pPr>
    </w:p>
    <w:p w14:paraId="6FE379B4">
      <w:pPr>
        <w:spacing w:line="540" w:lineRule="exact"/>
        <w:ind w:firstLine="567"/>
        <w:rPr>
          <w:rStyle w:val="19"/>
          <w:rFonts w:ascii="楷体" w:hAnsi="楷体" w:eastAsia="楷体"/>
          <w:spacing w:val="-4"/>
          <w:sz w:val="32"/>
          <w:szCs w:val="32"/>
        </w:rPr>
      </w:pPr>
    </w:p>
    <w:p w14:paraId="35B16F55">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72BBA91F">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1.年初下达资金未支付完毕，导致预算执行率较低</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预算编制不合理。年初资金分配与项目实际进度不匹配，可能存在资金下达过早或过多的情况，导致后期支付困难。二是支付流程繁琐。审批环节多、流程较长，或部门间协作效率低，影响资金支付进度。三是项目执行滞后。由于前期准备不足、招投标延迟或实施进度缓慢，导致资金无法按计划支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2.部分绩效指标超额完成，导致总体完成率较高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指标设定不科学。目标值设定过低，未能真实反映项目预期效果，导致实际完成远超目标。二是动态调整机制缺失。未根据项目进展及时优化指标和资金分配，造成资源浪费或分配失衡。三是绩效与预算脱节。资金使用未严格对标绩效目标，超额完成部分可能未产生相应效益，或存在“为了花钱而花钱”现象。</w:t>
      </w:r>
    </w:p>
    <w:p w14:paraId="6B195D7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23E52936">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1.针对资金支付问题的建议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优化预算编制。结合项目实际进度和往年执行情况，充分考虑可能会影响支付的各种因素，尽量做到科学、具体的编制预算，争取预算执行率达到百分百。二是简化支付流程。推行简化审批，明确各环节时限，加强部门协同，提高支付效率。三是加强项目督导。定期跟踪项目进展，对执行滞后的项目及时调整资金计划，避免资金沉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2.针对绩效指标超额完成问题的建议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科学设定绩效目标。采用历史数据比对、行业标杆分析等方法，合理设定指标值，确保目标具有挑战性和可实现性。二是建立动态调整机制。年中开展绩效监控，对超额完成或进展滞后的指标及时调整资金支持方向，优化资源配置。三是强化绩效结果应用。将绩效评价结果与下年度预算安排挂钩，对低效或无效支出进行压减，提高资金使用效益。</w:t>
      </w:r>
    </w:p>
    <w:p w14:paraId="047B606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D1F36F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1F3F5053">
      <w:pPr>
        <w:spacing w:line="540" w:lineRule="exact"/>
        <w:ind w:firstLine="567"/>
        <w:rPr>
          <w:rStyle w:val="19"/>
          <w:rFonts w:ascii="仿宋" w:hAnsi="仿宋" w:eastAsia="仿宋"/>
          <w:b w:val="0"/>
          <w:spacing w:val="-4"/>
          <w:sz w:val="32"/>
          <w:szCs w:val="32"/>
        </w:rPr>
      </w:pPr>
    </w:p>
    <w:p w14:paraId="18E3881D">
      <w:pPr>
        <w:spacing w:line="540" w:lineRule="exact"/>
        <w:ind w:firstLine="567"/>
        <w:rPr>
          <w:rStyle w:val="19"/>
          <w:rFonts w:ascii="仿宋" w:hAnsi="仿宋" w:eastAsia="仿宋"/>
          <w:b w:val="0"/>
          <w:spacing w:val="-4"/>
          <w:sz w:val="32"/>
          <w:szCs w:val="32"/>
        </w:rPr>
      </w:pPr>
    </w:p>
    <w:p w14:paraId="4536527B">
      <w:pPr>
        <w:spacing w:line="540" w:lineRule="exact"/>
        <w:ind w:firstLine="567"/>
        <w:rPr>
          <w:rStyle w:val="19"/>
          <w:rFonts w:ascii="仿宋" w:hAnsi="仿宋" w:eastAsia="仿宋"/>
          <w:b w:val="0"/>
          <w:spacing w:val="-4"/>
          <w:sz w:val="32"/>
          <w:szCs w:val="32"/>
        </w:rPr>
      </w:pPr>
    </w:p>
    <w:p w14:paraId="57A2EED2">
      <w:pPr>
        <w:spacing w:line="540" w:lineRule="exact"/>
        <w:ind w:firstLine="567"/>
        <w:rPr>
          <w:rStyle w:val="19"/>
          <w:rFonts w:ascii="仿宋" w:hAnsi="仿宋" w:eastAsia="仿宋"/>
          <w:b w:val="0"/>
          <w:spacing w:val="-4"/>
          <w:sz w:val="32"/>
          <w:szCs w:val="32"/>
        </w:rPr>
      </w:pPr>
    </w:p>
    <w:p w14:paraId="463239FE">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8E4057-9AF9-4971-A326-5A853A5A2B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B573335-7B4E-4172-B5FE-2627E005A70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0F053FB3-2D4B-44BA-A826-3AEC7E6838B1}"/>
  </w:font>
  <w:font w:name="华文中宋">
    <w:panose1 w:val="02010600040101010101"/>
    <w:charset w:val="86"/>
    <w:family w:val="auto"/>
    <w:pitch w:val="default"/>
    <w:sig w:usb0="00000287" w:usb1="080F0000" w:usb2="00000000" w:usb3="00000000" w:csb0="0004009F" w:csb1="DFD70000"/>
    <w:embedRegular r:id="rId4" w:fontKey="{D64C5E67-1EBA-444D-B485-898C8BB78E76}"/>
  </w:font>
  <w:font w:name="方正小标宋_GBK">
    <w:panose1 w:val="02000000000000000000"/>
    <w:charset w:val="86"/>
    <w:family w:val="script"/>
    <w:pitch w:val="default"/>
    <w:sig w:usb0="A00002BF" w:usb1="38CF7CFA" w:usb2="00082016" w:usb3="00000000" w:csb0="00040001" w:csb1="00000000"/>
    <w:embedRegular r:id="rId5" w:fontKey="{63EA8EB8-0B9A-448C-9D8A-6EA3937C9C9A}"/>
  </w:font>
  <w:font w:name="仿宋_GB2312">
    <w:altName w:val="仿宋"/>
    <w:panose1 w:val="00000000000000000000"/>
    <w:charset w:val="86"/>
    <w:family w:val="modern"/>
    <w:pitch w:val="default"/>
    <w:sig w:usb0="00000000" w:usb1="00000000" w:usb2="00000010" w:usb3="00000000" w:csb0="00040000" w:csb1="00000000"/>
    <w:embedRegular r:id="rId6" w:fontKey="{1C1884FC-192B-45F3-A2FD-C01B8A7D8F9D}"/>
  </w:font>
  <w:font w:name="楷体">
    <w:panose1 w:val="02010609060101010101"/>
    <w:charset w:val="86"/>
    <w:family w:val="modern"/>
    <w:pitch w:val="default"/>
    <w:sig w:usb0="800002BF" w:usb1="38CF7CFA" w:usb2="00000016" w:usb3="00000000" w:csb0="00040001" w:csb1="00000000"/>
    <w:embedRegular r:id="rId7" w:fontKey="{ED11C79F-2D74-4516-A40F-DD4E33ACE0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407E794">
        <w:pPr>
          <w:pStyle w:val="12"/>
          <w:jc w:val="center"/>
        </w:pPr>
        <w:r>
          <w:fldChar w:fldCharType="begin"/>
        </w:r>
        <w:r>
          <w:instrText xml:space="preserve">PAGE   \* MERGEFORMAT</w:instrText>
        </w:r>
        <w:r>
          <w:fldChar w:fldCharType="separate"/>
        </w:r>
        <w:r>
          <w:rPr>
            <w:lang w:val="zh-CN"/>
          </w:rPr>
          <w:t>2</w:t>
        </w:r>
        <w:r>
          <w:fldChar w:fldCharType="end"/>
        </w:r>
      </w:p>
    </w:sdtContent>
  </w:sdt>
  <w:p w14:paraId="3BC8F75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036256A7"/>
    <w:rsid w:val="62F54D1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26e0172b-90bc-41ba-948d-b003bbe4cba5}">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13425</Words>
  <Characters>14252</Characters>
  <Lines>4</Lines>
  <Paragraphs>1</Paragraphs>
  <TotalTime>0</TotalTime>
  <ScaleCrop>false</ScaleCrop>
  <LinksUpToDate>false</LinksUpToDate>
  <CharactersWithSpaces>14269</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小麦啾</cp:lastModifiedBy>
  <cp:lastPrinted>2018-12-31T10:56:00Z</cp:lastPrinted>
  <dcterms:modified xsi:type="dcterms:W3CDTF">2026-06-01T08:46:30Z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86A4BE803B594D54BB30BEB283D7FDDD_13</vt:lpwstr>
  </property>
  <property fmtid="{D5CDD505-2E9C-101B-9397-08002B2CF9AE}" pid="4" name="KSOTemplateDocerSaveRecord">
    <vt:lpwstr>eyJoZGlkIjoiZGZmMjg3MDQ2MzExNDk0OWY5M2UwNzBmOWViMDBkMGMiLCJ1c2VySWQiOiIzMjQ5NjUzODcifQ==</vt:lpwstr>
  </property>
</Properties>
</file>