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785218">
      <w:pPr>
        <w:spacing w:line="540" w:lineRule="exact"/>
        <w:jc w:val="left"/>
        <w:rPr>
          <w:rFonts w:hint="eastAsia" w:ascii="仿宋" w:hAnsi="仿宋" w:eastAsia="仿宋" w:cs="宋体"/>
          <w:kern w:val="0"/>
          <w:sz w:val="32"/>
          <w:szCs w:val="32"/>
        </w:rPr>
      </w:pPr>
      <w:bookmarkStart w:id="0" w:name="_GoBack"/>
      <w:bookmarkEnd w:id="0"/>
      <w:r>
        <w:rPr>
          <w:rFonts w:hint="eastAsia" w:ascii="仿宋" w:hAnsi="仿宋" w:eastAsia="仿宋" w:cs="宋体"/>
          <w:kern w:val="0"/>
          <w:sz w:val="32"/>
          <w:szCs w:val="32"/>
        </w:rPr>
        <w:t>附件2：</w:t>
      </w:r>
    </w:p>
    <w:p w14:paraId="5DA04259">
      <w:pPr>
        <w:spacing w:line="540" w:lineRule="exact"/>
        <w:jc w:val="center"/>
        <w:rPr>
          <w:rFonts w:hint="eastAsia" w:ascii="华文中宋" w:hAnsi="华文中宋" w:eastAsia="华文中宋" w:cs="宋体"/>
          <w:b/>
          <w:kern w:val="0"/>
          <w:sz w:val="52"/>
          <w:szCs w:val="52"/>
        </w:rPr>
      </w:pPr>
    </w:p>
    <w:p w14:paraId="4AF41211">
      <w:pPr>
        <w:spacing w:line="540" w:lineRule="exact"/>
        <w:jc w:val="center"/>
        <w:rPr>
          <w:rFonts w:hint="eastAsia" w:ascii="华文中宋" w:hAnsi="华文中宋" w:eastAsia="华文中宋" w:cs="宋体"/>
          <w:b/>
          <w:kern w:val="0"/>
          <w:sz w:val="52"/>
          <w:szCs w:val="52"/>
        </w:rPr>
      </w:pPr>
    </w:p>
    <w:p w14:paraId="1DC830A0">
      <w:pPr>
        <w:spacing w:line="540" w:lineRule="exact"/>
        <w:jc w:val="center"/>
        <w:rPr>
          <w:rFonts w:hint="eastAsia" w:ascii="华文中宋" w:hAnsi="华文中宋" w:eastAsia="华文中宋" w:cs="宋体"/>
          <w:b/>
          <w:kern w:val="0"/>
          <w:sz w:val="52"/>
          <w:szCs w:val="52"/>
        </w:rPr>
      </w:pPr>
    </w:p>
    <w:p w14:paraId="09F3336A">
      <w:pPr>
        <w:spacing w:line="540" w:lineRule="exact"/>
        <w:jc w:val="center"/>
        <w:rPr>
          <w:rFonts w:hint="eastAsia" w:ascii="华文中宋" w:hAnsi="华文中宋" w:eastAsia="华文中宋" w:cs="宋体"/>
          <w:b/>
          <w:kern w:val="0"/>
          <w:sz w:val="52"/>
          <w:szCs w:val="52"/>
        </w:rPr>
      </w:pPr>
    </w:p>
    <w:p w14:paraId="232445B9">
      <w:pPr>
        <w:spacing w:line="540" w:lineRule="exact"/>
        <w:jc w:val="center"/>
        <w:rPr>
          <w:rFonts w:hint="eastAsia" w:ascii="华文中宋" w:hAnsi="华文中宋" w:eastAsia="华文中宋" w:cs="宋体"/>
          <w:b/>
          <w:kern w:val="0"/>
          <w:sz w:val="52"/>
          <w:szCs w:val="52"/>
        </w:rPr>
      </w:pPr>
    </w:p>
    <w:p w14:paraId="0C1F44D6">
      <w:pPr>
        <w:spacing w:line="540" w:lineRule="exact"/>
        <w:jc w:val="center"/>
        <w:rPr>
          <w:rFonts w:hint="eastAsia" w:ascii="华文中宋" w:hAnsi="华文中宋" w:eastAsia="华文中宋" w:cs="宋体"/>
          <w:b/>
          <w:kern w:val="0"/>
          <w:sz w:val="52"/>
          <w:szCs w:val="52"/>
        </w:rPr>
      </w:pPr>
    </w:p>
    <w:p w14:paraId="6C805497">
      <w:pPr>
        <w:spacing w:line="540" w:lineRule="exact"/>
        <w:jc w:val="center"/>
        <w:rPr>
          <w:rFonts w:hint="eastAsia"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76F86954">
      <w:pPr>
        <w:spacing w:line="540" w:lineRule="exact"/>
        <w:jc w:val="center"/>
        <w:rPr>
          <w:rFonts w:hint="eastAsia" w:ascii="华文中宋" w:hAnsi="华文中宋" w:eastAsia="华文中宋" w:cs="宋体"/>
          <w:b/>
          <w:kern w:val="0"/>
          <w:sz w:val="52"/>
          <w:szCs w:val="52"/>
        </w:rPr>
      </w:pPr>
    </w:p>
    <w:p w14:paraId="342220EC">
      <w:pPr>
        <w:spacing w:line="540" w:lineRule="exact"/>
        <w:jc w:val="center"/>
        <w:rPr>
          <w:rFonts w:hint="eastAsia"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2023</w:t>
      </w:r>
      <w:r>
        <w:rPr>
          <w:rFonts w:hint="eastAsia" w:hAnsi="宋体" w:eastAsia="仿宋_GB2312" w:cs="宋体"/>
          <w:kern w:val="0"/>
          <w:sz w:val="36"/>
          <w:szCs w:val="36"/>
        </w:rPr>
        <w:t xml:space="preserve">  年度）</w:t>
      </w:r>
    </w:p>
    <w:p w14:paraId="2D981443">
      <w:pPr>
        <w:spacing w:line="540" w:lineRule="exact"/>
        <w:jc w:val="center"/>
        <w:rPr>
          <w:rFonts w:hint="eastAsia" w:hAnsi="宋体" w:eastAsia="仿宋_GB2312" w:cs="宋体"/>
          <w:kern w:val="0"/>
          <w:sz w:val="30"/>
          <w:szCs w:val="30"/>
        </w:rPr>
      </w:pPr>
    </w:p>
    <w:p w14:paraId="5DD1B6CD">
      <w:pPr>
        <w:spacing w:line="540" w:lineRule="exact"/>
        <w:jc w:val="center"/>
        <w:rPr>
          <w:rFonts w:hint="eastAsia" w:hAnsi="宋体" w:eastAsia="仿宋_GB2312" w:cs="宋体"/>
          <w:kern w:val="0"/>
          <w:sz w:val="30"/>
          <w:szCs w:val="30"/>
        </w:rPr>
      </w:pPr>
    </w:p>
    <w:p w14:paraId="01E8F67C">
      <w:pPr>
        <w:spacing w:line="540" w:lineRule="exact"/>
        <w:jc w:val="center"/>
        <w:rPr>
          <w:rFonts w:hint="eastAsia" w:hAnsi="宋体" w:eastAsia="仿宋_GB2312" w:cs="宋体"/>
          <w:kern w:val="0"/>
          <w:sz w:val="30"/>
          <w:szCs w:val="30"/>
        </w:rPr>
      </w:pPr>
    </w:p>
    <w:p w14:paraId="219E9D41">
      <w:pPr>
        <w:spacing w:line="540" w:lineRule="exact"/>
        <w:jc w:val="center"/>
        <w:rPr>
          <w:rFonts w:hint="eastAsia" w:hAnsi="宋体" w:eastAsia="仿宋_GB2312" w:cs="宋体"/>
          <w:kern w:val="0"/>
          <w:sz w:val="30"/>
          <w:szCs w:val="30"/>
        </w:rPr>
      </w:pPr>
    </w:p>
    <w:p w14:paraId="3C516BE5">
      <w:pPr>
        <w:spacing w:line="540" w:lineRule="exact"/>
        <w:jc w:val="center"/>
        <w:rPr>
          <w:rFonts w:hint="eastAsia" w:hAnsi="宋体" w:eastAsia="仿宋_GB2312" w:cs="宋体"/>
          <w:kern w:val="0"/>
          <w:sz w:val="30"/>
          <w:szCs w:val="30"/>
        </w:rPr>
      </w:pPr>
    </w:p>
    <w:p w14:paraId="4B35D1BA">
      <w:pPr>
        <w:spacing w:line="540" w:lineRule="exact"/>
        <w:jc w:val="center"/>
        <w:rPr>
          <w:rFonts w:hint="eastAsia" w:hAnsi="宋体" w:eastAsia="仿宋_GB2312" w:cs="宋体"/>
          <w:kern w:val="0"/>
          <w:sz w:val="30"/>
          <w:szCs w:val="30"/>
        </w:rPr>
      </w:pPr>
    </w:p>
    <w:p w14:paraId="392C82C7">
      <w:pPr>
        <w:spacing w:line="540" w:lineRule="exact"/>
        <w:rPr>
          <w:rFonts w:hint="eastAsia" w:hAnsi="宋体" w:eastAsia="仿宋_GB2312" w:cs="宋体"/>
          <w:kern w:val="0"/>
          <w:sz w:val="30"/>
          <w:szCs w:val="30"/>
        </w:rPr>
      </w:pPr>
    </w:p>
    <w:p w14:paraId="6D2C7B6F">
      <w:pPr>
        <w:spacing w:line="700" w:lineRule="exact"/>
        <w:jc w:val="left"/>
        <w:rPr>
          <w:rFonts w:hint="eastAsia" w:hAnsi="宋体" w:eastAsia="仿宋_GB2312" w:cs="宋体"/>
          <w:kern w:val="0"/>
          <w:sz w:val="36"/>
          <w:szCs w:val="36"/>
        </w:rPr>
      </w:pPr>
      <w:r>
        <w:rPr>
          <w:rFonts w:hint="eastAsia" w:hAnsi="宋体" w:eastAsia="仿宋_GB2312" w:cs="宋体"/>
          <w:kern w:val="0"/>
          <w:sz w:val="36"/>
          <w:szCs w:val="36"/>
        </w:rPr>
        <w:t xml:space="preserve">     </w:t>
      </w:r>
    </w:p>
    <w:p w14:paraId="68B6CC08">
      <w:pPr>
        <w:spacing w:line="700" w:lineRule="exact"/>
        <w:ind w:firstLine="900" w:firstLineChars="250"/>
        <w:jc w:val="left"/>
        <w:rPr>
          <w:rFonts w:hint="eastAsia"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机关业务经费</w:t>
      </w:r>
    </w:p>
    <w:p w14:paraId="3A90CB1A">
      <w:pPr>
        <w:spacing w:line="540" w:lineRule="exact"/>
        <w:ind w:firstLine="567"/>
        <w:rPr>
          <w:rFonts w:hint="eastAsia"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中共昌吉回族自治州直属机关工作委员会</w:t>
      </w:r>
    </w:p>
    <w:p w14:paraId="194E1450">
      <w:pPr>
        <w:spacing w:line="540" w:lineRule="exact"/>
        <w:ind w:firstLine="900" w:firstLineChars="250"/>
        <w:rPr>
          <w:rFonts w:hint="eastAsia"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中共昌吉回族自治州直属机关工作委员会</w:t>
      </w:r>
    </w:p>
    <w:p w14:paraId="0E65BC0D">
      <w:pPr>
        <w:spacing w:line="540" w:lineRule="exact"/>
        <w:ind w:firstLine="900" w:firstLineChars="250"/>
        <w:rPr>
          <w:rFonts w:hint="eastAsia"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刘建军</w:t>
      </w:r>
    </w:p>
    <w:p w14:paraId="3B66B3BC">
      <w:pPr>
        <w:spacing w:line="540" w:lineRule="exact"/>
        <w:ind w:left="273" w:firstLine="567"/>
        <w:rPr>
          <w:rStyle w:val="18"/>
          <w:rFonts w:hint="eastAsia"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2024年03月26日</w:t>
      </w:r>
    </w:p>
    <w:p w14:paraId="4E848BFA">
      <w:p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一、基本情况</w:t>
      </w:r>
    </w:p>
    <w:p w14:paraId="17B72250">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（一）项目概况。</w:t>
      </w:r>
    </w:p>
    <w:p w14:paraId="134BD703">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　　　　（一）项目概况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1.项目背景</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根据按照《中国共产党党和国家机关基层组织工作条例》的规定及中央、自治区、州党委的部署，负责州直机关党委和直属党（总）支部书记、副书记、委员的培训工作。负责做好发展党员工作，对入党积极分子和发展对象进行培训。负责对州直机关党员进行培训。监督检查州直各部门、各单位机关党组织切实履行职责、落实好党的工作的各项任务的情况。按照自治区党委和州党委的要求，指导机关各级党组织搞好思想、组织、作风、制度和反腐倡廉建设，做好党员管理教育工作。</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2.主要内容</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（1）项目名称：机关业务经费项目（以下简称“该项目”或“项目”）</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2）项目主要内容：本项目主要内容为通过组织全州直机关各级党员干部的培训以及入党积极分子的培训管理工作，以此推进各级党员干部的素质教育，提高各级党员干部的领导水平效率，提升党组织的执行力和广大党员满意度。</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本项目于2023年1月开始实施，截止2023年12月已全部完成，通过本项目的实施，提升了党组织的执行力和广大党员满意度。</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3.实施情况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实施主体：昌吉州党委直属机关工委。</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实施时间：本项目实施周期为2023年1月-2023年12月。</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实施情况：本目主要内容为通过组织全州直机关各级党员干部的培训以及入党积极分子的培训管理工作，以此推进各级党员干部的素质教育，提高各级党员干部的领导水平效率，提升党组织的执行力和广大党员满意度。本项目于2023年1月开始实施，截止2023年12月已全部完成，通过本项目的实施，提升了党组织的执行力和广大党员满意度。</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4.项目实施主体</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主要职能</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按照《中国共产党党和国家机关基层组织工作条例》的规定及中央、自治区、州党委的部署，结合机关实际，对机关党的工作作出规划；对下级机关党的工作进行业务指导。1、审批州直机关党委、直属党总支部、党支部的建立；审批州支机关党组织领导班子成员的任免；负责州直党委和直属党（总）支部书记、副书记、委员的培训工作。2、监督检查州直各部门、各单位机关党组织切实履行职责、落实好党的工作的各项任务的情况。3、按照自治区党委和州党委的要求，指导机关各级党组织搞好思想、组织、作风、制度和反腐倡廉建设，做好党员管理教育工作4、指导州直机关党组织做好思想政治工作。5、指导州直机关党组织做好发展新党员工作；负责直属党总支部、支部发展党员工作；组织州直机关科级党员干部的培训以及入党积极分子的培训工作。6、按照有关规定，领导州直机关党组织的纪律检查工作，审核、审批职责范围的党员违反党纪的处分和有关党员的组织处理问题。7、定期听取汇报，对州直机关党组织工作状况进行届中、届满考核。</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（2）机构设置情况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2023年机关业务经费项目的实施主体为昌吉州党委直属机关工委，该单位纳入2023年部门决算编制范围的有5个科室，分别是：行政办公室，组织人事科，宣传科，群团科，党员培训中心。</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编制人数为16人，其中：行政人员编制10人、工勤1人、事业编制5人。实有在职人数16人，其中：行政在职10人、工勤1人、事业在职5人。离退休人员9人，其中：行政退休人员8人、工勤退休1人。</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5.资金投入和使用情况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（1）项目资金安排落实、总投入等情况分析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本项目预算安排总额为51万元，资金来源为财政拨款，其中：财政资金51万元，其他资金0万元，2023年实际收到预算资金51万元，预算资金到位率为100%。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（2）项目资金实际使用情况分析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截至2023年12月31日，本项目实际支付资金51万元，预算执行率100%，本项目资金主要用于支付培训费用49万元、办公费用2万元。</w:t>
      </w:r>
    </w:p>
    <w:p w14:paraId="7DF5B1E9">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（二）项目绩效目标</w:t>
      </w:r>
    </w:p>
    <w:p w14:paraId="6096B03A">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1.总体目标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年计划完成对直属党支部调研考察不少于2轮次，覆盖率大于95%，党员教育培训工作不少于6场次，出勤率大于95%，开展业务工作不少于10次，准确率大于95%，12个月完成调研考察党员教育培训，培训支出范围控制到30万元，运转经费控制范围21万元。提高党员干部能力素质，更好为群众服务。</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2.阶段性目标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根据《中华人民共和国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（1）项目产出指标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①数量指标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“调研考察次数”指标，预期指标值为“大于等于2次”；</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“党员教育培训场次”指标，预期指标值为“大于等于6场次”；</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“开展业务工作次数”指标，预期指标值为“大于等于10次”</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②质量指标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“调研考察覆盖率”指标，预期指标值为“大于等于95%”；</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“教育培训出勤率”指标，预期指标值为“大于等于95%”；</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“开展业务工作准确率”指标，预期指标值为“大于等于95%”；</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③时效指标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“调研考察党员教育培训按时完成率”指标，预期指标值为“大于等于95%”；</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“调研考察培训完成时限”指标，预期指标值为“12月31之前”；</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“党员教育培训完成率”指标，预期指标值为“大于等于95%”；</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（2）项目成本指标指标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①经济成本指标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“教育培训支出控制范围”指标，预期指标值为“小于等于30万元”；</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“运转经费控制范围”指标，预期指标值为“小于等于21万元”；</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②社会成本指标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③生态环境成本指标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（3）项目效益指标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①经济效益指标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②社会效益指标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“提升社会稳定性”指标，预期指标值为“提高”；</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“培训提高党员干部能力素质”指标，预期指标值为“长期”；</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③生态效益指标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（4）项目满意度指标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①满意度指标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“党员教育培训人员满意度”指标，预期指标值为“大于等于95%”；</w:t>
      </w:r>
    </w:p>
    <w:p w14:paraId="49033B8A">
      <w:p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14:paraId="2CF7B7BC">
      <w:pPr>
        <w:spacing w:line="540" w:lineRule="exact"/>
        <w:ind w:firstLine="567" w:firstLineChars="181"/>
        <w:rPr>
          <w:rStyle w:val="18"/>
          <w:rFonts w:hint="eastAsia" w:ascii="楷体" w:hAnsi="楷体" w:eastAsia="楷体"/>
          <w:spacing w:val="-4"/>
          <w:sz w:val="32"/>
          <w:szCs w:val="32"/>
        </w:rPr>
      </w:pPr>
      <w:r>
        <w:rPr>
          <w:rStyle w:val="18"/>
          <w:rFonts w:hint="eastAsia" w:ascii="楷体" w:hAnsi="楷体" w:eastAsia="楷体"/>
          <w:spacing w:val="-4"/>
          <w:sz w:val="32"/>
          <w:szCs w:val="32"/>
        </w:rPr>
        <w:t>（一）绩效评价目的、对象和范围</w:t>
      </w:r>
    </w:p>
    <w:p w14:paraId="450E8269">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　　　1.绩效评价的目的</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本次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2.绩效评价对象</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此次我单位根据《财政支出绩效评价管理暂行办法》（财预〔2020〕10号）文件要求实施评价工作，本次评价对象为机关业务经费项目，评价核心为项目资金、项目产出、项目效益。主要围绕项目资金使用情况、财务管理状况和资产配置、使用、处置及其收益管理情况；项目管理相关制度及措施是否被认真执行；绩效目标的实现程度，包括是否达到预定产出和效果等方面开展综合评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3.绩效评价范围</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4.绩效评价依据</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（1）《中华人民共和国预算法》；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（2）《中共中央国务院关于全面实施预算绩效管理的意见》（中发〔2018〕34号）；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（3）《项目支出绩效评价管理办法》（财预〔2020〕10号）；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（4）《自治区财政支出绩效评价管理暂行办法》（新财预〔2018〕189号）；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5）在数据采集时，采取客观数据主管部门审查、社会中介组织复查与问卷调查相结合的形式，以保证各项指标的真实性。保证评价结果的真实性、公正性，提高评价报告的公信力。绩效评价报告简明扼要，除对绩效评价的过程、结果描述外，还总结经验、指出问题，并就共性问题提出可操作性改进建议。</w:t>
      </w:r>
    </w:p>
    <w:p w14:paraId="25618B7D">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14:paraId="2E0F54FC">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　　　1.绩效评价原则</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依据《中华人民共和国预算法》《中共 中央国务院关于全面实施预算绩效管理的意见》（中发〔2018〕34号）、《项目支出绩效评价管理办法》（财预〔2020〕10号）等要求，本次绩效评价秉承科学规范、公正公开、分级分类、绩效相关等原则，按照从投入、过程到产出效果和影响的绩效逻辑路径，通过绩效评价反思项目实施和管理中的问题，总结经验和教训，为提升财政资金使用效益，提供可行性参考建议。绩效评价应遵循如下原则：</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（1）科学公正。绩效评价应当运用科学合理的方法，按照规范的程序，对项目绩效进行客观、公正的反映。</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（3）激励约束。绩效评价结果应与预算安排、政策调整、改进管理实质性挂钩，体现奖优罚劣和激励相容导向，有效要安排、低效要压减、无效要问责。</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（4）公开透明。绩效评价结果应依法依规公开，并自觉接受社会监督。</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2.绩效评价指标体系</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通过实施资料研读及前期调研，结合项目的实际开展情况，按照《项目支出绩效评价管理办法》（财预〔2020〕10号）文件要求，全面反映项目决策、项目和资金管理、产出和效益，优先选取最具代表性、最能直接反映产出和效益的核心指标，精简实用，绩效评价小组结合项目的实际情况，综合考虑相关性、重要性、可衡量性、可操作性和可实现性，按照逻辑分析法设计本次绩效评价指标体系，绩效评价指标的权重设计突出结果导向，设置指标体系结构如下：设置一级指标共4个，包括：决策指标（21.0%）、过程指标（19.0%）、产出指标（30.0%）、效益指标（30.0%）四类指标；二级和三级指标根据各项指标在评价体系中的重要程度确定，考虑项目实施和管理对项目绩效的影响等因素赋予相应的权重分值。绩效评价小组围绕项目总体绩效目标，将梳理后的年度绩效目标细化分解为个性化产出和效益指标，与共性指标共同构成该项目绩效评价指标体系详见“附件1：项目支出绩效评价绩效评价体系”。</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3.评价方法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本次评价采取定量与定性评价相结合的方式，采用比较法、公众评判法对项目实施过程以及预期绩效目标完成情况进行全面、系统的评价，总分由各项指标得分汇总形成。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比较法：通过整理本项目相关资料和数据，评价数量指标的完成情况；通过分析项目的实施情况与绩效目标实现情况，评价项目实施的效果；通过分析项目资金使用情况及产生的效果，评价预算资金分配的合理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4.评价标准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1E361F81">
      <w:pPr>
        <w:spacing w:line="540" w:lineRule="exact"/>
        <w:ind w:firstLine="567" w:firstLineChars="181"/>
        <w:rPr>
          <w:rStyle w:val="18"/>
          <w:rFonts w:hint="eastAsia" w:ascii="楷体" w:hAnsi="楷体" w:eastAsia="楷体"/>
          <w:spacing w:val="-4"/>
          <w:sz w:val="32"/>
          <w:szCs w:val="32"/>
        </w:rPr>
      </w:pPr>
      <w:r>
        <w:rPr>
          <w:rStyle w:val="18"/>
          <w:rFonts w:hint="eastAsia" w:ascii="楷体" w:hAnsi="楷体" w:eastAsia="楷体"/>
          <w:spacing w:val="-4"/>
          <w:sz w:val="32"/>
          <w:szCs w:val="32"/>
        </w:rPr>
        <w:t>（三）绩效评价工作过程</w:t>
      </w:r>
    </w:p>
    <w:p w14:paraId="265E4083">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　　　1.前期准备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我单位于2024年3月5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州党委直属机关工委党组书记任评价组组长：主要负责检查项目绩效指标完成情况、审定项目支出绩效评价结果及项目支出绩效评价报告。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党员教育培训中心主任任评价小组组员：主要负责为组织和协调项目工作人员采取实地调查、资料检查等方式，核实项目绩效指标完成情况；组织受益对象对项目工作进行评价等。</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财务人员任评价小组组员：主要负责做好项目支出绩效评价工作的沟通协调工作，对项目实施情况进行实地调查，编写项目支出绩效评价报告。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2.组织实施</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2024年3月5日-3月10日，评价工作进入实施阶段。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在数据采集方面，评价小组项目负责人、财务人员进行访谈沟通，评价组通过实地调研、查阅资料等方式，采用综合分析法对项目的决策、管理、绩效进行的综合评价分析。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经调研了解，该项目主要受益群体包括党员干部。我们根据绩效评价目标和绩效指标体系，设计满意度调查问卷进行问卷调查，其中党员干部受益对象共选取样本45人，共发放问卷45份，最终收回45份。</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3.分析评价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2024年3月10日-3月15日，评价小组按照绩效评价的原则和规范，对取得的资料进行审查核实，对采集的数据进行分析，按照绩效评价指标评分表逐项进行打分、分析、汇总各方评价结果。　</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4.撰写与提交评价报告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2024年3月10-3月15日，评价小组撰写绩效评价报告，按照新疆维吾尔自治区财政绩效管理信息系统绩效评价模块中统一格式和文本框架撰写绩效评价报告并提交审核。</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5.问题整改</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6.档案整理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建立和落实档案管理制度，将项目相关资料存档，包括但不限于：评价项目基本情况和相关文件、评价实施方案、项目支付资料等相关档案。</w:t>
      </w:r>
    </w:p>
    <w:p w14:paraId="388C248F">
      <w:p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14:paraId="4DBC5453">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　　　　（一）综合评价情况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经评价，本项目较大程度达成年初设立的绩效目标，在实施过程中取得了良好的成效，具体表现在：通过项目的实施，完成了数量产出目标，发挥了社会效益。但在实施过程中也存在一些不足：在资金的使用过程中要做好规划。</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（二）评价结论</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此次绩效评价通过绩效评价小组论证的评价指标体系及评分标准，采用因素分析法和比较法对本项目绩效进行客观评价，本项目共设置三级指标数量25个，实现三级指标数量25个，总体完成率为100%。最终评分结果：总分为100分，绩效评级为“优”。综合评价结论如下：</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项目决策类指标共设置6个，满分指标6个，得分率100%；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过程管理类指标共设置5个，满分指标5个，得分率100%；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项目产出类指标共设置11个，满分指标11个，得分率100%；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项目效益类指标共设置3个，满分指标3个，得分率100%。</w:t>
      </w:r>
    </w:p>
    <w:p w14:paraId="4FCE22A3">
      <w:pPr>
        <w:spacing w:line="540" w:lineRule="exact"/>
        <w:ind w:firstLine="640"/>
        <w:rPr>
          <w:rStyle w:val="18"/>
          <w:rFonts w:hint="eastAsia"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14:paraId="03EE4FA4">
      <w:pPr>
        <w:spacing w:line="540" w:lineRule="exact"/>
        <w:ind w:firstLine="567" w:firstLineChars="181"/>
        <w:rPr>
          <w:rFonts w:hint="eastAsia"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14:paraId="5E01E9EB">
      <w:pPr>
        <w:tabs>
          <w:tab w:val="center" w:pos="4295"/>
        </w:tabs>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　　　项目决策类指标由3个二级指标和6个三级指标构成，权重分21.00分，实际得分21.00分。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1.项目立项情况分析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（1）立项依据充分性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本项目立项符合《项目支出绩效评价管理办法》（财预〔2020〕10号）文件要求；本项目立项符合《三定方案》中：“党员干部培训”内容，符合行业发展规划和政策要求；本项目立项符合《州党委直属机关工委单位配置内设机构和人员编制规定》中职责范围中的“培训轮训自治州直属机关科级党员干部、党务干部及党员发展对象”，属于我单位履职根据《财政资金直接支付申请书》，本项目资金性质为“公共财政预算”功能分类为“一般行政管理事务”经济分类为“培训费”属于公共财政支持范围，符合中央、地方事权支出责任划分原则；经检查我单位财政应用平台指标，本项目不存在重复。</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综上所述，本指标满分为5.00分，根据评分标准得5.00分，本项目立项依据充分。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（2）立项程序规范性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本项目为非基础建设类项目，不涉及发改立项批复流程，由我单位自行编制项目实施方案和项目预算申请计划，经过与党委会研究确定最终预算方案。经查看，该项目申请设立过程产生的相关文件，符合相关要求。</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本项目为非基础建设类项目，属于专项资金安排项目，不涉及事前绩效评估、可行性研究以及风险评估，由我单位严格按照《项目支出绩效评价管理办法》文件要求实施项目。</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综上所述，本指标满分为3.00分，根据评分标准得3.00分，本项目立项程序规范。</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2.绩效目标情况分析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（1）绩效目标合理性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本项目已设置年度绩效目标，具体内容为“加强州机关党的思想政治建设、组织建设、作风建设、制度建设和反腐倡廉建设，做好州机关其他党建工作，2023年计划完成对直属党支部调研考察不少于2轮次，覆盖率大于90%，党员教育培训工作不少于6场次，出勤率大于90%，开展业务工作不少于10次，准确率大于90%，12个月完成调研考察党员教育培训，培训支出范围控制到30万元，运转经费控制范围21万元。提高党员干部能力素质，更好为群众服务”；本项目实际工作内容为：加强州机关党的思想政治建设、组织建设、作风建设、制度建设和反腐倡廉建设，做好州机关其他党建工作；绩效目标与实际工作内容一致，两者具有相关性;本项目按照绩效目标完成了数量指标、质量指标、时效指标、成本指标，提高党员干部能力素质，更好为群众服务，年度绩效目标完成，预期产出效益和效果符合正常的业绩水平。</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综上所述，本指标满分为4.00分，根据评分标准得4.00分，本项目绩效目标设置合理。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（2）绩效指标明确性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经检查我单位年初设置的《项目支出绩效目标表》，得出如下结论：本项目已将年度绩效目标进行细化为绩效指标体系，共设置一级指标4个，二级指标6个，三级指标14个，定量指标12个，定性指标2个，指标量化率为85.71%，量化率达70.00%以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综上所述，本指标满分为3.00分，根据评分标准得3.00分，本项目所设置绩效指标明确。</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3.资金投入情况分析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（1）预算编制科学性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本项目预算编制通过上年完成情况编制，即预算编制较科学且经过论证；</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预算申请内容为党员干部教育培训，项目实际内容为党员干部教育培训，预算申请与《机关业务经费项目实施方案》中涉及的项目内容匹配；</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本项目预算申请资金51万元，我单位在预算申请中严格按照单位标准和数量进行核算，其中：培训标准为49万，办公费标准为2万元。本项目预算额度测算依据充分，严格按照标准编制，预算确定资金量与实际工作任务相匹配；</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综上所述，本指标满分为4.00分，根据评分标准4.00分，本项目预算编制科学。</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（2）资金分配合理性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本项目实际分配资金以《关于申请机关业务经费项目资金的请示》和《机关业务经费项目实施方案》为依据进行资金分配，预算资金分配依据充分。根据《财政预算资金下达文件》文件显示，本项目实际到位资金51万元，实际分配资金与我单位提交申请的资金额度一致，资金分配额度合理，与我单位实际需求相适应。</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综上所述，本指标满分为2.00分，根据评分标准得2.00分，本项目资金分配合理。</w:t>
      </w:r>
      <w:r>
        <w:rPr>
          <w:rStyle w:val="18"/>
          <w:rFonts w:hint="eastAsia" w:ascii="楷体" w:hAnsi="楷体" w:eastAsia="楷体"/>
          <w:b w:val="0"/>
          <w:bCs w:val="0"/>
          <w:spacing w:val="-4"/>
          <w:sz w:val="32"/>
          <w:szCs w:val="32"/>
        </w:rPr>
        <w:tab/>
      </w:r>
    </w:p>
    <w:p w14:paraId="636AEC1D">
      <w:pPr>
        <w:spacing w:line="540" w:lineRule="exact"/>
        <w:ind w:firstLine="567" w:firstLineChars="181"/>
        <w:rPr>
          <w:rStyle w:val="18"/>
          <w:rFonts w:hint="eastAsia"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14:paraId="77B7C76C">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　　　项目过程管理类指标由2个二级指标和5个三级指标构成，权重分19.00分，实际得分19分。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1.资金管理情况分析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（1）资金到位率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本项目预算资金为51万元，其中：本级财政安排资金51万元，其他资金0万元，实际到位资金51万元，资金到位率100%，得分4分。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综上所述，本指标满分为4.00分，根据评分标准得4分，本项目资金分配合理。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（2）预算执行率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本项目实际支出资金51万元，预算执行率100%。得分5分。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综上所述，本指标满分为5.00分，根据评分标准得5分，本项目资金分配合理。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（3）资金使用合规性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通过检查本项目签订的合同、资金申请文件、发票等财务付款凭证，得出本项目资金支出符合国家财经法规、《政府会计制度》以及《州党委直属机关工委单位资金管理办法》《项目专项资金管理办法》，资金的拨付有完整的审批程序和手续，资金实际使用方向与预算批复用途一致，不存在截留、挤占、挪用、虚列支出的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综上所述，本指标满分为4.00分，根据评分标准得4分，资金支出符合我单位财务管理制度规定。</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2.组织实施情况分析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（1）管理制度健全性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我单位已制定《资金管理办法》《收支业务管理制度》《政府采购业务管理制度》《合同管理制度》，上述已建立的制度均符合行政事业单位内控管理要求，财务和业务管理制度合法、合规、完整，本项目执行符合上述制度规定。</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综上所述，本指标满分为2.00分，根据评分标准得2分，项目制度建设健全。</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（2）制度执行有效性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经对比分析本项目实际执行过程资料和已建立的项目管理制度和财务管理制度，得出本项目严格按照本单位已建立制度执行。项目资金支出严格按照自治区、地区、市以及本单位资金管理办法执行，项目启动实施后，为了加快本项目的实施，成立了机关业务经费项目工作领导小组，由党组书记刘建军任组长，负责项目的组织工作；杨瑾任副组长，负责项目的实施工作；组员包括：韩爱娟、和曹文涛，主要负责项目监督管理、验收以及资金核拨等工作。</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综上所述，本指标满分为4.00分，根据评分标准得4分，本项目所建立制度执行有效。</w:t>
      </w:r>
    </w:p>
    <w:p w14:paraId="77895733">
      <w:pPr>
        <w:spacing w:line="540" w:lineRule="exact"/>
        <w:ind w:firstLine="567" w:firstLineChars="181"/>
        <w:rPr>
          <w:rFonts w:hint="eastAsia"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14:paraId="0BEA802A">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　　　项目产出类指标由3个二级指标和5个三级指标构成，权重分30.0分，实际得分30分。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1.数量指标完成情况分析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“调研考察次数”指标，预期指标值为“大于等于2次”，根据工作总结和调研底稿可知，实际完成2次，与预期目标一致，指标完成率为100.0%。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“党员教育培训场次”指标，预期指标值为“大于等于6场次”，根据工作总结和培训名册可知，实际完成6次，与预期目标一致，指标完成率为100.0%。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“开展业务工作次数”指标，预期指标值为“大于等于10次”，根据工作总结可知，实际完成10次，与预期目标一致，指标完成率为100.0%。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综上所述，数量指标满分为7.5分，根据评分标准得7.5分。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2.质量指标完成情况分析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“调研考察覆盖率”指标，预期指标值为“大于等于95%”，根据工作总结可知，实际95%，与预期目标一致，指标完成完成率为100.0%。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“教育培训出勤率”指标，预期指标值为“大于等于95%”，根据工作总结可知，实际完成100%，与预期目标一致，指标完成率为100.0%。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“开展业务工作准确率”指标，预期指标值为“大于等于95%”，根据工作总结可知，实际完成100%，与预期目标一致，指标完成率为100.0%。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综上所述，质量指标满分为7.5分，根据评分标准得7.5分。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3.时效指标完成情况分析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“调研考察按时完成率”指标，预期指标值为“大于等于95%”，根据工作总结可知，实际完成95%，与预期目标一致，指标完成率为100.0%。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“调研考察完成时限”指标，预期指标值为“2023年12月31日前”；根据资金支付凭证可知，项目于</w:t>
      </w:r>
      <w:r>
        <w:rPr>
          <w:rStyle w:val="18"/>
          <w:rFonts w:hint="eastAsia" w:ascii="楷体" w:hAnsi="楷体" w:eastAsia="楷体"/>
          <w:b w:val="0"/>
          <w:bCs w:val="0"/>
          <w:spacing w:val="-4"/>
          <w:sz w:val="32"/>
          <w:szCs w:val="32"/>
          <w:lang w:eastAsia="zh-CN"/>
        </w:rPr>
        <w:t>2023年11月30日</w:t>
      </w:r>
      <w:r>
        <w:rPr>
          <w:rStyle w:val="18"/>
          <w:rFonts w:hint="eastAsia" w:ascii="楷体" w:hAnsi="楷体" w:eastAsia="楷体"/>
          <w:b w:val="0"/>
          <w:bCs w:val="0"/>
          <w:spacing w:val="-4"/>
          <w:sz w:val="32"/>
          <w:szCs w:val="32"/>
        </w:rPr>
        <w:t>完成，实际完成100%，与预期目标一致，指标完成率为100.0%。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“党员教育培训完成率”指标，预期指标值为“大于等于95%”，根据工作总结可知，实际完成95%，与预期目标一致，指标完成率为100.0%。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综上所述，时效指标满分为6分，根据评分标准得6分。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4.成本指标完成情况分析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“教育培训支出控制范围”指标，预期指标值为“小于等于30万元”，根据资金支出情况可知，实际完成30万元，与预期目标一致，指标完成率为100.0%。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“运转经费控制范围”指标，预期指标值为“小于等于21万元”，根据资金支出情况可知，实际完成100%，与预期目标一致，指标完成率为100.0%。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综上所述，成本指标满分为9分，根据评分标准得9分。</w:t>
      </w:r>
    </w:p>
    <w:p w14:paraId="4C09521E">
      <w:pPr>
        <w:spacing w:line="540" w:lineRule="exact"/>
        <w:ind w:firstLine="567" w:firstLineChars="181"/>
        <w:rPr>
          <w:rFonts w:hint="eastAsia"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14:paraId="7E22D600">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　　　项目效益类指标由2个二级指标和3个三级指标构成，权重分30.0分，实际得分30分。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1.经济效益完成情况分析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本项目无该指标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2.社会效益完成情况分析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“提升社会稳定性”指标，预期指标值为“提高”，根据测评表可知，实际完成值为“提高”，指标完成率为100.0%。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“培训提高党员干部能力素质”指标，预期指标为“长期”，实际完成值为“长期”，指标完成率为100.0%。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综上所述，社会效益指标满分为20分，根据评分标准得20分。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3.生态效益完成情况分析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本项目无该指标。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4.满意度完成情况分析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“党员教育培训人员满意度”指标，预期指标值为“大于等于95%”，满意度达95%以上，指标完成率为100%。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综上所述，本指标满分为10分，根据评分标准得10分。</w:t>
      </w:r>
    </w:p>
    <w:p w14:paraId="1E858382">
      <w:pPr>
        <w:spacing w:line="540" w:lineRule="exact"/>
        <w:ind w:firstLine="567"/>
        <w:rPr>
          <w:rStyle w:val="18"/>
          <w:rFonts w:hint="eastAsia" w:ascii="楷体" w:hAnsi="楷体" w:eastAsia="楷体"/>
          <w:spacing w:val="-4"/>
          <w:sz w:val="32"/>
          <w:szCs w:val="32"/>
        </w:rPr>
      </w:pPr>
    </w:p>
    <w:p w14:paraId="5543F66A">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预算执行进度与绩效指标偏差</w:t>
      </w:r>
    </w:p>
    <w:p w14:paraId="1EF2D8A6">
      <w:pPr>
        <w:spacing w:line="540" w:lineRule="exact"/>
        <w:ind w:firstLine="567"/>
        <w:rPr>
          <w:rStyle w:val="18"/>
          <w:rFonts w:hint="eastAsia" w:ascii="黑体" w:hAnsi="黑体" w:eastAsia="黑体"/>
          <w:b w:val="0"/>
          <w:spacing w:val="-4"/>
          <w:sz w:val="32"/>
          <w:szCs w:val="32"/>
        </w:rPr>
      </w:pPr>
      <w:r>
        <w:rPr>
          <w:rStyle w:val="18"/>
          <w:rFonts w:hint="eastAsia" w:ascii="楷体" w:hAnsi="楷体" w:eastAsia="楷体"/>
          <w:b w:val="0"/>
          <w:bCs w:val="0"/>
          <w:spacing w:val="-4"/>
          <w:sz w:val="32"/>
          <w:szCs w:val="32"/>
        </w:rPr>
        <w:t>本项目年初预算资金总额为51万元，全年预算数为51万元，全年执行数为51万元，预算执行率为100%。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本项目共设置三级指标数量25个，满分指标数量25个，扣分指标数量0个，经分析计算所有三级指标完成率得出，本项目总体完成率为100%。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综上所述本项目预算执行进度与总体完成进度之间的偏差为0%。项目预算执行进度与绩效指标完成进度无偏差。</w:t>
      </w:r>
    </w:p>
    <w:p w14:paraId="50F1BB1F">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主要经验及做法、存在的问题及原因分析</w:t>
      </w:r>
    </w:p>
    <w:p w14:paraId="319D2266">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　　　　主要经验及做法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是加强绩效目标的刚性约束，及时对项目实施进度与资金支付进度进行全程跟踪问效，发现问题及时解决，对于重大问题实行集体讨论，确保项目按计划进行，项目资金支付安排高效、合理，杜绝截留、挤占或挪用项目资金的情况发生。</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是合理合规使用经费。根据项目业务流程，参考历年经费使用情况，认真测算各阶段所需经费，确保当前项目实施经费充足。在经费使用方面，严格执行经费使用管理制度，厉行节约，专款专用，对每笔经费使用情况建立监督机制，确保经费使用合理合规。</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存在的问题及原因分析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管理理念尚未牢固树立，绩效管理专业人员匮乏。单位对全面实施绩效管理认识不够，绩效水平不高，单位内部绩效管理工作力量薄弱，多数以财务人员牵头开展绩效管理，工作推动机制不全，业务人员业务能力和素质还有待进一步提升。</w:t>
      </w:r>
    </w:p>
    <w:p w14:paraId="170368E1">
      <w:p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七、有关建议</w:t>
      </w:r>
    </w:p>
    <w:p w14:paraId="420587C1">
      <w:pPr>
        <w:spacing w:line="540" w:lineRule="exact"/>
        <w:ind w:firstLine="567"/>
        <w:rPr>
          <w:rStyle w:val="18"/>
          <w:rFonts w:hint="eastAsia" w:ascii="楷体" w:hAnsi="楷体" w:eastAsia="楷体"/>
          <w:spacing w:val="-4"/>
          <w:sz w:val="32"/>
          <w:szCs w:val="32"/>
        </w:rPr>
      </w:pPr>
      <w:r>
        <w:rPr>
          <w:rStyle w:val="18"/>
          <w:rFonts w:hint="eastAsia" w:ascii="楷体" w:hAnsi="楷体" w:eastAsia="楷体"/>
          <w:b w:val="0"/>
          <w:bCs w:val="0"/>
          <w:spacing w:val="-4"/>
          <w:sz w:val="32"/>
          <w:szCs w:val="32"/>
        </w:rPr>
        <w:t>　　　　 1.加强培训，提高相关人员工作水平，采取多种培训形式对单位财务人员、业务科室人员进行集中培训，进一步树牢绩效观念，提高本单位工作人员的绩效管理能力和工作水平，为预算绩效管理相关工作的顺利开展提供保障。</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2、 高度重视、加强领导、精心组织。项目绩效领导小组对绩效评价工作进行指导、监督、检查，确保项目绩效评价反映项目完成真实情况。严格执行项目绩效评价工作要求，切实提高项目绩效报告的客观性和公正性。</w:t>
      </w:r>
    </w:p>
    <w:p w14:paraId="2894C9D0">
      <w:p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八、其他需要说明的问题</w:t>
      </w:r>
    </w:p>
    <w:p w14:paraId="6BEAEBF8">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　　　　（一）本项目部分间接产生的效果无法准确在短期内衡量，因此很难认定项目产生的全部效果。通过指标来反映绩效，指标的科学性和全面性需要不断地完善和研究。</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（二）评价结果作为安排政府预算、完善政策和改进管理的重要依据。原则上，对评价等级为优、良的，根据情况予以支持；对评价等级为中、差的，要完善政策、改进管理，根据情况核减预算。</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（三）评价结果分别编入政府决算和部门预算，报送本级人民代表大会常务委员会，并依法予以公开。</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（四）我单位对上述项目支出绩效评价报告内反映内容的真实性、完整性负责，接受上级部门及社会公众监督。</w:t>
      </w:r>
    </w:p>
    <w:p w14:paraId="27D7502C">
      <w:pPr>
        <w:spacing w:line="540" w:lineRule="exact"/>
        <w:ind w:firstLine="567"/>
        <w:rPr>
          <w:rStyle w:val="18"/>
          <w:rFonts w:hint="eastAsia" w:ascii="仿宋" w:hAnsi="仿宋" w:eastAsia="仿宋"/>
          <w:b w:val="0"/>
          <w:spacing w:val="-4"/>
          <w:sz w:val="32"/>
          <w:szCs w:val="32"/>
        </w:rPr>
      </w:pPr>
    </w:p>
    <w:p w14:paraId="541CBC40">
      <w:pPr>
        <w:spacing w:line="540" w:lineRule="exact"/>
        <w:ind w:firstLine="567"/>
        <w:rPr>
          <w:rStyle w:val="18"/>
          <w:rFonts w:hint="eastAsia" w:ascii="仿宋" w:hAnsi="仿宋" w:eastAsia="仿宋"/>
          <w:b w:val="0"/>
          <w:spacing w:val="-4"/>
          <w:sz w:val="32"/>
          <w:szCs w:val="32"/>
        </w:rPr>
      </w:pPr>
    </w:p>
    <w:p w14:paraId="4B22E532">
      <w:pPr>
        <w:spacing w:line="540" w:lineRule="exact"/>
        <w:ind w:firstLine="567"/>
        <w:rPr>
          <w:rStyle w:val="18"/>
          <w:rFonts w:hint="eastAsia" w:ascii="仿宋" w:hAnsi="仿宋" w:eastAsia="仿宋"/>
          <w:b w:val="0"/>
          <w:spacing w:val="-4"/>
          <w:sz w:val="32"/>
          <w:szCs w:val="32"/>
        </w:rPr>
      </w:pPr>
    </w:p>
    <w:p w14:paraId="62813C86">
      <w:pPr>
        <w:spacing w:line="540" w:lineRule="exact"/>
        <w:ind w:firstLine="567"/>
        <w:rPr>
          <w:rStyle w:val="18"/>
          <w:rFonts w:hint="eastAsia" w:ascii="仿宋" w:hAnsi="仿宋" w:eastAsia="仿宋"/>
          <w:b w:val="0"/>
          <w:spacing w:val="-4"/>
          <w:sz w:val="32"/>
          <w:szCs w:val="32"/>
        </w:rPr>
      </w:pPr>
    </w:p>
    <w:p w14:paraId="4601DF6C">
      <w:pPr>
        <w:spacing w:line="540" w:lineRule="exact"/>
        <w:ind w:firstLine="567"/>
        <w:rPr>
          <w:rStyle w:val="18"/>
          <w:rFonts w:hint="eastAsia"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0EF9FFF5-3CCC-46A1-83B0-09FF5C581ADC}"/>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921A97FE-87C7-4283-8548-F7E4489B5878}"/>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embedRegular r:id="rId3" w:fontKey="{3B05C484-6BCE-4E95-AE86-27761E9B799F}"/>
  </w:font>
  <w:font w:name="华文中宋">
    <w:panose1 w:val="02010600040101010101"/>
    <w:charset w:val="86"/>
    <w:family w:val="auto"/>
    <w:pitch w:val="default"/>
    <w:sig w:usb0="00000287" w:usb1="080F0000" w:usb2="00000000" w:usb3="00000000" w:csb0="0004009F" w:csb1="DFD70000"/>
    <w:embedRegular r:id="rId4" w:fontKey="{138499AD-7244-466B-BCA0-CF4A54CE3994}"/>
  </w:font>
  <w:font w:name="方正小标宋_GBK">
    <w:panose1 w:val="02000000000000000000"/>
    <w:charset w:val="86"/>
    <w:family w:val="script"/>
    <w:pitch w:val="default"/>
    <w:sig w:usb0="A00002BF" w:usb1="38CF7CFA" w:usb2="00082016" w:usb3="00000000" w:csb0="00040001" w:csb1="00000000"/>
    <w:embedRegular r:id="rId5" w:fontKey="{E6DCA7D5-25F9-45CE-8BCB-772D9C3B85E4}"/>
  </w:font>
  <w:font w:name="仿宋_GB2312">
    <w:altName w:val="仿宋"/>
    <w:panose1 w:val="02010609030101010101"/>
    <w:charset w:val="86"/>
    <w:family w:val="modern"/>
    <w:pitch w:val="default"/>
    <w:sig w:usb0="00000000" w:usb1="00000000" w:usb2="00000010" w:usb3="00000000" w:csb0="00040000" w:csb1="00000000"/>
    <w:embedRegular r:id="rId6" w:fontKey="{7B89FFED-753D-4755-9D68-48E31CFF0C45}"/>
  </w:font>
  <w:font w:name="楷体">
    <w:panose1 w:val="02010609060101010101"/>
    <w:charset w:val="86"/>
    <w:family w:val="modern"/>
    <w:pitch w:val="default"/>
    <w:sig w:usb0="800002BF" w:usb1="38CF7CFA" w:usb2="00000016" w:usb3="00000000" w:csb0="00040001" w:csb1="00000000"/>
    <w:embedRegular r:id="rId7" w:fontKey="{392BAAD4-D084-4EAD-BF16-0C1B79A02482}"/>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28D1667B">
        <w:pPr>
          <w:pStyle w:val="12"/>
          <w:jc w:val="center"/>
        </w:pPr>
        <w:r>
          <w:fldChar w:fldCharType="begin"/>
        </w:r>
        <w:r>
          <w:instrText xml:space="preserve">PAGE   \* MERGEFORMAT</w:instrText>
        </w:r>
        <w:r>
          <w:fldChar w:fldCharType="separate"/>
        </w:r>
        <w:r>
          <w:rPr>
            <w:lang w:val="zh-CN"/>
          </w:rPr>
          <w:t>2</w:t>
        </w:r>
        <w:r>
          <w:fldChar w:fldCharType="end"/>
        </w:r>
      </w:p>
    </w:sdtContent>
  </w:sdt>
  <w:p w14:paraId="1436D525">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BlY2RlZTc4MzFlYzYzZjZmMTg4MDMwODUwYTE2N2UifQ=="/>
  </w:docVars>
  <w:rsids>
    <w:rsidRoot w:val="00CA6457"/>
    <w:rsid w:val="00044A1F"/>
    <w:rsid w:val="00056465"/>
    <w:rsid w:val="00102DFF"/>
    <w:rsid w:val="0012073C"/>
    <w:rsid w:val="00121AE4"/>
    <w:rsid w:val="00146AAD"/>
    <w:rsid w:val="00151FA7"/>
    <w:rsid w:val="001B3A40"/>
    <w:rsid w:val="00256505"/>
    <w:rsid w:val="002637DF"/>
    <w:rsid w:val="00291BC0"/>
    <w:rsid w:val="00311DBE"/>
    <w:rsid w:val="004366A8"/>
    <w:rsid w:val="00502BA7"/>
    <w:rsid w:val="005162F1"/>
    <w:rsid w:val="00535153"/>
    <w:rsid w:val="00554F82"/>
    <w:rsid w:val="0056390D"/>
    <w:rsid w:val="005719B0"/>
    <w:rsid w:val="005D10D6"/>
    <w:rsid w:val="00694F5F"/>
    <w:rsid w:val="00832F6D"/>
    <w:rsid w:val="00855E3A"/>
    <w:rsid w:val="0091457F"/>
    <w:rsid w:val="00922CB9"/>
    <w:rsid w:val="009A0637"/>
    <w:rsid w:val="009E5CD9"/>
    <w:rsid w:val="00A26421"/>
    <w:rsid w:val="00A34588"/>
    <w:rsid w:val="00A4293B"/>
    <w:rsid w:val="00A67D50"/>
    <w:rsid w:val="00A8691A"/>
    <w:rsid w:val="00AC1946"/>
    <w:rsid w:val="00B40063"/>
    <w:rsid w:val="00B41F61"/>
    <w:rsid w:val="00B77FC4"/>
    <w:rsid w:val="00BA46E6"/>
    <w:rsid w:val="00C56C72"/>
    <w:rsid w:val="00CA6457"/>
    <w:rsid w:val="00CE2FD9"/>
    <w:rsid w:val="00D17F2E"/>
    <w:rsid w:val="00D30354"/>
    <w:rsid w:val="00DF42A0"/>
    <w:rsid w:val="00E30E91"/>
    <w:rsid w:val="00E769FE"/>
    <w:rsid w:val="00EA2CBE"/>
    <w:rsid w:val="00F32FEE"/>
    <w:rsid w:val="00FB10BB"/>
    <w:rsid w:val="0856517C"/>
    <w:rsid w:val="0BFB189F"/>
    <w:rsid w:val="11BD75F7"/>
    <w:rsid w:val="13BE561A"/>
    <w:rsid w:val="15392994"/>
    <w:rsid w:val="18FE139B"/>
    <w:rsid w:val="3029612C"/>
    <w:rsid w:val="32A221C5"/>
    <w:rsid w:val="33F20F2A"/>
    <w:rsid w:val="34C44675"/>
    <w:rsid w:val="3B5B5607"/>
    <w:rsid w:val="3CE21B3C"/>
    <w:rsid w:val="4D2606A1"/>
    <w:rsid w:val="51830480"/>
    <w:rsid w:val="53A616BE"/>
    <w:rsid w:val="54662BFB"/>
    <w:rsid w:val="62051CA5"/>
    <w:rsid w:val="68302092"/>
    <w:rsid w:val="6C3A69EF"/>
    <w:rsid w:val="70EF6AC6"/>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autoRedefine/>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semiHidden/>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uiPriority w:val="10"/>
    <w:rPr>
      <w:rFonts w:asciiTheme="majorHAnsi" w:hAnsiTheme="majorHAnsi" w:eastAsiaTheme="majorEastAsia"/>
      <w:b/>
      <w:bCs/>
      <w:kern w:val="28"/>
      <w:sz w:val="32"/>
      <w:szCs w:val="32"/>
    </w:rPr>
  </w:style>
  <w:style w:type="character" w:customStyle="1" w:styleId="30">
    <w:name w:val="副标题 字符"/>
    <w:basedOn w:val="17"/>
    <w:link w:val="14"/>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uiPriority w:val="99"/>
    <w:rPr>
      <w:rFonts w:ascii="Calibri" w:hAnsi="Calibri" w:eastAsia="宋体"/>
      <w:kern w:val="2"/>
      <w:sz w:val="18"/>
      <w:szCs w:val="18"/>
    </w:rPr>
  </w:style>
  <w:style w:type="character" w:customStyle="1" w:styleId="44">
    <w:name w:val="页脚 字符"/>
    <w:basedOn w:val="17"/>
    <w:link w:val="12"/>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22</Pages>
  <Words>10326</Words>
  <Characters>10819</Characters>
  <Lines>82</Lines>
  <Paragraphs>23</Paragraphs>
  <TotalTime>2</TotalTime>
  <ScaleCrop>false</ScaleCrop>
  <LinksUpToDate>false</LinksUpToDate>
  <CharactersWithSpaces>11350</CharactersWithSpaces>
  <Application>WPS Office_12.1.0.26890_F1E327BC-269C-435d-A152-05C5408002CA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小麦啾</cp:lastModifiedBy>
  <cp:lastPrinted>2018-12-31T10:56:00Z</cp:lastPrinted>
  <dcterms:modified xsi:type="dcterms:W3CDTF">2026-06-01T09:08:15Z</dcterms:modified>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2052-12.1.0.26890</vt:lpwstr>
  </property>
  <property fmtid="{D5CDD505-2E9C-101B-9397-08002B2CF9AE}" pid="3" name="ICV">
    <vt:lpwstr>C734C92AAAF24344A0E4232D8EB3359B</vt:lpwstr>
  </property>
  <property fmtid="{D5CDD505-2E9C-101B-9397-08002B2CF9AE}" pid="4" name="KSOTemplateDocerSaveRecord">
    <vt:lpwstr>eyJoZGlkIjoiZGZmMjg3MDQ2MzExNDk0OWY5M2UwNzBmOWViMDBkMGMiLCJ1c2VySWQiOiIzMjQ5NjUzODcifQ==</vt:lpwstr>
  </property>
</Properties>
</file>