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8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047" w:right="136" w:hanging="1877"/>
        <w:jc w:val="both"/>
        <w:textAlignment w:val="baseline"/>
        <w:rPr>
          <w:rFonts w:hint="eastAsia" w:ascii="方正小标宋简体" w:hAnsi="方正小标宋简体" w:eastAsia="方正小标宋简体" w:cs="方正小标宋简体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7"/>
          <w:sz w:val="44"/>
          <w:szCs w:val="44"/>
        </w:rPr>
        <w:t>冶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金、建材重点行业严格能效约束推动节能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降碳</w:t>
      </w:r>
      <w:r>
        <w:rPr>
          <w:rFonts w:hint="eastAsia" w:ascii="方正小标宋简体" w:hAnsi="方正小标宋简体" w:eastAsia="方正小标宋简体" w:cs="方正小标宋简体"/>
          <w:spacing w:val="10"/>
          <w:sz w:val="44"/>
          <w:szCs w:val="44"/>
        </w:rPr>
        <w:t>行动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方</w:t>
      </w:r>
      <w:r>
        <w:rPr>
          <w:rFonts w:hint="eastAsia" w:ascii="方正小标宋简体" w:hAnsi="方正小标宋简体" w:eastAsia="方正小标宋简体" w:cs="方正小标宋简体"/>
          <w:spacing w:val="5"/>
          <w:sz w:val="44"/>
          <w:szCs w:val="44"/>
        </w:rPr>
        <w:t>案(2021-2025年)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048" w:right="139" w:hanging="1879"/>
        <w:textAlignment w:val="baseline"/>
        <w:rPr>
          <w:rFonts w:hint="eastAsia" w:ascii="仿宋_GB2312" w:hAnsi="仿宋_GB2312" w:eastAsia="仿宋_GB2312" w:cs="仿宋_GB2312"/>
          <w:spacing w:val="5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为贯彻落实党中央</w:t>
      </w:r>
      <w:r>
        <w:rPr>
          <w:rFonts w:hint="eastAsia" w:ascii="仿宋_GB2312" w:hAnsi="仿宋_GB2312" w:eastAsia="仿宋_GB2312" w:cs="仿宋_GB2312"/>
          <w:sz w:val="32"/>
          <w:szCs w:val="32"/>
        </w:rPr>
        <w:t>、国务院碳达峰碳中和相关工作部署，坚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决遏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制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“两高”项目盲目发展，推动钢铁、电解铝、水泥、平板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玻璃等重点行业绿色低碳转型，确保如期实现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碳达峰目标，根据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关于严格能效约束推动重点领域节能降碳的若干意见》，制定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行动方案。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09"/>
        <w:textAlignment w:val="baseline"/>
        <w:rPr>
          <w:rFonts w:hint="eastAsia" w:ascii="黑体" w:hAnsi="黑体" w:eastAsia="黑体" w:cs="黑体"/>
          <w:spacing w:val="-19"/>
          <w:sz w:val="32"/>
          <w:szCs w:val="32"/>
        </w:rPr>
      </w:pPr>
      <w:r>
        <w:rPr>
          <w:rFonts w:hint="eastAsia" w:ascii="黑体" w:hAnsi="黑体" w:eastAsia="黑体" w:cs="黑体"/>
          <w:spacing w:val="-19"/>
          <w:sz w:val="32"/>
          <w:szCs w:val="32"/>
        </w:rPr>
        <w:t>一、行动目标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4" w:firstLine="609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8"/>
          <w:sz w:val="32"/>
          <w:szCs w:val="32"/>
        </w:rPr>
        <w:t>到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2025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年，通过实施节能降碳行动，钢铁、电解铝、水泥、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平板玻璃行业能效达到标杆水平的产能比例超过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30%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，行业整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体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能效水平明显提升，碳排放强度明显下降</w:t>
      </w:r>
      <w:r>
        <w:rPr>
          <w:rFonts w:hint="eastAsia" w:ascii="仿宋_GB2312" w:hAnsi="仿宋_GB2312" w:eastAsia="仿宋_GB2312" w:cs="仿宋_GB2312"/>
          <w:sz w:val="32"/>
          <w:szCs w:val="32"/>
        </w:rPr>
        <w:t>，绿色低碳发展能力显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著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增强。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基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准水平和标杆水平具体指标如下。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2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</w:rPr>
        <w:t>重点行业能效基准水平和标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杆水平</w:t>
      </w:r>
    </w:p>
    <w:tbl>
      <w:tblPr>
        <w:tblStyle w:val="4"/>
        <w:tblW w:w="86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"/>
        <w:gridCol w:w="292"/>
        <w:gridCol w:w="149"/>
        <w:gridCol w:w="533"/>
        <w:gridCol w:w="149"/>
        <w:gridCol w:w="1135"/>
        <w:gridCol w:w="252"/>
        <w:gridCol w:w="1326"/>
        <w:gridCol w:w="149"/>
        <w:gridCol w:w="1102"/>
        <w:gridCol w:w="141"/>
        <w:gridCol w:w="648"/>
        <w:gridCol w:w="180"/>
        <w:gridCol w:w="790"/>
        <w:gridCol w:w="149"/>
        <w:gridCol w:w="1331"/>
        <w:gridCol w:w="18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180" w:type="dxa"/>
          <w:trHeight w:val="608" w:hRule="atLeast"/>
          <w:jc w:val="center"/>
        </w:trPr>
        <w:tc>
          <w:tcPr>
            <w:tcW w:w="441" w:type="dxa"/>
            <w:gridSpan w:val="2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4"/>
                <w:szCs w:val="24"/>
              </w:rPr>
              <w:t>序号</w:t>
            </w:r>
          </w:p>
        </w:tc>
        <w:tc>
          <w:tcPr>
            <w:tcW w:w="196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91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产品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1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02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指标名称</w:t>
            </w:r>
          </w:p>
        </w:tc>
        <w:tc>
          <w:tcPr>
            <w:tcW w:w="1251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指标单位</w:t>
            </w:r>
          </w:p>
        </w:tc>
        <w:tc>
          <w:tcPr>
            <w:tcW w:w="78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基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准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水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平</w:t>
            </w:r>
          </w:p>
        </w:tc>
        <w:tc>
          <w:tcPr>
            <w:tcW w:w="97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4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标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4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水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平</w:t>
            </w:r>
          </w:p>
        </w:tc>
        <w:tc>
          <w:tcPr>
            <w:tcW w:w="148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42" w:right="124" w:hanging="10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相关计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算等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参考标准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180" w:type="dxa"/>
          <w:trHeight w:val="604" w:hRule="atLeast"/>
          <w:jc w:val="center"/>
        </w:trPr>
        <w:tc>
          <w:tcPr>
            <w:tcW w:w="441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8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3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钢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铁</w:t>
            </w:r>
          </w:p>
        </w:tc>
        <w:tc>
          <w:tcPr>
            <w:tcW w:w="128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高炉工序</w:t>
            </w:r>
          </w:p>
        </w:tc>
        <w:tc>
          <w:tcPr>
            <w:tcW w:w="1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1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位产品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4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3"/>
                <w:sz w:val="24"/>
                <w:szCs w:val="24"/>
              </w:rPr>
              <w:t>能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</w:rPr>
              <w:t>耗</w:t>
            </w:r>
          </w:p>
        </w:tc>
        <w:tc>
          <w:tcPr>
            <w:tcW w:w="1251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19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>千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  <w:t>克标准煤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/吨</w:t>
            </w:r>
          </w:p>
        </w:tc>
        <w:tc>
          <w:tcPr>
            <w:tcW w:w="78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435</w:t>
            </w:r>
          </w:p>
        </w:tc>
        <w:tc>
          <w:tcPr>
            <w:tcW w:w="97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72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61</w:t>
            </w:r>
          </w:p>
        </w:tc>
        <w:tc>
          <w:tcPr>
            <w:tcW w:w="1480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2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21256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180" w:type="dxa"/>
          <w:trHeight w:val="604" w:hRule="atLeast"/>
          <w:jc w:val="center"/>
        </w:trPr>
        <w:tc>
          <w:tcPr>
            <w:tcW w:w="441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6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68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转炉工序</w:t>
            </w:r>
          </w:p>
        </w:tc>
        <w:tc>
          <w:tcPr>
            <w:tcW w:w="1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1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位产品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4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3"/>
                <w:sz w:val="24"/>
                <w:szCs w:val="24"/>
              </w:rPr>
              <w:t>能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</w:rPr>
              <w:t>耗</w:t>
            </w:r>
          </w:p>
        </w:tc>
        <w:tc>
          <w:tcPr>
            <w:tcW w:w="1251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19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>千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  <w:t>克标准煤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/吨</w:t>
            </w:r>
          </w:p>
        </w:tc>
        <w:tc>
          <w:tcPr>
            <w:tcW w:w="78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w w:val="95"/>
                <w:sz w:val="24"/>
                <w:szCs w:val="24"/>
              </w:rPr>
              <w:t>-10</w:t>
            </w:r>
          </w:p>
        </w:tc>
        <w:tc>
          <w:tcPr>
            <w:tcW w:w="97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8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30</w:t>
            </w:r>
          </w:p>
        </w:tc>
        <w:tc>
          <w:tcPr>
            <w:tcW w:w="1480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180" w:type="dxa"/>
          <w:trHeight w:val="606" w:hRule="atLeast"/>
          <w:jc w:val="center"/>
        </w:trPr>
        <w:tc>
          <w:tcPr>
            <w:tcW w:w="441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72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196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73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3"/>
                <w:sz w:val="24"/>
                <w:szCs w:val="24"/>
              </w:rPr>
              <w:t>电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</w:rPr>
              <w:t>解铝</w:t>
            </w:r>
          </w:p>
        </w:tc>
        <w:tc>
          <w:tcPr>
            <w:tcW w:w="1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0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铝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液交流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52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9"/>
                <w:sz w:val="24"/>
                <w:szCs w:val="24"/>
              </w:rPr>
              <w:t>电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耗</w:t>
            </w:r>
          </w:p>
        </w:tc>
        <w:tc>
          <w:tcPr>
            <w:tcW w:w="1251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千瓦时/吨</w:t>
            </w:r>
          </w:p>
        </w:tc>
        <w:tc>
          <w:tcPr>
            <w:tcW w:w="78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3350</w:t>
            </w:r>
          </w:p>
        </w:tc>
        <w:tc>
          <w:tcPr>
            <w:tcW w:w="97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7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3000</w:t>
            </w:r>
          </w:p>
        </w:tc>
        <w:tc>
          <w:tcPr>
            <w:tcW w:w="148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2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21346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Before w:val="1"/>
          <w:wBefore w:w="149" w:type="dxa"/>
          <w:wAfter w:w="0" w:type="auto"/>
          <w:trHeight w:val="608" w:hRule="atLeast"/>
          <w:jc w:val="center"/>
        </w:trPr>
        <w:tc>
          <w:tcPr>
            <w:tcW w:w="441" w:type="dxa"/>
            <w:gridSpan w:val="2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4"/>
                <w:szCs w:val="24"/>
              </w:rPr>
              <w:t>序号</w:t>
            </w:r>
          </w:p>
        </w:tc>
        <w:tc>
          <w:tcPr>
            <w:tcW w:w="206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产品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指标名称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指标单位</w:t>
            </w:r>
          </w:p>
        </w:tc>
        <w:tc>
          <w:tcPr>
            <w:tcW w:w="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基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准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水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平</w:t>
            </w:r>
          </w:p>
        </w:tc>
        <w:tc>
          <w:tcPr>
            <w:tcW w:w="9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4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标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4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水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平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42" w:right="124" w:hanging="10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相关计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算等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参考标准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9" w:type="dxa"/>
          <w:wAfter w:w="0" w:type="auto"/>
          <w:trHeight w:val="604" w:hRule="atLeast"/>
          <w:jc w:val="center"/>
        </w:trPr>
        <w:tc>
          <w:tcPr>
            <w:tcW w:w="4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6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</w:p>
        </w:tc>
        <w:tc>
          <w:tcPr>
            <w:tcW w:w="206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水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泥熟料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可比熟料</w:t>
            </w: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综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合能耗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19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>千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  <w:t>克标准煤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/吨</w:t>
            </w:r>
          </w:p>
        </w:tc>
        <w:tc>
          <w:tcPr>
            <w:tcW w:w="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9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117</w:t>
            </w:r>
          </w:p>
        </w:tc>
        <w:tc>
          <w:tcPr>
            <w:tcW w:w="9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8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9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00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2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16780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9" w:type="dxa"/>
          <w:wAfter w:w="0" w:type="auto"/>
          <w:trHeight w:val="604" w:hRule="atLeast"/>
          <w:jc w:val="center"/>
        </w:trPr>
        <w:tc>
          <w:tcPr>
            <w:tcW w:w="4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74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</w:p>
        </w:tc>
        <w:tc>
          <w:tcPr>
            <w:tcW w:w="682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27" w:right="11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平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板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玻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璃</w:t>
            </w:r>
          </w:p>
        </w:tc>
        <w:tc>
          <w:tcPr>
            <w:tcW w:w="13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62" w:right="142" w:hanging="29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9"/>
                <w:sz w:val="24"/>
                <w:szCs w:val="24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pacing w:val="15"/>
                <w:sz w:val="24"/>
                <w:szCs w:val="24"/>
              </w:rPr>
              <w:t>500≤800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吨/天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位产品</w:t>
            </w:r>
            <w:r>
              <w:rPr>
                <w:rFonts w:hint="eastAsia" w:asciiTheme="minorEastAsia" w:hAnsiTheme="minorEastAsia" w:eastAsiaTheme="minorEastAsia" w:cstheme="minorEastAsia"/>
                <w:spacing w:val="-13"/>
                <w:sz w:val="24"/>
                <w:szCs w:val="24"/>
              </w:rPr>
              <w:t>能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</w:rPr>
              <w:t>耗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16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>千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  <w:t>克标准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4"/>
                <w:szCs w:val="24"/>
              </w:rPr>
              <w:t>煤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>/重量箱</w:t>
            </w:r>
          </w:p>
        </w:tc>
        <w:tc>
          <w:tcPr>
            <w:tcW w:w="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6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3.5</w:t>
            </w:r>
          </w:p>
        </w:tc>
        <w:tc>
          <w:tcPr>
            <w:tcW w:w="9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9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  <w:t>9.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</w:p>
        </w:tc>
        <w:tc>
          <w:tcPr>
            <w:tcW w:w="1511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2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21340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8" w:right="107" w:firstLine="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汽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4"/>
                <w:szCs w:val="24"/>
              </w:rPr>
              <w:t>车用平板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  <w:t>玻璃能耗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修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  <w:t>正系数参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照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此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标准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9" w:type="dxa"/>
          <w:wAfter w:w="0" w:type="auto"/>
          <w:trHeight w:val="718" w:hRule="atLeast"/>
          <w:jc w:val="center"/>
        </w:trPr>
        <w:tc>
          <w:tcPr>
            <w:tcW w:w="441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73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</w:t>
            </w:r>
          </w:p>
        </w:tc>
        <w:tc>
          <w:tcPr>
            <w:tcW w:w="68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8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&gt;80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0吨/天</w:t>
            </w:r>
          </w:p>
        </w:tc>
        <w:tc>
          <w:tcPr>
            <w:tcW w:w="147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位产品</w:t>
            </w:r>
            <w:r>
              <w:rPr>
                <w:rFonts w:hint="eastAsia" w:asciiTheme="minorEastAsia" w:hAnsiTheme="minorEastAsia" w:eastAsiaTheme="minorEastAsia" w:cstheme="minorEastAsia"/>
                <w:spacing w:val="-13"/>
                <w:sz w:val="24"/>
                <w:szCs w:val="24"/>
              </w:rPr>
              <w:t>能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</w:rPr>
              <w:t>耗</w:t>
            </w:r>
          </w:p>
        </w:tc>
        <w:tc>
          <w:tcPr>
            <w:tcW w:w="12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16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千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克标准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煤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/重量箱</w:t>
            </w:r>
          </w:p>
        </w:tc>
        <w:tc>
          <w:tcPr>
            <w:tcW w:w="82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3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</w:rPr>
              <w:t>2</w:t>
            </w:r>
          </w:p>
        </w:tc>
        <w:tc>
          <w:tcPr>
            <w:tcW w:w="93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8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</w:t>
            </w:r>
          </w:p>
        </w:tc>
        <w:tc>
          <w:tcPr>
            <w:tcW w:w="1511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09"/>
        <w:textAlignment w:val="baseline"/>
        <w:rPr>
          <w:rFonts w:hint="eastAsia" w:ascii="黑体" w:hAnsi="黑体" w:eastAsia="黑体" w:cs="黑体"/>
          <w:spacing w:val="-19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09"/>
        <w:textAlignment w:val="baseline"/>
        <w:rPr>
          <w:rFonts w:hint="eastAsia" w:ascii="黑体" w:hAnsi="黑体" w:eastAsia="黑体" w:cs="黑体"/>
          <w:spacing w:val="-19"/>
          <w:sz w:val="32"/>
          <w:szCs w:val="32"/>
        </w:rPr>
      </w:pPr>
      <w:r>
        <w:rPr>
          <w:rFonts w:hint="eastAsia" w:ascii="黑体" w:hAnsi="黑体" w:eastAsia="黑体" w:cs="黑体"/>
          <w:spacing w:val="-19"/>
          <w:sz w:val="32"/>
          <w:szCs w:val="32"/>
        </w:rPr>
        <w:t>二、重点任务</w:t>
      </w:r>
    </w:p>
    <w:p>
      <w:pPr>
        <w:keepNext w:val="0"/>
        <w:keepLines w:val="0"/>
        <w:pageBreakBefore w:val="0"/>
        <w:widowControl/>
        <w:tabs>
          <w:tab w:val="left" w:pos="724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" w:firstLine="57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楷体" w:hAnsi="楷体" w:eastAsia="楷体" w:cs="楷体"/>
          <w:spacing w:val="10"/>
          <w:sz w:val="32"/>
          <w:szCs w:val="32"/>
        </w:rPr>
        <w:t>(</w:t>
      </w:r>
      <w:r>
        <w:rPr>
          <w:rFonts w:hint="eastAsia" w:ascii="楷体" w:hAnsi="楷体" w:eastAsia="楷体" w:cs="楷体"/>
          <w:spacing w:val="6"/>
          <w:sz w:val="32"/>
          <w:szCs w:val="32"/>
        </w:rPr>
        <w:t>一)建立技术改造企业清单。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各地组织开展钢铁、电解铝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水泥、平板玻璃企业现有项目能效情况调查，认真排查在建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项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目，科学评估拟建项目，按照有关法律法规和标准规范，逐一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登</w:t>
      </w:r>
      <w:r>
        <w:rPr>
          <w:rFonts w:hint="eastAsia" w:ascii="仿宋_GB2312" w:hAnsi="仿宋_GB2312" w:eastAsia="仿宋_GB2312" w:cs="仿宋_GB2312"/>
          <w:spacing w:val="-19"/>
          <w:sz w:val="32"/>
          <w:szCs w:val="32"/>
        </w:rPr>
        <w:t>记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造册，经企业申辩和专家评审，建立企业能效清单目录，能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效达到标杆水平和低于基准水平的企业，分别列入能效先进和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落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清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单，并向社会公开，接受监督。有关部门组织申报、评选全</w:t>
      </w:r>
      <w:r>
        <w:rPr>
          <w:rFonts w:hint="eastAsia" w:ascii="仿宋_GB2312" w:hAnsi="仿宋_GB2312" w:eastAsia="仿宋_GB2312" w:cs="仿宋_GB2312"/>
          <w:spacing w:val="30"/>
          <w:sz w:val="32"/>
          <w:szCs w:val="32"/>
        </w:rPr>
        <w:t>国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节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能降碳或改造提升效果明显的企业，发布行业能效“领跑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者”名单，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形成一批可借鉴、可复制、可推广的节能典型案例。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_GB2312" w:hAnsi="仿宋_GB2312" w:eastAsia="仿宋_GB2312" w:cs="仿宋_GB2312"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楷体" w:hAnsi="楷体" w:eastAsia="楷体" w:cs="楷体"/>
          <w:spacing w:val="10"/>
          <w:sz w:val="32"/>
          <w:szCs w:val="32"/>
        </w:rPr>
        <w:t>(二)制定技术改造实施方案。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各地在确保经济平稳运行、社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会民生稳定基础上，制定冶金、建材重点行业企业技术改造总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体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实施方案，选取钢铁、电解铝、水泥、平板玻璃等行业节能先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进适用技术，引导能效水平相对落后企业实施技术</w:t>
      </w:r>
      <w:r>
        <w:rPr>
          <w:rFonts w:hint="eastAsia" w:ascii="仿宋_GB2312" w:hAnsi="仿宋_GB2312" w:eastAsia="仿宋_GB2312" w:cs="仿宋_GB2312"/>
          <w:sz w:val="32"/>
          <w:szCs w:val="32"/>
        </w:rPr>
        <w:t>改造，科学合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理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制定不同企业节能改造时间表，明确推进步骤、改造期限、技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术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路线、工作节点、预期目标等。实施方案需科学周密论证，广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泛征求意见，特别是要征求相关企业及其所在地方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政府意见，并</w:t>
      </w:r>
      <w:r>
        <w:rPr>
          <w:rFonts w:hint="eastAsia" w:ascii="仿宋_GB2312" w:hAnsi="仿宋_GB2312" w:eastAsia="仿宋_GB2312" w:cs="仿宋_GB2312"/>
          <w:spacing w:val="30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实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施前向社会公示。各技术改造企业据此制定周密细致的具体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工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作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方案，明确落实措施。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80" w:firstLineChars="200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楷体" w:hAnsi="楷体" w:eastAsia="楷体" w:cs="楷体"/>
          <w:spacing w:val="10"/>
          <w:sz w:val="32"/>
          <w:szCs w:val="32"/>
        </w:rPr>
        <w:t>(三)稳妥组织企业实施改造。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各地根据实施方案，指导企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业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落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实好改造所需资金，制定技术改造措施，加快技术改造进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程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，积极协助企业解决改造过程中存在的问题。对于能效介于标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杆水平和基准水平之间的企业，鼓励结合检修等时机参照标杆水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平要求实施改造升级。改造过程中，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在落实产能置换等要求前提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下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鼓励企业开展兼并重组。对于违规上马、未批先建项目，依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法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依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规严肃查处相关责任人员、单位和企业。</w:t>
      </w:r>
    </w:p>
    <w:p>
      <w:pPr>
        <w:keepNext w:val="0"/>
        <w:keepLines w:val="0"/>
        <w:pageBreakBefore w:val="0"/>
        <w:widowControl/>
        <w:tabs>
          <w:tab w:val="left" w:pos="7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" w:right="2" w:firstLine="575"/>
        <w:textAlignment w:val="baseline"/>
        <w:rPr>
          <w:rFonts w:hint="eastAsia" w:ascii="仿宋_GB2312" w:hAnsi="仿宋_GB2312" w:eastAsia="仿宋_GB2312" w:cs="仿宋_GB2312"/>
          <w:spacing w:val="-2"/>
          <w:sz w:val="32"/>
          <w:szCs w:val="32"/>
        </w:rPr>
      </w:pPr>
      <w:r>
        <w:rPr>
          <w:rFonts w:hint="eastAsia" w:ascii="楷体" w:hAnsi="楷体" w:eastAsia="楷体" w:cs="楷体"/>
          <w:spacing w:val="10"/>
          <w:sz w:val="32"/>
          <w:szCs w:val="32"/>
        </w:rPr>
        <w:t>(四)引导低效产能有序退出。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综合发挥能耗、排放等约</w:t>
      </w:r>
      <w:r>
        <w:rPr>
          <w:rFonts w:hint="eastAsia" w:ascii="仿宋_GB2312" w:hAnsi="仿宋_GB2312" w:eastAsia="仿宋_GB2312" w:cs="仿宋_GB2312"/>
          <w:sz w:val="32"/>
          <w:szCs w:val="32"/>
        </w:rPr>
        <w:t>束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性指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标作用，严格执行有关标准、政策，加强监督检查，引导低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效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产能有序退出。加大淘汰落后产能工作力度，严格执行《产业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结构调整指导目录》等规定，坚决淘汰落后</w:t>
      </w:r>
      <w:r>
        <w:rPr>
          <w:rFonts w:hint="eastAsia" w:ascii="仿宋_GB2312" w:hAnsi="仿宋_GB2312" w:eastAsia="仿宋_GB2312" w:cs="仿宋_GB2312"/>
          <w:sz w:val="32"/>
          <w:szCs w:val="32"/>
        </w:rPr>
        <w:t>生产工艺、技术、设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备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tabs>
          <w:tab w:val="left" w:pos="7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" w:firstLine="576"/>
        <w:textAlignment w:val="baseline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楷体" w:hAnsi="楷体" w:eastAsia="楷体" w:cs="楷体"/>
          <w:spacing w:val="10"/>
          <w:sz w:val="32"/>
          <w:szCs w:val="32"/>
        </w:rPr>
        <w:t>(五)创新发展绿色低碳技术。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深入研究钢铁、电解铝、水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泥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、平板玻璃等行业节能低碳技术发展路线，加强节能低碳关键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共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性技术、前沿引领技术、颠覆性技术研发。加快先进适用节能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低碳技术产业化应用，进一步提升能源利用效率</w:t>
      </w:r>
      <w:r>
        <w:rPr>
          <w:rFonts w:hint="eastAsia" w:ascii="仿宋_GB2312" w:hAnsi="仿宋_GB2312" w:eastAsia="仿宋_GB2312" w:cs="仿宋_GB2312"/>
          <w:sz w:val="32"/>
          <w:szCs w:val="32"/>
        </w:rPr>
        <w:t>。基于产品全生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命周期绿色发展理念，开展工业产品绿色设计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，开发优质、高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、长寿命的钢铁、电解铝、水泥、平板玻璃绿色设计产品，引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导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下游行业选用绿色产品，建设绿色工厂。</w:t>
      </w:r>
    </w:p>
    <w:p>
      <w:pPr>
        <w:keepNext w:val="0"/>
        <w:keepLines w:val="0"/>
        <w:pageBreakBefore w:val="0"/>
        <w:widowControl/>
        <w:tabs>
          <w:tab w:val="left" w:pos="7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80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pacing w:val="10"/>
          <w:sz w:val="32"/>
          <w:szCs w:val="32"/>
        </w:rPr>
        <w:t>(六)推进产业结构优化调整。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做好产业布局、结构调整、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节能审查与能耗双控政策的衔接。推动钢铁、电解铝</w:t>
      </w:r>
      <w:r>
        <w:rPr>
          <w:rFonts w:hint="eastAsia" w:ascii="仿宋_GB2312" w:hAnsi="仿宋_GB2312" w:eastAsia="仿宋_GB2312" w:cs="仿宋_GB2312"/>
          <w:sz w:val="32"/>
          <w:szCs w:val="32"/>
        </w:rPr>
        <w:t>、水泥、平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板玻璃等行业集中集聚发展，提高集约化、现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代化水平，形成规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模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效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益，降低单位产品能耗。加快推进钢铁、电解铝、水泥、平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板玻璃等行业兼并重组。进一步优化产业布局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，推动新建钢铁冶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炼项目依托现有生产基地集聚发展，鼓励有条件地区的长流程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钢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通过就地改造转型发展电炉短流程炼钢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80" w:firstLineChars="200"/>
        <w:textAlignment w:val="baseline"/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pacing w:val="10"/>
          <w:sz w:val="32"/>
          <w:szCs w:val="32"/>
        </w:rPr>
        <w:t>(七)修订完善产业政策标准。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对照行业能效基准水平和标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杆水平，适时修订钢铁、电解铝等行业的国家能耗限额标准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。结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合钢铁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、电解铝、水泥、平板玻璃等行业节能降碳行动以及修订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的国家能耗限额标准、污染物排放水平，修订《产业结构调整指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导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目录》《绿色技术推广目录》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tabs>
          <w:tab w:val="left" w:pos="72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" w:firstLine="574"/>
        <w:textAlignment w:val="baseline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pacing w:val="10"/>
          <w:sz w:val="32"/>
          <w:szCs w:val="32"/>
        </w:rPr>
        <w:t>(八)强化产业政策标准协同。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认真落实电解铝行业阶梯电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价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政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策，完善钢铁、水泥、平板玻璃行业绿色电价政策，有效强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化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电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价信号引导作用。按照加强高耗能项目源头防控的政策要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，通过节能审查、环评审查等手段，推动项目高标准建设，加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大违法违规问题查处力度。加强钢铁、电解</w:t>
      </w:r>
      <w:r>
        <w:rPr>
          <w:rFonts w:hint="eastAsia" w:ascii="仿宋_GB2312" w:hAnsi="仿宋_GB2312" w:eastAsia="仿宋_GB2312" w:cs="仿宋_GB2312"/>
          <w:sz w:val="32"/>
          <w:szCs w:val="32"/>
        </w:rPr>
        <w:t>铝、水泥、平板玻璃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行业规范条件与能效基准水平、标杆水平的协同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tabs>
          <w:tab w:val="left" w:pos="72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76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pacing w:val="10"/>
          <w:sz w:val="32"/>
          <w:szCs w:val="32"/>
        </w:rPr>
        <w:t>(九)加大财政金融支持力度。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落实节能专用装备、技术改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造、资源综合利用等方面税收优惠政策。积极发展绿色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金融，设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立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碳减排支持工具，支持金融机构在风险可控、商业可持续的前提下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向碳减排效应显著的重点项目提供高质量的金融服务。拓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展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绿色债券市场的深度和广度，支持符合条件的企业上市融资和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再融资。落实重点新材料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首批次应用鼓励政策。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8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pacing w:val="10"/>
          <w:sz w:val="32"/>
          <w:szCs w:val="32"/>
        </w:rPr>
        <w:t>(十)加大配套监督管理力度。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加强源头把控，建立钢铁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电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解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铝、水泥、平板玻璃等行业企业能耗和碳排放监测与评价体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系，稳步推进企业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能耗和碳排放核算、报告、核查和评价工作。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强化日常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监管，组织实施国家工业专项节能监察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加强对企业能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效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水平执行情况的监督检查，确保相关政策要求执行到位。压实属地监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管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责任，建立健全通报批评、用能预警、约谈问责等工作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机制，完善重点行业节能降碳监管体系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09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19"/>
          <w:sz w:val="32"/>
          <w:szCs w:val="32"/>
        </w:rPr>
        <w:t>三</w:t>
      </w:r>
      <w:r>
        <w:rPr>
          <w:rFonts w:hint="eastAsia" w:ascii="黑体" w:hAnsi="黑体" w:eastAsia="黑体" w:cs="黑体"/>
          <w:spacing w:val="-15"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6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发展改革、科技、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工业和信息化、财政、生态环境、人民银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、市场监管、证监等部门要加强协同配合，形成工作合力，统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筹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协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调推进各项工作。各地方要高度重视，进一步压实责任，细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化工作任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务，明确落实举措。有关行业协会要充分发挥桥梁纽带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作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用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，引导行业企业凝聚共识，形成一致行动，协同推进节能降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碳工作。有关企业要强化绿色低碳发展意识，落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实主体责任，严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格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照时间节点要求完成各项任务。</w:t>
      </w:r>
    </w:p>
    <w:sectPr>
      <w:pgSz w:w="11906" w:h="16839"/>
      <w:pgMar w:top="1431" w:right="1617" w:bottom="0" w:left="16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QyOWE0YzNlZjVhMmQ1NzI2MTkxMmE3YzNmN2IyY2UifQ=="/>
  </w:docVars>
  <w:rsids>
    <w:rsidRoot w:val="00000000"/>
    <w:rsid w:val="41320C42"/>
    <w:rsid w:val="6EB13C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2425</Words>
  <Characters>2496</Characters>
  <TotalTime>14</TotalTime>
  <ScaleCrop>false</ScaleCrop>
  <LinksUpToDate>false</LinksUpToDate>
  <CharactersWithSpaces>2666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2021-10-21T19:25:00Z</dcterms:created>
  <dc:creator>X1 Carbon</dc:creator>
  <cp:lastModifiedBy>袁哈利</cp:lastModifiedBy>
  <dcterms:modified xsi:type="dcterms:W3CDTF">2023-08-28T03:16:52Z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2023-08-28T10:55:18Z</vt:filetime>
  </property>
  <property fmtid="{D5CDD505-2E9C-101B-9397-08002B2CF9AE}" pid="4" name="KSOProductBuildVer">
    <vt:lpwstr>2052-11.1.0.14309</vt:lpwstr>
  </property>
  <property fmtid="{D5CDD505-2E9C-101B-9397-08002B2CF9AE}" pid="5" name="ICV">
    <vt:lpwstr>45C5D2EF0A8B43998B226A47384B1971_12</vt:lpwstr>
  </property>
</Properties>
</file>