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68CD8">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06DE959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0DF3DA8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329EBB2C">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699DE68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75BE66BC">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4CD19BA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1166A07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w w:val="100"/>
          <w:highlight w:val="none"/>
        </w:rPr>
      </w:pPr>
    </w:p>
    <w:p w14:paraId="75359E7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仿宋_GB2312" w:cs="Times New Roman"/>
          <w:w w:val="100"/>
          <w:highlight w:val="none"/>
        </w:rPr>
      </w:pPr>
    </w:p>
    <w:p w14:paraId="51556B64">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eastAsia="方正小标宋_GBK" w:cs="Times New Roman"/>
          <w:b w:val="0"/>
          <w:bCs w:val="0"/>
          <w:color w:val="auto"/>
          <w:w w:val="100"/>
          <w:highlight w:val="none"/>
        </w:rPr>
      </w:pPr>
      <w:r>
        <w:rPr>
          <w:rFonts w:hint="default" w:ascii="Times New Roman" w:hAnsi="Times New Roman" w:eastAsia="仿宋_GB2312" w:cs="Times New Roman"/>
          <w:w w:val="100"/>
          <w:highlight w:val="none"/>
        </w:rPr>
        <w:t>昌州发改项目〔20</w:t>
      </w:r>
      <w:r>
        <w:rPr>
          <w:rFonts w:hint="default" w:ascii="Times New Roman" w:hAnsi="Times New Roman" w:cs="Times New Roman"/>
          <w:w w:val="100"/>
          <w:highlight w:val="none"/>
          <w:lang w:val="en-US" w:eastAsia="zh-CN"/>
        </w:rPr>
        <w:t>25</w:t>
      </w:r>
      <w:r>
        <w:rPr>
          <w:rFonts w:hint="default" w:ascii="Times New Roman" w:hAnsi="Times New Roman" w:eastAsia="仿宋_GB2312" w:cs="Times New Roman"/>
          <w:w w:val="100"/>
          <w:highlight w:val="none"/>
        </w:rPr>
        <w:t>〕</w:t>
      </w:r>
      <w:r>
        <w:rPr>
          <w:rFonts w:hint="eastAsia" w:ascii="Times New Roman" w:hAnsi="Times New Roman" w:cs="Times New Roman"/>
          <w:w w:val="100"/>
          <w:highlight w:val="none"/>
          <w:lang w:val="en-US" w:eastAsia="zh-CN"/>
        </w:rPr>
        <w:t>31</w:t>
      </w:r>
      <w:r>
        <w:rPr>
          <w:rFonts w:hint="default" w:ascii="Times New Roman" w:hAnsi="Times New Roman" w:eastAsia="仿宋_GB2312" w:cs="Times New Roman"/>
          <w:w w:val="100"/>
          <w:highlight w:val="none"/>
        </w:rPr>
        <w:t>号</w:t>
      </w:r>
    </w:p>
    <w:p w14:paraId="378ED512">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color w:val="auto"/>
          <w:w w:val="100"/>
          <w:sz w:val="44"/>
          <w:szCs w:val="44"/>
          <w:lang w:val="en-US" w:eastAsia="zh-CN"/>
        </w:rPr>
      </w:pPr>
      <w:bookmarkStart w:id="0" w:name="OLE_LINK11"/>
      <w:r>
        <w:rPr>
          <w:rFonts w:hint="eastAsia" w:ascii="方正小标宋简体" w:hAnsi="方正小标宋简体" w:eastAsia="方正小标宋简体" w:cs="方正小标宋简体"/>
          <w:b w:val="0"/>
          <w:bCs w:val="0"/>
          <w:color w:val="auto"/>
          <w:w w:val="100"/>
          <w:sz w:val="44"/>
          <w:szCs w:val="44"/>
        </w:rPr>
        <w:t>昌吉州发改委关于</w:t>
      </w:r>
      <w:bookmarkStart w:id="1" w:name="OLE_LINK5"/>
      <w:r>
        <w:rPr>
          <w:rFonts w:hint="eastAsia" w:ascii="方正小标宋简体" w:hAnsi="方正小标宋简体" w:eastAsia="方正小标宋简体" w:cs="方正小标宋简体"/>
          <w:b w:val="0"/>
          <w:bCs w:val="0"/>
          <w:color w:val="auto"/>
          <w:w w:val="100"/>
          <w:sz w:val="44"/>
          <w:szCs w:val="44"/>
          <w:lang w:val="en-US" w:eastAsia="zh-CN"/>
        </w:rPr>
        <w:t>北庭国家考古遗址公园保护展示开放提升能力建设项目</w:t>
      </w:r>
      <w:bookmarkEnd w:id="1"/>
    </w:p>
    <w:p w14:paraId="59B1A079">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color w:val="auto"/>
          <w:w w:val="100"/>
          <w:sz w:val="44"/>
          <w:szCs w:val="44"/>
        </w:rPr>
      </w:pPr>
      <w:r>
        <w:rPr>
          <w:rFonts w:hint="eastAsia" w:ascii="方正小标宋简体" w:hAnsi="方正小标宋简体" w:eastAsia="方正小标宋简体" w:cs="方正小标宋简体"/>
          <w:b w:val="0"/>
          <w:bCs w:val="0"/>
          <w:color w:val="auto"/>
          <w:w w:val="100"/>
          <w:sz w:val="44"/>
          <w:szCs w:val="44"/>
          <w:lang w:val="en-US" w:eastAsia="zh-CN"/>
        </w:rPr>
        <w:t>变更</w:t>
      </w:r>
      <w:r>
        <w:rPr>
          <w:rFonts w:hint="eastAsia" w:ascii="方正小标宋简体" w:hAnsi="方正小标宋简体" w:eastAsia="方正小标宋简体" w:cs="方正小标宋简体"/>
          <w:b w:val="0"/>
          <w:bCs w:val="0"/>
          <w:color w:val="auto"/>
          <w:w w:val="100"/>
          <w:sz w:val="44"/>
          <w:szCs w:val="44"/>
        </w:rPr>
        <w:t>初步设计的批复</w:t>
      </w:r>
      <w:bookmarkEnd w:id="0"/>
    </w:p>
    <w:p w14:paraId="584B47DC">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color w:val="auto"/>
          <w:w w:val="100"/>
          <w:sz w:val="44"/>
          <w:szCs w:val="44"/>
        </w:rPr>
      </w:pPr>
    </w:p>
    <w:p w14:paraId="26176AF7">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default" w:ascii="Times New Roman" w:hAnsi="Times New Roman" w:eastAsia="方正仿宋_GBK" w:cs="Times New Roman"/>
          <w:spacing w:val="0"/>
          <w:w w:val="100"/>
          <w:sz w:val="32"/>
          <w:szCs w:val="32"/>
          <w:highlight w:val="none"/>
        </w:rPr>
      </w:pPr>
      <w:bookmarkStart w:id="2" w:name="OLE_LINK12"/>
      <w:r>
        <w:rPr>
          <w:rFonts w:hint="default" w:ascii="Times New Roman" w:hAnsi="Times New Roman" w:eastAsia="方正仿宋_GBK" w:cs="Times New Roman"/>
          <w:spacing w:val="0"/>
          <w:w w:val="100"/>
          <w:sz w:val="32"/>
          <w:szCs w:val="32"/>
          <w:highlight w:val="none"/>
          <w:lang w:val="en-US" w:eastAsia="zh-CN"/>
        </w:rPr>
        <w:t>吉木萨尔县</w:t>
      </w:r>
      <w:r>
        <w:rPr>
          <w:rFonts w:hint="default" w:ascii="Times New Roman" w:hAnsi="Times New Roman" w:eastAsia="方正仿宋_GBK" w:cs="Times New Roman"/>
          <w:color w:val="auto"/>
          <w:spacing w:val="0"/>
          <w:w w:val="100"/>
          <w:kern w:val="2"/>
          <w:sz w:val="32"/>
          <w:szCs w:val="32"/>
          <w:highlight w:val="none"/>
          <w:lang w:val="en-US" w:eastAsia="zh-CN" w:bidi="ar-SA"/>
        </w:rPr>
        <w:t>发展和改革委员会</w:t>
      </w:r>
      <w:bookmarkEnd w:id="2"/>
      <w:r>
        <w:rPr>
          <w:rFonts w:hint="default" w:ascii="Times New Roman" w:hAnsi="Times New Roman" w:eastAsia="方正仿宋_GBK" w:cs="Times New Roman"/>
          <w:spacing w:val="0"/>
          <w:w w:val="100"/>
          <w:sz w:val="32"/>
          <w:szCs w:val="32"/>
          <w:highlight w:val="none"/>
        </w:rPr>
        <w:t>：</w:t>
      </w:r>
    </w:p>
    <w:p w14:paraId="4C7CEB4B">
      <w:pPr>
        <w:pStyle w:val="12"/>
        <w:keepNext w:val="0"/>
        <w:keepLines w:val="0"/>
        <w:pageBreakBefore w:val="0"/>
        <w:widowControl w:val="0"/>
        <w:kinsoku/>
        <w:wordWrap/>
        <w:overflowPunct/>
        <w:topLinePunct w:val="0"/>
        <w:autoSpaceDE/>
        <w:autoSpaceDN/>
        <w:bidi w:val="0"/>
        <w:adjustRightInd w:val="0"/>
        <w:snapToGrid/>
        <w:spacing w:line="540" w:lineRule="exact"/>
        <w:ind w:firstLine="632" w:firstLineChars="200"/>
        <w:jc w:val="left"/>
        <w:textAlignment w:val="auto"/>
        <w:rPr>
          <w:rFonts w:hint="default" w:ascii="Times New Roman" w:hAnsi="Times New Roman" w:eastAsia="方正仿宋_GBK" w:cs="Times New Roman"/>
          <w:color w:val="auto"/>
          <w:spacing w:val="0"/>
          <w:w w:val="100"/>
          <w:sz w:val="32"/>
          <w:szCs w:val="32"/>
          <w:highlight w:val="none"/>
        </w:rPr>
      </w:pPr>
      <w:r>
        <w:rPr>
          <w:rFonts w:hint="default" w:ascii="Times New Roman" w:hAnsi="Times New Roman" w:eastAsia="方正仿宋_GBK" w:cs="Times New Roman"/>
          <w:color w:val="auto"/>
          <w:spacing w:val="0"/>
          <w:w w:val="100"/>
          <w:sz w:val="32"/>
          <w:szCs w:val="32"/>
          <w:highlight w:val="none"/>
        </w:rPr>
        <w:t>你</w:t>
      </w:r>
      <w:r>
        <w:rPr>
          <w:rFonts w:hint="default" w:ascii="Times New Roman" w:hAnsi="Times New Roman" w:eastAsia="方正仿宋_GBK" w:cs="Times New Roman"/>
          <w:color w:val="auto"/>
          <w:spacing w:val="0"/>
          <w:w w:val="100"/>
          <w:sz w:val="32"/>
          <w:szCs w:val="32"/>
          <w:highlight w:val="none"/>
          <w:lang w:val="en-US" w:eastAsia="zh-CN"/>
        </w:rPr>
        <w:t>委</w:t>
      </w:r>
      <w:r>
        <w:rPr>
          <w:rFonts w:hint="default" w:ascii="Times New Roman" w:hAnsi="Times New Roman" w:eastAsia="方正仿宋_GBK" w:cs="Times New Roman"/>
          <w:color w:val="auto"/>
          <w:spacing w:val="0"/>
          <w:w w:val="100"/>
          <w:sz w:val="32"/>
          <w:szCs w:val="32"/>
          <w:highlight w:val="none"/>
        </w:rPr>
        <w:t>《关于</w:t>
      </w:r>
      <w:r>
        <w:rPr>
          <w:rFonts w:hint="default" w:ascii="Times New Roman" w:hAnsi="Times New Roman" w:eastAsia="方正仿宋_GBK" w:cs="Times New Roman"/>
          <w:color w:val="auto"/>
          <w:spacing w:val="0"/>
          <w:w w:val="100"/>
          <w:sz w:val="32"/>
          <w:szCs w:val="32"/>
          <w:highlight w:val="none"/>
          <w:lang w:val="en-US" w:eastAsia="zh-CN"/>
        </w:rPr>
        <w:t>变更&lt;</w:t>
      </w:r>
      <w:bookmarkStart w:id="3" w:name="OLE_LINK6"/>
      <w:r>
        <w:rPr>
          <w:rFonts w:hint="default" w:ascii="Times New Roman" w:hAnsi="Times New Roman" w:eastAsia="方正仿宋_GBK" w:cs="Times New Roman"/>
          <w:color w:val="auto"/>
          <w:spacing w:val="0"/>
          <w:w w:val="100"/>
          <w:sz w:val="32"/>
          <w:szCs w:val="32"/>
          <w:highlight w:val="none"/>
          <w:lang w:val="en-US" w:eastAsia="zh-CN"/>
        </w:rPr>
        <w:t>北庭国家考古遗址公园保护展示开放提升能力建设项目</w:t>
      </w:r>
      <w:bookmarkEnd w:id="3"/>
      <w:r>
        <w:rPr>
          <w:rFonts w:hint="default" w:ascii="Times New Roman" w:hAnsi="Times New Roman" w:eastAsia="方正仿宋_GBK" w:cs="Times New Roman"/>
          <w:color w:val="auto"/>
          <w:spacing w:val="0"/>
          <w:w w:val="100"/>
          <w:sz w:val="32"/>
          <w:szCs w:val="32"/>
          <w:highlight w:val="none"/>
        </w:rPr>
        <w:t>初步设计</w:t>
      </w:r>
      <w:r>
        <w:rPr>
          <w:rFonts w:hint="default" w:ascii="Times New Roman" w:hAnsi="Times New Roman" w:eastAsia="方正仿宋_GBK" w:cs="Times New Roman"/>
          <w:color w:val="auto"/>
          <w:spacing w:val="0"/>
          <w:w w:val="100"/>
          <w:sz w:val="32"/>
          <w:szCs w:val="32"/>
          <w:highlight w:val="none"/>
          <w:lang w:val="en-US" w:eastAsia="zh-CN"/>
        </w:rPr>
        <w:t>&gt;</w:t>
      </w:r>
      <w:r>
        <w:rPr>
          <w:rFonts w:hint="default" w:ascii="Times New Roman" w:hAnsi="Times New Roman" w:eastAsia="方正仿宋_GBK" w:cs="Times New Roman"/>
          <w:color w:val="auto"/>
          <w:spacing w:val="0"/>
          <w:w w:val="100"/>
          <w:sz w:val="32"/>
          <w:szCs w:val="32"/>
          <w:highlight w:val="none"/>
        </w:rPr>
        <w:t>的请示》</w:t>
      </w:r>
      <w:r>
        <w:rPr>
          <w:rFonts w:hint="default" w:ascii="Times New Roman" w:hAnsi="Times New Roman" w:eastAsia="方正仿宋_GBK" w:cs="Times New Roman"/>
          <w:color w:val="auto"/>
          <w:spacing w:val="0"/>
          <w:w w:val="100"/>
          <w:sz w:val="32"/>
          <w:szCs w:val="32"/>
          <w:highlight w:val="none"/>
          <w:lang w:val="en-US" w:eastAsia="zh-CN"/>
        </w:rPr>
        <w:t>（吉县发改</w:t>
      </w:r>
      <w:r>
        <w:rPr>
          <w:rFonts w:hint="default" w:ascii="Times New Roman" w:hAnsi="Times New Roman" w:eastAsia="方正仿宋_GBK" w:cs="Times New Roman"/>
          <w:color w:val="auto"/>
          <w:spacing w:val="0"/>
          <w:w w:val="100"/>
          <w:sz w:val="32"/>
          <w:szCs w:val="32"/>
          <w:highlight w:val="none"/>
          <w:lang w:eastAsia="zh-CN"/>
        </w:rPr>
        <w:t>〔20</w:t>
      </w:r>
      <w:r>
        <w:rPr>
          <w:rFonts w:hint="default" w:ascii="Times New Roman" w:hAnsi="Times New Roman" w:eastAsia="方正仿宋_GBK" w:cs="Times New Roman"/>
          <w:color w:val="auto"/>
          <w:spacing w:val="0"/>
          <w:w w:val="100"/>
          <w:sz w:val="32"/>
          <w:szCs w:val="32"/>
          <w:highlight w:val="none"/>
          <w:lang w:val="en-US" w:eastAsia="zh-CN"/>
        </w:rPr>
        <w:t>25</w:t>
      </w:r>
      <w:r>
        <w:rPr>
          <w:rFonts w:hint="default" w:ascii="Times New Roman" w:hAnsi="Times New Roman" w:eastAsia="方正仿宋_GBK" w:cs="Times New Roman"/>
          <w:color w:val="auto"/>
          <w:spacing w:val="0"/>
          <w:w w:val="100"/>
          <w:sz w:val="32"/>
          <w:szCs w:val="32"/>
          <w:highlight w:val="none"/>
          <w:lang w:eastAsia="zh-CN"/>
        </w:rPr>
        <w:t>〕</w:t>
      </w:r>
      <w:r>
        <w:rPr>
          <w:rFonts w:hint="default" w:ascii="Times New Roman" w:hAnsi="Times New Roman" w:eastAsia="方正仿宋_GBK" w:cs="Times New Roman"/>
          <w:color w:val="auto"/>
          <w:spacing w:val="0"/>
          <w:w w:val="100"/>
          <w:sz w:val="32"/>
          <w:szCs w:val="32"/>
          <w:highlight w:val="none"/>
          <w:lang w:val="en-US" w:eastAsia="zh-CN"/>
        </w:rPr>
        <w:t>104号）和昌吉州优化营商环境服务中心《关于&lt;北庭国家考古遗址公园保护展示开放提升能力建设项目初步设计&gt;变更的评审意见》（</w:t>
      </w:r>
      <w:r>
        <w:rPr>
          <w:rFonts w:hint="default" w:ascii="Times New Roman" w:hAnsi="Times New Roman" w:eastAsia="方正仿宋_GBK" w:cs="Times New Roman"/>
          <w:bCs/>
          <w:color w:val="auto"/>
          <w:sz w:val="32"/>
          <w:szCs w:val="32"/>
          <w:highlight w:val="none"/>
        </w:rPr>
        <w:t>昌州</w:t>
      </w:r>
      <w:r>
        <w:rPr>
          <w:rFonts w:hint="default" w:ascii="Times New Roman" w:hAnsi="Times New Roman" w:eastAsia="方正仿宋_GBK" w:cs="Times New Roman"/>
          <w:bCs/>
          <w:color w:val="auto"/>
          <w:sz w:val="32"/>
          <w:szCs w:val="32"/>
          <w:highlight w:val="none"/>
          <w:lang w:eastAsia="zh-CN"/>
        </w:rPr>
        <w:t>营商</w:t>
      </w:r>
      <w:r>
        <w:rPr>
          <w:rFonts w:hint="default" w:ascii="Times New Roman" w:hAnsi="Times New Roman" w:eastAsia="方正仿宋_GBK" w:cs="Times New Roman"/>
          <w:bCs/>
          <w:color w:val="auto"/>
          <w:sz w:val="32"/>
          <w:szCs w:val="32"/>
          <w:highlight w:val="none"/>
        </w:rPr>
        <w:t>评字</w:t>
      </w:r>
      <w:bookmarkStart w:id="4" w:name="OLE_LINK13"/>
      <w:bookmarkStart w:id="5" w:name="OLE_LINK1"/>
      <w:r>
        <w:rPr>
          <w:rFonts w:hint="default" w:ascii="Times New Roman" w:hAnsi="Times New Roman" w:eastAsia="方正仿宋_GBK" w:cs="Times New Roman"/>
          <w:color w:val="auto"/>
          <w:sz w:val="32"/>
          <w:szCs w:val="32"/>
          <w:highlight w:val="none"/>
        </w:rPr>
        <w:t>〔20</w:t>
      </w:r>
      <w:r>
        <w:rPr>
          <w:rFonts w:hint="default" w:ascii="Times New Roman" w:hAnsi="Times New Roman" w:eastAsia="方正仿宋_GBK" w:cs="Times New Roman"/>
          <w:color w:val="auto"/>
          <w:sz w:val="32"/>
          <w:szCs w:val="32"/>
          <w:highlight w:val="none"/>
          <w:lang w:val="en-US" w:eastAsia="zh-CN"/>
        </w:rPr>
        <w:t>25</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22</w:t>
      </w:r>
      <w:r>
        <w:rPr>
          <w:rFonts w:hint="default" w:ascii="Times New Roman" w:hAnsi="Times New Roman" w:eastAsia="方正仿宋_GBK" w:cs="Times New Roman"/>
          <w:color w:val="auto"/>
          <w:sz w:val="32"/>
          <w:szCs w:val="32"/>
          <w:highlight w:val="none"/>
        </w:rPr>
        <w:t>号</w:t>
      </w:r>
      <w:bookmarkEnd w:id="4"/>
      <w:r>
        <w:rPr>
          <w:rFonts w:hint="default" w:ascii="Times New Roman" w:hAnsi="Times New Roman" w:eastAsia="方正仿宋_GBK" w:cs="Times New Roman"/>
          <w:color w:val="auto"/>
          <w:spacing w:val="0"/>
          <w:w w:val="100"/>
          <w:sz w:val="32"/>
          <w:szCs w:val="32"/>
          <w:highlight w:val="none"/>
          <w:lang w:eastAsia="zh-CN"/>
        </w:rPr>
        <w:t>）</w:t>
      </w:r>
      <w:bookmarkEnd w:id="5"/>
      <w:r>
        <w:rPr>
          <w:rFonts w:hint="default" w:ascii="Times New Roman" w:hAnsi="Times New Roman" w:eastAsia="方正仿宋_GBK" w:cs="Times New Roman"/>
          <w:color w:val="auto"/>
          <w:spacing w:val="0"/>
          <w:w w:val="100"/>
          <w:sz w:val="32"/>
          <w:szCs w:val="32"/>
          <w:highlight w:val="none"/>
          <w:lang w:eastAsia="zh-CN"/>
        </w:rPr>
        <w:t>均已</w:t>
      </w:r>
      <w:r>
        <w:rPr>
          <w:rFonts w:hint="default" w:ascii="Times New Roman" w:hAnsi="Times New Roman" w:eastAsia="方正仿宋_GBK" w:cs="Times New Roman"/>
          <w:color w:val="auto"/>
          <w:spacing w:val="0"/>
          <w:w w:val="100"/>
          <w:sz w:val="32"/>
          <w:szCs w:val="32"/>
          <w:highlight w:val="none"/>
        </w:rPr>
        <w:t>收悉。</w:t>
      </w:r>
    </w:p>
    <w:p w14:paraId="2EA32281">
      <w:pPr>
        <w:pStyle w:val="12"/>
        <w:keepNext w:val="0"/>
        <w:keepLines w:val="0"/>
        <w:pageBreakBefore w:val="0"/>
        <w:widowControl w:val="0"/>
        <w:kinsoku/>
        <w:wordWrap/>
        <w:overflowPunct/>
        <w:topLinePunct w:val="0"/>
        <w:autoSpaceDE/>
        <w:autoSpaceDN/>
        <w:bidi w:val="0"/>
        <w:adjustRightInd w:val="0"/>
        <w:snapToGrid/>
        <w:spacing w:line="540" w:lineRule="exact"/>
        <w:ind w:firstLine="632" w:firstLineChars="200"/>
        <w:jc w:val="left"/>
        <w:textAlignment w:val="auto"/>
        <w:rPr>
          <w:rFonts w:hint="eastAsia" w:ascii="黑体" w:hAnsi="黑体" w:eastAsia="黑体" w:cs="黑体"/>
          <w:w w:val="100"/>
          <w:sz w:val="32"/>
          <w:szCs w:val="32"/>
          <w:highlight w:val="none"/>
          <w:lang w:val="en-US" w:eastAsia="zh-CN"/>
        </w:rPr>
      </w:pPr>
      <w:bookmarkStart w:id="6" w:name="OLE_LINK7"/>
      <w:r>
        <w:rPr>
          <w:rFonts w:hint="eastAsia" w:ascii="Times New Roman" w:hAnsi="Times New Roman" w:eastAsia="方正仿宋_GBK" w:cs="Times New Roman"/>
          <w:color w:val="auto"/>
          <w:spacing w:val="0"/>
          <w:w w:val="100"/>
          <w:sz w:val="32"/>
          <w:szCs w:val="32"/>
          <w:highlight w:val="none"/>
          <w:lang w:val="en-US" w:eastAsia="zh-CN"/>
        </w:rPr>
        <w:t>该项目已于2024年11月4日批复初步设计（昌州发改项目</w:t>
      </w:r>
      <w:r>
        <w:rPr>
          <w:rFonts w:hint="default" w:ascii="Times New Roman" w:hAnsi="Times New Roman" w:eastAsia="方正仿宋_GBK" w:cs="Times New Roman"/>
          <w:color w:val="auto"/>
          <w:sz w:val="32"/>
          <w:szCs w:val="32"/>
          <w:highlight w:val="none"/>
        </w:rPr>
        <w:t>〔20</w:t>
      </w:r>
      <w:r>
        <w:rPr>
          <w:rFonts w:hint="default" w:ascii="Times New Roman" w:hAnsi="Times New Roman" w:eastAsia="方正仿宋_GBK" w:cs="Times New Roman"/>
          <w:color w:val="auto"/>
          <w:sz w:val="32"/>
          <w:szCs w:val="32"/>
          <w:highlight w:val="none"/>
          <w:lang w:val="en-US" w:eastAsia="zh-CN"/>
        </w:rPr>
        <w:t>2</w:t>
      </w: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131</w:t>
      </w:r>
      <w:r>
        <w:rPr>
          <w:rFonts w:hint="default" w:ascii="Times New Roman" w:hAnsi="Times New Roman" w:eastAsia="方正仿宋_GBK" w:cs="Times New Roman"/>
          <w:color w:val="auto"/>
          <w:sz w:val="32"/>
          <w:szCs w:val="32"/>
          <w:highlight w:val="none"/>
        </w:rPr>
        <w:t>号</w:t>
      </w:r>
      <w:r>
        <w:rPr>
          <w:rFonts w:hint="default" w:ascii="Times New Roman" w:hAnsi="Times New Roman" w:eastAsia="方正仿宋_GBK" w:cs="Times New Roman"/>
          <w:color w:val="auto"/>
          <w:spacing w:val="0"/>
          <w:w w:val="100"/>
          <w:sz w:val="32"/>
          <w:szCs w:val="32"/>
          <w:highlight w:val="none"/>
          <w:lang w:eastAsia="zh-CN"/>
        </w:rPr>
        <w:t>）</w:t>
      </w:r>
      <w:r>
        <w:rPr>
          <w:rFonts w:hint="eastAsia" w:ascii="Times New Roman" w:hAnsi="Times New Roman" w:eastAsia="方正仿宋_GBK" w:cs="Times New Roman"/>
          <w:color w:val="auto"/>
          <w:spacing w:val="0"/>
          <w:w w:val="100"/>
          <w:sz w:val="32"/>
          <w:szCs w:val="32"/>
          <w:highlight w:val="none"/>
          <w:lang w:eastAsia="zh-CN"/>
        </w:rPr>
        <w:t>。</w:t>
      </w:r>
      <w:r>
        <w:rPr>
          <w:rFonts w:hint="eastAsia" w:ascii="Times New Roman" w:hAnsi="Times New Roman" w:eastAsia="方正仿宋_GBK" w:cs="Times New Roman"/>
          <w:color w:val="auto"/>
          <w:spacing w:val="0"/>
          <w:w w:val="100"/>
          <w:sz w:val="32"/>
          <w:szCs w:val="32"/>
          <w:highlight w:val="none"/>
          <w:lang w:val="en-US" w:eastAsia="zh-CN"/>
        </w:rPr>
        <w:t>2025年2月，国家文物局对该项目初设提出相关调整意见，</w:t>
      </w:r>
      <w:r>
        <w:rPr>
          <w:rFonts w:hint="eastAsia" w:ascii="Times New Roman" w:hAnsi="Times New Roman" w:eastAsia="方正仿宋_GBK" w:cs="Times New Roman"/>
          <w:b/>
          <w:bCs/>
          <w:color w:val="auto"/>
          <w:spacing w:val="0"/>
          <w:w w:val="100"/>
          <w:sz w:val="32"/>
          <w:szCs w:val="32"/>
          <w:highlight w:val="none"/>
          <w:lang w:val="en-US" w:eastAsia="zh-CN"/>
        </w:rPr>
        <w:t>一是</w:t>
      </w:r>
      <w:r>
        <w:rPr>
          <w:rFonts w:hint="eastAsia" w:ascii="Times New Roman" w:hAnsi="Times New Roman" w:eastAsia="方正仿宋_GBK" w:cs="Times New Roman"/>
          <w:color w:val="auto"/>
          <w:spacing w:val="0"/>
          <w:w w:val="100"/>
          <w:sz w:val="32"/>
          <w:szCs w:val="32"/>
          <w:highlight w:val="none"/>
          <w:lang w:val="en-US" w:eastAsia="zh-CN"/>
        </w:rPr>
        <w:t>对考古研究基地建筑平面形式进行调整，使建筑更贴合历史一集风貌；建筑入口由远离基地入口调整为接近基地入口，将庭院调整至建筑背面；</w:t>
      </w:r>
      <w:r>
        <w:rPr>
          <w:rFonts w:hint="eastAsia" w:ascii="Times New Roman" w:hAnsi="Times New Roman" w:eastAsia="方正仿宋_GBK" w:cs="Times New Roman"/>
          <w:b/>
          <w:bCs/>
          <w:color w:val="auto"/>
          <w:spacing w:val="0"/>
          <w:w w:val="100"/>
          <w:sz w:val="32"/>
          <w:szCs w:val="32"/>
          <w:highlight w:val="none"/>
          <w:lang w:val="en-US" w:eastAsia="zh-CN"/>
        </w:rPr>
        <w:t>二是</w:t>
      </w:r>
      <w:r>
        <w:rPr>
          <w:rFonts w:hint="eastAsia" w:ascii="Times New Roman" w:hAnsi="Times New Roman" w:eastAsia="方正仿宋_GBK" w:cs="Times New Roman"/>
          <w:color w:val="auto"/>
          <w:spacing w:val="0"/>
          <w:w w:val="100"/>
          <w:sz w:val="32"/>
          <w:szCs w:val="32"/>
          <w:highlight w:val="none"/>
          <w:lang w:val="en-US" w:eastAsia="zh-CN"/>
        </w:rPr>
        <w:t>需减少遗址现场提升部分工程内容，根据建筑平面变化对结构、给排水、暖通、电气、景观等专业跟随平面调整，仅保留悲田寺部分提升工程。修改后的初设文件已报经国家文物局</w:t>
      </w:r>
      <w:bookmarkEnd w:id="6"/>
      <w:bookmarkStart w:id="7" w:name="OLE_LINK15"/>
      <w:r>
        <w:rPr>
          <w:rFonts w:hint="eastAsia" w:ascii="Times New Roman" w:hAnsi="Times New Roman" w:eastAsia="方正仿宋_GBK" w:cs="Times New Roman"/>
          <w:color w:val="auto"/>
          <w:spacing w:val="0"/>
          <w:w w:val="100"/>
          <w:sz w:val="32"/>
          <w:szCs w:val="32"/>
          <w:highlight w:val="none"/>
          <w:lang w:val="en-US" w:eastAsia="zh-CN"/>
        </w:rPr>
        <w:t>、自治区文物局</w:t>
      </w:r>
      <w:r>
        <w:rPr>
          <w:rFonts w:hint="default" w:ascii="Times New Roman" w:hAnsi="Times New Roman" w:eastAsia="方正仿宋_GBK" w:cs="Times New Roman"/>
          <w:color w:val="auto"/>
          <w:spacing w:val="0"/>
          <w:w w:val="100"/>
          <w:sz w:val="32"/>
          <w:szCs w:val="32"/>
          <w:highlight w:val="none"/>
          <w:lang w:val="en-US" w:eastAsia="zh-CN"/>
        </w:rPr>
        <w:t>（新文物复函〔2025〕215号）</w:t>
      </w:r>
      <w:r>
        <w:rPr>
          <w:rFonts w:hint="eastAsia" w:ascii="Times New Roman" w:hAnsi="Times New Roman" w:eastAsia="方正仿宋_GBK" w:cs="Times New Roman"/>
          <w:color w:val="auto"/>
          <w:spacing w:val="0"/>
          <w:w w:val="100"/>
          <w:sz w:val="32"/>
          <w:szCs w:val="32"/>
          <w:highlight w:val="none"/>
          <w:lang w:val="en-US" w:eastAsia="zh-CN"/>
        </w:rPr>
        <w:t>和州文旅局的审核，均为原则同意。</w:t>
      </w:r>
      <w:bookmarkEnd w:id="7"/>
      <w:r>
        <w:rPr>
          <w:rFonts w:hint="default" w:ascii="Times New Roman" w:hAnsi="Times New Roman" w:eastAsia="方正仿宋_GBK" w:cs="Times New Roman"/>
          <w:color w:val="auto"/>
          <w:spacing w:val="0"/>
          <w:w w:val="100"/>
          <w:sz w:val="32"/>
          <w:szCs w:val="32"/>
          <w:highlight w:val="none"/>
        </w:rPr>
        <w:t>经</w:t>
      </w:r>
      <w:r>
        <w:rPr>
          <w:rFonts w:hint="eastAsia" w:ascii="Times New Roman" w:hAnsi="Times New Roman" w:eastAsia="方正仿宋_GBK" w:cs="Times New Roman"/>
          <w:color w:val="auto"/>
          <w:spacing w:val="0"/>
          <w:w w:val="100"/>
          <w:sz w:val="32"/>
          <w:szCs w:val="32"/>
          <w:highlight w:val="none"/>
          <w:lang w:val="en-US" w:eastAsia="zh-CN"/>
        </w:rPr>
        <w:t>我委委托专家评审论证，</w:t>
      </w:r>
      <w:r>
        <w:rPr>
          <w:rFonts w:hint="default" w:ascii="Times New Roman" w:hAnsi="Times New Roman" w:eastAsia="方正仿宋_GBK" w:cs="Times New Roman"/>
          <w:color w:val="auto"/>
          <w:spacing w:val="0"/>
          <w:w w:val="100"/>
          <w:sz w:val="32"/>
          <w:szCs w:val="32"/>
          <w:highlight w:val="none"/>
        </w:rPr>
        <w:t>现</w:t>
      </w:r>
      <w:r>
        <w:rPr>
          <w:rFonts w:hint="eastAsia" w:ascii="Times New Roman" w:hAnsi="Times New Roman" w:eastAsia="方正仿宋_GBK" w:cs="Times New Roman"/>
          <w:color w:val="auto"/>
          <w:spacing w:val="0"/>
          <w:w w:val="100"/>
          <w:sz w:val="32"/>
          <w:szCs w:val="32"/>
          <w:highlight w:val="none"/>
          <w:lang w:val="en-US" w:eastAsia="zh-CN"/>
        </w:rPr>
        <w:t>变更</w:t>
      </w:r>
      <w:r>
        <w:rPr>
          <w:rFonts w:hint="default" w:ascii="Times New Roman" w:hAnsi="Times New Roman" w:eastAsia="方正仿宋_GBK" w:cs="Times New Roman"/>
          <w:color w:val="auto"/>
          <w:spacing w:val="0"/>
          <w:w w:val="100"/>
          <w:sz w:val="32"/>
          <w:szCs w:val="32"/>
          <w:highlight w:val="none"/>
        </w:rPr>
        <w:t>批复如下：</w:t>
      </w:r>
    </w:p>
    <w:p w14:paraId="7A1CE315">
      <w:pPr>
        <w:pStyle w:val="4"/>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黑体" w:hAnsi="黑体" w:eastAsia="黑体" w:cs="黑体"/>
          <w:w w:val="100"/>
          <w:sz w:val="32"/>
          <w:szCs w:val="32"/>
          <w:highlight w:val="none"/>
          <w:lang w:val="en-US" w:eastAsia="zh-CN"/>
        </w:rPr>
      </w:pPr>
      <w:bookmarkStart w:id="8" w:name="OLE_LINK2"/>
      <w:r>
        <w:rPr>
          <w:rFonts w:hint="eastAsia" w:ascii="黑体" w:hAnsi="黑体" w:eastAsia="黑体" w:cs="黑体"/>
          <w:w w:val="100"/>
          <w:sz w:val="32"/>
          <w:szCs w:val="32"/>
          <w:highlight w:val="none"/>
          <w:lang w:val="en-US" w:eastAsia="zh-CN"/>
        </w:rPr>
        <w:t>一、项目名称</w:t>
      </w:r>
    </w:p>
    <w:p w14:paraId="1EB71E05">
      <w:pPr>
        <w:keepNext w:val="0"/>
        <w:keepLines w:val="0"/>
        <w:pageBreakBefore w:val="0"/>
        <w:widowControl w:val="0"/>
        <w:kinsoku/>
        <w:overflowPunct/>
        <w:topLinePunct w:val="0"/>
        <w:autoSpaceDE/>
        <w:autoSpaceDN/>
        <w:bidi w:val="0"/>
        <w:snapToGrid/>
        <w:spacing w:line="540" w:lineRule="exact"/>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eastAsia"/>
          <w:lang w:val="en-US" w:eastAsia="zh-CN"/>
        </w:rPr>
        <w:t xml:space="preserve">   </w:t>
      </w:r>
      <w:r>
        <w:rPr>
          <w:rFonts w:hint="eastAsia" w:ascii="Times New Roman" w:hAnsi="Times New Roman" w:eastAsia="方正仿宋_GBK" w:cs="Times New Roman"/>
          <w:color w:val="auto"/>
          <w:spacing w:val="0"/>
          <w:w w:val="100"/>
          <w:kern w:val="2"/>
          <w:sz w:val="32"/>
          <w:szCs w:val="32"/>
          <w:highlight w:val="none"/>
          <w:lang w:val="en-US" w:eastAsia="zh-CN" w:bidi="ar-SA"/>
        </w:rPr>
        <w:t xml:space="preserve"> 北庭国家考古遗址公园保护展示开放提升能力建设项目（项目代码：2407-652327-68-01-278555）</w:t>
      </w:r>
    </w:p>
    <w:p w14:paraId="2EAC40E7">
      <w:pPr>
        <w:pStyle w:val="4"/>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黑体" w:hAnsi="黑体" w:eastAsia="黑体" w:cs="黑体"/>
          <w:w w:val="100"/>
          <w:sz w:val="32"/>
          <w:szCs w:val="32"/>
          <w:lang w:val="en-US" w:eastAsia="zh-CN"/>
        </w:rPr>
      </w:pPr>
      <w:r>
        <w:rPr>
          <w:rFonts w:hint="eastAsia" w:ascii="黑体" w:hAnsi="黑体" w:eastAsia="黑体" w:cs="黑体"/>
          <w:w w:val="100"/>
          <w:sz w:val="32"/>
          <w:szCs w:val="32"/>
          <w:highlight w:val="none"/>
          <w:lang w:val="en-US" w:eastAsia="zh-CN"/>
        </w:rPr>
        <w:t>二、变更后的</w:t>
      </w:r>
      <w:r>
        <w:rPr>
          <w:rFonts w:hint="eastAsia" w:ascii="黑体" w:hAnsi="黑体" w:eastAsia="黑体" w:cs="黑体"/>
          <w:w w:val="100"/>
          <w:sz w:val="32"/>
          <w:szCs w:val="32"/>
          <w:lang w:val="en-US" w:eastAsia="zh-CN"/>
        </w:rPr>
        <w:t>建设规模及主要内容</w:t>
      </w:r>
    </w:p>
    <w:p w14:paraId="4BF349D5">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bookmarkStart w:id="9" w:name="OLE_LINK8"/>
      <w:r>
        <w:rPr>
          <w:rFonts w:hint="eastAsia" w:ascii="Times New Roman" w:hAnsi="Times New Roman" w:eastAsia="方正仿宋_GBK" w:cs="Times New Roman"/>
          <w:color w:val="auto"/>
          <w:spacing w:val="0"/>
          <w:w w:val="100"/>
          <w:kern w:val="2"/>
          <w:sz w:val="32"/>
          <w:szCs w:val="32"/>
          <w:highlight w:val="none"/>
          <w:lang w:val="en-US" w:eastAsia="zh-CN" w:bidi="ar-SA"/>
        </w:rPr>
        <w:t>新建北庭考古研究基地1栋，建筑面积8422平方米，及室内外配套附属设施建设</w:t>
      </w:r>
      <w:bookmarkEnd w:id="9"/>
      <w:r>
        <w:rPr>
          <w:rFonts w:hint="eastAsia" w:ascii="Times New Roman" w:hAnsi="Times New Roman" w:eastAsia="方正仿宋_GBK" w:cs="Times New Roman"/>
          <w:color w:val="auto"/>
          <w:spacing w:val="0"/>
          <w:w w:val="100"/>
          <w:kern w:val="2"/>
          <w:sz w:val="32"/>
          <w:szCs w:val="32"/>
          <w:highlight w:val="none"/>
          <w:lang w:val="en-US" w:eastAsia="zh-CN" w:bidi="ar-SA"/>
        </w:rPr>
        <w:t>；</w:t>
      </w:r>
      <w:bookmarkStart w:id="10" w:name="OLE_LINK9"/>
      <w:r>
        <w:rPr>
          <w:rFonts w:hint="eastAsia" w:ascii="Times New Roman" w:hAnsi="Times New Roman" w:eastAsia="方正仿宋_GBK" w:cs="Times New Roman"/>
          <w:color w:val="auto"/>
          <w:spacing w:val="0"/>
          <w:w w:val="100"/>
          <w:kern w:val="2"/>
          <w:sz w:val="32"/>
          <w:szCs w:val="32"/>
          <w:highlight w:val="none"/>
          <w:lang w:val="en-US" w:eastAsia="zh-CN" w:bidi="ar-SA"/>
        </w:rPr>
        <w:t>遗址现场展示提升工程，</w:t>
      </w:r>
      <w:bookmarkEnd w:id="10"/>
      <w:bookmarkStart w:id="11" w:name="OLE_LINK3"/>
      <w:r>
        <w:rPr>
          <w:rFonts w:hint="eastAsia" w:ascii="Times New Roman" w:hAnsi="Times New Roman" w:eastAsia="方正仿宋_GBK" w:cs="Times New Roman"/>
          <w:color w:val="auto"/>
          <w:spacing w:val="0"/>
          <w:w w:val="100"/>
          <w:kern w:val="2"/>
          <w:sz w:val="32"/>
          <w:szCs w:val="32"/>
          <w:highlight w:val="none"/>
          <w:lang w:val="en-US" w:eastAsia="zh-CN" w:bidi="ar-SA"/>
        </w:rPr>
        <w:t>包括建设木栈道观景平台900.1平方米、限定围栏503.9米、场地平整839.3平方米、解说标识系统1套等</w:t>
      </w:r>
      <w:bookmarkEnd w:id="8"/>
      <w:r>
        <w:rPr>
          <w:rFonts w:hint="eastAsia" w:ascii="Times New Roman" w:hAnsi="Times New Roman" w:eastAsia="方正仿宋_GBK" w:cs="Times New Roman"/>
          <w:color w:val="auto"/>
          <w:spacing w:val="0"/>
          <w:w w:val="100"/>
          <w:kern w:val="2"/>
          <w:sz w:val="32"/>
          <w:szCs w:val="32"/>
          <w:highlight w:val="none"/>
          <w:lang w:val="en-US" w:eastAsia="zh-CN" w:bidi="ar-SA"/>
        </w:rPr>
        <w:t>，配套建设休闲座椅等室外附属设施（遗址现场提升工程不含数字展示设备和信息化工程内容）</w:t>
      </w:r>
      <w:bookmarkEnd w:id="11"/>
      <w:r>
        <w:rPr>
          <w:rFonts w:hint="eastAsia" w:ascii="Times New Roman" w:hAnsi="Times New Roman" w:eastAsia="方正仿宋_GBK" w:cs="Times New Roman"/>
          <w:color w:val="auto"/>
          <w:spacing w:val="0"/>
          <w:w w:val="100"/>
          <w:kern w:val="2"/>
          <w:sz w:val="32"/>
          <w:szCs w:val="32"/>
          <w:highlight w:val="none"/>
          <w:lang w:val="en-US" w:eastAsia="zh-CN" w:bidi="ar-SA"/>
        </w:rPr>
        <w:t>。其中：</w:t>
      </w:r>
    </w:p>
    <w:p w14:paraId="24ED7124">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方正楷体_GB2312" w:hAnsi="方正楷体_GB2312" w:eastAsia="方正楷体_GB2312" w:cs="方正楷体_GB2312"/>
          <w:lang w:val="en-US" w:eastAsia="zh-CN"/>
        </w:rPr>
      </w:pPr>
      <w:r>
        <w:rPr>
          <w:rFonts w:hint="eastAsia" w:ascii="方正楷体_GB2312" w:hAnsi="方正楷体_GB2312" w:eastAsia="方正楷体_GB2312" w:cs="方正楷体_GB2312"/>
          <w:lang w:val="en-US" w:eastAsia="zh-CN"/>
        </w:rPr>
        <w:t>（一）北庭考古基地</w:t>
      </w:r>
    </w:p>
    <w:p w14:paraId="5356855B">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bookmarkStart w:id="12" w:name="OLE_LINK14"/>
      <w:r>
        <w:rPr>
          <w:rFonts w:hint="default" w:ascii="Times New Roman" w:hAnsi="Times New Roman" w:eastAsia="方正楷体_GB2312" w:cs="Times New Roman"/>
          <w:lang w:val="en-US" w:eastAsia="zh-CN"/>
        </w:rPr>
        <w:t>1. 建筑工程</w:t>
      </w:r>
      <w:r>
        <w:rPr>
          <w:rFonts w:hint="eastAsia" w:ascii="Times New Roman" w:hAnsi="Times New Roman" w:eastAsia="方正楷体_GB2312" w:cs="Times New Roman"/>
          <w:lang w:val="en-US" w:eastAsia="zh-CN"/>
        </w:rPr>
        <w:t>。</w:t>
      </w:r>
      <w:r>
        <w:rPr>
          <w:rFonts w:hint="eastAsia" w:ascii="Times New Roman" w:hAnsi="Times New Roman" w:eastAsia="方正仿宋_GBK" w:cs="Times New Roman"/>
          <w:color w:val="auto"/>
          <w:spacing w:val="0"/>
          <w:w w:val="100"/>
          <w:kern w:val="2"/>
          <w:sz w:val="32"/>
          <w:szCs w:val="32"/>
          <w:highlight w:val="none"/>
          <w:lang w:val="en-US" w:eastAsia="zh-CN" w:bidi="ar-SA"/>
        </w:rPr>
        <w:t>总建筑面积为8422平方米，地上三层，框架结构，建筑高度为12.95米，耐火等级二级，建筑抗震设防类别为重点设防类（乙类）。一层功能房间包括考古研学实习用房、文物周转库房、展厅、考古体验大厅、特展展厅、教育培训用房、390人报告厅、消防泵房、消防水池、消防控制室、柴油发电机房、变电站、空调水泵房、空调机房、补风机房、弱电间、卫生间、水房、值班室等；二层功能房间包括业务用房、文物整理修复室、考古专家工作室、教育培训用房、书库、空调机房、排烟机房、设备用房、气体灭火钢瓶间、水房、卫生间等；三层功能房间包括考古实验室、书库、文物周转库房、教育培训用房、业务用房、信息数据库、空调机房、气体灭火钢瓶间、设备用房、水房、卫生间等；屋面设置排烟机房、水箱间、太阳能发电机房、光伏板等；配套建设室外道路、停车位、配套室外设备管网、电气管网等相关附属设施。建筑工程内包含室外幕墙工程及室内墙、顶、地的基础装修工程；</w:t>
      </w:r>
      <w:bookmarkStart w:id="13" w:name="OLE_LINK16"/>
      <w:r>
        <w:rPr>
          <w:rFonts w:hint="eastAsia" w:ascii="Times New Roman" w:hAnsi="Times New Roman" w:eastAsia="方正仿宋_GBK" w:cs="Times New Roman"/>
          <w:color w:val="auto"/>
          <w:spacing w:val="0"/>
          <w:w w:val="100"/>
          <w:kern w:val="2"/>
          <w:sz w:val="32"/>
          <w:szCs w:val="32"/>
          <w:highlight w:val="none"/>
          <w:lang w:val="en-US" w:eastAsia="zh-CN" w:bidi="ar-SA"/>
        </w:rPr>
        <w:t>精装修工程包括390人报告厅、展厅、特展展厅、考古体验大厅的吊顶、墙面、地面等装饰装修工程，其中390人报告厅装修还包括LED大屏、高清摄像机、音响、灯光、地面座椅等设备设施。</w:t>
      </w:r>
    </w:p>
    <w:bookmarkEnd w:id="12"/>
    <w:bookmarkEnd w:id="13"/>
    <w:p w14:paraId="1FDC9C46">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2. 给排水工程。</w:t>
      </w:r>
      <w:r>
        <w:rPr>
          <w:rFonts w:hint="default" w:ascii="Times New Roman" w:hAnsi="Times New Roman" w:eastAsia="方正仿宋_GBK" w:cs="Times New Roman"/>
          <w:color w:val="auto"/>
          <w:spacing w:val="0"/>
          <w:w w:val="100"/>
          <w:kern w:val="2"/>
          <w:sz w:val="32"/>
          <w:szCs w:val="32"/>
          <w:highlight w:val="none"/>
          <w:lang w:val="en-US" w:eastAsia="zh-CN" w:bidi="ar-SA"/>
        </w:rPr>
        <w:t>包括室内给水系统、</w:t>
      </w:r>
      <w:r>
        <w:rPr>
          <w:rFonts w:hint="eastAsia" w:ascii="Times New Roman" w:hAnsi="Times New Roman" w:eastAsia="方正仿宋_GBK" w:cs="Times New Roman"/>
          <w:color w:val="auto"/>
          <w:spacing w:val="0"/>
          <w:w w:val="100"/>
          <w:kern w:val="2"/>
          <w:sz w:val="32"/>
          <w:szCs w:val="32"/>
          <w:highlight w:val="none"/>
          <w:lang w:val="en-US" w:eastAsia="zh-CN" w:bidi="ar-SA"/>
        </w:rPr>
        <w:t>污废水系统、</w:t>
      </w:r>
      <w:r>
        <w:rPr>
          <w:rFonts w:hint="default" w:ascii="Times New Roman" w:hAnsi="Times New Roman" w:eastAsia="方正仿宋_GBK" w:cs="Times New Roman"/>
          <w:color w:val="auto"/>
          <w:spacing w:val="0"/>
          <w:w w:val="100"/>
          <w:kern w:val="2"/>
          <w:sz w:val="32"/>
          <w:szCs w:val="32"/>
          <w:highlight w:val="none"/>
          <w:lang w:val="en-US" w:eastAsia="zh-CN" w:bidi="ar-SA"/>
        </w:rPr>
        <w:t>排水系统、雨水系统等；水源引自地块周边市政供水管网。</w:t>
      </w:r>
    </w:p>
    <w:p w14:paraId="596DA2D5">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3. 消防水工程。</w:t>
      </w:r>
      <w:r>
        <w:rPr>
          <w:rFonts w:hint="default" w:ascii="Times New Roman" w:hAnsi="Times New Roman" w:eastAsia="方正仿宋_GBK" w:cs="Times New Roman"/>
          <w:color w:val="auto"/>
          <w:spacing w:val="0"/>
          <w:w w:val="100"/>
          <w:kern w:val="2"/>
          <w:sz w:val="32"/>
          <w:szCs w:val="32"/>
          <w:highlight w:val="none"/>
          <w:lang w:val="en-US" w:eastAsia="zh-CN" w:bidi="ar-SA"/>
        </w:rPr>
        <w:t>本工程设置室外消火栓系统、室内消火栓系统、自动喷水灭火系统，水源引自地块周边市政供水管网。</w:t>
      </w:r>
    </w:p>
    <w:p w14:paraId="4E692FD4">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4. 气体灭火工程。</w:t>
      </w:r>
      <w:r>
        <w:rPr>
          <w:rFonts w:hint="default" w:ascii="Times New Roman" w:hAnsi="Times New Roman" w:eastAsia="方正仿宋_GBK" w:cs="Times New Roman"/>
          <w:color w:val="auto"/>
          <w:spacing w:val="0"/>
          <w:w w:val="100"/>
          <w:kern w:val="2"/>
          <w:sz w:val="32"/>
          <w:szCs w:val="32"/>
          <w:highlight w:val="none"/>
          <w:lang w:val="en-US" w:eastAsia="zh-CN" w:bidi="ar-SA"/>
        </w:rPr>
        <w:t>本工程变电站、文物整理修复室、文物周转库房、考古实验室设置有管网的气体灭火系统；其余配置建筑灭火器，其中，消防控制室、强弱电间配置二氧化碳灭火器，其他区域按照规范配置干粉灭火器。</w:t>
      </w:r>
    </w:p>
    <w:p w14:paraId="13B8B47F">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5. 采暖工程。</w:t>
      </w:r>
      <w:r>
        <w:rPr>
          <w:rFonts w:hint="default" w:ascii="Times New Roman" w:hAnsi="Times New Roman" w:eastAsia="方正仿宋_GBK" w:cs="Times New Roman"/>
          <w:color w:val="auto"/>
          <w:spacing w:val="0"/>
          <w:w w:val="100"/>
          <w:kern w:val="2"/>
          <w:sz w:val="32"/>
          <w:szCs w:val="32"/>
          <w:highlight w:val="none"/>
          <w:lang w:val="en-US" w:eastAsia="zh-CN" w:bidi="ar-SA"/>
        </w:rPr>
        <w:t>本项目冷、热源采用低温高效型空气源热泵机组，单台制冷量130kw，单台制热量90kw，共计10台；设置电热水锅炉机组作1台为辅助热源，</w:t>
      </w:r>
      <w:r>
        <w:rPr>
          <w:rFonts w:hint="eastAsia" w:ascii="Times New Roman" w:hAnsi="Times New Roman" w:eastAsia="方正仿宋_GBK" w:cs="Times New Roman"/>
          <w:color w:val="auto"/>
          <w:spacing w:val="0"/>
          <w:w w:val="100"/>
          <w:kern w:val="2"/>
          <w:sz w:val="32"/>
          <w:szCs w:val="32"/>
          <w:highlight w:val="none"/>
          <w:lang w:val="en-US" w:eastAsia="zh-CN" w:bidi="ar-SA"/>
        </w:rPr>
        <w:t>供热量为50万千卡/小时，</w:t>
      </w:r>
      <w:r>
        <w:rPr>
          <w:rFonts w:hint="default" w:ascii="Times New Roman" w:hAnsi="Times New Roman" w:eastAsia="方正仿宋_GBK" w:cs="Times New Roman"/>
          <w:color w:val="auto"/>
          <w:spacing w:val="0"/>
          <w:w w:val="100"/>
          <w:kern w:val="2"/>
          <w:sz w:val="32"/>
          <w:szCs w:val="32"/>
          <w:highlight w:val="none"/>
          <w:lang w:val="en-US" w:eastAsia="zh-CN" w:bidi="ar-SA"/>
        </w:rPr>
        <w:t>保障极寒天气供暖效果；供暖水系统为垫层内的地板辐射供暖管和挂墙明装散热器等。</w:t>
      </w:r>
    </w:p>
    <w:p w14:paraId="362701EA">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6. 通风空调工程。</w:t>
      </w:r>
      <w:r>
        <w:rPr>
          <w:rFonts w:hint="default" w:ascii="Times New Roman" w:hAnsi="Times New Roman" w:eastAsia="方正仿宋_GBK" w:cs="Times New Roman"/>
          <w:color w:val="auto"/>
          <w:spacing w:val="0"/>
          <w:w w:val="100"/>
          <w:kern w:val="2"/>
          <w:sz w:val="32"/>
          <w:szCs w:val="32"/>
          <w:highlight w:val="none"/>
          <w:lang w:val="en-US" w:eastAsia="zh-CN" w:bidi="ar-SA"/>
        </w:rPr>
        <w:t>本项目特展展厅、展厅、报告厅、信息数据库、书库采用全空气空调系统，选用组合式空气处理机组，过渡季全新风运行；教育培训用房、考古研学实习用房、业务用房等办公用房和消防、安防控制室采用分体空调；新风管入口和排风出口风道上均设电动保温对开多叶调节阀；机组均配置盘管段，满足冬季供暖需求；气体灭火的房间设置气体灭火后的安全通风系统。</w:t>
      </w:r>
    </w:p>
    <w:p w14:paraId="0C27BE9E">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7. 变配电工程。</w:t>
      </w:r>
      <w:r>
        <w:rPr>
          <w:rFonts w:hint="eastAsia" w:ascii="Times New Roman" w:hAnsi="Times New Roman" w:eastAsia="方正仿宋_GBK" w:cs="Times New Roman"/>
          <w:color w:val="auto"/>
          <w:spacing w:val="0"/>
          <w:w w:val="100"/>
          <w:kern w:val="2"/>
          <w:sz w:val="32"/>
          <w:szCs w:val="32"/>
          <w:highlight w:val="none"/>
          <w:lang w:val="en-US" w:eastAsia="zh-CN" w:bidi="ar-SA"/>
        </w:rPr>
        <w:t>本工程由市政引入一路10kV电源，在首层变电站内设置一台1250kVA变压器，室外设置一台630kVA箱式变压器，设置30kW充电桩10台；另设一台主用功率为400kW的柴油发电机组。</w:t>
      </w:r>
    </w:p>
    <w:p w14:paraId="1D27F4B3">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cs="Times New Roman"/>
          <w:lang w:val="en-US" w:eastAsia="zh-CN"/>
        </w:rPr>
      </w:pPr>
      <w:r>
        <w:rPr>
          <w:rFonts w:hint="default" w:ascii="Times New Roman" w:hAnsi="Times New Roman" w:eastAsia="方正楷体_GB2312" w:cs="Times New Roman"/>
          <w:lang w:val="en-US" w:eastAsia="zh-CN"/>
        </w:rPr>
        <w:t>8. 照明工程。</w:t>
      </w:r>
      <w:r>
        <w:rPr>
          <w:rFonts w:hint="default" w:ascii="Times New Roman" w:hAnsi="Times New Roman" w:eastAsia="方正仿宋_GBK" w:cs="Times New Roman"/>
          <w:color w:val="auto"/>
          <w:spacing w:val="0"/>
          <w:w w:val="100"/>
          <w:kern w:val="2"/>
          <w:sz w:val="32"/>
          <w:szCs w:val="32"/>
          <w:highlight w:val="none"/>
          <w:lang w:val="en-US" w:eastAsia="zh-CN" w:bidi="ar-SA"/>
        </w:rPr>
        <w:t>本工程选用光源、灯具及配套镇流器的照度等相关设计参数均按规范目标值设计；消防应急照明和疏散指示系统采用集中电源集中控制。</w:t>
      </w:r>
    </w:p>
    <w:p w14:paraId="2ED67C5F">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cs="Times New Roman"/>
          <w:lang w:val="en-US" w:eastAsia="zh-CN"/>
        </w:rPr>
      </w:pPr>
      <w:r>
        <w:rPr>
          <w:rFonts w:hint="default" w:ascii="Times New Roman" w:hAnsi="Times New Roman" w:eastAsia="方正楷体_GB2312" w:cs="Times New Roman"/>
          <w:lang w:val="en-US" w:eastAsia="zh-CN"/>
        </w:rPr>
        <w:t>9. 火灾报警工程。</w:t>
      </w:r>
      <w:r>
        <w:rPr>
          <w:rFonts w:hint="default" w:ascii="Times New Roman" w:hAnsi="Times New Roman" w:eastAsia="方正仿宋_GBK" w:cs="Times New Roman"/>
          <w:color w:val="auto"/>
          <w:spacing w:val="0"/>
          <w:w w:val="100"/>
          <w:kern w:val="2"/>
          <w:sz w:val="32"/>
          <w:szCs w:val="32"/>
          <w:highlight w:val="none"/>
          <w:lang w:val="en-US" w:eastAsia="zh-CN" w:bidi="ar-SA"/>
        </w:rPr>
        <w:t>包括火灾自动报警系统、消防联动控制系统、消防应急照明系统、火灾应急广播与警报系统、消防专用电话系统、防火门监控系统、电气火灾监控系统和消防电源监控系统等。</w:t>
      </w:r>
    </w:p>
    <w:p w14:paraId="4A5218F5">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10. 智能化工程。</w:t>
      </w:r>
      <w:r>
        <w:rPr>
          <w:rFonts w:hint="default" w:ascii="Times New Roman" w:hAnsi="Times New Roman" w:eastAsia="方正仿宋_GBK" w:cs="Times New Roman"/>
          <w:color w:val="auto"/>
          <w:spacing w:val="0"/>
          <w:w w:val="100"/>
          <w:kern w:val="2"/>
          <w:sz w:val="32"/>
          <w:szCs w:val="32"/>
          <w:highlight w:val="none"/>
          <w:lang w:val="en-US" w:eastAsia="zh-CN" w:bidi="ar-SA"/>
        </w:rPr>
        <w:t>包括楼内通信工程设计范围内的综合布线系统、安防系统（视频监控系统、门禁管理系统）等。</w:t>
      </w:r>
    </w:p>
    <w:p w14:paraId="7273CAFB">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11. 电梯工程。</w:t>
      </w:r>
      <w:r>
        <w:rPr>
          <w:rFonts w:hint="default" w:ascii="Times New Roman" w:hAnsi="Times New Roman" w:eastAsia="方正仿宋_GBK" w:cs="Times New Roman"/>
          <w:color w:val="auto"/>
          <w:spacing w:val="0"/>
          <w:w w:val="100"/>
          <w:kern w:val="2"/>
          <w:sz w:val="32"/>
          <w:szCs w:val="32"/>
          <w:highlight w:val="none"/>
          <w:lang w:val="en-US" w:eastAsia="zh-CN" w:bidi="ar-SA"/>
        </w:rPr>
        <w:t>本项目包括4部电梯，其中无障碍电梯</w:t>
      </w:r>
      <w:r>
        <w:rPr>
          <w:rFonts w:hint="eastAsia" w:ascii="Times New Roman" w:hAnsi="Times New Roman" w:eastAsia="方正仿宋_GBK" w:cs="Times New Roman"/>
          <w:color w:val="auto"/>
          <w:spacing w:val="0"/>
          <w:w w:val="100"/>
          <w:kern w:val="2"/>
          <w:sz w:val="32"/>
          <w:szCs w:val="32"/>
          <w:highlight w:val="none"/>
          <w:lang w:val="en-US" w:eastAsia="zh-CN" w:bidi="ar-SA"/>
        </w:rPr>
        <w:t>2</w:t>
      </w:r>
      <w:r>
        <w:rPr>
          <w:rFonts w:hint="default" w:ascii="Times New Roman" w:hAnsi="Times New Roman" w:eastAsia="方正仿宋_GBK" w:cs="Times New Roman"/>
          <w:color w:val="auto"/>
          <w:spacing w:val="0"/>
          <w:w w:val="100"/>
          <w:kern w:val="2"/>
          <w:sz w:val="32"/>
          <w:szCs w:val="32"/>
          <w:highlight w:val="none"/>
          <w:lang w:val="en-US" w:eastAsia="zh-CN" w:bidi="ar-SA"/>
        </w:rPr>
        <w:t>部。</w:t>
      </w:r>
    </w:p>
    <w:p w14:paraId="0F0AF9BB">
      <w:pPr>
        <w:keepNext w:val="0"/>
        <w:keepLines w:val="0"/>
        <w:pageBreakBefore w:val="0"/>
        <w:widowControl w:val="0"/>
        <w:kinsoku/>
        <w:overflowPunct/>
        <w:topLinePunct w:val="0"/>
        <w:autoSpaceDE/>
        <w:autoSpaceDN/>
        <w:bidi w:val="0"/>
        <w:snapToGrid/>
        <w:spacing w:line="540" w:lineRule="exact"/>
        <w:ind w:firstLine="640"/>
        <w:textAlignment w:val="auto"/>
        <w:rPr>
          <w:rFonts w:hint="eastAsia"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楷体_GB2312" w:cs="Times New Roman"/>
          <w:lang w:val="en-US" w:eastAsia="zh-CN"/>
        </w:rPr>
        <w:t>12. 抗震支架工程。</w:t>
      </w:r>
      <w:r>
        <w:rPr>
          <w:rFonts w:hint="default" w:ascii="Times New Roman" w:hAnsi="Times New Roman" w:eastAsia="方正仿宋_GBK" w:cs="Times New Roman"/>
          <w:color w:val="auto"/>
          <w:spacing w:val="0"/>
          <w:w w:val="100"/>
          <w:kern w:val="2"/>
          <w:sz w:val="32"/>
          <w:szCs w:val="32"/>
          <w:highlight w:val="none"/>
          <w:lang w:val="en-US" w:eastAsia="zh-CN" w:bidi="ar-SA"/>
        </w:rPr>
        <w:t>项目抗震设防烈度为7度，按设计规范必须进行抗震设防，建筑抗震设防类别为重点设防类（乙类），</w:t>
      </w:r>
      <w:r>
        <w:rPr>
          <w:rFonts w:hint="eastAsia" w:ascii="Times New Roman" w:hAnsi="Times New Roman" w:eastAsia="方正仿宋_GBK" w:cs="Times New Roman"/>
          <w:color w:val="auto"/>
          <w:spacing w:val="0"/>
          <w:w w:val="100"/>
          <w:kern w:val="2"/>
          <w:sz w:val="32"/>
          <w:szCs w:val="32"/>
          <w:highlight w:val="none"/>
          <w:lang w:val="en-US" w:eastAsia="zh-CN" w:bidi="ar-SA"/>
        </w:rPr>
        <w:t>室内水电暖通各类</w:t>
      </w:r>
      <w:r>
        <w:rPr>
          <w:rFonts w:hint="default" w:ascii="Times New Roman" w:hAnsi="Times New Roman" w:eastAsia="方正仿宋_GBK" w:cs="Times New Roman"/>
          <w:color w:val="auto"/>
          <w:spacing w:val="0"/>
          <w:w w:val="100"/>
          <w:kern w:val="2"/>
          <w:sz w:val="32"/>
          <w:szCs w:val="32"/>
          <w:highlight w:val="none"/>
          <w:lang w:val="en-US" w:eastAsia="zh-CN" w:bidi="ar-SA"/>
        </w:rPr>
        <w:t>管</w:t>
      </w:r>
      <w:r>
        <w:rPr>
          <w:rFonts w:hint="eastAsia" w:ascii="Times New Roman" w:hAnsi="Times New Roman" w:eastAsia="方正仿宋_GBK" w:cs="Times New Roman"/>
          <w:color w:val="auto"/>
          <w:spacing w:val="0"/>
          <w:w w:val="100"/>
          <w:kern w:val="2"/>
          <w:sz w:val="32"/>
          <w:szCs w:val="32"/>
          <w:highlight w:val="none"/>
          <w:lang w:val="en-US" w:eastAsia="zh-CN" w:bidi="ar-SA"/>
        </w:rPr>
        <w:t>道及设备均要按规范要求进行抗震设置。</w:t>
      </w:r>
    </w:p>
    <w:p w14:paraId="69F7DA79">
      <w:pPr>
        <w:keepNext w:val="0"/>
        <w:keepLines w:val="0"/>
        <w:pageBreakBefore w:val="0"/>
        <w:widowControl w:val="0"/>
        <w:kinsoku/>
        <w:overflowPunct/>
        <w:topLinePunct w:val="0"/>
        <w:autoSpaceDE/>
        <w:autoSpaceDN/>
        <w:bidi w:val="0"/>
        <w:snapToGrid/>
        <w:spacing w:line="540" w:lineRule="exact"/>
        <w:ind w:firstLine="640"/>
        <w:textAlignment w:val="auto"/>
        <w:rPr>
          <w:rFonts w:hint="eastAsia" w:ascii="方正楷体_GB2312" w:hAnsi="方正楷体_GB2312" w:eastAsia="方正楷体_GB2312" w:cs="方正楷体_GB2312"/>
          <w:lang w:val="en-US" w:eastAsia="zh-CN"/>
        </w:rPr>
      </w:pPr>
      <w:r>
        <w:rPr>
          <w:rFonts w:hint="eastAsia" w:ascii="方正楷体_GB2312" w:hAnsi="方正楷体_GB2312" w:eastAsia="方正楷体_GB2312" w:cs="方正楷体_GB2312"/>
          <w:lang w:val="en-US" w:eastAsia="zh-CN"/>
        </w:rPr>
        <w:t>（二）室外景观工程</w:t>
      </w:r>
    </w:p>
    <w:p w14:paraId="34215A1A">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eastAsia" w:ascii="Times New Roman" w:hAnsi="Times New Roman" w:eastAsia="方正仿宋_GBK" w:cs="Times New Roman"/>
          <w:color w:val="auto"/>
          <w:spacing w:val="0"/>
          <w:w w:val="100"/>
          <w:kern w:val="2"/>
          <w:sz w:val="32"/>
          <w:szCs w:val="32"/>
          <w:highlight w:val="none"/>
          <w:lang w:val="en-US" w:eastAsia="zh-CN" w:bidi="ar-SA"/>
        </w:rPr>
        <w:t>北庭考古基地室外景观工程包括室外铺装、室外绿化、室外构筑物（标志景墙、大门、围墙等）、室外管网、室外照明等。</w:t>
      </w:r>
    </w:p>
    <w:p w14:paraId="244EA479">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方正楷体_GB2312" w:hAnsi="方正楷体_GB2312" w:eastAsia="方正楷体_GB2312" w:cs="方正楷体_GB2312"/>
          <w:lang w:val="en-US" w:eastAsia="zh-CN"/>
        </w:rPr>
      </w:pPr>
      <w:r>
        <w:rPr>
          <w:rFonts w:hint="eastAsia" w:ascii="方正楷体_GB2312" w:hAnsi="方正楷体_GB2312" w:eastAsia="方正楷体_GB2312" w:cs="方正楷体_GB2312"/>
          <w:lang w:val="en-US" w:eastAsia="zh-CN"/>
        </w:rPr>
        <w:t>（三）遗址现场展示提升工程</w:t>
      </w:r>
    </w:p>
    <w:p w14:paraId="7BCF7BD9">
      <w:pPr>
        <w:keepNext w:val="0"/>
        <w:keepLines w:val="0"/>
        <w:pageBreakBefore w:val="0"/>
        <w:widowControl w:val="0"/>
        <w:kinsoku/>
        <w:overflowPunct/>
        <w:topLinePunct w:val="0"/>
        <w:autoSpaceDE/>
        <w:autoSpaceDN/>
        <w:bidi w:val="0"/>
        <w:snapToGrid/>
        <w:spacing w:line="540" w:lineRule="exact"/>
        <w:ind w:firstLine="640"/>
        <w:textAlignment w:val="auto"/>
        <w:rPr>
          <w:rFonts w:hint="default" w:ascii="仿宋_GB2312" w:hAnsi="仿宋_GB2312" w:eastAsia="仿宋_GB2312" w:cs="仿宋_GB2312"/>
          <w:b/>
          <w:bCs/>
          <w:sz w:val="32"/>
          <w:szCs w:val="32"/>
          <w:highlight w:val="none"/>
          <w:lang w:val="en-US" w:eastAsia="zh-CN"/>
        </w:rPr>
      </w:pPr>
      <w:r>
        <w:rPr>
          <w:rFonts w:hint="eastAsia" w:ascii="Times New Roman" w:hAnsi="Times New Roman" w:eastAsia="方正仿宋_GBK" w:cs="Times New Roman"/>
          <w:color w:val="auto"/>
          <w:spacing w:val="0"/>
          <w:w w:val="100"/>
          <w:kern w:val="2"/>
          <w:sz w:val="32"/>
          <w:szCs w:val="32"/>
          <w:highlight w:val="none"/>
          <w:lang w:val="en-US" w:eastAsia="zh-CN" w:bidi="ar-SA"/>
        </w:rPr>
        <w:t>建设木栈道观景平台900.1平方米、限定围栏 503.9米、场地平整839.3平方米、解说标识系统1套等，配套建设休闲座椅等室外附属设施（遗址现场提升工程不含数字展示设备和信息化工程内容）。</w:t>
      </w:r>
    </w:p>
    <w:p w14:paraId="144FA5D2">
      <w:pPr>
        <w:pStyle w:val="4"/>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黑体" w:hAnsi="黑体" w:eastAsia="黑体" w:cs="黑体"/>
          <w:w w:val="100"/>
          <w:sz w:val="32"/>
          <w:szCs w:val="32"/>
          <w:lang w:val="en-US" w:eastAsia="zh-CN"/>
        </w:rPr>
      </w:pPr>
      <w:r>
        <w:rPr>
          <w:rFonts w:hint="eastAsia" w:ascii="黑体" w:hAnsi="黑体" w:eastAsia="黑体" w:cs="黑体"/>
          <w:w w:val="100"/>
          <w:sz w:val="32"/>
          <w:szCs w:val="32"/>
          <w:lang w:val="en-US" w:eastAsia="zh-CN"/>
        </w:rPr>
        <w:t>五、变更后的工程概算</w:t>
      </w:r>
    </w:p>
    <w:p w14:paraId="3A17BCD2">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eastAsia" w:ascii="Times New Roman" w:hAnsi="Times New Roman" w:eastAsia="方正仿宋_GBK" w:cs="Times New Roman"/>
          <w:color w:val="auto"/>
          <w:spacing w:val="0"/>
          <w:w w:val="100"/>
          <w:kern w:val="2"/>
          <w:sz w:val="32"/>
          <w:szCs w:val="32"/>
          <w:highlight w:val="none"/>
          <w:lang w:val="en-US" w:eastAsia="zh-CN" w:bidi="ar-SA"/>
        </w:rPr>
      </w:pPr>
      <w:bookmarkStart w:id="14" w:name="OLE_LINK17"/>
      <w:r>
        <w:rPr>
          <w:rFonts w:hint="eastAsia" w:ascii="Times New Roman" w:eastAsia="方正仿宋_GBK" w:cs="Times New Roman"/>
          <w:color w:val="auto"/>
          <w:spacing w:val="0"/>
          <w:w w:val="100"/>
          <w:kern w:val="2"/>
          <w:sz w:val="32"/>
          <w:szCs w:val="32"/>
          <w:highlight w:val="none"/>
          <w:lang w:val="en-US" w:eastAsia="zh-CN" w:bidi="ar-SA"/>
        </w:rPr>
        <w:t>变更后的</w:t>
      </w:r>
      <w:r>
        <w:rPr>
          <w:rFonts w:hint="default" w:ascii="Times New Roman" w:hAnsi="Times New Roman" w:eastAsia="方正仿宋_GBK" w:cs="Times New Roman"/>
          <w:color w:val="auto"/>
          <w:spacing w:val="0"/>
          <w:w w:val="100"/>
          <w:kern w:val="2"/>
          <w:sz w:val="32"/>
          <w:szCs w:val="32"/>
          <w:highlight w:val="none"/>
          <w:lang w:val="en-US" w:eastAsia="zh-CN" w:bidi="ar-SA"/>
        </w:rPr>
        <w:t>工程总概算</w:t>
      </w:r>
      <w:r>
        <w:rPr>
          <w:rFonts w:hint="eastAsia" w:ascii="Times New Roman" w:eastAsia="方正仿宋_GBK" w:cs="Times New Roman"/>
          <w:color w:val="auto"/>
          <w:spacing w:val="0"/>
          <w:w w:val="100"/>
          <w:kern w:val="2"/>
          <w:sz w:val="32"/>
          <w:szCs w:val="32"/>
          <w:highlight w:val="none"/>
          <w:lang w:val="en-US" w:eastAsia="zh-CN" w:bidi="ar-SA"/>
        </w:rPr>
        <w:t>6195.45</w:t>
      </w:r>
      <w:r>
        <w:rPr>
          <w:rFonts w:hint="default" w:ascii="Times New Roman" w:hAnsi="Times New Roman" w:eastAsia="方正仿宋_GBK" w:cs="Times New Roman"/>
          <w:color w:val="auto"/>
          <w:spacing w:val="0"/>
          <w:w w:val="100"/>
          <w:kern w:val="2"/>
          <w:sz w:val="32"/>
          <w:szCs w:val="32"/>
          <w:highlight w:val="none"/>
          <w:lang w:val="en-US" w:eastAsia="zh-CN" w:bidi="ar-SA"/>
        </w:rPr>
        <w:t>万元，其中</w:t>
      </w:r>
      <w:r>
        <w:rPr>
          <w:rFonts w:hint="eastAsia" w:ascii="Times New Roman" w:hAnsi="Times New Roman" w:eastAsia="方正仿宋_GBK" w:cs="Times New Roman"/>
          <w:color w:val="auto"/>
          <w:spacing w:val="0"/>
          <w:w w:val="100"/>
          <w:kern w:val="2"/>
          <w:sz w:val="32"/>
          <w:szCs w:val="32"/>
          <w:highlight w:val="none"/>
          <w:lang w:val="en-US" w:eastAsia="zh-CN" w:bidi="ar-SA"/>
        </w:rPr>
        <w:t>：</w:t>
      </w:r>
      <w:r>
        <w:rPr>
          <w:rFonts w:hint="default" w:ascii="Times New Roman" w:hAnsi="Times New Roman" w:eastAsia="方正仿宋_GBK" w:cs="Times New Roman"/>
          <w:color w:val="auto"/>
          <w:spacing w:val="0"/>
          <w:w w:val="100"/>
          <w:kern w:val="2"/>
          <w:sz w:val="32"/>
          <w:szCs w:val="32"/>
          <w:highlight w:val="none"/>
          <w:lang w:val="en-US" w:eastAsia="zh-CN" w:bidi="ar-SA"/>
        </w:rPr>
        <w:t>工程建设安装费</w:t>
      </w:r>
      <w:r>
        <w:rPr>
          <w:rFonts w:hint="eastAsia" w:ascii="Times New Roman" w:eastAsia="方正仿宋_GBK" w:cs="Times New Roman"/>
          <w:color w:val="auto"/>
          <w:spacing w:val="0"/>
          <w:w w:val="100"/>
          <w:kern w:val="2"/>
          <w:sz w:val="32"/>
          <w:szCs w:val="32"/>
          <w:highlight w:val="none"/>
          <w:lang w:val="en-US" w:eastAsia="zh-CN" w:bidi="ar-SA"/>
        </w:rPr>
        <w:t>5341.97</w:t>
      </w:r>
      <w:r>
        <w:rPr>
          <w:rFonts w:hint="default" w:ascii="Times New Roman" w:hAnsi="Times New Roman" w:eastAsia="方正仿宋_GBK" w:cs="Times New Roman"/>
          <w:color w:val="auto"/>
          <w:spacing w:val="0"/>
          <w:w w:val="100"/>
          <w:kern w:val="2"/>
          <w:sz w:val="32"/>
          <w:szCs w:val="32"/>
          <w:highlight w:val="none"/>
          <w:lang w:val="en-US" w:eastAsia="zh-CN" w:bidi="ar-SA"/>
        </w:rPr>
        <w:t>万元，其他费用</w:t>
      </w:r>
      <w:r>
        <w:rPr>
          <w:rFonts w:hint="eastAsia" w:ascii="Times New Roman" w:eastAsia="方正仿宋_GBK" w:cs="Times New Roman"/>
          <w:color w:val="auto"/>
          <w:spacing w:val="0"/>
          <w:w w:val="100"/>
          <w:kern w:val="2"/>
          <w:sz w:val="32"/>
          <w:szCs w:val="32"/>
          <w:highlight w:val="none"/>
          <w:lang w:val="en-US" w:eastAsia="zh-CN" w:bidi="ar-SA"/>
        </w:rPr>
        <w:t>558.45</w:t>
      </w:r>
      <w:r>
        <w:rPr>
          <w:rFonts w:hint="default" w:ascii="Times New Roman" w:hAnsi="Times New Roman" w:eastAsia="方正仿宋_GBK" w:cs="Times New Roman"/>
          <w:color w:val="auto"/>
          <w:spacing w:val="0"/>
          <w:w w:val="100"/>
          <w:kern w:val="2"/>
          <w:sz w:val="32"/>
          <w:szCs w:val="32"/>
          <w:highlight w:val="none"/>
          <w:lang w:val="en-US" w:eastAsia="zh-CN" w:bidi="ar-SA"/>
        </w:rPr>
        <w:t>万元，预备费</w:t>
      </w:r>
      <w:r>
        <w:rPr>
          <w:rFonts w:hint="eastAsia" w:ascii="Times New Roman" w:eastAsia="方正仿宋_GBK" w:cs="Times New Roman"/>
          <w:color w:val="auto"/>
          <w:spacing w:val="0"/>
          <w:w w:val="100"/>
          <w:kern w:val="2"/>
          <w:sz w:val="32"/>
          <w:szCs w:val="32"/>
          <w:highlight w:val="none"/>
          <w:lang w:val="en-US" w:eastAsia="zh-CN" w:bidi="ar-SA"/>
        </w:rPr>
        <w:t>295.03</w:t>
      </w:r>
      <w:r>
        <w:rPr>
          <w:rFonts w:hint="default" w:ascii="Times New Roman" w:hAnsi="Times New Roman" w:eastAsia="方正仿宋_GBK" w:cs="Times New Roman"/>
          <w:color w:val="auto"/>
          <w:spacing w:val="0"/>
          <w:w w:val="100"/>
          <w:kern w:val="2"/>
          <w:sz w:val="32"/>
          <w:szCs w:val="32"/>
          <w:highlight w:val="none"/>
          <w:lang w:val="en-US" w:eastAsia="zh-CN" w:bidi="ar-SA"/>
        </w:rPr>
        <w:t>万元</w:t>
      </w:r>
      <w:r>
        <w:rPr>
          <w:rFonts w:hint="eastAsia" w:ascii="Times New Roman" w:eastAsia="方正仿宋_GBK" w:cs="Times New Roman"/>
          <w:color w:val="auto"/>
          <w:spacing w:val="0"/>
          <w:w w:val="100"/>
          <w:kern w:val="2"/>
          <w:sz w:val="32"/>
          <w:szCs w:val="32"/>
          <w:highlight w:val="none"/>
          <w:lang w:val="en-US" w:eastAsia="zh-CN" w:bidi="ar-SA"/>
        </w:rPr>
        <w:t>，资金来源为申请中央预算内资金及地方配套资金</w:t>
      </w:r>
      <w:r>
        <w:rPr>
          <w:rFonts w:hint="eastAsia" w:ascii="Times New Roman" w:hAnsi="Times New Roman" w:eastAsia="方正仿宋_GBK" w:cs="Times New Roman"/>
          <w:color w:val="auto"/>
          <w:spacing w:val="0"/>
          <w:w w:val="100"/>
          <w:kern w:val="2"/>
          <w:sz w:val="32"/>
          <w:szCs w:val="32"/>
          <w:highlight w:val="none"/>
          <w:lang w:val="en-US" w:eastAsia="zh-CN" w:bidi="ar-SA"/>
        </w:rPr>
        <w:t>。</w:t>
      </w:r>
    </w:p>
    <w:p w14:paraId="2909B5D4">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default"/>
          <w:lang w:val="en-US" w:eastAsia="zh-CN"/>
        </w:rPr>
      </w:pPr>
      <w:bookmarkStart w:id="15" w:name="OLE_LINK10"/>
      <w:bookmarkStart w:id="16" w:name="OLE_LINK18"/>
      <w:r>
        <w:rPr>
          <w:rFonts w:hint="eastAsia" w:ascii="Times New Roman" w:eastAsia="方正仿宋_GBK" w:cs="Times New Roman"/>
          <w:color w:val="auto"/>
          <w:spacing w:val="0"/>
          <w:w w:val="100"/>
          <w:kern w:val="2"/>
          <w:sz w:val="32"/>
          <w:szCs w:val="32"/>
          <w:highlight w:val="none"/>
          <w:lang w:val="en-US" w:eastAsia="zh-CN" w:bidi="ar-SA"/>
        </w:rPr>
        <w:t>变更后的工程</w:t>
      </w:r>
      <w:r>
        <w:rPr>
          <w:rFonts w:hint="eastAsia" w:ascii="Times New Roman" w:hAnsi="Times New Roman" w:eastAsia="方正仿宋_GBK" w:cs="Times New Roman"/>
          <w:color w:val="auto"/>
          <w:spacing w:val="0"/>
          <w:w w:val="100"/>
          <w:kern w:val="2"/>
          <w:sz w:val="32"/>
          <w:szCs w:val="32"/>
          <w:highlight w:val="none"/>
          <w:lang w:val="en-US" w:eastAsia="zh-CN" w:bidi="ar-SA"/>
        </w:rPr>
        <w:t>概算总投资</w:t>
      </w:r>
      <w:r>
        <w:rPr>
          <w:rFonts w:hint="eastAsia" w:ascii="Times New Roman" w:eastAsia="方正仿宋_GBK" w:cs="Times New Roman"/>
          <w:color w:val="auto"/>
          <w:spacing w:val="0"/>
          <w:w w:val="100"/>
          <w:kern w:val="2"/>
          <w:sz w:val="32"/>
          <w:szCs w:val="32"/>
          <w:highlight w:val="none"/>
          <w:lang w:val="en-US" w:eastAsia="zh-CN" w:bidi="ar-SA"/>
        </w:rPr>
        <w:t>6195.45</w:t>
      </w:r>
      <w:r>
        <w:rPr>
          <w:rFonts w:hint="eastAsia" w:ascii="Times New Roman" w:hAnsi="Times New Roman" w:eastAsia="方正仿宋_GBK" w:cs="Times New Roman"/>
          <w:color w:val="auto"/>
          <w:spacing w:val="0"/>
          <w:w w:val="100"/>
          <w:kern w:val="2"/>
          <w:sz w:val="32"/>
          <w:szCs w:val="32"/>
          <w:highlight w:val="none"/>
          <w:lang w:val="en-US" w:eastAsia="zh-CN" w:bidi="ar-SA"/>
        </w:rPr>
        <w:t>万元，对比该项目可研批复总投资6250万元，减少了</w:t>
      </w:r>
      <w:r>
        <w:rPr>
          <w:rFonts w:hint="eastAsia" w:ascii="Times New Roman" w:eastAsia="方正仿宋_GBK" w:cs="Times New Roman"/>
          <w:color w:val="auto"/>
          <w:spacing w:val="0"/>
          <w:w w:val="100"/>
          <w:kern w:val="2"/>
          <w:sz w:val="32"/>
          <w:szCs w:val="32"/>
          <w:highlight w:val="none"/>
          <w:lang w:val="en-US" w:eastAsia="zh-CN" w:bidi="ar-SA"/>
        </w:rPr>
        <w:t>54.55</w:t>
      </w:r>
      <w:r>
        <w:rPr>
          <w:rFonts w:hint="eastAsia" w:ascii="Times New Roman" w:hAnsi="Times New Roman" w:eastAsia="方正仿宋_GBK" w:cs="Times New Roman"/>
          <w:color w:val="auto"/>
          <w:spacing w:val="0"/>
          <w:w w:val="100"/>
          <w:kern w:val="2"/>
          <w:sz w:val="32"/>
          <w:szCs w:val="32"/>
          <w:highlight w:val="none"/>
          <w:lang w:val="en-US" w:eastAsia="zh-CN" w:bidi="ar-SA"/>
        </w:rPr>
        <w:t>万元，降幅</w:t>
      </w:r>
      <w:r>
        <w:rPr>
          <w:rFonts w:hint="eastAsia" w:ascii="Times New Roman" w:eastAsia="方正仿宋_GBK" w:cs="Times New Roman"/>
          <w:color w:val="auto"/>
          <w:spacing w:val="0"/>
          <w:w w:val="100"/>
          <w:kern w:val="2"/>
          <w:sz w:val="32"/>
          <w:szCs w:val="32"/>
          <w:highlight w:val="none"/>
          <w:lang w:val="en-US" w:eastAsia="zh-CN" w:bidi="ar-SA"/>
        </w:rPr>
        <w:t>0.8</w:t>
      </w:r>
      <w:r>
        <w:rPr>
          <w:rFonts w:hint="eastAsia" w:ascii="Times New Roman" w:hAnsi="Times New Roman" w:eastAsia="方正仿宋_GBK" w:cs="Times New Roman"/>
          <w:color w:val="auto"/>
          <w:spacing w:val="0"/>
          <w:w w:val="100"/>
          <w:kern w:val="2"/>
          <w:sz w:val="32"/>
          <w:szCs w:val="32"/>
          <w:highlight w:val="none"/>
          <w:lang w:val="en-US" w:eastAsia="zh-CN" w:bidi="ar-SA"/>
        </w:rPr>
        <w:t>%</w:t>
      </w:r>
      <w:r>
        <w:rPr>
          <w:rFonts w:hint="eastAsia" w:ascii="Times New Roman" w:eastAsia="方正仿宋_GBK" w:cs="Times New Roman"/>
          <w:color w:val="auto"/>
          <w:spacing w:val="0"/>
          <w:w w:val="100"/>
          <w:kern w:val="2"/>
          <w:sz w:val="32"/>
          <w:szCs w:val="32"/>
          <w:highlight w:val="none"/>
          <w:lang w:val="en-US" w:eastAsia="zh-CN" w:bidi="ar-SA"/>
        </w:rPr>
        <w:t>；对比原初设批复总概算6205.16万元，减少了9.71万元，降幅0.1%</w:t>
      </w:r>
      <w:bookmarkEnd w:id="15"/>
      <w:r>
        <w:rPr>
          <w:rFonts w:hint="eastAsia" w:ascii="Times New Roman" w:eastAsia="方正仿宋_GBK" w:cs="Times New Roman"/>
          <w:color w:val="auto"/>
          <w:spacing w:val="0"/>
          <w:w w:val="100"/>
          <w:kern w:val="2"/>
          <w:sz w:val="32"/>
          <w:szCs w:val="32"/>
          <w:highlight w:val="none"/>
          <w:lang w:val="en-US" w:eastAsia="zh-CN" w:bidi="ar-SA"/>
        </w:rPr>
        <w:t>（详见附件总概算表的变更对比）。</w:t>
      </w:r>
    </w:p>
    <w:bookmarkEnd w:id="14"/>
    <w:bookmarkEnd w:id="16"/>
    <w:p w14:paraId="43C05312">
      <w:pPr>
        <w:pStyle w:val="4"/>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黑体" w:hAnsi="黑体" w:eastAsia="黑体" w:cs="黑体"/>
          <w:w w:val="100"/>
          <w:sz w:val="32"/>
          <w:szCs w:val="32"/>
          <w:lang w:val="en-US" w:eastAsia="zh-CN"/>
        </w:rPr>
      </w:pPr>
      <w:r>
        <w:rPr>
          <w:rFonts w:hint="eastAsia" w:ascii="黑体" w:hAnsi="黑体" w:eastAsia="黑体" w:cs="黑体"/>
          <w:w w:val="100"/>
          <w:sz w:val="32"/>
          <w:szCs w:val="32"/>
          <w:lang w:val="en-US" w:eastAsia="zh-CN"/>
        </w:rPr>
        <w:t>六、工程建设有关要求</w:t>
      </w:r>
    </w:p>
    <w:p w14:paraId="639EAD51">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仿宋_GBK" w:cs="Times New Roman"/>
          <w:color w:val="auto"/>
          <w:spacing w:val="0"/>
          <w:w w:val="100"/>
          <w:kern w:val="2"/>
          <w:sz w:val="32"/>
          <w:szCs w:val="32"/>
          <w:highlight w:val="none"/>
          <w:lang w:val="en-US" w:eastAsia="zh-CN" w:bidi="ar-SA"/>
        </w:rPr>
        <w:t>（一）</w:t>
      </w:r>
      <w:r>
        <w:rPr>
          <w:rFonts w:hint="eastAsia" w:ascii="Times New Roman" w:eastAsia="方正仿宋_GBK" w:cs="Times New Roman"/>
          <w:color w:val="auto"/>
          <w:spacing w:val="0"/>
          <w:w w:val="100"/>
          <w:kern w:val="2"/>
          <w:sz w:val="32"/>
          <w:szCs w:val="32"/>
          <w:highlight w:val="none"/>
          <w:lang w:val="en-US" w:eastAsia="zh-CN" w:bidi="ar-SA"/>
        </w:rPr>
        <w:t>该项目建设规模、建设内容和概算总投资以本次调整后的结果为准。</w:t>
      </w:r>
    </w:p>
    <w:p w14:paraId="6A2BDF2D">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eastAsia" w:ascii="Times New Roman" w:eastAsia="方正仿宋_GBK" w:cs="Times New Roman"/>
          <w:color w:val="auto"/>
          <w:spacing w:val="0"/>
          <w:w w:val="100"/>
          <w:kern w:val="2"/>
          <w:sz w:val="32"/>
          <w:szCs w:val="32"/>
          <w:highlight w:val="none"/>
          <w:lang w:val="en-US" w:eastAsia="zh-CN" w:bidi="ar-SA"/>
        </w:rPr>
        <w:t>（二）</w:t>
      </w:r>
      <w:r>
        <w:rPr>
          <w:rFonts w:hint="default" w:ascii="Times New Roman" w:hAnsi="Times New Roman" w:eastAsia="方正仿宋_GBK" w:cs="Times New Roman"/>
          <w:color w:val="auto"/>
          <w:spacing w:val="0"/>
          <w:w w:val="100"/>
          <w:kern w:val="2"/>
          <w:sz w:val="32"/>
          <w:szCs w:val="32"/>
          <w:highlight w:val="none"/>
          <w:lang w:val="en-US" w:eastAsia="zh-CN" w:bidi="ar-SA"/>
        </w:rPr>
        <w:t>严格遵循基本建设程序，按照</w:t>
      </w:r>
      <w:r>
        <w:rPr>
          <w:rFonts w:hint="eastAsia" w:ascii="Times New Roman" w:eastAsia="方正仿宋_GBK" w:cs="Times New Roman"/>
          <w:color w:val="auto"/>
          <w:spacing w:val="0"/>
          <w:w w:val="100"/>
          <w:kern w:val="2"/>
          <w:sz w:val="32"/>
          <w:szCs w:val="32"/>
          <w:highlight w:val="none"/>
          <w:lang w:val="en-US" w:eastAsia="zh-CN" w:bidi="ar-SA"/>
        </w:rPr>
        <w:t>本次</w:t>
      </w:r>
      <w:r>
        <w:rPr>
          <w:rFonts w:hint="default" w:ascii="Times New Roman" w:hAnsi="Times New Roman" w:eastAsia="方正仿宋_GBK" w:cs="Times New Roman"/>
          <w:color w:val="auto"/>
          <w:spacing w:val="0"/>
          <w:w w:val="100"/>
          <w:kern w:val="2"/>
          <w:sz w:val="32"/>
          <w:szCs w:val="32"/>
          <w:highlight w:val="none"/>
          <w:lang w:val="en-US" w:eastAsia="zh-CN" w:bidi="ar-SA"/>
        </w:rPr>
        <w:t>批准的初步设计报告和概算进行施工图设计，满足国家和自治区、州有关技术、安全、消防、节能和环保等要求。</w:t>
      </w:r>
    </w:p>
    <w:p w14:paraId="7EA09F9D">
      <w:pPr>
        <w:pStyle w:val="4"/>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仿宋_GBK" w:cs="Times New Roman"/>
          <w:color w:val="auto"/>
          <w:spacing w:val="0"/>
          <w:w w:val="100"/>
          <w:kern w:val="2"/>
          <w:sz w:val="32"/>
          <w:szCs w:val="32"/>
          <w:highlight w:val="none"/>
          <w:lang w:val="en-US" w:eastAsia="zh-CN" w:bidi="ar-SA"/>
        </w:rPr>
        <w:t>（</w:t>
      </w:r>
      <w:r>
        <w:rPr>
          <w:rFonts w:hint="eastAsia" w:ascii="Times New Roman" w:eastAsia="方正仿宋_GBK" w:cs="Times New Roman"/>
          <w:color w:val="auto"/>
          <w:spacing w:val="0"/>
          <w:w w:val="100"/>
          <w:kern w:val="2"/>
          <w:sz w:val="32"/>
          <w:szCs w:val="32"/>
          <w:highlight w:val="none"/>
          <w:lang w:val="en-US" w:eastAsia="zh-CN" w:bidi="ar-SA"/>
        </w:rPr>
        <w:t>三</w:t>
      </w:r>
      <w:r>
        <w:rPr>
          <w:rFonts w:hint="default" w:ascii="Times New Roman" w:hAnsi="Times New Roman" w:eastAsia="方正仿宋_GBK" w:cs="Times New Roman"/>
          <w:color w:val="auto"/>
          <w:spacing w:val="0"/>
          <w:w w:val="100"/>
          <w:kern w:val="2"/>
          <w:sz w:val="32"/>
          <w:szCs w:val="32"/>
          <w:highlight w:val="none"/>
          <w:lang w:val="en-US" w:eastAsia="zh-CN" w:bidi="ar-SA"/>
        </w:rPr>
        <w:t>）严格执行项目法人责任制、招标投标制、工程监理制、合同管理制等项目管理制度，加快项目建设，确保工程质量。</w:t>
      </w:r>
    </w:p>
    <w:p w14:paraId="25A24236">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eastAsia"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仿宋_GBK" w:cs="Times New Roman"/>
          <w:color w:val="auto"/>
          <w:spacing w:val="0"/>
          <w:w w:val="100"/>
          <w:kern w:val="2"/>
          <w:sz w:val="32"/>
          <w:szCs w:val="32"/>
          <w:highlight w:val="none"/>
          <w:lang w:val="en-US" w:eastAsia="zh-CN" w:bidi="ar-SA"/>
        </w:rPr>
        <w:t>（</w:t>
      </w:r>
      <w:r>
        <w:rPr>
          <w:rFonts w:hint="eastAsia" w:ascii="Times New Roman" w:eastAsia="方正仿宋_GBK" w:cs="Times New Roman"/>
          <w:color w:val="auto"/>
          <w:spacing w:val="0"/>
          <w:w w:val="100"/>
          <w:kern w:val="2"/>
          <w:sz w:val="32"/>
          <w:szCs w:val="32"/>
          <w:highlight w:val="none"/>
          <w:lang w:val="en-US" w:eastAsia="zh-CN" w:bidi="ar-SA"/>
        </w:rPr>
        <w:t>四</w:t>
      </w:r>
      <w:r>
        <w:rPr>
          <w:rFonts w:hint="default" w:ascii="Times New Roman" w:hAnsi="Times New Roman" w:eastAsia="方正仿宋_GBK" w:cs="Times New Roman"/>
          <w:color w:val="auto"/>
          <w:spacing w:val="0"/>
          <w:w w:val="100"/>
          <w:kern w:val="2"/>
          <w:sz w:val="32"/>
          <w:szCs w:val="32"/>
          <w:highlight w:val="none"/>
          <w:lang w:val="en-US" w:eastAsia="zh-CN" w:bidi="ar-SA"/>
        </w:rPr>
        <w:t>）</w:t>
      </w:r>
      <w:r>
        <w:rPr>
          <w:rFonts w:hint="eastAsia" w:ascii="Times New Roman" w:hAnsi="Times New Roman" w:eastAsia="方正仿宋_GBK" w:cs="Times New Roman"/>
          <w:color w:val="auto"/>
          <w:spacing w:val="0"/>
          <w:w w:val="100"/>
          <w:kern w:val="2"/>
          <w:sz w:val="32"/>
          <w:szCs w:val="32"/>
          <w:highlight w:val="none"/>
          <w:lang w:val="en-US" w:eastAsia="zh-CN" w:bidi="ar-SA"/>
        </w:rPr>
        <w:t>按照自治区住建厅、发改委和财政厅联合印发《关于印发&lt;关于在房屋建筑和市政基础设施工程中推行施工过程结算的实施意见&gt;的通知》（新建规〔2023〕11号）的相关要求实施过程结算，进一步加强房屋建筑和市政基础设施工程施工过程结算管理，缩短竣工结算周期，从源头上根治拖欠工程款和农民工工资问题，优化营商环境。</w:t>
      </w:r>
    </w:p>
    <w:p w14:paraId="634C28CE">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eastAsia" w:ascii="Times New Roman" w:hAnsi="Times New Roman" w:eastAsia="方正仿宋_GBK" w:cs="Times New Roman"/>
          <w:color w:val="auto"/>
          <w:spacing w:val="0"/>
          <w:w w:val="100"/>
          <w:kern w:val="2"/>
          <w:sz w:val="32"/>
          <w:szCs w:val="32"/>
          <w:highlight w:val="none"/>
          <w:lang w:val="en-US" w:eastAsia="zh-CN" w:bidi="ar-SA"/>
        </w:rPr>
        <w:t>（</w:t>
      </w:r>
      <w:r>
        <w:rPr>
          <w:rFonts w:hint="eastAsia" w:ascii="Times New Roman" w:eastAsia="方正仿宋_GBK" w:cs="Times New Roman"/>
          <w:color w:val="auto"/>
          <w:spacing w:val="0"/>
          <w:w w:val="100"/>
          <w:kern w:val="2"/>
          <w:sz w:val="32"/>
          <w:szCs w:val="32"/>
          <w:highlight w:val="none"/>
          <w:lang w:val="en-US" w:eastAsia="zh-CN" w:bidi="ar-SA"/>
        </w:rPr>
        <w:t>五</w:t>
      </w:r>
      <w:r>
        <w:rPr>
          <w:rFonts w:hint="eastAsia" w:ascii="Times New Roman" w:hAnsi="Times New Roman" w:eastAsia="方正仿宋_GBK" w:cs="Times New Roman"/>
          <w:color w:val="auto"/>
          <w:spacing w:val="0"/>
          <w:w w:val="100"/>
          <w:kern w:val="2"/>
          <w:sz w:val="32"/>
          <w:szCs w:val="32"/>
          <w:highlight w:val="none"/>
          <w:lang w:val="en-US" w:eastAsia="zh-CN" w:bidi="ar-SA"/>
        </w:rPr>
        <w:t>）</w:t>
      </w:r>
      <w:r>
        <w:rPr>
          <w:rFonts w:hint="default" w:ascii="Times New Roman" w:hAnsi="Times New Roman" w:eastAsia="方正仿宋_GBK" w:cs="Times New Roman"/>
          <w:color w:val="auto"/>
          <w:spacing w:val="0"/>
          <w:w w:val="100"/>
          <w:kern w:val="2"/>
          <w:sz w:val="32"/>
          <w:szCs w:val="32"/>
          <w:highlight w:val="none"/>
          <w:lang w:val="en-US" w:eastAsia="zh-CN" w:bidi="ar-SA"/>
        </w:rPr>
        <w:t>严格按照本次</w:t>
      </w:r>
      <w:r>
        <w:rPr>
          <w:rFonts w:hint="eastAsia" w:ascii="Times New Roman" w:hAnsi="Times New Roman" w:eastAsia="方正仿宋_GBK" w:cs="Times New Roman"/>
          <w:color w:val="auto"/>
          <w:spacing w:val="0"/>
          <w:w w:val="100"/>
          <w:kern w:val="2"/>
          <w:sz w:val="32"/>
          <w:szCs w:val="32"/>
          <w:highlight w:val="none"/>
          <w:lang w:val="en-US" w:eastAsia="zh-CN" w:bidi="ar-SA"/>
        </w:rPr>
        <w:t>批复</w:t>
      </w:r>
      <w:r>
        <w:rPr>
          <w:rFonts w:hint="default" w:ascii="Times New Roman" w:hAnsi="Times New Roman" w:eastAsia="方正仿宋_GBK" w:cs="Times New Roman"/>
          <w:color w:val="auto"/>
          <w:spacing w:val="0"/>
          <w:w w:val="100"/>
          <w:kern w:val="2"/>
          <w:sz w:val="32"/>
          <w:szCs w:val="32"/>
          <w:highlight w:val="none"/>
          <w:lang w:val="en-US" w:eastAsia="zh-CN" w:bidi="ar-SA"/>
        </w:rPr>
        <w:t>的工程概算控制投资，不得擅自调整或突破概算，严禁擅自变更建设内容、扩大建设规模、提高建设标准。</w:t>
      </w:r>
    </w:p>
    <w:p w14:paraId="2D37FC83">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仿宋_GBK" w:cs="Times New Roman"/>
          <w:color w:val="auto"/>
          <w:spacing w:val="0"/>
          <w:w w:val="100"/>
          <w:kern w:val="2"/>
          <w:sz w:val="32"/>
          <w:szCs w:val="32"/>
          <w:highlight w:val="none"/>
          <w:lang w:val="en-US" w:eastAsia="zh-CN" w:bidi="ar-SA"/>
        </w:rPr>
        <w:t>（</w:t>
      </w:r>
      <w:r>
        <w:rPr>
          <w:rFonts w:hint="eastAsia" w:ascii="Times New Roman" w:eastAsia="方正仿宋_GBK" w:cs="Times New Roman"/>
          <w:color w:val="auto"/>
          <w:spacing w:val="0"/>
          <w:w w:val="100"/>
          <w:kern w:val="2"/>
          <w:sz w:val="32"/>
          <w:szCs w:val="32"/>
          <w:highlight w:val="none"/>
          <w:lang w:val="en-US" w:eastAsia="zh-CN" w:bidi="ar-SA"/>
        </w:rPr>
        <w:t>六</w:t>
      </w:r>
      <w:r>
        <w:rPr>
          <w:rFonts w:hint="default" w:ascii="Times New Roman" w:hAnsi="Times New Roman" w:eastAsia="方正仿宋_GBK" w:cs="Times New Roman"/>
          <w:color w:val="auto"/>
          <w:spacing w:val="0"/>
          <w:w w:val="100"/>
          <w:kern w:val="2"/>
          <w:sz w:val="32"/>
          <w:szCs w:val="32"/>
          <w:highlight w:val="none"/>
          <w:lang w:val="en-US" w:eastAsia="zh-CN" w:bidi="ar-SA"/>
        </w:rPr>
        <w:t>）</w:t>
      </w:r>
      <w:r>
        <w:rPr>
          <w:rFonts w:hint="eastAsia" w:ascii="Times New Roman" w:hAnsi="Times New Roman" w:eastAsia="方正仿宋_GBK" w:cs="Times New Roman"/>
          <w:color w:val="auto"/>
          <w:spacing w:val="0"/>
          <w:w w:val="100"/>
          <w:kern w:val="2"/>
          <w:sz w:val="32"/>
          <w:szCs w:val="32"/>
          <w:highlight w:val="none"/>
          <w:lang w:val="en-US" w:eastAsia="zh-CN" w:bidi="ar-SA"/>
        </w:rPr>
        <w:t>加强项目档案资料管理，</w:t>
      </w:r>
      <w:r>
        <w:rPr>
          <w:rFonts w:hint="default" w:ascii="Times New Roman" w:hAnsi="Times New Roman" w:eastAsia="方正仿宋_GBK" w:cs="Times New Roman"/>
          <w:color w:val="auto"/>
          <w:spacing w:val="0"/>
          <w:w w:val="100"/>
          <w:kern w:val="2"/>
          <w:sz w:val="32"/>
          <w:szCs w:val="32"/>
          <w:highlight w:val="none"/>
          <w:lang w:val="en-US" w:eastAsia="zh-CN" w:bidi="ar-SA"/>
        </w:rPr>
        <w:t>项目建成后，按照规定及时向审批部门申请组织竣工验收，确保项目尽早发挥效益。</w:t>
      </w:r>
    </w:p>
    <w:p w14:paraId="5E14C34E">
      <w:pPr>
        <w:pStyle w:val="4"/>
        <w:keepNext w:val="0"/>
        <w:keepLines w:val="0"/>
        <w:pageBreakBefore w:val="0"/>
        <w:widowControl w:val="0"/>
        <w:kinsoku/>
        <w:wordWrap/>
        <w:overflowPunct/>
        <w:topLinePunct w:val="0"/>
        <w:autoSpaceDE/>
        <w:autoSpaceDN/>
        <w:bidi w:val="0"/>
        <w:adjustRightInd/>
        <w:snapToGrid/>
        <w:spacing w:line="540" w:lineRule="exact"/>
        <w:ind w:left="0" w:firstLine="632" w:firstLineChars="2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p>
    <w:p w14:paraId="3AA36BC2">
      <w:pPr>
        <w:pStyle w:val="4"/>
        <w:keepNext w:val="0"/>
        <w:keepLines w:val="0"/>
        <w:pageBreakBefore w:val="0"/>
        <w:widowControl w:val="0"/>
        <w:kinsoku/>
        <w:wordWrap/>
        <w:overflowPunct/>
        <w:topLinePunct w:val="0"/>
        <w:autoSpaceDE/>
        <w:autoSpaceDN/>
        <w:bidi w:val="0"/>
        <w:adjustRightInd/>
        <w:snapToGrid/>
        <w:spacing w:line="540" w:lineRule="exact"/>
        <w:ind w:left="1580" w:leftChars="200" w:hanging="948" w:hangingChars="300"/>
        <w:textAlignment w:val="auto"/>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仿宋_GBK" w:cs="Times New Roman"/>
          <w:color w:val="auto"/>
          <w:spacing w:val="0"/>
          <w:w w:val="100"/>
          <w:kern w:val="2"/>
          <w:sz w:val="32"/>
          <w:szCs w:val="32"/>
          <w:highlight w:val="none"/>
          <w:lang w:val="en-US" w:eastAsia="zh-CN" w:bidi="ar-SA"/>
        </w:rPr>
        <w:t>附件：</w:t>
      </w:r>
      <w:r>
        <w:rPr>
          <w:rFonts w:hint="eastAsia" w:ascii="Times New Roman" w:hAnsi="Times New Roman" w:eastAsia="方正仿宋_GBK" w:cs="Times New Roman"/>
          <w:color w:val="auto"/>
          <w:spacing w:val="0"/>
          <w:w w:val="100"/>
          <w:kern w:val="2"/>
          <w:sz w:val="32"/>
          <w:szCs w:val="32"/>
          <w:highlight w:val="none"/>
          <w:lang w:val="en-US" w:eastAsia="zh-CN" w:bidi="ar-SA"/>
        </w:rPr>
        <w:t>北庭国家考古遗址公园保护展示开放提升能力建设项目</w:t>
      </w:r>
      <w:r>
        <w:rPr>
          <w:rFonts w:hint="eastAsia" w:ascii="Times New Roman" w:eastAsia="方正仿宋_GBK" w:cs="Times New Roman"/>
          <w:color w:val="auto"/>
          <w:spacing w:val="0"/>
          <w:w w:val="100"/>
          <w:kern w:val="2"/>
          <w:sz w:val="32"/>
          <w:szCs w:val="32"/>
          <w:highlight w:val="none"/>
          <w:lang w:val="en-US" w:eastAsia="zh-CN" w:bidi="ar-SA"/>
        </w:rPr>
        <w:t>变更后</w:t>
      </w:r>
      <w:r>
        <w:rPr>
          <w:rFonts w:hint="default" w:ascii="Times New Roman" w:hAnsi="Times New Roman" w:eastAsia="方正仿宋_GBK" w:cs="Times New Roman"/>
          <w:color w:val="auto"/>
          <w:spacing w:val="0"/>
          <w:w w:val="100"/>
          <w:kern w:val="2"/>
          <w:sz w:val="32"/>
          <w:szCs w:val="32"/>
          <w:highlight w:val="none"/>
          <w:lang w:val="en-US" w:eastAsia="zh-CN" w:bidi="ar-SA"/>
        </w:rPr>
        <w:t>总概算表</w:t>
      </w:r>
    </w:p>
    <w:p w14:paraId="65B48C69">
      <w:pPr>
        <w:keepNext w:val="0"/>
        <w:keepLines w:val="0"/>
        <w:pageBreakBefore w:val="0"/>
        <w:widowControl w:val="0"/>
        <w:kinsoku/>
        <w:wordWrap w:val="0"/>
        <w:overflowPunct/>
        <w:topLinePunct w:val="0"/>
        <w:autoSpaceDE/>
        <w:autoSpaceDN/>
        <w:bidi w:val="0"/>
        <w:adjustRightInd/>
        <w:snapToGrid/>
        <w:spacing w:line="540" w:lineRule="exact"/>
        <w:ind w:right="790" w:firstLine="632" w:firstLineChars="200"/>
        <w:jc w:val="both"/>
        <w:textAlignment w:val="auto"/>
        <w:outlineLvl w:val="9"/>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default" w:ascii="Times New Roman" w:hAnsi="Times New Roman" w:eastAsia="方正仿宋_GBK" w:cs="Times New Roman"/>
          <w:color w:val="auto"/>
          <w:spacing w:val="0"/>
          <w:w w:val="100"/>
          <w:kern w:val="2"/>
          <w:sz w:val="32"/>
          <w:szCs w:val="32"/>
          <w:highlight w:val="none"/>
          <w:lang w:val="en-US" w:eastAsia="zh-CN" w:bidi="ar-SA"/>
        </w:rPr>
        <w:t xml:space="preserve">            </w:t>
      </w:r>
    </w:p>
    <w:p w14:paraId="0833C8F9">
      <w:pPr>
        <w:keepNext w:val="0"/>
        <w:keepLines w:val="0"/>
        <w:pageBreakBefore w:val="0"/>
        <w:widowControl w:val="0"/>
        <w:kinsoku/>
        <w:wordWrap w:val="0"/>
        <w:overflowPunct/>
        <w:topLinePunct w:val="0"/>
        <w:autoSpaceDE/>
        <w:autoSpaceDN/>
        <w:bidi w:val="0"/>
        <w:adjustRightInd/>
        <w:snapToGrid/>
        <w:spacing w:line="540" w:lineRule="exact"/>
        <w:ind w:right="790" w:firstLine="632" w:firstLineChars="200"/>
        <w:jc w:val="both"/>
        <w:textAlignment w:val="auto"/>
        <w:outlineLvl w:val="9"/>
        <w:rPr>
          <w:rFonts w:hint="default" w:ascii="Times New Roman" w:hAnsi="Times New Roman" w:eastAsia="方正仿宋_GBK" w:cs="Times New Roman"/>
          <w:color w:val="auto"/>
          <w:spacing w:val="0"/>
          <w:w w:val="100"/>
          <w:kern w:val="2"/>
          <w:sz w:val="32"/>
          <w:szCs w:val="32"/>
          <w:highlight w:val="none"/>
          <w:lang w:val="en-US" w:eastAsia="zh-CN" w:bidi="ar-SA"/>
        </w:rPr>
      </w:pPr>
    </w:p>
    <w:p w14:paraId="1A31C98E">
      <w:pPr>
        <w:keepNext w:val="0"/>
        <w:keepLines w:val="0"/>
        <w:pageBreakBefore w:val="0"/>
        <w:widowControl w:val="0"/>
        <w:kinsoku/>
        <w:wordWrap w:val="0"/>
        <w:overflowPunct/>
        <w:topLinePunct w:val="0"/>
        <w:autoSpaceDE/>
        <w:autoSpaceDN/>
        <w:bidi w:val="0"/>
        <w:adjustRightInd/>
        <w:snapToGrid/>
        <w:spacing w:line="540" w:lineRule="exact"/>
        <w:ind w:right="-14" w:rightChars="0"/>
        <w:jc w:val="center"/>
        <w:textAlignment w:val="auto"/>
        <w:outlineLvl w:val="9"/>
        <w:rPr>
          <w:rFonts w:hint="default" w:ascii="Times New Roman" w:hAnsi="Times New Roman" w:eastAsia="方正仿宋_GBK" w:cs="Times New Roman"/>
          <w:color w:val="auto"/>
          <w:spacing w:val="0"/>
          <w:w w:val="100"/>
          <w:kern w:val="2"/>
          <w:sz w:val="32"/>
          <w:szCs w:val="32"/>
          <w:highlight w:val="none"/>
          <w:lang w:val="en-US" w:eastAsia="zh-CN" w:bidi="ar-SA"/>
        </w:rPr>
      </w:pPr>
      <w:r>
        <w:rPr>
          <w:rFonts w:hint="eastAsia" w:ascii="Times New Roman" w:hAnsi="Times New Roman" w:eastAsia="方正仿宋_GBK" w:cs="Times New Roman"/>
          <w:color w:val="auto"/>
          <w:spacing w:val="0"/>
          <w:w w:val="100"/>
          <w:kern w:val="2"/>
          <w:sz w:val="32"/>
          <w:szCs w:val="32"/>
          <w:highlight w:val="none"/>
          <w:lang w:val="en-US" w:eastAsia="zh-CN" w:bidi="ar-SA"/>
        </w:rPr>
        <w:t xml:space="preserve">                        </w:t>
      </w:r>
      <w:r>
        <w:rPr>
          <w:rFonts w:hint="default" w:ascii="Times New Roman" w:hAnsi="Times New Roman" w:eastAsia="方正仿宋_GBK" w:cs="Times New Roman"/>
          <w:color w:val="auto"/>
          <w:spacing w:val="0"/>
          <w:w w:val="100"/>
          <w:kern w:val="2"/>
          <w:sz w:val="32"/>
          <w:szCs w:val="32"/>
          <w:highlight w:val="none"/>
          <w:lang w:val="en-US" w:eastAsia="zh-CN" w:bidi="ar-SA"/>
        </w:rPr>
        <w:t>昌吉州发展和改革委员会</w:t>
      </w:r>
    </w:p>
    <w:p w14:paraId="43813662">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hint="default" w:ascii="Times New Roman" w:hAnsi="Times New Roman" w:eastAsia="方正仿宋_GBK" w:cs="Times New Roman"/>
          <w:color w:val="auto"/>
          <w:spacing w:val="0"/>
          <w:w w:val="100"/>
          <w:kern w:val="2"/>
          <w:sz w:val="32"/>
          <w:szCs w:val="32"/>
          <w:highlight w:val="yellow"/>
          <w:lang w:val="en-US" w:eastAsia="zh-CN" w:bidi="ar-SA"/>
        </w:rPr>
      </w:pPr>
      <w:r>
        <w:rPr>
          <w:rFonts w:hint="default" w:ascii="Times New Roman" w:hAnsi="Times New Roman" w:eastAsia="方正仿宋_GBK" w:cs="Times New Roman"/>
          <w:color w:val="auto"/>
          <w:spacing w:val="0"/>
          <w:w w:val="100"/>
          <w:kern w:val="2"/>
          <w:sz w:val="32"/>
          <w:szCs w:val="32"/>
          <w:highlight w:val="none"/>
          <w:lang w:val="en-US" w:eastAsia="zh-CN" w:bidi="ar-SA"/>
        </w:rPr>
        <w:t xml:space="preserve">                                 202</w:t>
      </w:r>
      <w:r>
        <w:rPr>
          <w:rFonts w:hint="eastAsia" w:ascii="Times New Roman" w:hAnsi="Times New Roman" w:eastAsia="方正仿宋_GBK" w:cs="Times New Roman"/>
          <w:color w:val="auto"/>
          <w:spacing w:val="0"/>
          <w:w w:val="100"/>
          <w:kern w:val="2"/>
          <w:sz w:val="32"/>
          <w:szCs w:val="32"/>
          <w:highlight w:val="none"/>
          <w:lang w:val="en-US" w:eastAsia="zh-CN" w:bidi="ar-SA"/>
        </w:rPr>
        <w:t>5</w:t>
      </w:r>
      <w:r>
        <w:rPr>
          <w:rFonts w:hint="default" w:ascii="Times New Roman" w:hAnsi="Times New Roman" w:eastAsia="方正仿宋_GBK" w:cs="Times New Roman"/>
          <w:color w:val="auto"/>
          <w:spacing w:val="0"/>
          <w:w w:val="100"/>
          <w:kern w:val="2"/>
          <w:sz w:val="32"/>
          <w:szCs w:val="32"/>
          <w:highlight w:val="none"/>
          <w:lang w:val="en-US" w:eastAsia="zh-CN" w:bidi="ar-SA"/>
        </w:rPr>
        <w:t>年</w:t>
      </w:r>
      <w:r>
        <w:rPr>
          <w:rFonts w:hint="eastAsia" w:ascii="Times New Roman" w:hAnsi="Times New Roman" w:eastAsia="方正仿宋_GBK" w:cs="Times New Roman"/>
          <w:color w:val="auto"/>
          <w:spacing w:val="0"/>
          <w:w w:val="100"/>
          <w:kern w:val="2"/>
          <w:sz w:val="32"/>
          <w:szCs w:val="32"/>
          <w:highlight w:val="none"/>
          <w:lang w:val="en-US" w:eastAsia="zh-CN" w:bidi="ar-SA"/>
        </w:rPr>
        <w:t>4</w:t>
      </w:r>
      <w:r>
        <w:rPr>
          <w:rFonts w:hint="default" w:ascii="Times New Roman" w:hAnsi="Times New Roman" w:eastAsia="方正仿宋_GBK" w:cs="Times New Roman"/>
          <w:color w:val="auto"/>
          <w:spacing w:val="0"/>
          <w:w w:val="100"/>
          <w:kern w:val="2"/>
          <w:sz w:val="32"/>
          <w:szCs w:val="32"/>
          <w:highlight w:val="none"/>
          <w:lang w:val="en-US" w:eastAsia="zh-CN" w:bidi="ar-SA"/>
        </w:rPr>
        <w:t>月</w:t>
      </w:r>
      <w:r>
        <w:rPr>
          <w:rFonts w:hint="eastAsia" w:ascii="Times New Roman" w:hAnsi="Times New Roman" w:eastAsia="方正仿宋_GBK" w:cs="Times New Roman"/>
          <w:color w:val="auto"/>
          <w:spacing w:val="0"/>
          <w:w w:val="100"/>
          <w:kern w:val="2"/>
          <w:sz w:val="32"/>
          <w:szCs w:val="32"/>
          <w:highlight w:val="none"/>
          <w:lang w:val="en-US" w:eastAsia="zh-CN" w:bidi="ar-SA"/>
        </w:rPr>
        <w:t>24</w:t>
      </w:r>
      <w:r>
        <w:rPr>
          <w:rFonts w:hint="default" w:ascii="Times New Roman" w:hAnsi="Times New Roman" w:eastAsia="方正仿宋_GBK" w:cs="Times New Roman"/>
          <w:color w:val="auto"/>
          <w:spacing w:val="0"/>
          <w:w w:val="100"/>
          <w:kern w:val="2"/>
          <w:sz w:val="32"/>
          <w:szCs w:val="32"/>
          <w:highlight w:val="none"/>
          <w:lang w:val="en-US" w:eastAsia="zh-CN" w:bidi="ar-SA"/>
        </w:rPr>
        <w:t xml:space="preserve">日 </w:t>
      </w:r>
    </w:p>
    <w:p w14:paraId="098635DB">
      <w:pPr>
        <w:keepNext w:val="0"/>
        <w:keepLines w:val="0"/>
        <w:pageBreakBefore w:val="0"/>
        <w:widowControl w:val="0"/>
        <w:kinsoku/>
        <w:overflowPunct/>
        <w:topLinePunct w:val="0"/>
        <w:autoSpaceDE/>
        <w:autoSpaceDN/>
        <w:bidi w:val="0"/>
        <w:snapToGrid/>
        <w:spacing w:line="560" w:lineRule="exact"/>
        <w:textAlignment w:val="auto"/>
      </w:pPr>
    </w:p>
    <w:p w14:paraId="1DC972C9">
      <w:pPr>
        <w:pStyle w:val="8"/>
        <w:ind w:left="0" w:leftChars="0" w:firstLine="0" w:firstLineChars="0"/>
      </w:pPr>
      <w:bookmarkStart w:id="17" w:name="_GoBack"/>
      <w:bookmarkEnd w:id="17"/>
    </w:p>
    <w:p w14:paraId="4D31F18D">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w w:val="100"/>
          <w:kern w:val="2"/>
          <w:sz w:val="32"/>
          <w:szCs w:val="20"/>
          <w:highlight w:val="none"/>
          <w:lang w:val="en-US" w:eastAsia="zh-CN" w:bidi="ar-SA"/>
        </w:rPr>
      </w:pPr>
      <w:r>
        <w:rPr>
          <w:w w:val="100"/>
          <w:sz w:val="28"/>
          <w:szCs w:val="28"/>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600700" cy="0"/>
                <wp:effectExtent l="0" t="9525" r="4445" b="1524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0288;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M4&#10;SvnPAAAAAgEAAA8AAAAAAAAAAQAgAAAAIgAAAGRycy9kb3ducmV2LnhtbFBLAQIUABQAAAAIAIdO&#10;4kDfhMEW8wEAAOUDAAAOAAAAAAAAAAEAIAAAAB4BAABkcnMvZTJvRG9jLnhtbFBLBQYAAAAABgAG&#10;AFkBAACDBQAAAAA=&#10;">
                <v:fill on="f" focussize="0,0"/>
                <v:stroke weight="1.5pt" color="#000000" joinstyle="round"/>
                <v:imagedata o:title=""/>
                <o:lock v:ext="edit" aspectratio="f"/>
              </v:line>
            </w:pict>
          </mc:Fallback>
        </mc:AlternateContent>
      </w:r>
      <w:r>
        <w:rPr>
          <w:rFonts w:hint="eastAsia"/>
          <w:w w:val="100"/>
          <w:sz w:val="28"/>
          <w:szCs w:val="28"/>
        </w:rPr>
        <w:t xml:space="preserve"> </w:t>
      </w:r>
      <w:r>
        <w:rPr>
          <w:rFonts w:hint="default" w:ascii="Times New Roman" w:hAnsi="Times New Roman" w:eastAsia="方正仿宋_GBK" w:cs="Times New Roman"/>
          <w:color w:val="auto"/>
          <w:w w:val="100"/>
          <w:kern w:val="2"/>
          <w:sz w:val="32"/>
          <w:szCs w:val="20"/>
          <w:highlight w:val="none"/>
          <w:lang w:val="en-US" w:eastAsia="zh-CN" w:bidi="ar-SA"/>
        </w:rPr>
        <w:t xml:space="preserve"> 抄送：</w:t>
      </w:r>
      <w:r>
        <w:rPr>
          <w:rFonts w:hint="eastAsia" w:ascii="Times New Roman" w:hAnsi="Times New Roman" w:eastAsia="方正仿宋_GBK" w:cs="Times New Roman"/>
          <w:color w:val="auto"/>
          <w:w w:val="100"/>
          <w:kern w:val="2"/>
          <w:sz w:val="32"/>
          <w:szCs w:val="20"/>
          <w:highlight w:val="none"/>
          <w:lang w:val="en-US" w:eastAsia="zh-CN" w:bidi="ar-SA"/>
        </w:rPr>
        <w:t>州文旅局，</w:t>
      </w:r>
      <w:r>
        <w:rPr>
          <w:rFonts w:hint="default" w:ascii="Times New Roman" w:hAnsi="Times New Roman" w:eastAsia="方正仿宋_GBK" w:cs="Times New Roman"/>
          <w:color w:val="auto"/>
          <w:w w:val="100"/>
          <w:kern w:val="2"/>
          <w:sz w:val="32"/>
          <w:szCs w:val="20"/>
          <w:highlight w:val="none"/>
          <w:lang w:val="en-US" w:eastAsia="zh-CN" w:bidi="ar-SA"/>
        </w:rPr>
        <w:t>委领导，存档。</w:t>
      </w:r>
    </w:p>
    <w:p w14:paraId="54FB6EC9">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highlight w:val="none"/>
        </w:rPr>
      </w:pPr>
      <w:r>
        <w:rPr>
          <w:rFonts w:hint="default" w:ascii="Times New Roman" w:hAnsi="Times New Roman" w:eastAsia="方正仿宋_GBK"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4445" r="4445" b="762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U2NT+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方正仿宋_GBK"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396240</wp:posOffset>
                </wp:positionV>
                <wp:extent cx="5600700" cy="0"/>
                <wp:effectExtent l="0" t="9525" r="4445" b="1524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fWzv9IAAAAGAQAADwAAAAAAAAABACAAAAAiAAAAZHJzL2Rvd25yZXYueG1sUEsBAhQAFAAA&#10;AAgAh07iQO0Ne8P1AQAA5QMAAA4AAAAAAAAAAQAgAAAAI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color w:val="auto"/>
          <w:w w:val="100"/>
          <w:kern w:val="2"/>
          <w:sz w:val="32"/>
          <w:szCs w:val="20"/>
          <w:highlight w:val="none"/>
          <w:lang w:val="en-US" w:eastAsia="zh-CN" w:bidi="ar-SA"/>
        </w:rPr>
        <w:t xml:space="preserve">  昌吉州发展和改革委员会  </w:t>
      </w:r>
      <w:r>
        <w:rPr>
          <w:rFonts w:hint="default" w:ascii="Times New Roman" w:hAnsi="Times New Roman" w:eastAsia="方正仿宋_GBK" w:cs="Times New Roman"/>
          <w:w w:val="100"/>
          <w:sz w:val="28"/>
          <w:szCs w:val="28"/>
        </w:rPr>
        <w:t xml:space="preserve">     </w:t>
      </w:r>
      <w:r>
        <w:rPr>
          <w:rFonts w:hint="default" w:ascii="Times New Roman" w:hAnsi="Times New Roman" w:eastAsia="方正仿宋_GBK" w:cs="Times New Roman"/>
          <w:w w:val="100"/>
          <w:sz w:val="28"/>
          <w:szCs w:val="28"/>
          <w:lang w:val="en-US" w:eastAsia="zh-CN"/>
        </w:rPr>
        <w:t xml:space="preserve">    </w:t>
      </w:r>
      <w:r>
        <w:rPr>
          <w:rFonts w:hint="default" w:ascii="Times New Roman" w:hAnsi="Times New Roman" w:eastAsia="方正仿宋_GBK" w:cs="Times New Roman"/>
          <w:color w:val="auto"/>
          <w:w w:val="100"/>
          <w:kern w:val="2"/>
          <w:sz w:val="32"/>
          <w:szCs w:val="20"/>
          <w:highlight w:val="none"/>
          <w:lang w:val="en-US" w:eastAsia="zh-CN" w:bidi="ar-SA"/>
        </w:rPr>
        <w:t xml:space="preserve"> 202</w:t>
      </w:r>
      <w:r>
        <w:rPr>
          <w:rFonts w:hint="eastAsia" w:ascii="Times New Roman" w:hAnsi="Times New Roman" w:eastAsia="方正仿宋_GBK" w:cs="Times New Roman"/>
          <w:color w:val="auto"/>
          <w:w w:val="100"/>
          <w:kern w:val="2"/>
          <w:sz w:val="32"/>
          <w:szCs w:val="20"/>
          <w:highlight w:val="none"/>
          <w:lang w:val="en-US" w:eastAsia="zh-CN" w:bidi="ar-SA"/>
        </w:rPr>
        <w:t>5</w:t>
      </w:r>
      <w:r>
        <w:rPr>
          <w:rFonts w:hint="default" w:ascii="Times New Roman" w:hAnsi="Times New Roman" w:eastAsia="方正仿宋_GBK" w:cs="Times New Roman"/>
          <w:color w:val="auto"/>
          <w:w w:val="100"/>
          <w:kern w:val="2"/>
          <w:sz w:val="32"/>
          <w:szCs w:val="20"/>
          <w:highlight w:val="none"/>
          <w:lang w:val="en-US" w:eastAsia="zh-CN" w:bidi="ar-SA"/>
        </w:rPr>
        <w:t>年</w:t>
      </w:r>
      <w:r>
        <w:rPr>
          <w:rFonts w:hint="eastAsia" w:ascii="Times New Roman" w:hAnsi="Times New Roman" w:eastAsia="方正仿宋_GBK" w:cs="Times New Roman"/>
          <w:color w:val="auto"/>
          <w:w w:val="100"/>
          <w:kern w:val="2"/>
          <w:sz w:val="32"/>
          <w:szCs w:val="20"/>
          <w:highlight w:val="none"/>
          <w:lang w:val="en-US" w:eastAsia="zh-CN" w:bidi="ar-SA"/>
        </w:rPr>
        <w:t>4</w:t>
      </w:r>
      <w:r>
        <w:rPr>
          <w:rFonts w:hint="default" w:ascii="Times New Roman" w:hAnsi="Times New Roman" w:eastAsia="方正仿宋_GBK" w:cs="Times New Roman"/>
          <w:color w:val="auto"/>
          <w:w w:val="100"/>
          <w:kern w:val="2"/>
          <w:sz w:val="32"/>
          <w:szCs w:val="20"/>
          <w:highlight w:val="none"/>
          <w:lang w:val="en-US" w:eastAsia="zh-CN" w:bidi="ar-SA"/>
        </w:rPr>
        <w:t>月</w:t>
      </w:r>
      <w:r>
        <w:rPr>
          <w:rFonts w:hint="eastAsia" w:ascii="Times New Roman" w:hAnsi="Times New Roman" w:eastAsia="方正仿宋_GBK" w:cs="Times New Roman"/>
          <w:color w:val="auto"/>
          <w:w w:val="100"/>
          <w:kern w:val="2"/>
          <w:sz w:val="32"/>
          <w:szCs w:val="20"/>
          <w:highlight w:val="none"/>
          <w:lang w:val="en-US" w:eastAsia="zh-CN" w:bidi="ar-SA"/>
        </w:rPr>
        <w:t>24</w:t>
      </w:r>
      <w:r>
        <w:rPr>
          <w:rFonts w:hint="default" w:ascii="Times New Roman" w:hAnsi="Times New Roman" w:eastAsia="方正仿宋_GBK" w:cs="Times New Roman"/>
          <w:color w:val="auto"/>
          <w:w w:val="100"/>
          <w:kern w:val="2"/>
          <w:sz w:val="32"/>
          <w:szCs w:val="20"/>
          <w:highlight w:val="none"/>
          <w:lang w:val="en-US" w:eastAsia="zh-CN" w:bidi="ar-SA"/>
        </w:rPr>
        <w:t>日印制</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418" w:left="1588" w:header="851" w:footer="992" w:gutter="0"/>
      <w:pgBorders>
        <w:top w:val="none" w:sz="0" w:space="0"/>
        <w:left w:val="none" w:sz="0" w:space="0"/>
        <w:bottom w:val="none" w:sz="0" w:space="0"/>
        <w:right w:val="none" w:sz="0" w:space="0"/>
      </w:pgBorders>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A82754-C804-4A3C-87DB-866EC576BD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29AA843-8E74-41F5-BE9D-D57518FC9A69}"/>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3" w:fontKey="{022B3139-EB4F-4533-BEC0-D10525FD107E}"/>
  </w:font>
  <w:font w:name="方正小标宋简体">
    <w:panose1 w:val="03000509000000000000"/>
    <w:charset w:val="86"/>
    <w:family w:val="auto"/>
    <w:pitch w:val="default"/>
    <w:sig w:usb0="00000001" w:usb1="080E0000" w:usb2="00000000" w:usb3="00000000" w:csb0="00040000" w:csb1="00000000"/>
    <w:embedRegular r:id="rId4" w:fontKey="{6EACCC48-50DE-48E9-A550-F36C36268977}"/>
  </w:font>
  <w:font w:name="方正仿宋_GBK">
    <w:panose1 w:val="02000000000000000000"/>
    <w:charset w:val="86"/>
    <w:family w:val="auto"/>
    <w:pitch w:val="default"/>
    <w:sig w:usb0="A00002BF" w:usb1="38CF7CFA" w:usb2="00082016" w:usb3="00000000" w:csb0="00040001" w:csb1="00000000"/>
    <w:embedRegular r:id="rId5" w:fontKey="{466F0A8B-2859-4A01-8FF9-662FE17E9C1F}"/>
  </w:font>
  <w:font w:name="方正楷体_GB2312">
    <w:panose1 w:val="02000000000000000000"/>
    <w:charset w:val="86"/>
    <w:family w:val="auto"/>
    <w:pitch w:val="default"/>
    <w:sig w:usb0="A00002BF" w:usb1="184F6CFA" w:usb2="00000012" w:usb3="00000000" w:csb0="00040001" w:csb1="00000000"/>
    <w:embedRegular r:id="rId6" w:fontKey="{3D9254ED-2232-4181-B169-19E1200EDA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F819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79823">
                          <w:pPr>
                            <w:pStyle w:val="5"/>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479823">
                    <w:pPr>
                      <w:pStyle w:val="5"/>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450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5B9E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E1987">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0470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25252">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5MmYzNDJmNTQyOWQ3NjJjOTM3ZDdiYzA0ZmFiNzgifQ=="/>
    <w:docVar w:name="KSO_WPS_MARK_KEY" w:val="d711112f-723f-4aa7-9e5c-2fa0952234c7"/>
  </w:docVars>
  <w:rsids>
    <w:rsidRoot w:val="56154F7C"/>
    <w:rsid w:val="02803E12"/>
    <w:rsid w:val="02B5694C"/>
    <w:rsid w:val="0539325B"/>
    <w:rsid w:val="060E2182"/>
    <w:rsid w:val="06FD10AC"/>
    <w:rsid w:val="0B0A5387"/>
    <w:rsid w:val="0E3C7871"/>
    <w:rsid w:val="0ED272EC"/>
    <w:rsid w:val="0F2C69E9"/>
    <w:rsid w:val="0FB252BC"/>
    <w:rsid w:val="10B2354A"/>
    <w:rsid w:val="16942A72"/>
    <w:rsid w:val="16D944BB"/>
    <w:rsid w:val="17A80B0E"/>
    <w:rsid w:val="17DC0AD8"/>
    <w:rsid w:val="18802123"/>
    <w:rsid w:val="18D75D47"/>
    <w:rsid w:val="19B80220"/>
    <w:rsid w:val="1A4407CD"/>
    <w:rsid w:val="1D86563F"/>
    <w:rsid w:val="1E004AF3"/>
    <w:rsid w:val="1ECD3D4C"/>
    <w:rsid w:val="1F2477F4"/>
    <w:rsid w:val="20C47991"/>
    <w:rsid w:val="227E2C59"/>
    <w:rsid w:val="22F21B33"/>
    <w:rsid w:val="23720241"/>
    <w:rsid w:val="249E2DCB"/>
    <w:rsid w:val="25C665E0"/>
    <w:rsid w:val="28C36E49"/>
    <w:rsid w:val="28DE0127"/>
    <w:rsid w:val="291E4205"/>
    <w:rsid w:val="2C5F724D"/>
    <w:rsid w:val="2CF9552F"/>
    <w:rsid w:val="2CFE48F4"/>
    <w:rsid w:val="2E1A575D"/>
    <w:rsid w:val="300316CB"/>
    <w:rsid w:val="30B91AF4"/>
    <w:rsid w:val="33B91677"/>
    <w:rsid w:val="356340F2"/>
    <w:rsid w:val="3B2A5F9C"/>
    <w:rsid w:val="3F6A0B64"/>
    <w:rsid w:val="415F3898"/>
    <w:rsid w:val="43E97FDC"/>
    <w:rsid w:val="44224F14"/>
    <w:rsid w:val="447C01BE"/>
    <w:rsid w:val="452B561B"/>
    <w:rsid w:val="4583719D"/>
    <w:rsid w:val="47F40975"/>
    <w:rsid w:val="4AD5101F"/>
    <w:rsid w:val="4C246AFE"/>
    <w:rsid w:val="4C4874E2"/>
    <w:rsid w:val="4F251D5C"/>
    <w:rsid w:val="4F6A776F"/>
    <w:rsid w:val="56154F7C"/>
    <w:rsid w:val="56B61FDB"/>
    <w:rsid w:val="571D56BF"/>
    <w:rsid w:val="58D450AC"/>
    <w:rsid w:val="58DE398B"/>
    <w:rsid w:val="5E4312CD"/>
    <w:rsid w:val="5EBB50B3"/>
    <w:rsid w:val="5F877286"/>
    <w:rsid w:val="69493650"/>
    <w:rsid w:val="698B3729"/>
    <w:rsid w:val="6EC459BB"/>
    <w:rsid w:val="702F4C5E"/>
    <w:rsid w:val="71152675"/>
    <w:rsid w:val="73C123F6"/>
    <w:rsid w:val="74BC73C6"/>
    <w:rsid w:val="75C42F52"/>
    <w:rsid w:val="77603CC2"/>
    <w:rsid w:val="78437137"/>
    <w:rsid w:val="79865022"/>
    <w:rsid w:val="7A74131E"/>
    <w:rsid w:val="7B11367A"/>
    <w:rsid w:val="7D434B37"/>
    <w:rsid w:val="7E89176E"/>
    <w:rsid w:val="7EC1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eastAsia="仿宋_GB2312"/>
      <w:sz w:val="32"/>
    </w:rPr>
  </w:style>
  <w:style w:type="paragraph" w:styleId="4">
    <w:name w:val="Body Text Indent"/>
    <w:basedOn w:val="1"/>
    <w:next w:val="1"/>
    <w:qFormat/>
    <w:uiPriority w:val="0"/>
    <w:pPr>
      <w:spacing w:line="580" w:lineRule="exact"/>
      <w:ind w:firstLine="645"/>
    </w:pPr>
    <w:rPr>
      <w:rFonts w:ascii="仿宋_GB2312" w:hAnsi="Times New Roman" w:eastAsia="仿宋_GB2312" w:cs="Times New Roman"/>
      <w:kern w:val="0"/>
      <w:sz w:val="32"/>
      <w:szCs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0"/>
    <w:pPr>
      <w:spacing w:before="660" w:beforeLines="0" w:after="400" w:afterLines="0" w:line="540" w:lineRule="atLeast"/>
      <w:ind w:right="2160"/>
    </w:pPr>
    <w:rPr>
      <w:rFonts w:ascii="Times New Roman" w:hAnsi="Times New Roman"/>
      <w:spacing w:val="-40"/>
      <w:sz w:val="60"/>
    </w:rPr>
  </w:style>
  <w:style w:type="paragraph" w:styleId="8">
    <w:name w:val="Body Text First Indent"/>
    <w:basedOn w:val="3"/>
    <w:qFormat/>
    <w:uiPriority w:val="0"/>
    <w:pPr>
      <w:ind w:firstLine="420" w:firstLineChars="100"/>
    </w:pPr>
  </w:style>
  <w:style w:type="paragraph" w:styleId="9">
    <w:name w:val="Body Text First Indent 2"/>
    <w:basedOn w:val="4"/>
    <w:next w:val="1"/>
    <w:qFormat/>
    <w:uiPriority w:val="0"/>
    <w:pPr>
      <w:ind w:firstLine="420" w:firstLineChars="200"/>
    </w:pPr>
  </w:style>
  <w:style w:type="paragraph" w:customStyle="1" w:styleId="12">
    <w:name w:val="List Paragraph"/>
    <w:basedOn w:val="1"/>
    <w:qFormat/>
    <w:uiPriority w:val="0"/>
    <w:pPr>
      <w:ind w:firstLine="420" w:firstLineChars="200"/>
    </w:pPr>
    <w:rPr>
      <w:szCs w:val="22"/>
    </w:rPr>
  </w:style>
  <w:style w:type="character" w:customStyle="1" w:styleId="13">
    <w:name w:val="font91"/>
    <w:basedOn w:val="11"/>
    <w:qFormat/>
    <w:uiPriority w:val="0"/>
    <w:rPr>
      <w:rFonts w:ascii="宋体" w:hAnsi="宋体" w:eastAsia="宋体" w:cs="宋体"/>
      <w:color w:val="000000"/>
      <w:sz w:val="18"/>
      <w:szCs w:val="18"/>
      <w:u w:val="none"/>
    </w:rPr>
  </w:style>
  <w:style w:type="character" w:customStyle="1" w:styleId="14">
    <w:name w:val="font101"/>
    <w:basedOn w:val="11"/>
    <w:qFormat/>
    <w:uiPriority w:val="0"/>
    <w:rPr>
      <w:rFonts w:ascii="宋体" w:hAnsi="宋体" w:eastAsia="宋体" w:cs="宋体"/>
      <w:color w:val="862800"/>
      <w:sz w:val="18"/>
      <w:szCs w:val="18"/>
      <w:u w:val="none"/>
    </w:rPr>
  </w:style>
  <w:style w:type="character" w:customStyle="1" w:styleId="15">
    <w:name w:val="font112"/>
    <w:basedOn w:val="11"/>
    <w:qFormat/>
    <w:uiPriority w:val="0"/>
    <w:rPr>
      <w:rFonts w:ascii="宋体" w:hAnsi="宋体" w:eastAsia="宋体" w:cs="宋体"/>
      <w:color w:val="820004"/>
      <w:sz w:val="18"/>
      <w:szCs w:val="18"/>
      <w:u w:val="none"/>
    </w:rPr>
  </w:style>
  <w:style w:type="character" w:customStyle="1" w:styleId="16">
    <w:name w:val="font121"/>
    <w:basedOn w:val="11"/>
    <w:qFormat/>
    <w:uiPriority w:val="0"/>
    <w:rPr>
      <w:rFonts w:ascii="宋体" w:hAnsi="宋体" w:eastAsia="宋体" w:cs="宋体"/>
      <w:color w:val="002895"/>
      <w:sz w:val="18"/>
      <w:szCs w:val="18"/>
      <w:u w:val="none"/>
    </w:rPr>
  </w:style>
  <w:style w:type="character" w:customStyle="1" w:styleId="17">
    <w:name w:val="font131"/>
    <w:basedOn w:val="11"/>
    <w:qFormat/>
    <w:uiPriority w:val="0"/>
    <w:rPr>
      <w:rFonts w:ascii="宋体" w:hAnsi="宋体" w:eastAsia="宋体" w:cs="宋体"/>
      <w:color w:val="807700"/>
      <w:sz w:val="18"/>
      <w:szCs w:val="18"/>
      <w:u w:val="none"/>
    </w:rPr>
  </w:style>
  <w:style w:type="character" w:customStyle="1" w:styleId="18">
    <w:name w:val="font11"/>
    <w:basedOn w:val="11"/>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3177</Words>
  <Characters>3886</Characters>
  <Lines>0</Lines>
  <Paragraphs>0</Paragraphs>
  <TotalTime>87</TotalTime>
  <ScaleCrop>false</ScaleCrop>
  <LinksUpToDate>false</LinksUpToDate>
  <CharactersWithSpaces>4091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2021-07-06T02:57:00Z</dcterms:created>
  <dc:creator>Administrator</dc:creator>
  <cp:lastModifiedBy>张子鸣</cp:lastModifiedBy>
  <cp:lastPrinted>2025-04-24T12:00:19Z</cp:lastPrinted>
  <dcterms:modified xsi:type="dcterms:W3CDTF">2025-04-24T12:02:51Z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9C5798B058E345638158D5905322CE08_13</vt:lpwstr>
  </property>
  <property fmtid="{D5CDD505-2E9C-101B-9397-08002B2CF9AE}" pid="4" name="KSOTemplateDocerSaveRecord">
    <vt:lpwstr>eyJoZGlkIjoiOGJkNjZlNGU0Yzk4Zjc0NGE4ZjRlZjRkN2IwYTA0ZDkiLCJ1c2VySWQiOiI5MzcxNDU1MDUifQ==</vt:lpwstr>
  </property>
</Properties>
</file>