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A9D3D">
      <w:pPr>
        <w:pStyle w:val="2"/>
        <w:keepNext w:val="0"/>
        <w:keepLines w:val="0"/>
        <w:widowControl/>
        <w:suppressLineNumbers w:val="0"/>
        <w:snapToGrid w:val="0"/>
        <w:spacing w:before="0" w:beforeAutospacing="0" w:after="0" w:afterAutospacing="0" w:line="510" w:lineRule="atLeast"/>
        <w:ind w:left="0" w:right="0"/>
        <w:jc w:val="left"/>
        <w:rPr>
          <w:rFonts w:ascii="Calibri" w:hAnsi="Calibri" w:cs="Calibri"/>
          <w:color w:val="333333"/>
          <w:sz w:val="21"/>
          <w:szCs w:val="21"/>
        </w:rPr>
      </w:pPr>
      <w:bookmarkStart w:id="0" w:name="_GoBack"/>
      <w:bookmarkEnd w:id="0"/>
      <w:r>
        <w:rPr>
          <w:rFonts w:hint="default" w:ascii="Calibri" w:hAnsi="Calibri" w:eastAsia="å®‹ä½“" w:cs="Calibri"/>
          <w:color w:val="333333"/>
          <w:sz w:val="21"/>
          <w:szCs w:val="21"/>
        </w:rPr>
        <w:t> </w:t>
      </w:r>
      <w:r>
        <w:rPr>
          <w:rFonts w:hint="eastAsia" w:ascii="宋体" w:hAnsi="宋体" w:eastAsia="宋体" w:cs="宋体"/>
          <w:b/>
          <w:color w:val="333333"/>
          <w:sz w:val="28"/>
          <w:szCs w:val="28"/>
        </w:rPr>
        <w:t>附件：</w:t>
      </w:r>
    </w:p>
    <w:tbl>
      <w:tblPr>
        <w:tblStyle w:val="3"/>
        <w:tblpPr w:leftFromText="180" w:rightFromText="180" w:vertAnchor="text" w:horzAnchor="page" w:tblpX="1361" w:tblpY="978"/>
        <w:tblOverlap w:val="never"/>
        <w:tblW w:w="142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3"/>
        <w:gridCol w:w="2450"/>
        <w:gridCol w:w="2101"/>
        <w:gridCol w:w="2937"/>
        <w:gridCol w:w="4438"/>
        <w:gridCol w:w="1193"/>
      </w:tblGrid>
      <w:tr w14:paraId="118E6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1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D706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333333"/>
                <w:sz w:val="32"/>
                <w:szCs w:val="32"/>
              </w:rPr>
              <w:t>序 号</w:t>
            </w:r>
          </w:p>
        </w:tc>
        <w:tc>
          <w:tcPr>
            <w:tcW w:w="2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CE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333333"/>
                <w:sz w:val="32"/>
                <w:szCs w:val="32"/>
              </w:rPr>
              <w:t>反 馈 问 题</w:t>
            </w:r>
          </w:p>
        </w:tc>
        <w:tc>
          <w:tcPr>
            <w:tcW w:w="21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FED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333333"/>
                <w:sz w:val="32"/>
                <w:szCs w:val="32"/>
              </w:rPr>
              <w:t>整 改 目 标</w:t>
            </w:r>
          </w:p>
        </w:tc>
        <w:tc>
          <w:tcPr>
            <w:tcW w:w="2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A0B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333333"/>
                <w:sz w:val="32"/>
                <w:szCs w:val="32"/>
              </w:rPr>
              <w:t>整 改 措 施</w:t>
            </w:r>
          </w:p>
        </w:tc>
        <w:tc>
          <w:tcPr>
            <w:tcW w:w="4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1D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ascii="黑体" w:hAnsi="宋体" w:eastAsia="黑体" w:cs="黑体"/>
                <w:color w:val="333333"/>
                <w:sz w:val="32"/>
                <w:szCs w:val="32"/>
              </w:rPr>
              <w:t>整改完成情况</w:t>
            </w:r>
          </w:p>
        </w:tc>
        <w:tc>
          <w:tcPr>
            <w:tcW w:w="11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6F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333333"/>
                <w:sz w:val="32"/>
                <w:szCs w:val="32"/>
              </w:rPr>
              <w:t>效 果</w:t>
            </w:r>
          </w:p>
        </w:tc>
      </w:tr>
      <w:tr w14:paraId="7000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313" w:hRule="atLeast"/>
        </w:trPr>
        <w:tc>
          <w:tcPr>
            <w:tcW w:w="11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D2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24"/>
                <w:szCs w:val="24"/>
              </w:rPr>
              <w:t>43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60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昌吉州阜康市2015年、2016年冬季采暖期大气环境质量持续下降，尤其是2016年，阜康市采暖期PM10平均浓度较2014年上升65%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DD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到2020年，昌吉市PM2.5浓度达到《关于加强乌鲁木齐、昌吉、石河子、五家渠区域环境同防同治的意见》（新政发〔2016〕140号）确定的环境质量目标，重度及以上污染天数较2017年下降15%。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AC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严格制定煤炭消费总量控制方案及消减计划。2017年煤炭消耗量为801.87万吨。2018至2020年，分别消减上年度总量的2%，分别为：2018年为785万吨、2019年为770万吨，到2020年底前煤炭消费总量控制在755万吨以内。</w:t>
            </w:r>
          </w:p>
          <w:p w14:paraId="217154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21"/>
                <w:szCs w:val="21"/>
              </w:rPr>
              <w:t> </w:t>
            </w:r>
          </w:p>
        </w:tc>
        <w:tc>
          <w:tcPr>
            <w:tcW w:w="44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63D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结合我市实际建立了全市用煤企业台账，制定印发了《阜康市2018年煤炭消费总量控制方案及煤炭消减计划》细化工作任务，明确责任主体、整改时限及具体措施。依据各企业用煤情况，制定了2018年全市用煤企业月度煤炭消耗控制作战图，对表、对标、对时，按月落实煤耗情况；涉煤企业实行一企一策管理，相关用煤企业全部按照目标任务要求，制定本公司的煤炭消减计划、煤炭消耗台账和煤炭管控整改方案，并实行煤耗控制挂图作战；专门组织全市能耗业务专项培训2次，按月抓好煤耗监察工作，联合环保局、产业园、对全市14家重点用煤企业通过查看生产现场和查阅企业统计报表、台账等检查方式，逐一核实了重点用煤企业2018年度煤炭消减计划任务完成落实情况。</w:t>
            </w:r>
          </w:p>
          <w:p w14:paraId="69E9F3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  <w:lang w:eastAsia="zh-CN"/>
              </w:rPr>
              <w:t>截至2018年</w:t>
            </w: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12月底，阜康市全年累计消耗煤炭777.48万吨，与去年（801.87万吨）相比减少用煤24.39万吨，完成了年度消减16.07万吨的目标任务。已完成了2018年煤炭消费总量控制在785万吨的整改任务。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E9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已整改</w:t>
            </w:r>
          </w:p>
        </w:tc>
      </w:tr>
    </w:tbl>
    <w:p w14:paraId="6764C047">
      <w:pPr>
        <w:pStyle w:val="2"/>
        <w:keepNext w:val="0"/>
        <w:keepLines w:val="0"/>
        <w:widowControl/>
        <w:suppressLineNumbers w:val="0"/>
        <w:snapToGrid w:val="0"/>
        <w:spacing w:before="0" w:beforeAutospacing="0" w:after="0" w:afterAutospacing="0" w:line="510" w:lineRule="atLeast"/>
        <w:ind w:left="0" w:right="0"/>
        <w:jc w:val="center"/>
        <w:rPr>
          <w:rFonts w:hint="default"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/>
          <w:color w:val="333333"/>
          <w:sz w:val="44"/>
          <w:szCs w:val="44"/>
          <w:lang w:eastAsia="zh-CN"/>
        </w:rPr>
        <w:t>昌吉州</w:t>
      </w: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中央环境保护督察反馈意见整改情况公示表</w:t>
      </w:r>
    </w:p>
    <w:p w14:paraId="56CE3975"/>
    <w:p w14:paraId="4349839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å®‹ä½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10C2E"/>
    <w:rsid w:val="5D110C2E"/>
    <w:rsid w:val="6F46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748</Characters>
  <Lines>0</Lines>
  <Paragraphs>0</Paragraphs>
  <TotalTime>2</TotalTime>
  <ScaleCrop>false</ScaleCrop>
  <LinksUpToDate>false</LinksUpToDate>
  <CharactersWithSpaces>761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2020-04-22T10:13:00Z</dcterms:created>
  <dc:creator>admin</dc:creator>
  <cp:lastModifiedBy>小麦啾</cp:lastModifiedBy>
  <dcterms:modified xsi:type="dcterms:W3CDTF">2026-06-25T03:39:57Z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eyJoZGlkIjoiODM0YzQzMGFjMjUzMGYwODMwZjhmZTEzMTA0N2U0NTciLCJ1c2VySWQiOiIzMjQ5NjUzODcifQ==</vt:lpwstr>
  </property>
  <property fmtid="{D5CDD505-2E9C-101B-9397-08002B2CF9AE}" pid="4" name="ICV">
    <vt:lpwstr>0E279AF314F44980AE3E11FF160A3D23_12</vt:lpwstr>
  </property>
</Properties>
</file>