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16D92">
      <w:pPr>
        <w:bidi w:val="0"/>
        <w:jc w:val="center"/>
        <w:rPr>
          <w:rFonts w:hint="default"/>
          <w:lang w:val="en-US" w:eastAsia="zh-CN"/>
        </w:rPr>
      </w:pPr>
    </w:p>
    <w:p w14:paraId="492D68CB">
      <w:pPr>
        <w:bidi w:val="0"/>
        <w:jc w:val="center"/>
        <w:rPr>
          <w:rFonts w:hint="default"/>
          <w:lang w:val="en-US" w:eastAsia="zh-CN"/>
        </w:rPr>
      </w:pPr>
    </w:p>
    <w:p w14:paraId="13C9D43D">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lang w:val="en-US" w:eastAsia="zh-CN"/>
        </w:rPr>
      </w:pPr>
    </w:p>
    <w:p w14:paraId="083C4C70">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b/>
          <w:bCs/>
          <w:sz w:val="52"/>
          <w:szCs w:val="52"/>
          <w:lang w:eastAsia="zh-CN"/>
        </w:rPr>
      </w:pPr>
      <w:bookmarkStart w:id="0" w:name="_Toc14278"/>
      <w:bookmarkStart w:id="1" w:name="_Toc450"/>
      <w:bookmarkStart w:id="2" w:name="_Toc12598"/>
      <w:bookmarkStart w:id="3" w:name="_Toc6069"/>
      <w:bookmarkStart w:id="4" w:name="_Toc542"/>
      <w:bookmarkStart w:id="5" w:name="_Toc452"/>
      <w:bookmarkStart w:id="6" w:name="_Toc12082"/>
      <w:bookmarkStart w:id="7" w:name="_Toc15560"/>
      <w:bookmarkStart w:id="8" w:name="_Toc16930"/>
      <w:bookmarkStart w:id="9" w:name="_Toc4657"/>
      <w:bookmarkStart w:id="10" w:name="_Toc546"/>
      <w:bookmarkStart w:id="11" w:name="_Toc8361"/>
      <w:bookmarkStart w:id="12" w:name="_Toc1082"/>
      <w:bookmarkStart w:id="13" w:name="_Toc12366"/>
      <w:bookmarkStart w:id="14" w:name="_Toc714"/>
      <w:bookmarkStart w:id="15" w:name="_Toc23610"/>
      <w:bookmarkStart w:id="16" w:name="_Toc2021"/>
      <w:bookmarkStart w:id="17" w:name="_Toc21701"/>
      <w:bookmarkStart w:id="18" w:name="_Toc2081"/>
      <w:bookmarkStart w:id="19" w:name="_Toc27262"/>
      <w:r>
        <w:rPr>
          <w:rFonts w:hint="default" w:ascii="Times New Roman" w:hAnsi="Times New Roman" w:eastAsia="黑体" w:cs="Times New Roman"/>
          <w:b/>
          <w:bCs/>
          <w:sz w:val="52"/>
          <w:szCs w:val="52"/>
          <w:lang w:eastAsia="zh-CN"/>
        </w:rPr>
        <w:t>昌吉回族自治州</w:t>
      </w:r>
      <w:bookmarkEnd w:id="0"/>
      <w:bookmarkEnd w:id="1"/>
      <w:bookmarkEnd w:id="2"/>
      <w:bookmarkEnd w:id="3"/>
      <w:bookmarkEnd w:id="4"/>
      <w:bookmarkEnd w:id="5"/>
      <w:bookmarkEnd w:id="6"/>
      <w:bookmarkEnd w:id="7"/>
      <w:bookmarkEnd w:id="8"/>
      <w:bookmarkEnd w:id="9"/>
      <w:bookmarkEnd w:id="10"/>
      <w:bookmarkEnd w:id="11"/>
      <w:r>
        <w:rPr>
          <w:rFonts w:hint="default" w:ascii="Times New Roman" w:hAnsi="Times New Roman" w:eastAsia="黑体" w:cs="Times New Roman"/>
          <w:b/>
          <w:bCs/>
          <w:sz w:val="52"/>
          <w:szCs w:val="52"/>
          <w:lang w:eastAsia="zh-CN"/>
        </w:rPr>
        <w:t>湿地保护规划</w:t>
      </w:r>
      <w:bookmarkEnd w:id="12"/>
      <w:bookmarkEnd w:id="13"/>
      <w:bookmarkEnd w:id="14"/>
      <w:bookmarkEnd w:id="15"/>
      <w:bookmarkEnd w:id="16"/>
      <w:bookmarkEnd w:id="17"/>
      <w:bookmarkEnd w:id="18"/>
      <w:bookmarkEnd w:id="19"/>
    </w:p>
    <w:p w14:paraId="0A64C171">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b/>
          <w:bCs/>
          <w:sz w:val="52"/>
          <w:szCs w:val="52"/>
          <w:lang w:eastAsia="zh-CN"/>
        </w:rPr>
      </w:pPr>
      <w:r>
        <w:rPr>
          <w:rFonts w:hint="default" w:ascii="Times New Roman" w:hAnsi="Times New Roman" w:eastAsia="黑体" w:cs="Times New Roman"/>
          <w:b/>
          <w:bCs/>
          <w:sz w:val="52"/>
          <w:szCs w:val="52"/>
          <w:lang w:eastAsia="zh-CN"/>
        </w:rPr>
        <w:t>（</w:t>
      </w:r>
      <w:r>
        <w:rPr>
          <w:rFonts w:hint="default" w:ascii="Times New Roman" w:hAnsi="Times New Roman" w:eastAsia="黑体" w:cs="Times New Roman"/>
          <w:b/>
          <w:bCs/>
          <w:sz w:val="52"/>
          <w:szCs w:val="52"/>
          <w:lang w:val="en-US" w:eastAsia="zh-CN"/>
        </w:rPr>
        <w:t>202</w:t>
      </w:r>
      <w:r>
        <w:rPr>
          <w:rFonts w:hint="eastAsia" w:eastAsia="黑体" w:cs="Times New Roman"/>
          <w:b/>
          <w:bCs/>
          <w:sz w:val="52"/>
          <w:szCs w:val="52"/>
          <w:lang w:val="en-US" w:eastAsia="zh-CN"/>
        </w:rPr>
        <w:t>4</w:t>
      </w:r>
      <w:r>
        <w:rPr>
          <w:rFonts w:hint="default" w:ascii="Times New Roman" w:hAnsi="Times New Roman" w:eastAsia="黑体" w:cs="Times New Roman"/>
          <w:b/>
          <w:bCs/>
          <w:sz w:val="52"/>
          <w:szCs w:val="52"/>
          <w:lang w:val="en-US" w:eastAsia="zh-CN"/>
        </w:rPr>
        <w:t>-2030年</w:t>
      </w:r>
      <w:r>
        <w:rPr>
          <w:rFonts w:hint="default" w:ascii="Times New Roman" w:hAnsi="Times New Roman" w:eastAsia="黑体" w:cs="Times New Roman"/>
          <w:b/>
          <w:bCs/>
          <w:sz w:val="52"/>
          <w:szCs w:val="52"/>
          <w:lang w:eastAsia="zh-CN"/>
        </w:rPr>
        <w:t>）</w:t>
      </w:r>
    </w:p>
    <w:p w14:paraId="3D0F4884">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lang w:eastAsia="zh-CN"/>
        </w:rPr>
      </w:pPr>
    </w:p>
    <w:p w14:paraId="170244BF">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lang w:eastAsia="zh-CN"/>
        </w:rPr>
      </w:pPr>
    </w:p>
    <w:p w14:paraId="79F64BBB">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lang w:eastAsia="zh-CN"/>
        </w:rPr>
      </w:pPr>
    </w:p>
    <w:p w14:paraId="1BBB3142">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lang w:eastAsia="zh-CN"/>
        </w:rPr>
      </w:pPr>
    </w:p>
    <w:p w14:paraId="7D7B995C">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4911470F">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3379C89E">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05427693">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52206085">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44D82194">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56A410BA">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1064C2A5">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531C558C">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rPr>
      </w:pPr>
    </w:p>
    <w:p w14:paraId="24435A6E">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b/>
          <w:bCs/>
          <w:sz w:val="32"/>
          <w:szCs w:val="32"/>
          <w:lang w:val="en-US" w:eastAsia="zh-CN"/>
        </w:rPr>
      </w:pPr>
      <w:bookmarkStart w:id="20" w:name="_Toc9236"/>
      <w:bookmarkStart w:id="21" w:name="_Toc16824"/>
      <w:bookmarkStart w:id="22" w:name="_Toc16179"/>
      <w:bookmarkStart w:id="23" w:name="_Toc11936"/>
      <w:bookmarkStart w:id="24" w:name="_Toc2403"/>
      <w:bookmarkStart w:id="25" w:name="_Toc30643"/>
      <w:bookmarkStart w:id="26" w:name="_Toc7477"/>
      <w:bookmarkStart w:id="27" w:name="_Toc3140"/>
      <w:bookmarkStart w:id="28" w:name="_Toc22680"/>
      <w:bookmarkStart w:id="29" w:name="_Toc17392"/>
      <w:bookmarkStart w:id="30" w:name="_Toc4600"/>
      <w:bookmarkStart w:id="31" w:name="_Toc5302"/>
      <w:bookmarkStart w:id="32" w:name="_Toc22943"/>
      <w:bookmarkStart w:id="33" w:name="_Toc28854"/>
      <w:bookmarkStart w:id="34" w:name="_Toc15396"/>
      <w:bookmarkStart w:id="35" w:name="_Toc32626"/>
      <w:bookmarkStart w:id="36" w:name="_Toc5476"/>
      <w:bookmarkStart w:id="37" w:name="_Toc10363"/>
      <w:bookmarkStart w:id="38" w:name="_Toc9952"/>
      <w:bookmarkStart w:id="39" w:name="_Toc2501"/>
      <w:bookmarkStart w:id="40" w:name="_Toc31371"/>
      <w:bookmarkStart w:id="41" w:name="_Toc20030"/>
      <w:bookmarkStart w:id="42" w:name="_Toc26379"/>
      <w:bookmarkStart w:id="43" w:name="_Toc15638"/>
      <w:bookmarkStart w:id="44" w:name="_Toc27040"/>
      <w:bookmarkStart w:id="45" w:name="_Toc30820"/>
      <w:bookmarkStart w:id="46" w:name="_Toc14851"/>
      <w:bookmarkStart w:id="47" w:name="_Toc69"/>
      <w:bookmarkStart w:id="48" w:name="_Toc3112"/>
      <w:bookmarkStart w:id="49" w:name="_Toc7442"/>
      <w:r>
        <w:rPr>
          <w:rFonts w:hint="default" w:ascii="Times New Roman" w:hAnsi="Times New Roman" w:eastAsia="黑体" w:cs="Times New Roman"/>
          <w:b/>
          <w:bCs/>
          <w:sz w:val="32"/>
          <w:szCs w:val="32"/>
          <w:lang w:val="en-US" w:eastAsia="zh-CN"/>
        </w:rPr>
        <w:t>昌吉回族自治州林业和草原局</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55E9F8B">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b/>
          <w:bCs/>
          <w:sz w:val="32"/>
          <w:szCs w:val="32"/>
          <w:lang w:val="en-US" w:eastAsia="zh-CN"/>
        </w:rPr>
        <w:sectPr>
          <w:headerReference r:id="rId5" w:type="default"/>
          <w:footerReference r:id="rId6" w:type="default"/>
          <w:pgSz w:w="11906" w:h="16838"/>
          <w:pgMar w:top="2098" w:right="1531" w:bottom="1984" w:left="1531" w:header="992" w:footer="992" w:gutter="0"/>
          <w:pgBorders>
            <w:top w:val="none" w:sz="0" w:space="0"/>
            <w:left w:val="none" w:sz="0" w:space="0"/>
            <w:bottom w:val="none" w:sz="0" w:space="0"/>
            <w:right w:val="none" w:sz="0" w:space="0"/>
          </w:pgBorders>
          <w:pgNumType w:fmt="upperRoman" w:start="1"/>
          <w:cols w:space="0" w:num="1"/>
          <w:rtlGutter w:val="0"/>
          <w:docGrid w:type="lines" w:linePitch="442" w:charSpace="0"/>
        </w:sectPr>
      </w:pPr>
      <w:r>
        <w:rPr>
          <w:rFonts w:hint="eastAsia" w:eastAsia="黑体" w:cs="Times New Roman"/>
          <w:b/>
          <w:bCs/>
          <w:sz w:val="32"/>
          <w:szCs w:val="32"/>
          <w:lang w:val="en-US" w:eastAsia="zh-CN"/>
        </w:rPr>
        <w:t>二〇二五年六</w:t>
      </w:r>
      <w:r>
        <w:rPr>
          <w:rFonts w:hint="default" w:ascii="Times New Roman" w:hAnsi="Times New Roman" w:eastAsia="黑体" w:cs="Times New Roman"/>
          <w:b/>
          <w:bCs/>
          <w:sz w:val="32"/>
          <w:szCs w:val="32"/>
          <w:lang w:val="en-US" w:eastAsia="zh-CN"/>
        </w:rPr>
        <w:t>月</w:t>
      </w:r>
    </w:p>
    <w:p w14:paraId="168DFBBA">
      <w:pPr>
        <w:pageBreakBefore w:val="0"/>
        <w:widowControl w:val="0"/>
        <w:kinsoku/>
        <w:wordWrap/>
        <w:overflowPunct/>
        <w:topLinePunct w:val="0"/>
        <w:autoSpaceDE/>
        <w:autoSpaceDN/>
        <w:bidi w:val="0"/>
        <w:ind w:firstLine="0" w:firstLineChars="0"/>
        <w:jc w:val="center"/>
        <w:textAlignment w:val="auto"/>
        <w:rPr>
          <w:rFonts w:hint="default" w:ascii="Times New Roman" w:hAnsi="Times New Roman" w:eastAsia="黑体" w:cs="Times New Roman"/>
          <w:b/>
          <w:bCs/>
          <w:sz w:val="32"/>
          <w:szCs w:val="32"/>
          <w:lang w:val="en-US" w:eastAsia="zh-CN"/>
        </w:rPr>
        <w:sectPr>
          <w:pgSz w:w="11906" w:h="16838"/>
          <w:pgMar w:top="2098" w:right="1531" w:bottom="1984" w:left="1531" w:header="992" w:footer="992" w:gutter="0"/>
          <w:pgBorders>
            <w:top w:val="none" w:sz="0" w:space="0"/>
            <w:left w:val="none" w:sz="0" w:space="0"/>
            <w:bottom w:val="none" w:sz="0" w:space="0"/>
            <w:right w:val="none" w:sz="0" w:space="0"/>
          </w:pgBorders>
          <w:pgNumType w:fmt="upperRoman" w:start="1"/>
          <w:cols w:space="0" w:num="1"/>
          <w:rtlGutter w:val="0"/>
          <w:docGrid w:type="lines" w:linePitch="442" w:charSpace="0"/>
        </w:sectPr>
      </w:pPr>
    </w:p>
    <w:sdt>
      <w:sdtPr>
        <w:rPr>
          <w:rFonts w:ascii="宋体" w:hAnsi="宋体" w:eastAsia="宋体" w:cs="Times New Roman"/>
          <w:sz w:val="21"/>
          <w:szCs w:val="32"/>
          <w:lang w:val="en-US" w:eastAsia="zh-CN" w:bidi="ar-SA"/>
        </w:rPr>
        <w:id w:val="147469437"/>
        <w15:color w:val="DBDBDB"/>
        <w:docPartObj>
          <w:docPartGallery w:val="Table of Contents"/>
          <w:docPartUnique/>
        </w:docPartObj>
      </w:sdtPr>
      <w:sdtEndPr>
        <w:rPr>
          <w:rFonts w:ascii="宋体" w:hAnsi="宋体" w:eastAsia="宋体" w:cs="Times New Roman"/>
          <w:b/>
          <w:sz w:val="21"/>
          <w:szCs w:val="32"/>
          <w:lang w:val="en-US" w:eastAsia="zh-CN" w:bidi="ar-SA"/>
        </w:rPr>
      </w:sdtEndPr>
      <w:sdtContent>
        <w:p w14:paraId="6331EE15">
          <w:pPr>
            <w:spacing w:before="0" w:beforeLines="0" w:after="0" w:afterLines="0" w:line="240" w:lineRule="auto"/>
            <w:ind w:left="0" w:leftChars="0" w:right="0" w:rightChars="0" w:firstLine="0" w:firstLineChars="0"/>
            <w:jc w:val="center"/>
            <w:rPr>
              <w:rFonts w:hint="eastAsia" w:ascii="黑体" w:hAnsi="黑体" w:eastAsia="黑体" w:cs="黑体"/>
              <w:b/>
              <w:bCs/>
              <w:sz w:val="36"/>
              <w:szCs w:val="36"/>
            </w:rPr>
          </w:pPr>
          <w:bookmarkStart w:id="50" w:name="OLE_LINK35"/>
          <w:r>
            <w:rPr>
              <w:rFonts w:hint="eastAsia" w:ascii="黑体" w:hAnsi="黑体" w:eastAsia="黑体" w:cs="黑体"/>
              <w:b/>
              <w:bCs/>
              <w:sz w:val="36"/>
              <w:szCs w:val="36"/>
            </w:rPr>
            <w:t>目</w:t>
          </w:r>
          <w:r>
            <w:rPr>
              <w:rFonts w:hint="eastAsia" w:ascii="黑体" w:hAnsi="黑体" w:eastAsia="黑体" w:cs="黑体"/>
              <w:b/>
              <w:bCs/>
              <w:sz w:val="36"/>
              <w:szCs w:val="36"/>
              <w:lang w:val="en-US" w:eastAsia="zh-CN"/>
            </w:rPr>
            <w:t xml:space="preserve">  </w:t>
          </w:r>
          <w:r>
            <w:rPr>
              <w:rFonts w:hint="eastAsia" w:ascii="黑体" w:hAnsi="黑体" w:eastAsia="黑体" w:cs="黑体"/>
              <w:b/>
              <w:bCs/>
              <w:sz w:val="36"/>
              <w:szCs w:val="36"/>
            </w:rPr>
            <w:t>录</w:t>
          </w:r>
          <w:bookmarkEnd w:id="50"/>
        </w:p>
        <w:p w14:paraId="327FB055">
          <w:pPr>
            <w:spacing w:before="0" w:beforeLines="0" w:after="0" w:afterLines="0" w:line="240" w:lineRule="auto"/>
            <w:ind w:left="0" w:leftChars="0" w:right="0" w:rightChars="0" w:firstLine="0" w:firstLineChars="0"/>
            <w:jc w:val="center"/>
            <w:rPr>
              <w:rFonts w:hint="eastAsia" w:ascii="黑体" w:hAnsi="黑体" w:eastAsia="黑体" w:cs="黑体"/>
              <w:b/>
              <w:bCs/>
              <w:sz w:val="36"/>
              <w:szCs w:val="36"/>
            </w:rPr>
          </w:pPr>
        </w:p>
        <w:p w14:paraId="4AAB57F6">
          <w:pPr>
            <w:pStyle w:val="14"/>
            <w:tabs>
              <w:tab w:val="right" w:leader="dot" w:pos="8844"/>
              <w:tab w:val="clear" w:pos="8296"/>
            </w:tabs>
          </w:pPr>
          <w:r>
            <w:fldChar w:fldCharType="begin"/>
          </w:r>
          <w:r>
            <w:instrText xml:space="preserve">TOC \o "1-2" \h \u </w:instrText>
          </w:r>
          <w:r>
            <w:fldChar w:fldCharType="separate"/>
          </w:r>
          <w:r>
            <w:fldChar w:fldCharType="begin"/>
          </w:r>
          <w:r>
            <w:instrText xml:space="preserve"> HYPERLINK \l _Toc29059 </w:instrText>
          </w:r>
          <w:r>
            <w:fldChar w:fldCharType="separate"/>
          </w:r>
          <w:r>
            <w:rPr>
              <w:rFonts w:hint="default" w:ascii="Times New Roman" w:hAnsi="Times New Roman" w:cs="Times New Roman"/>
              <w:lang w:val="en-US" w:eastAsia="zh-CN"/>
            </w:rPr>
            <w:t>前</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言</w:t>
          </w:r>
          <w:r>
            <w:tab/>
          </w:r>
          <w:r>
            <w:fldChar w:fldCharType="begin"/>
          </w:r>
          <w:r>
            <w:instrText xml:space="preserve"> PAGEREF _Toc29059 \h </w:instrText>
          </w:r>
          <w:r>
            <w:fldChar w:fldCharType="separate"/>
          </w:r>
          <w:r>
            <w:t>I</w:t>
          </w:r>
          <w:r>
            <w:fldChar w:fldCharType="end"/>
          </w:r>
          <w:r>
            <w:fldChar w:fldCharType="end"/>
          </w:r>
        </w:p>
        <w:p w14:paraId="59FD9844">
          <w:pPr>
            <w:pStyle w:val="14"/>
            <w:tabs>
              <w:tab w:val="right" w:leader="dot" w:pos="8844"/>
              <w:tab w:val="clear" w:pos="8296"/>
            </w:tabs>
          </w:pPr>
          <w:r>
            <w:fldChar w:fldCharType="begin"/>
          </w:r>
          <w:r>
            <w:instrText xml:space="preserve"> HYPERLINK \l _Toc9468 </w:instrText>
          </w:r>
          <w:r>
            <w:fldChar w:fldCharType="separate"/>
          </w:r>
          <w:r>
            <w:rPr>
              <w:rFonts w:hint="default" w:ascii="Times New Roman" w:hAnsi="Times New Roman" w:cs="Times New Roman"/>
            </w:rPr>
            <w:t xml:space="preserve">第一章  </w:t>
          </w:r>
          <w:r>
            <w:rPr>
              <w:rFonts w:hint="default" w:ascii="Times New Roman" w:hAnsi="Times New Roman" w:cs="Times New Roman"/>
              <w:lang w:val="en-US" w:eastAsia="zh-CN"/>
            </w:rPr>
            <w:t>规划背景</w:t>
          </w:r>
          <w:r>
            <w:tab/>
          </w:r>
          <w:r>
            <w:fldChar w:fldCharType="begin"/>
          </w:r>
          <w:r>
            <w:instrText xml:space="preserve"> PAGEREF _Toc9468 \h </w:instrText>
          </w:r>
          <w:r>
            <w:fldChar w:fldCharType="separate"/>
          </w:r>
          <w:r>
            <w:t>1</w:t>
          </w:r>
          <w:r>
            <w:fldChar w:fldCharType="end"/>
          </w:r>
          <w:r>
            <w:fldChar w:fldCharType="end"/>
          </w:r>
        </w:p>
        <w:p w14:paraId="6A8D06AC">
          <w:pPr>
            <w:pStyle w:val="15"/>
            <w:tabs>
              <w:tab w:val="right" w:leader="dot" w:pos="8844"/>
              <w:tab w:val="clear" w:pos="1701"/>
              <w:tab w:val="clear" w:pos="8302"/>
            </w:tabs>
          </w:pPr>
          <w:r>
            <w:fldChar w:fldCharType="begin"/>
          </w:r>
          <w:r>
            <w:instrText xml:space="preserve"> HYPERLINK \l _Toc29359 </w:instrText>
          </w:r>
          <w:r>
            <w:fldChar w:fldCharType="separate"/>
          </w:r>
          <w:r>
            <w:rPr>
              <w:rFonts w:hint="eastAsia" w:cs="Times New Roman"/>
              <w:lang w:val="en-US" w:eastAsia="zh-CN"/>
            </w:rPr>
            <w:t xml:space="preserve">第一节  </w:t>
          </w:r>
          <w:r>
            <w:rPr>
              <w:rFonts w:hint="default" w:ascii="Times New Roman" w:hAnsi="Times New Roman" w:cs="Times New Roman"/>
              <w:lang w:val="en-US" w:eastAsia="zh-CN"/>
            </w:rPr>
            <w:t>现状基础</w:t>
          </w:r>
          <w:r>
            <w:tab/>
          </w:r>
          <w:r>
            <w:fldChar w:fldCharType="begin"/>
          </w:r>
          <w:r>
            <w:instrText xml:space="preserve"> PAGEREF _Toc29359 \h </w:instrText>
          </w:r>
          <w:r>
            <w:fldChar w:fldCharType="separate"/>
          </w:r>
          <w:r>
            <w:t>1</w:t>
          </w:r>
          <w:r>
            <w:fldChar w:fldCharType="end"/>
          </w:r>
          <w:r>
            <w:fldChar w:fldCharType="end"/>
          </w:r>
        </w:p>
        <w:p w14:paraId="6515E133">
          <w:pPr>
            <w:pStyle w:val="15"/>
            <w:tabs>
              <w:tab w:val="right" w:leader="dot" w:pos="8844"/>
              <w:tab w:val="clear" w:pos="1701"/>
              <w:tab w:val="clear" w:pos="8302"/>
            </w:tabs>
          </w:pPr>
          <w:r>
            <w:fldChar w:fldCharType="begin"/>
          </w:r>
          <w:r>
            <w:instrText xml:space="preserve"> HYPERLINK \l _Toc16050 </w:instrText>
          </w:r>
          <w:r>
            <w:fldChar w:fldCharType="separate"/>
          </w:r>
          <w:r>
            <w:rPr>
              <w:rFonts w:hint="eastAsia" w:ascii="Times New Roman" w:hAnsi="Times New Roman" w:cs="Times New Roman"/>
              <w:highlight w:val="none"/>
              <w:lang w:val="en-US" w:eastAsia="zh-CN"/>
            </w:rPr>
            <w:t xml:space="preserve">第二节  </w:t>
          </w:r>
          <w:r>
            <w:rPr>
              <w:rFonts w:hint="default" w:ascii="Times New Roman" w:hAnsi="Times New Roman" w:cs="Times New Roman"/>
              <w:highlight w:val="none"/>
              <w:lang w:val="en-US" w:eastAsia="zh-CN"/>
            </w:rPr>
            <w:t>保护成效</w:t>
          </w:r>
          <w:r>
            <w:tab/>
          </w:r>
          <w:r>
            <w:fldChar w:fldCharType="begin"/>
          </w:r>
          <w:r>
            <w:instrText xml:space="preserve"> PAGEREF _Toc16050 \h </w:instrText>
          </w:r>
          <w:r>
            <w:fldChar w:fldCharType="separate"/>
          </w:r>
          <w:r>
            <w:t>2</w:t>
          </w:r>
          <w:r>
            <w:fldChar w:fldCharType="end"/>
          </w:r>
          <w:r>
            <w:fldChar w:fldCharType="end"/>
          </w:r>
        </w:p>
        <w:p w14:paraId="376117BE">
          <w:pPr>
            <w:pStyle w:val="15"/>
            <w:tabs>
              <w:tab w:val="right" w:leader="dot" w:pos="8844"/>
              <w:tab w:val="clear" w:pos="1701"/>
              <w:tab w:val="clear" w:pos="8302"/>
            </w:tabs>
          </w:pPr>
          <w:r>
            <w:fldChar w:fldCharType="begin"/>
          </w:r>
          <w:r>
            <w:instrText xml:space="preserve"> HYPERLINK \l _Toc13065 </w:instrText>
          </w:r>
          <w:r>
            <w:fldChar w:fldCharType="separate"/>
          </w:r>
          <w:r>
            <w:rPr>
              <w:rFonts w:hint="eastAsia" w:ascii="Times New Roman" w:hAnsi="Times New Roman" w:cs="Times New Roman"/>
              <w:highlight w:val="none"/>
              <w:lang w:val="en-US" w:eastAsia="zh-CN"/>
            </w:rPr>
            <w:t xml:space="preserve">第三节  </w:t>
          </w:r>
          <w:r>
            <w:rPr>
              <w:rFonts w:hint="default" w:ascii="Times New Roman" w:hAnsi="Times New Roman" w:cs="Times New Roman"/>
              <w:highlight w:val="none"/>
              <w:lang w:val="en-US" w:eastAsia="zh-CN"/>
            </w:rPr>
            <w:t>问题挑战</w:t>
          </w:r>
          <w:r>
            <w:tab/>
          </w:r>
          <w:r>
            <w:fldChar w:fldCharType="begin"/>
          </w:r>
          <w:r>
            <w:instrText xml:space="preserve"> PAGEREF _Toc13065 \h </w:instrText>
          </w:r>
          <w:r>
            <w:fldChar w:fldCharType="separate"/>
          </w:r>
          <w:r>
            <w:t>7</w:t>
          </w:r>
          <w:r>
            <w:fldChar w:fldCharType="end"/>
          </w:r>
          <w:r>
            <w:fldChar w:fldCharType="end"/>
          </w:r>
        </w:p>
        <w:p w14:paraId="3E57B329">
          <w:pPr>
            <w:pStyle w:val="15"/>
            <w:tabs>
              <w:tab w:val="right" w:leader="dot" w:pos="8844"/>
              <w:tab w:val="clear" w:pos="1701"/>
              <w:tab w:val="clear" w:pos="8302"/>
            </w:tabs>
          </w:pPr>
          <w:r>
            <w:fldChar w:fldCharType="begin"/>
          </w:r>
          <w:r>
            <w:instrText xml:space="preserve"> HYPERLINK \l _Toc9678 </w:instrText>
          </w:r>
          <w:r>
            <w:fldChar w:fldCharType="separate"/>
          </w:r>
          <w:r>
            <w:rPr>
              <w:rFonts w:hint="eastAsia" w:ascii="Times New Roman" w:hAnsi="Times New Roman" w:cs="Times New Roman"/>
              <w:highlight w:val="none"/>
              <w:lang w:val="en-US" w:eastAsia="zh-CN"/>
            </w:rPr>
            <w:t xml:space="preserve">第四节  </w:t>
          </w:r>
          <w:r>
            <w:rPr>
              <w:rFonts w:hint="default" w:ascii="Times New Roman" w:hAnsi="Times New Roman" w:cs="Times New Roman"/>
              <w:highlight w:val="none"/>
              <w:lang w:val="en-US" w:eastAsia="zh-CN"/>
            </w:rPr>
            <w:t>机遇形势</w:t>
          </w:r>
          <w:r>
            <w:tab/>
          </w:r>
          <w:r>
            <w:fldChar w:fldCharType="begin"/>
          </w:r>
          <w:r>
            <w:instrText xml:space="preserve"> PAGEREF _Toc9678 \h </w:instrText>
          </w:r>
          <w:r>
            <w:fldChar w:fldCharType="separate"/>
          </w:r>
          <w:r>
            <w:t>8</w:t>
          </w:r>
          <w:r>
            <w:fldChar w:fldCharType="end"/>
          </w:r>
          <w:r>
            <w:fldChar w:fldCharType="end"/>
          </w:r>
        </w:p>
        <w:p w14:paraId="55EBD8F5">
          <w:pPr>
            <w:pStyle w:val="14"/>
            <w:tabs>
              <w:tab w:val="right" w:leader="dot" w:pos="8844"/>
              <w:tab w:val="clear" w:pos="8296"/>
            </w:tabs>
          </w:pPr>
          <w:r>
            <w:fldChar w:fldCharType="begin"/>
          </w:r>
          <w:r>
            <w:instrText xml:space="preserve"> HYPERLINK \l _Toc4941 </w:instrText>
          </w:r>
          <w:r>
            <w:fldChar w:fldCharType="separate"/>
          </w:r>
          <w:r>
            <w:rPr>
              <w:rFonts w:hint="default" w:ascii="Times New Roman" w:hAnsi="Times New Roman" w:cs="Times New Roman"/>
              <w:highlight w:val="none"/>
              <w:lang w:val="en-US" w:eastAsia="zh-CN"/>
            </w:rPr>
            <w:t>第二章  指导思想及目标</w:t>
          </w:r>
          <w:r>
            <w:tab/>
          </w:r>
          <w:r>
            <w:fldChar w:fldCharType="begin"/>
          </w:r>
          <w:r>
            <w:instrText xml:space="preserve"> PAGEREF _Toc4941 \h </w:instrText>
          </w:r>
          <w:r>
            <w:fldChar w:fldCharType="separate"/>
          </w:r>
          <w:r>
            <w:t>11</w:t>
          </w:r>
          <w:r>
            <w:fldChar w:fldCharType="end"/>
          </w:r>
          <w:r>
            <w:fldChar w:fldCharType="end"/>
          </w:r>
        </w:p>
        <w:p w14:paraId="1FFA0AC6">
          <w:pPr>
            <w:pStyle w:val="15"/>
            <w:tabs>
              <w:tab w:val="right" w:leader="dot" w:pos="8844"/>
              <w:tab w:val="clear" w:pos="1701"/>
              <w:tab w:val="clear" w:pos="8302"/>
            </w:tabs>
          </w:pPr>
          <w:r>
            <w:fldChar w:fldCharType="begin"/>
          </w:r>
          <w:r>
            <w:instrText xml:space="preserve"> HYPERLINK \l _Toc6617 </w:instrText>
          </w:r>
          <w:r>
            <w:fldChar w:fldCharType="separate"/>
          </w:r>
          <w:r>
            <w:rPr>
              <w:rFonts w:hint="eastAsia" w:ascii="Times New Roman" w:hAnsi="Times New Roman" w:cs="Times New Roman"/>
              <w:highlight w:val="none"/>
              <w:lang w:val="en-US" w:eastAsia="zh-CN"/>
            </w:rPr>
            <w:t xml:space="preserve">第一节  </w:t>
          </w:r>
          <w:r>
            <w:rPr>
              <w:rFonts w:hint="default" w:ascii="Times New Roman" w:hAnsi="Times New Roman" w:cs="Times New Roman"/>
              <w:highlight w:val="none"/>
              <w:lang w:val="en-US" w:eastAsia="zh-CN"/>
            </w:rPr>
            <w:t>指导思想</w:t>
          </w:r>
          <w:r>
            <w:tab/>
          </w:r>
          <w:r>
            <w:fldChar w:fldCharType="begin"/>
          </w:r>
          <w:r>
            <w:instrText xml:space="preserve"> PAGEREF _Toc6617 \h </w:instrText>
          </w:r>
          <w:r>
            <w:fldChar w:fldCharType="separate"/>
          </w:r>
          <w:r>
            <w:t>11</w:t>
          </w:r>
          <w:r>
            <w:fldChar w:fldCharType="end"/>
          </w:r>
          <w:r>
            <w:fldChar w:fldCharType="end"/>
          </w:r>
        </w:p>
        <w:p w14:paraId="4005CE06">
          <w:pPr>
            <w:pStyle w:val="15"/>
            <w:tabs>
              <w:tab w:val="right" w:leader="dot" w:pos="8844"/>
              <w:tab w:val="clear" w:pos="1701"/>
              <w:tab w:val="clear" w:pos="8302"/>
            </w:tabs>
          </w:pPr>
          <w:r>
            <w:fldChar w:fldCharType="begin"/>
          </w:r>
          <w:r>
            <w:instrText xml:space="preserve"> HYPERLINK \l _Toc30668 </w:instrText>
          </w:r>
          <w:r>
            <w:fldChar w:fldCharType="separate"/>
          </w:r>
          <w:r>
            <w:rPr>
              <w:rFonts w:hint="eastAsia" w:ascii="Times New Roman" w:hAnsi="Times New Roman" w:cs="Times New Roman"/>
              <w:highlight w:val="none"/>
              <w:lang w:val="en-US" w:eastAsia="zh-CN"/>
            </w:rPr>
            <w:t xml:space="preserve">第二节  </w:t>
          </w:r>
          <w:r>
            <w:rPr>
              <w:rFonts w:hint="default" w:ascii="Times New Roman" w:hAnsi="Times New Roman" w:cs="Times New Roman"/>
              <w:highlight w:val="none"/>
              <w:lang w:val="en-US" w:eastAsia="zh-CN"/>
            </w:rPr>
            <w:t>基本原则</w:t>
          </w:r>
          <w:r>
            <w:tab/>
          </w:r>
          <w:r>
            <w:fldChar w:fldCharType="begin"/>
          </w:r>
          <w:r>
            <w:instrText xml:space="preserve"> PAGEREF _Toc30668 \h </w:instrText>
          </w:r>
          <w:r>
            <w:fldChar w:fldCharType="separate"/>
          </w:r>
          <w:r>
            <w:t>11</w:t>
          </w:r>
          <w:r>
            <w:fldChar w:fldCharType="end"/>
          </w:r>
          <w:r>
            <w:fldChar w:fldCharType="end"/>
          </w:r>
        </w:p>
        <w:p w14:paraId="54696DFD">
          <w:pPr>
            <w:pStyle w:val="15"/>
            <w:tabs>
              <w:tab w:val="right" w:leader="dot" w:pos="8844"/>
              <w:tab w:val="clear" w:pos="1701"/>
              <w:tab w:val="clear" w:pos="8302"/>
            </w:tabs>
          </w:pPr>
          <w:r>
            <w:fldChar w:fldCharType="begin"/>
          </w:r>
          <w:r>
            <w:instrText xml:space="preserve"> HYPERLINK \l _Toc11548 </w:instrText>
          </w:r>
          <w:r>
            <w:fldChar w:fldCharType="separate"/>
          </w:r>
          <w:r>
            <w:rPr>
              <w:rFonts w:hint="eastAsia" w:ascii="Times New Roman" w:hAnsi="Times New Roman" w:cs="Times New Roman"/>
              <w:highlight w:val="none"/>
              <w:lang w:val="en-US" w:eastAsia="zh-CN"/>
            </w:rPr>
            <w:t xml:space="preserve">第三节  </w:t>
          </w:r>
          <w:r>
            <w:rPr>
              <w:rFonts w:hint="default" w:ascii="Times New Roman" w:hAnsi="Times New Roman" w:cs="Times New Roman"/>
              <w:highlight w:val="none"/>
              <w:lang w:val="en-US" w:eastAsia="zh-CN"/>
            </w:rPr>
            <w:t>规划依据</w:t>
          </w:r>
          <w:r>
            <w:tab/>
          </w:r>
          <w:r>
            <w:fldChar w:fldCharType="begin"/>
          </w:r>
          <w:r>
            <w:instrText xml:space="preserve"> PAGEREF _Toc11548 \h </w:instrText>
          </w:r>
          <w:r>
            <w:fldChar w:fldCharType="separate"/>
          </w:r>
          <w:r>
            <w:t>13</w:t>
          </w:r>
          <w:r>
            <w:fldChar w:fldCharType="end"/>
          </w:r>
          <w:r>
            <w:fldChar w:fldCharType="end"/>
          </w:r>
        </w:p>
        <w:p w14:paraId="4C67DBEB">
          <w:pPr>
            <w:pStyle w:val="15"/>
            <w:tabs>
              <w:tab w:val="right" w:leader="dot" w:pos="8844"/>
              <w:tab w:val="clear" w:pos="1701"/>
              <w:tab w:val="clear" w:pos="8302"/>
            </w:tabs>
          </w:pPr>
          <w:r>
            <w:fldChar w:fldCharType="begin"/>
          </w:r>
          <w:r>
            <w:instrText xml:space="preserve"> HYPERLINK \l _Toc29668 </w:instrText>
          </w:r>
          <w:r>
            <w:fldChar w:fldCharType="separate"/>
          </w:r>
          <w:r>
            <w:rPr>
              <w:rFonts w:hint="eastAsia" w:ascii="Times New Roman" w:hAnsi="Times New Roman" w:cs="Times New Roman"/>
              <w:highlight w:val="none"/>
              <w:lang w:val="en-US" w:eastAsia="zh-CN"/>
            </w:rPr>
            <w:t xml:space="preserve">第四节  </w:t>
          </w:r>
          <w:r>
            <w:rPr>
              <w:rFonts w:hint="default" w:ascii="Times New Roman" w:hAnsi="Times New Roman" w:cs="Times New Roman"/>
              <w:highlight w:val="none"/>
              <w:lang w:val="en-US" w:eastAsia="zh-CN"/>
            </w:rPr>
            <w:t>规划期限</w:t>
          </w:r>
          <w:r>
            <w:tab/>
          </w:r>
          <w:r>
            <w:fldChar w:fldCharType="begin"/>
          </w:r>
          <w:r>
            <w:instrText xml:space="preserve"> PAGEREF _Toc29668 \h </w:instrText>
          </w:r>
          <w:r>
            <w:fldChar w:fldCharType="separate"/>
          </w:r>
          <w:r>
            <w:t>15</w:t>
          </w:r>
          <w:r>
            <w:fldChar w:fldCharType="end"/>
          </w:r>
          <w:r>
            <w:fldChar w:fldCharType="end"/>
          </w:r>
        </w:p>
        <w:p w14:paraId="13F10F8A">
          <w:pPr>
            <w:pStyle w:val="15"/>
            <w:tabs>
              <w:tab w:val="right" w:leader="dot" w:pos="8844"/>
              <w:tab w:val="clear" w:pos="1701"/>
              <w:tab w:val="clear" w:pos="8302"/>
            </w:tabs>
          </w:pPr>
          <w:r>
            <w:fldChar w:fldCharType="begin"/>
          </w:r>
          <w:r>
            <w:instrText xml:space="preserve"> HYPERLINK \l _Toc11983 </w:instrText>
          </w:r>
          <w:r>
            <w:fldChar w:fldCharType="separate"/>
          </w:r>
          <w:r>
            <w:rPr>
              <w:rFonts w:hint="eastAsia" w:ascii="Times New Roman" w:hAnsi="Times New Roman" w:cs="Times New Roman"/>
              <w:highlight w:val="none"/>
              <w:lang w:val="en-US" w:eastAsia="zh-CN"/>
            </w:rPr>
            <w:t xml:space="preserve">第五节  </w:t>
          </w:r>
          <w:r>
            <w:rPr>
              <w:rFonts w:hint="default" w:ascii="Times New Roman" w:hAnsi="Times New Roman" w:cs="Times New Roman"/>
              <w:highlight w:val="none"/>
              <w:lang w:val="en-US" w:eastAsia="zh-CN"/>
            </w:rPr>
            <w:t>规划目标</w:t>
          </w:r>
          <w:r>
            <w:tab/>
          </w:r>
          <w:r>
            <w:fldChar w:fldCharType="begin"/>
          </w:r>
          <w:r>
            <w:instrText xml:space="preserve"> PAGEREF _Toc11983 \h </w:instrText>
          </w:r>
          <w:r>
            <w:fldChar w:fldCharType="separate"/>
          </w:r>
          <w:r>
            <w:t>15</w:t>
          </w:r>
          <w:r>
            <w:fldChar w:fldCharType="end"/>
          </w:r>
          <w:r>
            <w:fldChar w:fldCharType="end"/>
          </w:r>
        </w:p>
        <w:p w14:paraId="19BB5E7A">
          <w:pPr>
            <w:pStyle w:val="14"/>
            <w:tabs>
              <w:tab w:val="right" w:leader="dot" w:pos="8844"/>
              <w:tab w:val="clear" w:pos="8296"/>
            </w:tabs>
          </w:pPr>
          <w:r>
            <w:fldChar w:fldCharType="begin"/>
          </w:r>
          <w:r>
            <w:instrText xml:space="preserve"> HYPERLINK \l _Toc17914 </w:instrText>
          </w:r>
          <w:r>
            <w:fldChar w:fldCharType="separate"/>
          </w:r>
          <w:r>
            <w:rPr>
              <w:rFonts w:hint="default" w:ascii="Times New Roman" w:hAnsi="Times New Roman" w:cs="Times New Roman"/>
              <w:highlight w:val="none"/>
            </w:rPr>
            <w:t>第三章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 xml:space="preserve"> </w:t>
          </w:r>
          <w:r>
            <w:rPr>
              <w:rFonts w:hint="default" w:ascii="Times New Roman" w:hAnsi="Times New Roman" w:cs="Times New Roman"/>
              <w:highlight w:val="none"/>
              <w:lang w:val="en-US" w:eastAsia="zh-CN"/>
            </w:rPr>
            <w:t>空间布局</w:t>
          </w:r>
          <w:r>
            <w:tab/>
          </w:r>
          <w:r>
            <w:fldChar w:fldCharType="begin"/>
          </w:r>
          <w:r>
            <w:instrText xml:space="preserve"> PAGEREF _Toc17914 \h </w:instrText>
          </w:r>
          <w:r>
            <w:fldChar w:fldCharType="separate"/>
          </w:r>
          <w:r>
            <w:t>16</w:t>
          </w:r>
          <w:r>
            <w:fldChar w:fldCharType="end"/>
          </w:r>
          <w:r>
            <w:fldChar w:fldCharType="end"/>
          </w:r>
        </w:p>
        <w:p w14:paraId="18D6D0F5">
          <w:pPr>
            <w:pStyle w:val="15"/>
            <w:tabs>
              <w:tab w:val="right" w:leader="dot" w:pos="8844"/>
              <w:tab w:val="clear" w:pos="1701"/>
              <w:tab w:val="clear" w:pos="8302"/>
            </w:tabs>
          </w:pPr>
          <w:r>
            <w:fldChar w:fldCharType="begin"/>
          </w:r>
          <w:r>
            <w:instrText xml:space="preserve"> HYPERLINK \l _Toc1960 </w:instrText>
          </w:r>
          <w:r>
            <w:fldChar w:fldCharType="separate"/>
          </w:r>
          <w:r>
            <w:rPr>
              <w:rFonts w:hint="eastAsia"/>
              <w:lang w:val="en-US" w:eastAsia="zh-CN"/>
            </w:rPr>
            <w:t xml:space="preserve">第一节  </w:t>
          </w:r>
          <w:r>
            <w:rPr>
              <w:rFonts w:hint="default"/>
              <w:lang w:val="en-US" w:eastAsia="zh-CN"/>
            </w:rPr>
            <w:t>玛纳斯国家湿地公园生态区</w:t>
          </w:r>
          <w:r>
            <w:tab/>
          </w:r>
          <w:r>
            <w:fldChar w:fldCharType="begin"/>
          </w:r>
          <w:r>
            <w:instrText xml:space="preserve"> PAGEREF _Toc1960 \h </w:instrText>
          </w:r>
          <w:r>
            <w:fldChar w:fldCharType="separate"/>
          </w:r>
          <w:r>
            <w:t>17</w:t>
          </w:r>
          <w:r>
            <w:fldChar w:fldCharType="end"/>
          </w:r>
          <w:r>
            <w:fldChar w:fldCharType="end"/>
          </w:r>
        </w:p>
        <w:p w14:paraId="76DC1C11">
          <w:pPr>
            <w:pStyle w:val="15"/>
            <w:tabs>
              <w:tab w:val="right" w:leader="dot" w:pos="8844"/>
              <w:tab w:val="clear" w:pos="1701"/>
              <w:tab w:val="clear" w:pos="8302"/>
            </w:tabs>
          </w:pPr>
          <w:r>
            <w:fldChar w:fldCharType="begin"/>
          </w:r>
          <w:r>
            <w:instrText xml:space="preserve"> HYPERLINK \l _Toc20545 </w:instrText>
          </w:r>
          <w:r>
            <w:fldChar w:fldCharType="separate"/>
          </w:r>
          <w:r>
            <w:rPr>
              <w:rFonts w:hint="eastAsia"/>
              <w:highlight w:val="none"/>
              <w:lang w:val="en-US" w:eastAsia="zh-CN"/>
            </w:rPr>
            <w:t>第二节  呼图壁大海子国家湿地公园生态区</w:t>
          </w:r>
          <w:r>
            <w:tab/>
          </w:r>
          <w:r>
            <w:fldChar w:fldCharType="begin"/>
          </w:r>
          <w:r>
            <w:instrText xml:space="preserve"> PAGEREF _Toc20545 \h </w:instrText>
          </w:r>
          <w:r>
            <w:fldChar w:fldCharType="separate"/>
          </w:r>
          <w:r>
            <w:t>18</w:t>
          </w:r>
          <w:r>
            <w:fldChar w:fldCharType="end"/>
          </w:r>
          <w:r>
            <w:fldChar w:fldCharType="end"/>
          </w:r>
        </w:p>
        <w:p w14:paraId="211C31E7">
          <w:pPr>
            <w:pStyle w:val="15"/>
            <w:tabs>
              <w:tab w:val="right" w:leader="dot" w:pos="8844"/>
              <w:tab w:val="clear" w:pos="1701"/>
              <w:tab w:val="clear" w:pos="8302"/>
            </w:tabs>
          </w:pPr>
          <w:r>
            <w:fldChar w:fldCharType="begin"/>
          </w:r>
          <w:r>
            <w:instrText xml:space="preserve"> HYPERLINK \l _Toc9213 </w:instrText>
          </w:r>
          <w:r>
            <w:fldChar w:fldCharType="separate"/>
          </w:r>
          <w:r>
            <w:rPr>
              <w:rFonts w:hint="eastAsia"/>
              <w:highlight w:val="none"/>
              <w:lang w:val="en-US" w:eastAsia="zh-CN"/>
            </w:rPr>
            <w:t xml:space="preserve">第三节  </w:t>
          </w:r>
          <w:r>
            <w:rPr>
              <w:rFonts w:hint="default"/>
              <w:highlight w:val="none"/>
              <w:lang w:val="en-US" w:eastAsia="zh-CN"/>
            </w:rPr>
            <w:t>阜康特纳格尔国家湿地公园生态区</w:t>
          </w:r>
          <w:r>
            <w:tab/>
          </w:r>
          <w:r>
            <w:fldChar w:fldCharType="begin"/>
          </w:r>
          <w:r>
            <w:instrText xml:space="preserve"> PAGEREF _Toc9213 \h </w:instrText>
          </w:r>
          <w:r>
            <w:fldChar w:fldCharType="separate"/>
          </w:r>
          <w:r>
            <w:t>19</w:t>
          </w:r>
          <w:r>
            <w:fldChar w:fldCharType="end"/>
          </w:r>
          <w:r>
            <w:fldChar w:fldCharType="end"/>
          </w:r>
        </w:p>
        <w:p w14:paraId="758B1167">
          <w:pPr>
            <w:pStyle w:val="15"/>
            <w:tabs>
              <w:tab w:val="right" w:leader="dot" w:pos="8844"/>
              <w:tab w:val="clear" w:pos="1701"/>
              <w:tab w:val="clear" w:pos="8302"/>
            </w:tabs>
          </w:pPr>
          <w:r>
            <w:fldChar w:fldCharType="begin"/>
          </w:r>
          <w:r>
            <w:instrText xml:space="preserve"> HYPERLINK \l _Toc23778 </w:instrText>
          </w:r>
          <w:r>
            <w:fldChar w:fldCharType="separate"/>
          </w:r>
          <w:r>
            <w:rPr>
              <w:rFonts w:hint="eastAsia"/>
              <w:lang w:val="en-US" w:eastAsia="zh-CN"/>
            </w:rPr>
            <w:t>第四节  吉木萨尔北庭国家湿地公园生态区</w:t>
          </w:r>
          <w:r>
            <w:tab/>
          </w:r>
          <w:r>
            <w:fldChar w:fldCharType="begin"/>
          </w:r>
          <w:r>
            <w:instrText xml:space="preserve"> PAGEREF _Toc23778 \h </w:instrText>
          </w:r>
          <w:r>
            <w:fldChar w:fldCharType="separate"/>
          </w:r>
          <w:r>
            <w:t>21</w:t>
          </w:r>
          <w:r>
            <w:fldChar w:fldCharType="end"/>
          </w:r>
          <w:r>
            <w:fldChar w:fldCharType="end"/>
          </w:r>
        </w:p>
        <w:p w14:paraId="57935E23">
          <w:pPr>
            <w:pStyle w:val="15"/>
            <w:tabs>
              <w:tab w:val="right" w:leader="dot" w:pos="8844"/>
              <w:tab w:val="clear" w:pos="1701"/>
              <w:tab w:val="clear" w:pos="8302"/>
            </w:tabs>
          </w:pPr>
          <w:r>
            <w:fldChar w:fldCharType="begin"/>
          </w:r>
          <w:r>
            <w:instrText xml:space="preserve"> HYPERLINK \l _Toc8151 </w:instrText>
          </w:r>
          <w:r>
            <w:fldChar w:fldCharType="separate"/>
          </w:r>
          <w:r>
            <w:rPr>
              <w:rFonts w:hint="eastAsia"/>
              <w:lang w:val="en-US" w:eastAsia="zh-CN"/>
            </w:rPr>
            <w:t xml:space="preserve">第五节  </w:t>
          </w:r>
          <w:r>
            <w:rPr>
              <w:rFonts w:hint="default"/>
              <w:lang w:val="en-US" w:eastAsia="zh-CN"/>
            </w:rPr>
            <w:t>重点湿地生态带</w:t>
          </w:r>
          <w:r>
            <w:tab/>
          </w:r>
          <w:r>
            <w:fldChar w:fldCharType="begin"/>
          </w:r>
          <w:r>
            <w:instrText xml:space="preserve"> PAGEREF _Toc8151 \h </w:instrText>
          </w:r>
          <w:r>
            <w:fldChar w:fldCharType="separate"/>
          </w:r>
          <w:r>
            <w:t>22</w:t>
          </w:r>
          <w:r>
            <w:fldChar w:fldCharType="end"/>
          </w:r>
          <w:r>
            <w:fldChar w:fldCharType="end"/>
          </w:r>
        </w:p>
        <w:p w14:paraId="520E7EEA">
          <w:pPr>
            <w:pStyle w:val="15"/>
            <w:tabs>
              <w:tab w:val="right" w:leader="dot" w:pos="8844"/>
              <w:tab w:val="clear" w:pos="1701"/>
              <w:tab w:val="clear" w:pos="8302"/>
            </w:tabs>
          </w:pPr>
          <w:r>
            <w:fldChar w:fldCharType="begin"/>
          </w:r>
          <w:r>
            <w:instrText xml:space="preserve"> HYPERLINK \l _Toc12351 </w:instrText>
          </w:r>
          <w:r>
            <w:fldChar w:fldCharType="separate"/>
          </w:r>
          <w:r>
            <w:rPr>
              <w:rFonts w:hint="eastAsia"/>
              <w:lang w:val="en-US" w:eastAsia="zh-CN"/>
            </w:rPr>
            <w:t xml:space="preserve">第六节  </w:t>
          </w:r>
          <w:r>
            <w:rPr>
              <w:rFonts w:hint="default"/>
              <w:lang w:val="en-US" w:eastAsia="zh-CN"/>
            </w:rPr>
            <w:t>重点湿地生态节点</w:t>
          </w:r>
          <w:r>
            <w:tab/>
          </w:r>
          <w:r>
            <w:fldChar w:fldCharType="begin"/>
          </w:r>
          <w:r>
            <w:instrText xml:space="preserve"> PAGEREF _Toc12351 \h </w:instrText>
          </w:r>
          <w:r>
            <w:fldChar w:fldCharType="separate"/>
          </w:r>
          <w:r>
            <w:t>28</w:t>
          </w:r>
          <w:r>
            <w:fldChar w:fldCharType="end"/>
          </w:r>
          <w:r>
            <w:fldChar w:fldCharType="end"/>
          </w:r>
        </w:p>
        <w:p w14:paraId="4328489B">
          <w:pPr>
            <w:pStyle w:val="14"/>
            <w:tabs>
              <w:tab w:val="right" w:leader="dot" w:pos="8844"/>
              <w:tab w:val="clear" w:pos="8296"/>
            </w:tabs>
          </w:pPr>
          <w:r>
            <w:fldChar w:fldCharType="begin"/>
          </w:r>
          <w:r>
            <w:instrText xml:space="preserve"> HYPERLINK \l _Toc19615 </w:instrText>
          </w:r>
          <w:r>
            <w:fldChar w:fldCharType="separate"/>
          </w:r>
          <w:r>
            <w:rPr>
              <w:rFonts w:hint="eastAsia"/>
              <w:lang w:val="en-US" w:eastAsia="zh-CN"/>
            </w:rPr>
            <w:t xml:space="preserve">第四章  </w:t>
          </w:r>
          <w:r>
            <w:rPr>
              <w:rFonts w:hint="default"/>
            </w:rPr>
            <w:t>重点</w:t>
          </w:r>
          <w:r>
            <w:rPr>
              <w:rFonts w:hint="default"/>
              <w:lang w:val="en-US" w:eastAsia="zh-CN"/>
            </w:rPr>
            <w:t>任务</w:t>
          </w:r>
          <w:r>
            <w:tab/>
          </w:r>
          <w:r>
            <w:fldChar w:fldCharType="begin"/>
          </w:r>
          <w:r>
            <w:instrText xml:space="preserve"> PAGEREF _Toc19615 \h </w:instrText>
          </w:r>
          <w:r>
            <w:fldChar w:fldCharType="separate"/>
          </w:r>
          <w:r>
            <w:t>30</w:t>
          </w:r>
          <w:r>
            <w:fldChar w:fldCharType="end"/>
          </w:r>
          <w:r>
            <w:fldChar w:fldCharType="end"/>
          </w:r>
        </w:p>
        <w:p w14:paraId="157E905B">
          <w:pPr>
            <w:pStyle w:val="15"/>
            <w:tabs>
              <w:tab w:val="right" w:leader="dot" w:pos="8844"/>
              <w:tab w:val="clear" w:pos="1701"/>
              <w:tab w:val="clear" w:pos="8302"/>
            </w:tabs>
          </w:pPr>
          <w:r>
            <w:fldChar w:fldCharType="begin"/>
          </w:r>
          <w:r>
            <w:instrText xml:space="preserve"> HYPERLINK \l _Toc16995 </w:instrText>
          </w:r>
          <w:r>
            <w:fldChar w:fldCharType="separate"/>
          </w:r>
          <w:r>
            <w:rPr>
              <w:rFonts w:hint="eastAsia"/>
              <w:lang w:val="en-US" w:eastAsia="zh-CN"/>
            </w:rPr>
            <w:t>第一节  实行</w:t>
          </w:r>
          <w:r>
            <w:rPr>
              <w:rFonts w:hint="default"/>
              <w:lang w:val="en-US" w:eastAsia="zh-CN"/>
            </w:rPr>
            <w:t>湿地面积总量管控</w:t>
          </w:r>
          <w:r>
            <w:tab/>
          </w:r>
          <w:r>
            <w:fldChar w:fldCharType="begin"/>
          </w:r>
          <w:r>
            <w:instrText xml:space="preserve"> PAGEREF _Toc16995 \h </w:instrText>
          </w:r>
          <w:r>
            <w:fldChar w:fldCharType="separate"/>
          </w:r>
          <w:r>
            <w:t>30</w:t>
          </w:r>
          <w:r>
            <w:fldChar w:fldCharType="end"/>
          </w:r>
          <w:r>
            <w:fldChar w:fldCharType="end"/>
          </w:r>
        </w:p>
        <w:p w14:paraId="1942C071">
          <w:pPr>
            <w:pStyle w:val="15"/>
            <w:tabs>
              <w:tab w:val="right" w:leader="dot" w:pos="8844"/>
              <w:tab w:val="clear" w:pos="1701"/>
              <w:tab w:val="clear" w:pos="8302"/>
            </w:tabs>
          </w:pPr>
          <w:r>
            <w:fldChar w:fldCharType="begin"/>
          </w:r>
          <w:r>
            <w:instrText xml:space="preserve"> HYPERLINK \l _Toc9561 </w:instrText>
          </w:r>
          <w:r>
            <w:fldChar w:fldCharType="separate"/>
          </w:r>
          <w:r>
            <w:rPr>
              <w:rFonts w:hint="eastAsia"/>
              <w:lang w:val="en-US" w:eastAsia="zh-CN"/>
            </w:rPr>
            <w:t>第二节  落实湿地分级管理制度</w:t>
          </w:r>
          <w:r>
            <w:tab/>
          </w:r>
          <w:r>
            <w:fldChar w:fldCharType="begin"/>
          </w:r>
          <w:r>
            <w:instrText xml:space="preserve"> PAGEREF _Toc9561 \h </w:instrText>
          </w:r>
          <w:r>
            <w:fldChar w:fldCharType="separate"/>
          </w:r>
          <w:r>
            <w:t>31</w:t>
          </w:r>
          <w:r>
            <w:fldChar w:fldCharType="end"/>
          </w:r>
          <w:r>
            <w:fldChar w:fldCharType="end"/>
          </w:r>
        </w:p>
        <w:p w14:paraId="233D3647">
          <w:pPr>
            <w:pStyle w:val="15"/>
            <w:tabs>
              <w:tab w:val="right" w:leader="dot" w:pos="8844"/>
              <w:tab w:val="clear" w:pos="1701"/>
              <w:tab w:val="clear" w:pos="8302"/>
            </w:tabs>
          </w:pPr>
          <w:r>
            <w:fldChar w:fldCharType="begin"/>
          </w:r>
          <w:r>
            <w:instrText xml:space="preserve"> HYPERLINK \l _Toc224 </w:instrText>
          </w:r>
          <w:r>
            <w:fldChar w:fldCharType="separate"/>
          </w:r>
          <w:r>
            <w:rPr>
              <w:rFonts w:hint="eastAsia"/>
              <w:lang w:val="en-US" w:eastAsia="zh-CN"/>
            </w:rPr>
            <w:t xml:space="preserve">第三节  </w:t>
          </w:r>
          <w:r>
            <w:rPr>
              <w:rFonts w:hint="default"/>
              <w:lang w:val="en-US" w:eastAsia="zh-CN"/>
            </w:rPr>
            <w:t>完善湿地保护体系</w:t>
          </w:r>
          <w:r>
            <w:rPr>
              <w:rFonts w:hint="eastAsia"/>
              <w:lang w:val="en-US" w:eastAsia="zh-CN"/>
            </w:rPr>
            <w:t>建设</w:t>
          </w:r>
          <w:r>
            <w:tab/>
          </w:r>
          <w:r>
            <w:fldChar w:fldCharType="begin"/>
          </w:r>
          <w:r>
            <w:instrText xml:space="preserve"> PAGEREF _Toc224 \h </w:instrText>
          </w:r>
          <w:r>
            <w:fldChar w:fldCharType="separate"/>
          </w:r>
          <w:r>
            <w:t>32</w:t>
          </w:r>
          <w:r>
            <w:fldChar w:fldCharType="end"/>
          </w:r>
          <w:r>
            <w:fldChar w:fldCharType="end"/>
          </w:r>
        </w:p>
        <w:p w14:paraId="5D292431">
          <w:pPr>
            <w:pStyle w:val="15"/>
            <w:tabs>
              <w:tab w:val="right" w:leader="dot" w:pos="8844"/>
              <w:tab w:val="clear" w:pos="1701"/>
              <w:tab w:val="clear" w:pos="8302"/>
            </w:tabs>
          </w:pPr>
          <w:r>
            <w:fldChar w:fldCharType="begin"/>
          </w:r>
          <w:r>
            <w:instrText xml:space="preserve"> HYPERLINK \l _Toc11651 </w:instrText>
          </w:r>
          <w:r>
            <w:fldChar w:fldCharType="separate"/>
          </w:r>
          <w:r>
            <w:rPr>
              <w:rFonts w:hint="eastAsia" w:ascii="Times New Roman" w:hAnsi="Times New Roman" w:cs="Times New Roman"/>
              <w:highlight w:val="none"/>
              <w:lang w:val="en-US" w:eastAsia="zh-CN"/>
            </w:rPr>
            <w:t>第</w:t>
          </w:r>
          <w:r>
            <w:rPr>
              <w:rFonts w:hint="eastAsia" w:cs="Times New Roman"/>
              <w:highlight w:val="none"/>
              <w:lang w:val="en-US" w:eastAsia="zh-CN"/>
            </w:rPr>
            <w:t>四</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加强区域湿地保护修复</w:t>
          </w:r>
          <w:r>
            <w:tab/>
          </w:r>
          <w:r>
            <w:fldChar w:fldCharType="begin"/>
          </w:r>
          <w:r>
            <w:instrText xml:space="preserve"> PAGEREF _Toc11651 \h </w:instrText>
          </w:r>
          <w:r>
            <w:fldChar w:fldCharType="separate"/>
          </w:r>
          <w:r>
            <w:t>34</w:t>
          </w:r>
          <w:r>
            <w:fldChar w:fldCharType="end"/>
          </w:r>
          <w:r>
            <w:fldChar w:fldCharType="end"/>
          </w:r>
        </w:p>
        <w:p w14:paraId="595B61C0">
          <w:pPr>
            <w:pStyle w:val="15"/>
            <w:tabs>
              <w:tab w:val="right" w:leader="dot" w:pos="8844"/>
              <w:tab w:val="clear" w:pos="1701"/>
              <w:tab w:val="clear" w:pos="8302"/>
            </w:tabs>
          </w:pPr>
          <w:r>
            <w:fldChar w:fldCharType="begin"/>
          </w:r>
          <w:r>
            <w:instrText xml:space="preserve"> HYPERLINK \l _Toc17573 </w:instrText>
          </w:r>
          <w:r>
            <w:fldChar w:fldCharType="separate"/>
          </w:r>
          <w:r>
            <w:rPr>
              <w:rFonts w:hint="eastAsia" w:ascii="Times New Roman" w:hAnsi="Times New Roman" w:cs="Times New Roman"/>
              <w:highlight w:val="none"/>
              <w:lang w:val="en-US" w:eastAsia="zh-CN"/>
            </w:rPr>
            <w:t>第</w:t>
          </w:r>
          <w:r>
            <w:rPr>
              <w:rFonts w:hint="eastAsia" w:cs="Times New Roman"/>
              <w:highlight w:val="none"/>
              <w:lang w:val="en-US" w:eastAsia="zh-CN"/>
            </w:rPr>
            <w:t>五</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提高湿地保护管理能力</w:t>
          </w:r>
          <w:r>
            <w:tab/>
          </w:r>
          <w:r>
            <w:fldChar w:fldCharType="begin"/>
          </w:r>
          <w:r>
            <w:instrText xml:space="preserve"> PAGEREF _Toc17573 \h </w:instrText>
          </w:r>
          <w:r>
            <w:fldChar w:fldCharType="separate"/>
          </w:r>
          <w:r>
            <w:t>37</w:t>
          </w:r>
          <w:r>
            <w:fldChar w:fldCharType="end"/>
          </w:r>
          <w:r>
            <w:fldChar w:fldCharType="end"/>
          </w:r>
        </w:p>
        <w:p w14:paraId="6807F34E">
          <w:pPr>
            <w:pStyle w:val="15"/>
            <w:tabs>
              <w:tab w:val="right" w:leader="dot" w:pos="8844"/>
              <w:tab w:val="clear" w:pos="1701"/>
              <w:tab w:val="clear" w:pos="8302"/>
            </w:tabs>
          </w:pPr>
          <w:r>
            <w:fldChar w:fldCharType="begin"/>
          </w:r>
          <w:r>
            <w:instrText xml:space="preserve"> HYPERLINK \l _Toc22540 </w:instrText>
          </w:r>
          <w:r>
            <w:fldChar w:fldCharType="separate"/>
          </w:r>
          <w:r>
            <w:rPr>
              <w:rFonts w:hint="eastAsia"/>
              <w:lang w:val="en-US" w:eastAsia="zh-CN"/>
            </w:rPr>
            <w:t>第六节  强化湿地资源监测监管</w:t>
          </w:r>
          <w:r>
            <w:tab/>
          </w:r>
          <w:r>
            <w:fldChar w:fldCharType="begin"/>
          </w:r>
          <w:r>
            <w:instrText xml:space="preserve"> PAGEREF _Toc22540 \h </w:instrText>
          </w:r>
          <w:r>
            <w:fldChar w:fldCharType="separate"/>
          </w:r>
          <w:r>
            <w:t>39</w:t>
          </w:r>
          <w:r>
            <w:fldChar w:fldCharType="end"/>
          </w:r>
          <w:r>
            <w:fldChar w:fldCharType="end"/>
          </w:r>
        </w:p>
        <w:p w14:paraId="68B52C4F">
          <w:pPr>
            <w:pStyle w:val="15"/>
            <w:tabs>
              <w:tab w:val="right" w:leader="dot" w:pos="8844"/>
              <w:tab w:val="clear" w:pos="1701"/>
              <w:tab w:val="clear" w:pos="8302"/>
            </w:tabs>
          </w:pPr>
          <w:r>
            <w:fldChar w:fldCharType="begin"/>
          </w:r>
          <w:r>
            <w:instrText xml:space="preserve"> HYPERLINK \l _Toc17308 </w:instrText>
          </w:r>
          <w:r>
            <w:fldChar w:fldCharType="separate"/>
          </w:r>
          <w:r>
            <w:rPr>
              <w:rFonts w:hint="eastAsia" w:ascii="Times New Roman" w:hAnsi="Times New Roman" w:cs="Times New Roman"/>
              <w:highlight w:val="none"/>
              <w:lang w:val="en-US" w:eastAsia="zh-CN"/>
            </w:rPr>
            <w:t>第</w:t>
          </w:r>
          <w:r>
            <w:rPr>
              <w:rFonts w:hint="eastAsia" w:cs="Times New Roman"/>
              <w:highlight w:val="none"/>
              <w:lang w:val="en-US" w:eastAsia="zh-CN"/>
            </w:rPr>
            <w:t>七</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发挥湿地保护综合效益</w:t>
          </w:r>
          <w:r>
            <w:tab/>
          </w:r>
          <w:r>
            <w:fldChar w:fldCharType="begin"/>
          </w:r>
          <w:r>
            <w:instrText xml:space="preserve"> PAGEREF _Toc17308 \h </w:instrText>
          </w:r>
          <w:r>
            <w:fldChar w:fldCharType="separate"/>
          </w:r>
          <w:r>
            <w:t>42</w:t>
          </w:r>
          <w:r>
            <w:fldChar w:fldCharType="end"/>
          </w:r>
          <w:r>
            <w:fldChar w:fldCharType="end"/>
          </w:r>
        </w:p>
        <w:p w14:paraId="37397B4B">
          <w:pPr>
            <w:pStyle w:val="14"/>
            <w:tabs>
              <w:tab w:val="right" w:leader="dot" w:pos="8844"/>
              <w:tab w:val="clear" w:pos="8296"/>
            </w:tabs>
          </w:pPr>
          <w:r>
            <w:fldChar w:fldCharType="begin"/>
          </w:r>
          <w:r>
            <w:instrText xml:space="preserve"> HYPERLINK \l _Toc16141 </w:instrText>
          </w:r>
          <w:r>
            <w:fldChar w:fldCharType="separate"/>
          </w:r>
          <w:r>
            <w:rPr>
              <w:rFonts w:hint="default" w:ascii="Times New Roman" w:hAnsi="Times New Roman" w:cs="Times New Roman"/>
              <w:lang w:val="en-US" w:eastAsia="zh-CN"/>
            </w:rPr>
            <w:t>第</w:t>
          </w:r>
          <w:r>
            <w:rPr>
              <w:rFonts w:hint="eastAsia" w:cs="Times New Roman"/>
              <w:lang w:val="en-US" w:eastAsia="zh-CN"/>
            </w:rPr>
            <w:t>五</w:t>
          </w:r>
          <w:r>
            <w:rPr>
              <w:rFonts w:hint="default" w:ascii="Times New Roman" w:hAnsi="Times New Roman" w:cs="Times New Roman"/>
              <w:lang w:val="en-US" w:eastAsia="zh-CN"/>
            </w:rPr>
            <w:t xml:space="preserve">章  </w:t>
          </w:r>
          <w:r>
            <w:rPr>
              <w:rFonts w:hint="default" w:ascii="Times New Roman" w:hAnsi="Times New Roman" w:cs="Times New Roman"/>
            </w:rPr>
            <w:t>保障措施</w:t>
          </w:r>
          <w:r>
            <w:tab/>
          </w:r>
          <w:r>
            <w:fldChar w:fldCharType="begin"/>
          </w:r>
          <w:r>
            <w:instrText xml:space="preserve"> PAGEREF _Toc16141 \h </w:instrText>
          </w:r>
          <w:r>
            <w:fldChar w:fldCharType="separate"/>
          </w:r>
          <w:r>
            <w:t>45</w:t>
          </w:r>
          <w:r>
            <w:fldChar w:fldCharType="end"/>
          </w:r>
          <w:r>
            <w:fldChar w:fldCharType="end"/>
          </w:r>
        </w:p>
        <w:p w14:paraId="148D7A41">
          <w:pPr>
            <w:pStyle w:val="15"/>
            <w:tabs>
              <w:tab w:val="right" w:leader="dot" w:pos="8844"/>
              <w:tab w:val="clear" w:pos="1701"/>
              <w:tab w:val="clear" w:pos="8302"/>
            </w:tabs>
          </w:pPr>
          <w:r>
            <w:fldChar w:fldCharType="begin"/>
          </w:r>
          <w:r>
            <w:instrText xml:space="preserve"> HYPERLINK \l _Toc17416 </w:instrText>
          </w:r>
          <w:r>
            <w:fldChar w:fldCharType="separate"/>
          </w:r>
          <w:r>
            <w:rPr>
              <w:rFonts w:hint="eastAsia" w:ascii="Times New Roman" w:hAnsi="Times New Roman" w:cs="Times New Roman"/>
              <w:lang w:val="en-US" w:eastAsia="zh-CN"/>
            </w:rPr>
            <w:t xml:space="preserve">第一节  </w:t>
          </w:r>
          <w:r>
            <w:rPr>
              <w:rFonts w:hint="default" w:ascii="Times New Roman" w:hAnsi="Times New Roman" w:cs="Times New Roman"/>
              <w:lang w:val="en-US" w:eastAsia="zh-CN"/>
            </w:rPr>
            <w:t>加强组织领导</w:t>
          </w:r>
          <w:r>
            <w:tab/>
          </w:r>
          <w:r>
            <w:fldChar w:fldCharType="begin"/>
          </w:r>
          <w:r>
            <w:instrText xml:space="preserve"> PAGEREF _Toc17416 \h </w:instrText>
          </w:r>
          <w:r>
            <w:fldChar w:fldCharType="separate"/>
          </w:r>
          <w:r>
            <w:t>45</w:t>
          </w:r>
          <w:r>
            <w:fldChar w:fldCharType="end"/>
          </w:r>
          <w:r>
            <w:fldChar w:fldCharType="end"/>
          </w:r>
        </w:p>
        <w:p w14:paraId="35192E53">
          <w:pPr>
            <w:pStyle w:val="15"/>
            <w:tabs>
              <w:tab w:val="right" w:leader="dot" w:pos="8844"/>
              <w:tab w:val="clear" w:pos="1701"/>
              <w:tab w:val="clear" w:pos="8302"/>
            </w:tabs>
          </w:pPr>
          <w:r>
            <w:fldChar w:fldCharType="begin"/>
          </w:r>
          <w:r>
            <w:instrText xml:space="preserve"> HYPERLINK \l _Toc31262 </w:instrText>
          </w:r>
          <w:r>
            <w:fldChar w:fldCharType="separate"/>
          </w:r>
          <w:r>
            <w:rPr>
              <w:rFonts w:hint="eastAsia" w:ascii="Times New Roman" w:hAnsi="Times New Roman" w:cs="Times New Roman"/>
              <w:lang w:val="en-US" w:eastAsia="zh-CN"/>
            </w:rPr>
            <w:t xml:space="preserve">第二节  </w:t>
          </w:r>
          <w:r>
            <w:rPr>
              <w:rFonts w:hint="default" w:ascii="Times New Roman" w:hAnsi="Times New Roman" w:cs="Times New Roman"/>
              <w:lang w:val="en-US" w:eastAsia="zh-CN"/>
            </w:rPr>
            <w:t>坚持规划引领</w:t>
          </w:r>
          <w:r>
            <w:tab/>
          </w:r>
          <w:r>
            <w:fldChar w:fldCharType="begin"/>
          </w:r>
          <w:r>
            <w:instrText xml:space="preserve"> PAGEREF _Toc31262 \h </w:instrText>
          </w:r>
          <w:r>
            <w:fldChar w:fldCharType="separate"/>
          </w:r>
          <w:r>
            <w:t>46</w:t>
          </w:r>
          <w:r>
            <w:fldChar w:fldCharType="end"/>
          </w:r>
          <w:r>
            <w:fldChar w:fldCharType="end"/>
          </w:r>
        </w:p>
        <w:p w14:paraId="16C2F6CF">
          <w:pPr>
            <w:pStyle w:val="15"/>
            <w:tabs>
              <w:tab w:val="right" w:leader="dot" w:pos="8844"/>
              <w:tab w:val="clear" w:pos="1701"/>
              <w:tab w:val="clear" w:pos="8302"/>
            </w:tabs>
          </w:pPr>
          <w:r>
            <w:fldChar w:fldCharType="begin"/>
          </w:r>
          <w:r>
            <w:instrText xml:space="preserve"> HYPERLINK \l _Toc18425 </w:instrText>
          </w:r>
          <w:r>
            <w:fldChar w:fldCharType="separate"/>
          </w:r>
          <w:r>
            <w:rPr>
              <w:rFonts w:hint="eastAsia" w:ascii="Times New Roman" w:hAnsi="Times New Roman" w:cs="Times New Roman"/>
              <w:lang w:val="en-US" w:eastAsia="zh-CN"/>
            </w:rPr>
            <w:t xml:space="preserve">第三节  </w:t>
          </w:r>
          <w:r>
            <w:rPr>
              <w:rFonts w:hint="default" w:ascii="Times New Roman" w:hAnsi="Times New Roman" w:cs="Times New Roman"/>
              <w:lang w:val="en-US" w:eastAsia="zh-CN"/>
            </w:rPr>
            <w:t>增强法治保障</w:t>
          </w:r>
          <w:r>
            <w:tab/>
          </w:r>
          <w:r>
            <w:fldChar w:fldCharType="begin"/>
          </w:r>
          <w:r>
            <w:instrText xml:space="preserve"> PAGEREF _Toc18425 \h </w:instrText>
          </w:r>
          <w:r>
            <w:fldChar w:fldCharType="separate"/>
          </w:r>
          <w:r>
            <w:t>46</w:t>
          </w:r>
          <w:r>
            <w:fldChar w:fldCharType="end"/>
          </w:r>
          <w:r>
            <w:fldChar w:fldCharType="end"/>
          </w:r>
        </w:p>
        <w:p w14:paraId="4EF13C62">
          <w:pPr>
            <w:pStyle w:val="15"/>
            <w:tabs>
              <w:tab w:val="right" w:leader="dot" w:pos="8844"/>
              <w:tab w:val="clear" w:pos="1701"/>
              <w:tab w:val="clear" w:pos="8302"/>
            </w:tabs>
          </w:pPr>
          <w:r>
            <w:fldChar w:fldCharType="begin"/>
          </w:r>
          <w:r>
            <w:instrText xml:space="preserve"> HYPERLINK \l _Toc4223 </w:instrText>
          </w:r>
          <w:r>
            <w:fldChar w:fldCharType="separate"/>
          </w:r>
          <w:r>
            <w:rPr>
              <w:rFonts w:hint="eastAsia" w:ascii="Times New Roman" w:hAnsi="Times New Roman" w:cs="Times New Roman"/>
              <w:lang w:val="en-US" w:eastAsia="zh-CN"/>
            </w:rPr>
            <w:t xml:space="preserve">第四节  </w:t>
          </w:r>
          <w:r>
            <w:rPr>
              <w:rFonts w:hint="default" w:ascii="Times New Roman" w:hAnsi="Times New Roman" w:cs="Times New Roman"/>
              <w:lang w:val="en-US" w:eastAsia="zh-CN"/>
            </w:rPr>
            <w:t>健全保护体系</w:t>
          </w:r>
          <w:r>
            <w:tab/>
          </w:r>
          <w:r>
            <w:fldChar w:fldCharType="begin"/>
          </w:r>
          <w:r>
            <w:instrText xml:space="preserve"> PAGEREF _Toc4223 \h </w:instrText>
          </w:r>
          <w:r>
            <w:fldChar w:fldCharType="separate"/>
          </w:r>
          <w:r>
            <w:t>47</w:t>
          </w:r>
          <w:r>
            <w:fldChar w:fldCharType="end"/>
          </w:r>
          <w:r>
            <w:fldChar w:fldCharType="end"/>
          </w:r>
        </w:p>
        <w:p w14:paraId="69BC6791">
          <w:pPr>
            <w:pStyle w:val="15"/>
            <w:tabs>
              <w:tab w:val="right" w:leader="dot" w:pos="8844"/>
              <w:tab w:val="clear" w:pos="1701"/>
              <w:tab w:val="clear" w:pos="8302"/>
            </w:tabs>
          </w:pPr>
          <w:r>
            <w:fldChar w:fldCharType="begin"/>
          </w:r>
          <w:r>
            <w:instrText xml:space="preserve"> HYPERLINK \l _Toc22874 </w:instrText>
          </w:r>
          <w:r>
            <w:fldChar w:fldCharType="separate"/>
          </w:r>
          <w:r>
            <w:rPr>
              <w:rFonts w:hint="eastAsia" w:ascii="Times New Roman" w:hAnsi="Times New Roman" w:cs="Times New Roman"/>
              <w:lang w:val="en-US" w:eastAsia="zh-CN"/>
            </w:rPr>
            <w:t xml:space="preserve">第五节  </w:t>
          </w:r>
          <w:r>
            <w:rPr>
              <w:rFonts w:hint="default" w:ascii="Times New Roman" w:hAnsi="Times New Roman" w:cs="Times New Roman"/>
              <w:lang w:val="en-US" w:eastAsia="zh-CN"/>
            </w:rPr>
            <w:t>强化政策支持</w:t>
          </w:r>
          <w:r>
            <w:tab/>
          </w:r>
          <w:r>
            <w:fldChar w:fldCharType="begin"/>
          </w:r>
          <w:r>
            <w:instrText xml:space="preserve"> PAGEREF _Toc22874 \h </w:instrText>
          </w:r>
          <w:r>
            <w:fldChar w:fldCharType="separate"/>
          </w:r>
          <w:r>
            <w:t>47</w:t>
          </w:r>
          <w:r>
            <w:fldChar w:fldCharType="end"/>
          </w:r>
          <w:r>
            <w:fldChar w:fldCharType="end"/>
          </w:r>
        </w:p>
        <w:p w14:paraId="5B30F8D8">
          <w:pPr>
            <w:pStyle w:val="15"/>
            <w:tabs>
              <w:tab w:val="right" w:leader="dot" w:pos="8844"/>
              <w:tab w:val="clear" w:pos="1701"/>
              <w:tab w:val="clear" w:pos="8302"/>
            </w:tabs>
          </w:pPr>
          <w:r>
            <w:fldChar w:fldCharType="begin"/>
          </w:r>
          <w:r>
            <w:instrText xml:space="preserve"> HYPERLINK \l _Toc11635 </w:instrText>
          </w:r>
          <w:r>
            <w:fldChar w:fldCharType="separate"/>
          </w:r>
          <w:r>
            <w:rPr>
              <w:rFonts w:hint="eastAsia" w:ascii="Times New Roman" w:hAnsi="Times New Roman" w:cs="Times New Roman"/>
              <w:lang w:val="en-US" w:eastAsia="zh-CN"/>
            </w:rPr>
            <w:t xml:space="preserve">第六节  </w:t>
          </w:r>
          <w:r>
            <w:rPr>
              <w:rFonts w:hint="default" w:ascii="Times New Roman" w:hAnsi="Times New Roman" w:cs="Times New Roman"/>
              <w:lang w:val="en-US" w:eastAsia="zh-CN"/>
            </w:rPr>
            <w:t>注重宣传引导</w:t>
          </w:r>
          <w:r>
            <w:tab/>
          </w:r>
          <w:r>
            <w:fldChar w:fldCharType="begin"/>
          </w:r>
          <w:r>
            <w:instrText xml:space="preserve"> PAGEREF _Toc11635 \h </w:instrText>
          </w:r>
          <w:r>
            <w:fldChar w:fldCharType="separate"/>
          </w:r>
          <w:r>
            <w:t>48</w:t>
          </w:r>
          <w:r>
            <w:fldChar w:fldCharType="end"/>
          </w:r>
          <w:r>
            <w:fldChar w:fldCharType="end"/>
          </w:r>
        </w:p>
        <w:p w14:paraId="57F832B9">
          <w:pPr>
            <w:pStyle w:val="15"/>
            <w:tabs>
              <w:tab w:val="right" w:leader="dot" w:pos="8844"/>
              <w:tab w:val="clear" w:pos="1701"/>
              <w:tab w:val="clear" w:pos="8302"/>
            </w:tabs>
          </w:pPr>
          <w:r>
            <w:fldChar w:fldCharType="begin"/>
          </w:r>
          <w:r>
            <w:instrText xml:space="preserve"> HYPERLINK \l _Toc9052 </w:instrText>
          </w:r>
          <w:r>
            <w:fldChar w:fldCharType="separate"/>
          </w:r>
          <w:r>
            <w:rPr>
              <w:rFonts w:hint="eastAsia"/>
              <w:lang w:val="en-US" w:eastAsia="zh-CN"/>
            </w:rPr>
            <w:t>第七节  深化科技支撑</w:t>
          </w:r>
          <w:r>
            <w:tab/>
          </w:r>
          <w:r>
            <w:fldChar w:fldCharType="begin"/>
          </w:r>
          <w:r>
            <w:instrText xml:space="preserve"> PAGEREF _Toc9052 \h </w:instrText>
          </w:r>
          <w:r>
            <w:fldChar w:fldCharType="separate"/>
          </w:r>
          <w:r>
            <w:t>48</w:t>
          </w:r>
          <w:r>
            <w:fldChar w:fldCharType="end"/>
          </w:r>
          <w:r>
            <w:fldChar w:fldCharType="end"/>
          </w:r>
        </w:p>
        <w:p w14:paraId="45B56CF7">
          <w:pPr>
            <w:pStyle w:val="15"/>
            <w:tabs>
              <w:tab w:val="right" w:leader="dot" w:pos="8844"/>
              <w:tab w:val="clear" w:pos="1701"/>
              <w:tab w:val="clear" w:pos="8302"/>
            </w:tabs>
          </w:pPr>
          <w:r>
            <w:fldChar w:fldCharType="begin"/>
          </w:r>
          <w:r>
            <w:instrText xml:space="preserve"> HYPERLINK \l _Toc12407 </w:instrText>
          </w:r>
          <w:r>
            <w:fldChar w:fldCharType="separate"/>
          </w:r>
          <w:r>
            <w:rPr>
              <w:rFonts w:hint="eastAsia"/>
              <w:lang w:val="en-US" w:eastAsia="zh-CN"/>
            </w:rPr>
            <w:t>第八节  加大资金保障</w:t>
          </w:r>
          <w:r>
            <w:tab/>
          </w:r>
          <w:r>
            <w:fldChar w:fldCharType="begin"/>
          </w:r>
          <w:r>
            <w:instrText xml:space="preserve"> PAGEREF _Toc12407 \h </w:instrText>
          </w:r>
          <w:r>
            <w:fldChar w:fldCharType="separate"/>
          </w:r>
          <w:r>
            <w:t>49</w:t>
          </w:r>
          <w:r>
            <w:fldChar w:fldCharType="end"/>
          </w:r>
          <w:r>
            <w:fldChar w:fldCharType="end"/>
          </w:r>
        </w:p>
        <w:p w14:paraId="6D944DAB">
          <w:r>
            <w:fldChar w:fldCharType="end"/>
          </w:r>
        </w:p>
      </w:sdtContent>
    </w:sdt>
    <w:p w14:paraId="0BDB8D7D">
      <w:pPr>
        <w:ind w:left="0" w:leftChars="0" w:firstLine="0" w:firstLineChars="0"/>
        <w:rPr>
          <w:rFonts w:hint="default" w:ascii="Times New Roman" w:hAnsi="Times New Roman" w:eastAsia="黑体" w:cs="Times New Roman"/>
          <w:b/>
          <w:bCs/>
          <w:highlight w:val="none"/>
          <w:lang w:val="en-US" w:eastAsia="zh-CN"/>
        </w:rPr>
      </w:pPr>
    </w:p>
    <w:p w14:paraId="5AB718B7">
      <w:pPr>
        <w:rPr>
          <w:rFonts w:hint="default" w:ascii="Times New Roman" w:hAnsi="Times New Roman" w:eastAsia="黑体" w:cs="Times New Roman"/>
          <w:b/>
          <w:bCs/>
          <w:highlight w:val="none"/>
          <w:lang w:val="en-US" w:eastAsia="zh-CN"/>
        </w:rPr>
      </w:pPr>
      <w:r>
        <w:rPr>
          <w:rFonts w:hint="default" w:ascii="Times New Roman" w:hAnsi="Times New Roman" w:eastAsia="黑体" w:cs="Times New Roman"/>
          <w:b/>
          <w:bCs/>
          <w:highlight w:val="none"/>
          <w:lang w:val="en-US" w:eastAsia="zh-CN"/>
        </w:rPr>
        <w:br w:type="page"/>
      </w:r>
    </w:p>
    <w:p w14:paraId="6CF8849D">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黑体" w:cs="Times New Roman"/>
          <w:b/>
          <w:bCs/>
          <w:highlight w:val="none"/>
          <w:lang w:val="en-US" w:eastAsia="zh-CN"/>
        </w:rPr>
      </w:pPr>
      <w:r>
        <w:rPr>
          <w:rFonts w:hint="default" w:ascii="Times New Roman" w:hAnsi="Times New Roman" w:eastAsia="黑体" w:cs="Times New Roman"/>
          <w:b/>
          <w:bCs/>
          <w:highlight w:val="none"/>
          <w:lang w:val="en-US" w:eastAsia="zh-CN"/>
        </w:rPr>
        <w:t>附表：</w:t>
      </w:r>
    </w:p>
    <w:p w14:paraId="01D614B8">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表1：昌吉回族自治州</w:t>
      </w:r>
      <w:r>
        <w:rPr>
          <w:rFonts w:hint="eastAsia" w:cs="Times New Roman"/>
          <w:color w:val="000000"/>
          <w:kern w:val="0"/>
          <w:sz w:val="31"/>
          <w:szCs w:val="31"/>
          <w:lang w:val="en-US" w:eastAsia="zh-CN" w:bidi="ar"/>
        </w:rPr>
        <w:t>重要湿地名录</w:t>
      </w:r>
    </w:p>
    <w:p w14:paraId="4CFCF76C">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表2：昌吉回族自治州</w:t>
      </w:r>
      <w:r>
        <w:rPr>
          <w:rFonts w:hint="eastAsia" w:cs="Times New Roman"/>
          <w:color w:val="000000"/>
          <w:kern w:val="0"/>
          <w:sz w:val="31"/>
          <w:szCs w:val="31"/>
          <w:lang w:val="en-US" w:eastAsia="zh-CN" w:bidi="ar"/>
        </w:rPr>
        <w:t>国家湿地公园统计表</w:t>
      </w:r>
    </w:p>
    <w:p w14:paraId="3E88F613">
      <w:pPr>
        <w:keepNext w:val="0"/>
        <w:keepLines w:val="0"/>
        <w:widowControl/>
        <w:suppressLineNumbers w:val="0"/>
        <w:jc w:val="both"/>
        <w:rPr>
          <w:rFonts w:hint="default" w:ascii="Times New Roman" w:hAnsi="Times New Roman" w:cs="Times New Roman"/>
          <w:color w:val="000000"/>
          <w:kern w:val="0"/>
          <w:sz w:val="31"/>
          <w:szCs w:val="31"/>
          <w:highlight w:val="none"/>
          <w:lang w:val="en-US" w:eastAsia="zh-CN" w:bidi="ar"/>
        </w:rPr>
      </w:pPr>
      <w:r>
        <w:rPr>
          <w:rFonts w:hint="default" w:ascii="Times New Roman" w:hAnsi="Times New Roman" w:cs="Times New Roman"/>
          <w:color w:val="000000"/>
          <w:kern w:val="0"/>
          <w:sz w:val="31"/>
          <w:szCs w:val="31"/>
          <w:lang w:val="en-US" w:eastAsia="zh-CN" w:bidi="ar"/>
        </w:rPr>
        <w:t>表3：昌吉回族自</w:t>
      </w:r>
      <w:r>
        <w:rPr>
          <w:rFonts w:hint="default" w:ascii="Times New Roman" w:hAnsi="Times New Roman" w:cs="Times New Roman"/>
          <w:color w:val="000000"/>
          <w:kern w:val="0"/>
          <w:sz w:val="31"/>
          <w:szCs w:val="31"/>
          <w:highlight w:val="none"/>
          <w:lang w:val="en-US" w:eastAsia="zh-CN" w:bidi="ar"/>
        </w:rPr>
        <w:t>治州</w:t>
      </w:r>
      <w:r>
        <w:rPr>
          <w:rFonts w:hint="eastAsia" w:cs="Times New Roman"/>
          <w:color w:val="000000"/>
          <w:kern w:val="0"/>
          <w:sz w:val="31"/>
          <w:szCs w:val="31"/>
          <w:highlight w:val="none"/>
          <w:lang w:val="en-US" w:eastAsia="zh-CN" w:bidi="ar"/>
        </w:rPr>
        <w:t>湿地保护修复工程统计表</w:t>
      </w:r>
    </w:p>
    <w:p w14:paraId="0DF30E0F">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黑体" w:cs="Times New Roman"/>
          <w:b/>
          <w:bCs/>
          <w:highlight w:val="none"/>
          <w:lang w:val="en-US" w:eastAsia="zh-CN"/>
        </w:rPr>
      </w:pPr>
    </w:p>
    <w:p w14:paraId="649F36BB">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黑体" w:cs="Times New Roman"/>
          <w:b/>
          <w:bCs/>
          <w:highlight w:val="none"/>
          <w:lang w:val="en-US" w:eastAsia="zh-CN"/>
        </w:rPr>
      </w:pPr>
      <w:r>
        <w:rPr>
          <w:rFonts w:hint="default" w:ascii="Times New Roman" w:hAnsi="Times New Roman" w:eastAsia="黑体" w:cs="Times New Roman"/>
          <w:b/>
          <w:bCs/>
          <w:highlight w:val="none"/>
          <w:lang w:val="en-US" w:eastAsia="zh-CN"/>
        </w:rPr>
        <w:t>附图：</w:t>
      </w:r>
    </w:p>
    <w:p w14:paraId="1DA34C13">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图1：昌吉回族自治州湿地资源现状分布示意图</w:t>
      </w:r>
    </w:p>
    <w:p w14:paraId="152ABE46">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图2：昌吉回族自治州湿地空间布局示意图</w:t>
      </w:r>
    </w:p>
    <w:p w14:paraId="1091F529">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图3：昌吉回族自治州重要湿地分布示意图</w:t>
      </w:r>
    </w:p>
    <w:p w14:paraId="0F9E8A8A">
      <w:pPr>
        <w:keepNext w:val="0"/>
        <w:keepLines w:val="0"/>
        <w:widowControl/>
        <w:suppressLineNumbers w:val="0"/>
        <w:jc w:val="both"/>
        <w:rPr>
          <w:rFonts w:hint="default" w:ascii="Times New Roman" w:hAnsi="Times New Roman"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图4：昌吉回族自治州国家湿地公园分布示意图</w:t>
      </w:r>
    </w:p>
    <w:p w14:paraId="71D33A4E">
      <w:pPr>
        <w:keepNext w:val="0"/>
        <w:keepLines w:val="0"/>
        <w:widowControl/>
        <w:suppressLineNumbers w:val="0"/>
        <w:jc w:val="both"/>
        <w:rPr>
          <w:rFonts w:hint="default" w:cs="Times New Roman"/>
          <w:color w:val="000000"/>
          <w:kern w:val="0"/>
          <w:sz w:val="31"/>
          <w:szCs w:val="31"/>
          <w:lang w:val="en-US" w:eastAsia="zh-CN" w:bidi="ar"/>
        </w:rPr>
      </w:pPr>
      <w:r>
        <w:rPr>
          <w:rFonts w:hint="default" w:ascii="Times New Roman" w:hAnsi="Times New Roman" w:cs="Times New Roman"/>
          <w:color w:val="000000"/>
          <w:kern w:val="0"/>
          <w:sz w:val="31"/>
          <w:szCs w:val="31"/>
          <w:lang w:val="en-US" w:eastAsia="zh-CN" w:bidi="ar"/>
        </w:rPr>
        <w:t>图5：昌吉回族自治州湿地保护修复工程分布示意图</w:t>
      </w:r>
    </w:p>
    <w:p w14:paraId="1013E463">
      <w:pPr>
        <w:pStyle w:val="2"/>
        <w:bidi w:val="0"/>
        <w:outlineLvl w:val="9"/>
        <w:rPr>
          <w:rFonts w:hint="default" w:ascii="Times New Roman" w:hAnsi="Times New Roman" w:cs="Times New Roman"/>
          <w:lang w:val="en-US" w:eastAsia="zh-CN"/>
        </w:rPr>
        <w:sectPr>
          <w:pgSz w:w="11906" w:h="16838"/>
          <w:pgMar w:top="2098" w:right="1531" w:bottom="1984" w:left="1531" w:header="992" w:footer="992" w:gutter="0"/>
          <w:pgBorders>
            <w:top w:val="none" w:sz="0" w:space="0"/>
            <w:left w:val="none" w:sz="0" w:space="0"/>
            <w:bottom w:val="none" w:sz="0" w:space="0"/>
            <w:right w:val="none" w:sz="0" w:space="0"/>
          </w:pgBorders>
          <w:pgNumType w:fmt="upperRoman" w:start="1"/>
          <w:cols w:space="0" w:num="1"/>
          <w:rtlGutter w:val="0"/>
          <w:docGrid w:type="lines" w:linePitch="442" w:charSpace="0"/>
        </w:sectPr>
      </w:pPr>
      <w:bookmarkStart w:id="51" w:name="_Toc15942"/>
      <w:bookmarkStart w:id="52" w:name="_Toc3922"/>
    </w:p>
    <w:p w14:paraId="36160CC1">
      <w:pPr>
        <w:bidi w:val="0"/>
        <w:rPr>
          <w:rFonts w:hint="default"/>
          <w:lang w:val="en-US" w:eastAsia="zh-CN"/>
        </w:rPr>
      </w:pPr>
      <w:bookmarkStart w:id="53" w:name="_Toc20730"/>
    </w:p>
    <w:p w14:paraId="24904F03">
      <w:pPr>
        <w:bidi w:val="0"/>
        <w:rPr>
          <w:rFonts w:hint="default"/>
          <w:lang w:val="en-US" w:eastAsia="zh-CN"/>
        </w:rPr>
        <w:sectPr>
          <w:footerReference r:id="rId7" w:type="default"/>
          <w:pgSz w:w="11906" w:h="16838"/>
          <w:pgMar w:top="2098" w:right="1531" w:bottom="1984" w:left="1531" w:header="992" w:footer="992" w:gutter="0"/>
          <w:pgBorders>
            <w:top w:val="none" w:sz="0" w:space="0"/>
            <w:left w:val="none" w:sz="0" w:space="0"/>
            <w:bottom w:val="none" w:sz="0" w:space="0"/>
            <w:right w:val="none" w:sz="0" w:space="0"/>
          </w:pgBorders>
          <w:pgNumType w:fmt="upperRoman" w:start="1"/>
          <w:cols w:space="0" w:num="1"/>
          <w:rtlGutter w:val="0"/>
          <w:docGrid w:type="lines" w:linePitch="442" w:charSpace="0"/>
        </w:sectPr>
      </w:pPr>
    </w:p>
    <w:p w14:paraId="1FD53F82">
      <w:pPr>
        <w:pStyle w:val="2"/>
        <w:bidi w:val="0"/>
        <w:rPr>
          <w:rFonts w:hint="default" w:ascii="Times New Roman" w:hAnsi="Times New Roman" w:cs="Times New Roman"/>
          <w:lang w:val="en-US" w:eastAsia="zh-CN"/>
        </w:rPr>
      </w:pPr>
      <w:bookmarkStart w:id="54" w:name="_Toc29059"/>
      <w:r>
        <w:rPr>
          <w:rFonts w:hint="default" w:ascii="Times New Roman" w:hAnsi="Times New Roman" w:cs="Times New Roman"/>
          <w:lang w:val="en-US" w:eastAsia="zh-CN"/>
        </w:rPr>
        <w:t>前</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言</w:t>
      </w:r>
      <w:bookmarkEnd w:id="51"/>
      <w:bookmarkEnd w:id="52"/>
      <w:bookmarkEnd w:id="53"/>
      <w:bookmarkEnd w:id="54"/>
    </w:p>
    <w:p w14:paraId="579766C1">
      <w:pPr>
        <w:jc w:val="both"/>
        <w:rPr>
          <w:rFonts w:hint="default"/>
          <w:lang w:val="en-US" w:eastAsia="zh-CN"/>
        </w:rPr>
      </w:pPr>
      <w:r>
        <w:rPr>
          <w:rFonts w:hint="default"/>
          <w:lang w:val="en-US" w:eastAsia="zh-CN"/>
        </w:rPr>
        <w:t>湿地与森林、海洋并称为全球三大生态系统，发挥着涵养水源、调节气候、改善环境、维护生物多样性等生态功能，与人类生存发展息息相关，被誉为</w:t>
      </w:r>
      <w:r>
        <w:rPr>
          <w:rFonts w:hint="eastAsia"/>
          <w:lang w:val="en-US" w:eastAsia="zh-CN"/>
        </w:rPr>
        <w:t>“</w:t>
      </w:r>
      <w:r>
        <w:rPr>
          <w:rFonts w:hint="default"/>
          <w:lang w:val="en-US" w:eastAsia="zh-CN"/>
        </w:rPr>
        <w:t>地球之肾</w:t>
      </w:r>
      <w:r>
        <w:rPr>
          <w:rFonts w:hint="eastAsia"/>
          <w:lang w:val="en-US" w:eastAsia="zh-CN"/>
        </w:rPr>
        <w:t>”</w:t>
      </w:r>
      <w:r>
        <w:rPr>
          <w:rFonts w:hint="default"/>
          <w:lang w:val="en-US" w:eastAsia="zh-CN"/>
        </w:rPr>
        <w:t>。</w:t>
      </w:r>
    </w:p>
    <w:p w14:paraId="344438B1">
      <w:pPr>
        <w:jc w:val="both"/>
        <w:rPr>
          <w:rFonts w:hint="default"/>
          <w:lang w:val="en-US" w:eastAsia="zh-CN"/>
        </w:rPr>
      </w:pPr>
      <w:r>
        <w:rPr>
          <w:rFonts w:hint="default"/>
          <w:lang w:val="en-US" w:eastAsia="zh-CN"/>
        </w:rPr>
        <w:t>1971年2月2日，来自18个国家的代表在伊朗南部海滨小城拉姆萨尔签订《关于特别是作为水禽栖息地的国际重要湿地公约》</w:t>
      </w:r>
      <w:r>
        <w:rPr>
          <w:rFonts w:hint="eastAsia"/>
          <w:lang w:val="en-US" w:eastAsia="zh-CN"/>
        </w:rPr>
        <w:t>（</w:t>
      </w:r>
      <w:r>
        <w:rPr>
          <w:rFonts w:hint="default"/>
          <w:lang w:val="en-US" w:eastAsia="zh-CN"/>
        </w:rPr>
        <w:t>以下简称《湿地公约》</w:t>
      </w:r>
      <w:r>
        <w:rPr>
          <w:rFonts w:hint="eastAsia"/>
          <w:lang w:val="en-US" w:eastAsia="zh-CN"/>
        </w:rPr>
        <w:t>），</w:t>
      </w:r>
      <w:r>
        <w:rPr>
          <w:rFonts w:hint="default"/>
          <w:lang w:val="en-US" w:eastAsia="zh-CN"/>
        </w:rPr>
        <w:t>于1975年12月21日正式生效。自《湿地公约》缔结以来，国际社会越来越意识到加强湿地保护与生态恢复、促进湿地可持续合理利用的重要性和迫切性，对湿地的关注也从最初仅强调湿地作为水禽栖息地的功能，拓展到湿地保护、生态修复和合理利用等各个方面。</w:t>
      </w:r>
    </w:p>
    <w:p w14:paraId="08E8C64A">
      <w:pPr>
        <w:jc w:val="both"/>
        <w:rPr>
          <w:rFonts w:hint="default"/>
          <w:lang w:val="en-US" w:eastAsia="zh-CN"/>
        </w:rPr>
      </w:pPr>
      <w:r>
        <w:rPr>
          <w:rFonts w:hint="default"/>
          <w:lang w:val="en-US" w:eastAsia="zh-CN"/>
        </w:rPr>
        <w:t>党的十八大以来，以习近平同志为核心的党中央高度重视生态保护和修复工作，把生态保护作为生态文明建设的重要内容，作出了一系列强化生态保护修复、加强制度建设的决策部署。2022年6月，《中华人民共和国湿地保护法》正式施行。党的二十大报告更是释放了鲜明信号：加强湿地保护，是生态文明建设的题中之义，更是中国式现代化的必然要求。2022年11月5日下午，国家主席习近平以视频方式出席在武汉举行的《湿地公约》第十四届缔约方大会开幕式并发表题为《珍爱湿地守护未来推进湿地保护全球行动》的致辞。习近平指出，古往今来，人类逐水而居，文明伴水而生，人类生产生活同湿地有着密切联系。我们要深化认识、加强合作，共同推进湿地保护全球行动。</w:t>
      </w:r>
    </w:p>
    <w:p w14:paraId="0A8D62B5">
      <w:pPr>
        <w:bidi w:val="0"/>
        <w:jc w:val="both"/>
        <w:rPr>
          <w:rFonts w:hint="default" w:ascii="Times New Roman" w:hAnsi="Times New Roman" w:cs="Times New Roman"/>
          <w:highlight w:val="none"/>
          <w:lang w:val="en-US" w:eastAsia="zh-CN"/>
        </w:rPr>
      </w:pPr>
      <w:bookmarkStart w:id="55" w:name="OLE_LINK2"/>
      <w:r>
        <w:rPr>
          <w:rFonts w:hint="default" w:ascii="Times New Roman" w:hAnsi="Times New Roman" w:cs="Times New Roman"/>
          <w:highlight w:val="none"/>
          <w:lang w:val="en-US" w:eastAsia="zh-CN"/>
        </w:rPr>
        <w:t>据国家林业和草原局最新调查结果显示，近年来，我国不断强化湿地保护，建成湿地类型自然保护地2200多个，全国湿地面积达5635万公顷。其中，国际重要湿地82处、国家重要湿地58处、国家湿地公园903处、国际湿地城市13个。</w:t>
      </w:r>
    </w:p>
    <w:p w14:paraId="02492D81">
      <w:pPr>
        <w:bidi w:val="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近年来，新疆维吾尔自治区不断加大湿地保护修复力度，已建立赛里木湖、乌伦古湖、博斯腾湖等5</w:t>
      </w:r>
      <w:r>
        <w:rPr>
          <w:rFonts w:hint="eastAsia" w:cs="Times New Roman"/>
          <w:highlight w:val="none"/>
          <w:lang w:val="en-US" w:eastAsia="zh-CN"/>
        </w:rPr>
        <w:t>1</w:t>
      </w:r>
      <w:r>
        <w:rPr>
          <w:rFonts w:hint="default" w:ascii="Times New Roman" w:hAnsi="Times New Roman" w:cs="Times New Roman"/>
          <w:highlight w:val="none"/>
          <w:lang w:val="en-US" w:eastAsia="zh-CN"/>
        </w:rPr>
        <w:t>处（含兵团）国家湿地公园和</w:t>
      </w:r>
      <w:r>
        <w:rPr>
          <w:rFonts w:hint="eastAsia" w:cs="Times New Roman"/>
          <w:highlight w:val="none"/>
          <w:lang w:val="en-US" w:eastAsia="zh-CN"/>
        </w:rPr>
        <w:t>5</w:t>
      </w:r>
      <w:r>
        <w:rPr>
          <w:rFonts w:hint="default" w:ascii="Times New Roman" w:hAnsi="Times New Roman" w:cs="Times New Roman"/>
          <w:highlight w:val="none"/>
          <w:lang w:val="en-US" w:eastAsia="zh-CN"/>
        </w:rPr>
        <w:t>处湿地类型自然保护区。</w:t>
      </w:r>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积极响应国家及自治区的号召，先后建立阜康特纳格尔国家湿地公园、吉木萨尔北庭国家湿地公园、呼图壁大海子国家湿地公园、玛纳斯国家湿地公园4个国家级湿地公园。</w:t>
      </w:r>
    </w:p>
    <w:p w14:paraId="1A3DB912">
      <w:pPr>
        <w:bidi w:val="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为了加强退化湿地生态修复，最大限度保障湿地生态系统的自然性、完整性和稳定性，增强湿地生态功能，维护昌吉回族自治州湿地生物多样性</w:t>
      </w:r>
      <w:r>
        <w:rPr>
          <w:rFonts w:hint="eastAsia" w:cs="Times New Roman"/>
          <w:highlight w:val="none"/>
          <w:lang w:val="en-US" w:eastAsia="zh-CN"/>
        </w:rPr>
        <w:t>，</w:t>
      </w:r>
      <w:r>
        <w:rPr>
          <w:rFonts w:hint="default" w:ascii="Times New Roman" w:hAnsi="Times New Roman" w:cs="Times New Roman"/>
          <w:highlight w:val="none"/>
          <w:lang w:val="en-US" w:eastAsia="zh-CN"/>
        </w:rPr>
        <w:t>更好地保护湿地生态环境，昌吉回族自治州林业和草原局决定对辖区内的现有湿地开展修复和保护工作。根据《新疆维吾尔自治区湿地保护规划</w:t>
      </w:r>
      <w:r>
        <w:rPr>
          <w:rFonts w:hint="eastAsia" w:cs="Times New Roman"/>
          <w:highlight w:val="none"/>
          <w:lang w:val="en-US" w:eastAsia="zh-CN"/>
        </w:rPr>
        <w:t>（2024-2030年）</w:t>
      </w:r>
      <w:r>
        <w:rPr>
          <w:rFonts w:hint="default" w:ascii="Times New Roman" w:hAnsi="Times New Roman" w:cs="Times New Roman"/>
          <w:highlight w:val="none"/>
          <w:lang w:val="en-US" w:eastAsia="zh-CN"/>
        </w:rPr>
        <w:t>》</w:t>
      </w:r>
      <w:r>
        <w:rPr>
          <w:rFonts w:hint="eastAsia" w:cs="Times New Roman"/>
          <w:highlight w:val="none"/>
          <w:lang w:val="en-US" w:eastAsia="zh-CN"/>
        </w:rPr>
        <w:t>中对昌吉回族自治州的具体规划及《昌吉回族自治州国土空间总体规划（2021-2035年）》中“山水林田湖草沙”系统修复的要求，</w:t>
      </w:r>
      <w:r>
        <w:rPr>
          <w:rFonts w:hint="default" w:ascii="Times New Roman" w:hAnsi="Times New Roman" w:cs="Times New Roman"/>
          <w:highlight w:val="none"/>
          <w:lang w:val="en-US" w:eastAsia="zh-CN"/>
        </w:rPr>
        <w:t>昌吉回族自治州林业和草原局从2023年底开始筹备湿地保护规划的前期准备工作，先后成立昌吉州湿地保护规划领导小组、领导小组办公室、专家技术委员会。经过深入调查研究、广泛座谈交流，全面收集自治州相关部门单位和各县相关资料，结合2022年发布的</w:t>
      </w:r>
      <w:r>
        <w:rPr>
          <w:rFonts w:hint="eastAsia" w:cs="Times New Roman"/>
          <w:highlight w:val="none"/>
          <w:lang w:val="en-US" w:eastAsia="zh-CN"/>
        </w:rPr>
        <w:t>“</w:t>
      </w:r>
      <w:r>
        <w:rPr>
          <w:rFonts w:hint="default" w:ascii="Times New Roman" w:hAnsi="Times New Roman" w:cs="Times New Roman"/>
          <w:highlight w:val="none"/>
          <w:lang w:val="en-US" w:eastAsia="zh-CN"/>
        </w:rPr>
        <w:t>新疆维吾尔自治区第三次全国国土调查主要数据公报</w:t>
      </w:r>
      <w:r>
        <w:rPr>
          <w:rFonts w:hint="eastAsia" w:cs="Times New Roman"/>
          <w:highlight w:val="none"/>
          <w:lang w:val="en-US" w:eastAsia="zh-CN"/>
        </w:rPr>
        <w:t>”</w:t>
      </w:r>
      <w:r>
        <w:rPr>
          <w:rFonts w:hint="default" w:ascii="Times New Roman" w:hAnsi="Times New Roman" w:cs="Times New Roman"/>
          <w:highlight w:val="none"/>
          <w:lang w:val="en-US" w:eastAsia="zh-CN"/>
        </w:rPr>
        <w:t>，编制完成了《昌吉回族自治州湿地保护规划</w:t>
      </w:r>
      <w:r>
        <w:rPr>
          <w:rFonts w:hint="eastAsia" w:cs="Times New Roman"/>
          <w:highlight w:val="none"/>
          <w:lang w:val="en-US" w:eastAsia="zh-CN"/>
        </w:rPr>
        <w:t>（2024-2030年）</w:t>
      </w:r>
      <w:r>
        <w:rPr>
          <w:rFonts w:hint="default" w:ascii="Times New Roman" w:hAnsi="Times New Roman" w:cs="Times New Roman"/>
          <w:highlight w:val="none"/>
          <w:lang w:val="en-US" w:eastAsia="zh-CN"/>
        </w:rPr>
        <w:t>》（以下简称《规划》），《规划》共</w:t>
      </w:r>
      <w:r>
        <w:rPr>
          <w:rFonts w:hint="eastAsia" w:cs="Times New Roman"/>
          <w:highlight w:val="none"/>
          <w:lang w:val="en-US" w:eastAsia="zh-CN"/>
        </w:rPr>
        <w:t>五</w:t>
      </w:r>
      <w:r>
        <w:rPr>
          <w:rFonts w:hint="default" w:ascii="Times New Roman" w:hAnsi="Times New Roman" w:cs="Times New Roman"/>
          <w:highlight w:val="none"/>
          <w:lang w:val="en-US" w:eastAsia="zh-CN"/>
        </w:rPr>
        <w:t>章，主要包括规划背景、指导思想及目标、空间布局、重点任务和保障措施等内容，是昌吉回族自治州制定湿地保护政策措施、生态修复方案和实施工程项目的重要依据，是开展湿地保护修复的指导性文件，也是各县市湿地保护规划编制的总纲。</w:t>
      </w:r>
    </w:p>
    <w:bookmarkEnd w:id="55"/>
    <w:p w14:paraId="27EF27FE">
      <w:pPr>
        <w:pStyle w:val="2"/>
        <w:bidi w:val="0"/>
        <w:outlineLvl w:val="9"/>
        <w:rPr>
          <w:rFonts w:hint="default" w:ascii="Times New Roman" w:hAnsi="Times New Roman" w:cs="Times New Roman"/>
        </w:rPr>
        <w:sectPr>
          <w:pgSz w:w="11906" w:h="16838"/>
          <w:pgMar w:top="2098" w:right="1531" w:bottom="1984" w:left="1531" w:header="992" w:footer="992" w:gutter="0"/>
          <w:pgBorders>
            <w:top w:val="none" w:sz="0" w:space="0"/>
            <w:left w:val="none" w:sz="0" w:space="0"/>
            <w:bottom w:val="none" w:sz="0" w:space="0"/>
            <w:right w:val="none" w:sz="0" w:space="0"/>
          </w:pgBorders>
          <w:pgNumType w:fmt="upperRoman" w:start="1"/>
          <w:cols w:space="0" w:num="1"/>
          <w:rtlGutter w:val="0"/>
          <w:docGrid w:type="lines" w:linePitch="442" w:charSpace="0"/>
        </w:sectPr>
      </w:pPr>
      <w:bookmarkStart w:id="56" w:name="_Toc78885641"/>
      <w:bookmarkStart w:id="57" w:name="_Toc2786"/>
      <w:bookmarkStart w:id="58" w:name="_Toc7453"/>
    </w:p>
    <w:p w14:paraId="32F2F04C">
      <w:pPr>
        <w:pStyle w:val="2"/>
        <w:bidi w:val="0"/>
        <w:rPr>
          <w:rFonts w:hint="default" w:ascii="Times New Roman" w:hAnsi="Times New Roman" w:cs="Times New Roman"/>
          <w:lang w:val="en-US" w:eastAsia="zh-CN"/>
        </w:rPr>
      </w:pPr>
      <w:bookmarkStart w:id="59" w:name="_Toc4457"/>
      <w:bookmarkStart w:id="60" w:name="_Toc9468"/>
      <w:r>
        <w:rPr>
          <w:rFonts w:hint="default" w:ascii="Times New Roman" w:hAnsi="Times New Roman" w:cs="Times New Roman"/>
        </w:rPr>
        <w:t xml:space="preserve">第一章  </w:t>
      </w:r>
      <w:bookmarkEnd w:id="56"/>
      <w:bookmarkEnd w:id="57"/>
      <w:r>
        <w:rPr>
          <w:rFonts w:hint="default" w:ascii="Times New Roman" w:hAnsi="Times New Roman" w:cs="Times New Roman"/>
          <w:lang w:val="en-US" w:eastAsia="zh-CN"/>
        </w:rPr>
        <w:t>规划背景</w:t>
      </w:r>
      <w:bookmarkEnd w:id="58"/>
      <w:bookmarkEnd w:id="59"/>
      <w:bookmarkEnd w:id="60"/>
    </w:p>
    <w:p w14:paraId="099F6091">
      <w:pPr>
        <w:pStyle w:val="3"/>
        <w:bidi w:val="0"/>
        <w:ind w:left="0" w:leftChars="0" w:firstLine="0" w:firstLineChars="0"/>
        <w:rPr>
          <w:rFonts w:hint="default" w:ascii="Times New Roman" w:hAnsi="Times New Roman" w:cs="Times New Roman"/>
          <w:lang w:val="en-US" w:eastAsia="zh-CN"/>
        </w:rPr>
      </w:pPr>
      <w:bookmarkStart w:id="61" w:name="_Toc29359"/>
      <w:bookmarkStart w:id="62" w:name="_Toc7815"/>
      <w:bookmarkStart w:id="63" w:name="_Toc7001"/>
      <w:r>
        <w:rPr>
          <w:rFonts w:hint="eastAsia" w:cs="Times New Roman"/>
          <w:lang w:val="en-US" w:eastAsia="zh-CN"/>
        </w:rPr>
        <w:t xml:space="preserve">第一节  </w:t>
      </w:r>
      <w:r>
        <w:rPr>
          <w:rFonts w:hint="default" w:ascii="Times New Roman" w:hAnsi="Times New Roman" w:cs="Times New Roman"/>
          <w:lang w:val="en-US" w:eastAsia="zh-CN"/>
        </w:rPr>
        <w:t>现状基础</w:t>
      </w:r>
      <w:bookmarkEnd w:id="61"/>
      <w:bookmarkEnd w:id="62"/>
      <w:bookmarkEnd w:id="63"/>
    </w:p>
    <w:p w14:paraId="1577998A">
      <w:pPr>
        <w:bidi w:val="0"/>
        <w:jc w:val="both"/>
        <w:rPr>
          <w:rFonts w:hint="default" w:ascii="Times New Roman" w:hAnsi="Times New Roman" w:cs="Times New Roman"/>
          <w:highlight w:val="none"/>
          <w:lang w:val="en-US" w:eastAsia="zh-CN"/>
        </w:rPr>
      </w:pPr>
      <w:bookmarkStart w:id="64" w:name="_Toc16010"/>
      <w:r>
        <w:rPr>
          <w:rFonts w:hint="eastAsia" w:cs="Times New Roman"/>
          <w:lang w:val="en-US" w:eastAsia="zh-CN"/>
        </w:rPr>
        <w:t>昌吉回族自治州</w:t>
      </w:r>
      <w:r>
        <w:rPr>
          <w:rFonts w:hint="default" w:ascii="Times New Roman" w:hAnsi="Times New Roman" w:cs="Times New Roman"/>
          <w:lang w:val="en-US" w:eastAsia="zh-CN"/>
        </w:rPr>
        <w:t>地处天山北麓，地势南高北低，由东南向西北倾斜，南部是天山山地，因此河流均发源于高山，流失于盆地，所形成的河流流程短，水量小，均为内陆河，除玛纳斯河在下游汇成玛纳斯湖外，其余都是无尾河。全州湿地由灌丛沼泽、沼泽草地、沼泽地、内陆滩涂、河流水面、湖泊水面、水库水面、坑塘水面（不</w:t>
      </w:r>
      <w:r>
        <w:rPr>
          <w:rFonts w:hint="default" w:ascii="Times New Roman" w:hAnsi="Times New Roman" w:cs="Times New Roman"/>
          <w:highlight w:val="none"/>
          <w:lang w:val="en-US" w:eastAsia="zh-CN"/>
        </w:rPr>
        <w:t>含养殖坑塘，下同）、沟渠（不含干渠，下同）9个类型组成。依据202</w:t>
      </w:r>
      <w:r>
        <w:rPr>
          <w:rFonts w:hint="eastAsia" w:cs="Times New Roman"/>
          <w:highlight w:val="none"/>
          <w:lang w:val="en-US" w:eastAsia="zh-CN"/>
        </w:rPr>
        <w:t>3</w:t>
      </w:r>
      <w:r>
        <w:rPr>
          <w:rFonts w:hint="default" w:ascii="Times New Roman" w:hAnsi="Times New Roman" w:cs="Times New Roman"/>
          <w:highlight w:val="none"/>
          <w:lang w:val="en-US" w:eastAsia="zh-CN"/>
        </w:rPr>
        <w:t>年发布的</w:t>
      </w:r>
      <w:r>
        <w:rPr>
          <w:rFonts w:hint="eastAsia" w:cs="Times New Roman"/>
          <w:highlight w:val="none"/>
          <w:lang w:val="en-US" w:eastAsia="zh-CN"/>
        </w:rPr>
        <w:t>“</w:t>
      </w:r>
      <w:r>
        <w:rPr>
          <w:rFonts w:hint="default" w:ascii="Times New Roman" w:hAnsi="Times New Roman" w:cs="Times New Roman"/>
          <w:highlight w:val="none"/>
          <w:lang w:val="en-US" w:eastAsia="zh-CN"/>
        </w:rPr>
        <w:t>新疆维吾尔自治区第三次全国国土调查主要数据公报</w:t>
      </w:r>
      <w:r>
        <w:rPr>
          <w:rFonts w:hint="eastAsia" w:cs="Times New Roman"/>
          <w:highlight w:val="none"/>
          <w:lang w:val="en-US" w:eastAsia="zh-CN"/>
        </w:rPr>
        <w:t>”</w:t>
      </w:r>
      <w:r>
        <w:rPr>
          <w:rFonts w:hint="default" w:ascii="Times New Roman" w:hAnsi="Times New Roman" w:cs="Times New Roman"/>
          <w:highlight w:val="none"/>
          <w:lang w:val="en-US" w:eastAsia="zh-CN"/>
        </w:rPr>
        <w:t>，</w:t>
      </w:r>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湿地</w:t>
      </w:r>
      <w:r>
        <w:rPr>
          <w:rFonts w:hint="eastAsia" w:cs="Times New Roman"/>
          <w:highlight w:val="none"/>
          <w:lang w:val="en-US" w:eastAsia="zh-CN"/>
        </w:rPr>
        <w:t>资源</w:t>
      </w:r>
      <w:r>
        <w:rPr>
          <w:rFonts w:hint="default" w:ascii="Times New Roman" w:hAnsi="Times New Roman" w:cs="Times New Roman"/>
          <w:highlight w:val="none"/>
          <w:lang w:val="en-US" w:eastAsia="zh-CN"/>
        </w:rPr>
        <w:t>总面积</w:t>
      </w:r>
      <w:r>
        <w:rPr>
          <w:rFonts w:hint="eastAsia" w:cs="Times New Roman"/>
          <w:highlight w:val="none"/>
          <w:lang w:val="en-US" w:eastAsia="zh-CN"/>
        </w:rPr>
        <w:t>81286.3143</w:t>
      </w:r>
      <w:r>
        <w:rPr>
          <w:rFonts w:hint="default" w:ascii="Times New Roman" w:hAnsi="Times New Roman" w:cs="Times New Roman"/>
          <w:highlight w:val="none"/>
          <w:lang w:val="en-US" w:eastAsia="zh-CN"/>
        </w:rPr>
        <w:t>公顷</w:t>
      </w:r>
      <w:r>
        <w:rPr>
          <w:rFonts w:hint="eastAsia" w:cs="Times New Roman"/>
          <w:highlight w:val="none"/>
          <w:lang w:val="en-US" w:eastAsia="zh-CN"/>
        </w:rPr>
        <w:t>（不含兵团），共有9种类型湿地</w:t>
      </w:r>
      <w:r>
        <w:rPr>
          <w:rFonts w:hint="default" w:ascii="Times New Roman" w:hAnsi="Times New Roman" w:cs="Times New Roman"/>
          <w:highlight w:val="none"/>
          <w:lang w:val="en-US" w:eastAsia="zh-CN"/>
        </w:rPr>
        <w:t>。河流水面、湖泊水面、水库水面、内陆滩涂湿地集中分布在自治州南部，天山山脉北麓区域；坑塘水面、沟渠则集中分布在</w:t>
      </w:r>
      <w:r>
        <w:rPr>
          <w:rFonts w:hint="eastAsia" w:cs="Times New Roman"/>
          <w:highlight w:val="none"/>
          <w:lang w:val="en-US" w:eastAsia="zh-CN"/>
        </w:rPr>
        <w:t>自治州</w:t>
      </w:r>
      <w:r>
        <w:rPr>
          <w:rFonts w:hint="default" w:ascii="Times New Roman" w:hAnsi="Times New Roman" w:cs="Times New Roman"/>
          <w:highlight w:val="none"/>
          <w:lang w:val="en-US" w:eastAsia="zh-CN"/>
        </w:rPr>
        <w:t>中南部区域，灌丛沼泽和沼泽地仅在呼图壁县中部和吉木萨尔县南部零星分布。</w:t>
      </w:r>
    </w:p>
    <w:p w14:paraId="77C57329">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湿地按照类型划分，河流水面</w:t>
      </w:r>
      <w:r>
        <w:rPr>
          <w:rFonts w:hint="eastAsia" w:cs="Times New Roman"/>
          <w:highlight w:val="none"/>
          <w:lang w:val="en-US" w:eastAsia="zh-CN"/>
        </w:rPr>
        <w:t>25363.6000</w:t>
      </w:r>
      <w:r>
        <w:rPr>
          <w:rFonts w:hint="default" w:ascii="Times New Roman" w:hAnsi="Times New Roman" w:cs="Times New Roman"/>
          <w:highlight w:val="none"/>
          <w:lang w:val="en-US" w:eastAsia="zh-CN"/>
        </w:rPr>
        <w:t>公顷，约占湿地总面积（以下简称总面积）的31.</w:t>
      </w:r>
      <w:r>
        <w:rPr>
          <w:rFonts w:hint="eastAsia" w:cs="Times New Roman"/>
          <w:highlight w:val="none"/>
          <w:lang w:val="en-US" w:eastAsia="zh-CN"/>
        </w:rPr>
        <w:t>20</w:t>
      </w:r>
      <w:r>
        <w:rPr>
          <w:rFonts w:hint="default" w:ascii="Times New Roman" w:hAnsi="Times New Roman" w:cs="Times New Roman"/>
          <w:highlight w:val="none"/>
          <w:lang w:val="en-US" w:eastAsia="zh-CN"/>
        </w:rPr>
        <w:t>%；沟渠</w:t>
      </w:r>
      <w:r>
        <w:rPr>
          <w:rFonts w:hint="eastAsia" w:cs="Times New Roman"/>
          <w:highlight w:val="none"/>
          <w:lang w:val="en-US" w:eastAsia="zh-CN"/>
        </w:rPr>
        <w:t>17263.1036</w:t>
      </w:r>
      <w:r>
        <w:rPr>
          <w:rFonts w:hint="default" w:ascii="Times New Roman" w:hAnsi="Times New Roman" w:cs="Times New Roman"/>
          <w:highlight w:val="none"/>
          <w:lang w:val="en-US" w:eastAsia="zh-CN"/>
        </w:rPr>
        <w:t>公顷，</w:t>
      </w:r>
      <w:r>
        <w:rPr>
          <w:rFonts w:hint="eastAsia" w:cs="Times New Roman"/>
          <w:highlight w:val="none"/>
          <w:lang w:val="en-US" w:eastAsia="zh-CN"/>
        </w:rPr>
        <w:t>占</w:t>
      </w:r>
      <w:r>
        <w:rPr>
          <w:rFonts w:hint="default" w:ascii="Times New Roman" w:hAnsi="Times New Roman" w:cs="Times New Roman"/>
          <w:highlight w:val="none"/>
          <w:lang w:val="en-US" w:eastAsia="zh-CN"/>
        </w:rPr>
        <w:t>总面积的21.</w:t>
      </w:r>
      <w:r>
        <w:rPr>
          <w:rFonts w:hint="eastAsia" w:cs="Times New Roman"/>
          <w:highlight w:val="none"/>
          <w:lang w:val="en-US" w:eastAsia="zh-CN"/>
        </w:rPr>
        <w:t>24</w:t>
      </w:r>
      <w:r>
        <w:rPr>
          <w:rFonts w:hint="default" w:ascii="Times New Roman" w:hAnsi="Times New Roman" w:cs="Times New Roman"/>
          <w:highlight w:val="none"/>
          <w:lang w:val="en-US" w:eastAsia="zh-CN"/>
        </w:rPr>
        <w:t>%；水库水面</w:t>
      </w:r>
      <w:r>
        <w:rPr>
          <w:rFonts w:hint="eastAsia" w:cs="Times New Roman"/>
          <w:highlight w:val="none"/>
          <w:lang w:val="en-US" w:eastAsia="zh-CN"/>
        </w:rPr>
        <w:t>16395.6130</w:t>
      </w:r>
      <w:r>
        <w:rPr>
          <w:rFonts w:hint="default" w:ascii="Times New Roman" w:hAnsi="Times New Roman" w:cs="Times New Roman"/>
          <w:highlight w:val="none"/>
          <w:lang w:val="en-US" w:eastAsia="zh-CN"/>
        </w:rPr>
        <w:t>公顷，约占总面积的</w:t>
      </w:r>
      <w:r>
        <w:rPr>
          <w:rFonts w:hint="eastAsia" w:cs="Times New Roman"/>
          <w:highlight w:val="none"/>
          <w:lang w:val="en-US" w:eastAsia="zh-CN"/>
        </w:rPr>
        <w:t>20.17</w:t>
      </w:r>
      <w:r>
        <w:rPr>
          <w:rFonts w:hint="default" w:ascii="Times New Roman" w:hAnsi="Times New Roman" w:cs="Times New Roman"/>
          <w:highlight w:val="none"/>
          <w:lang w:val="en-US" w:eastAsia="zh-CN"/>
        </w:rPr>
        <w:t>%；内陆滩涂</w:t>
      </w:r>
      <w:r>
        <w:rPr>
          <w:rFonts w:hint="eastAsia" w:cs="Times New Roman"/>
          <w:highlight w:val="none"/>
          <w:lang w:val="en-US" w:eastAsia="zh-CN"/>
        </w:rPr>
        <w:t>14438.2027</w:t>
      </w:r>
      <w:r>
        <w:rPr>
          <w:rFonts w:hint="default" w:ascii="Times New Roman" w:hAnsi="Times New Roman" w:cs="Times New Roman"/>
          <w:highlight w:val="none"/>
          <w:lang w:val="en-US" w:eastAsia="zh-CN"/>
        </w:rPr>
        <w:t>公顷，约占总面积的17.</w:t>
      </w:r>
      <w:r>
        <w:rPr>
          <w:rFonts w:hint="eastAsia" w:cs="Times New Roman"/>
          <w:highlight w:val="none"/>
          <w:lang w:val="en-US" w:eastAsia="zh-CN"/>
        </w:rPr>
        <w:t>76</w:t>
      </w:r>
      <w:r>
        <w:rPr>
          <w:rFonts w:hint="default" w:ascii="Times New Roman" w:hAnsi="Times New Roman" w:cs="Times New Roman"/>
          <w:highlight w:val="none"/>
          <w:lang w:val="en-US" w:eastAsia="zh-CN"/>
        </w:rPr>
        <w:t>%；坑塘水面</w:t>
      </w:r>
      <w:r>
        <w:rPr>
          <w:rFonts w:hint="eastAsia" w:cs="Times New Roman"/>
          <w:highlight w:val="none"/>
          <w:lang w:val="en-US" w:eastAsia="zh-CN"/>
        </w:rPr>
        <w:t>5363.8858</w:t>
      </w:r>
      <w:r>
        <w:rPr>
          <w:rFonts w:hint="default" w:ascii="Times New Roman" w:hAnsi="Times New Roman" w:cs="Times New Roman"/>
          <w:highlight w:val="none"/>
          <w:lang w:val="en-US" w:eastAsia="zh-CN"/>
        </w:rPr>
        <w:t>公顷，约占总面积的6.</w:t>
      </w:r>
      <w:r>
        <w:rPr>
          <w:rFonts w:hint="eastAsia" w:cs="Times New Roman"/>
          <w:highlight w:val="none"/>
          <w:lang w:val="en-US" w:eastAsia="zh-CN"/>
        </w:rPr>
        <w:t>60</w:t>
      </w:r>
      <w:r>
        <w:rPr>
          <w:rFonts w:hint="default" w:ascii="Times New Roman" w:hAnsi="Times New Roman" w:cs="Times New Roman"/>
          <w:highlight w:val="none"/>
          <w:lang w:val="en-US" w:eastAsia="zh-CN"/>
        </w:rPr>
        <w:t>%；沼泽草地</w:t>
      </w:r>
      <w:r>
        <w:rPr>
          <w:rFonts w:hint="eastAsia" w:cs="Times New Roman"/>
          <w:highlight w:val="none"/>
          <w:lang w:val="en-US" w:eastAsia="zh-CN"/>
        </w:rPr>
        <w:t>911.9147</w:t>
      </w:r>
      <w:r>
        <w:rPr>
          <w:rFonts w:hint="default" w:ascii="Times New Roman" w:hAnsi="Times New Roman" w:cs="Times New Roman"/>
          <w:highlight w:val="none"/>
          <w:lang w:val="en-US" w:eastAsia="zh-CN"/>
        </w:rPr>
        <w:t>公顷，约占总面积的1.1</w:t>
      </w:r>
      <w:r>
        <w:rPr>
          <w:rFonts w:hint="eastAsia" w:cs="Times New Roman"/>
          <w:highlight w:val="none"/>
          <w:lang w:val="en-US" w:eastAsia="zh-CN"/>
        </w:rPr>
        <w:t>2</w:t>
      </w:r>
      <w:r>
        <w:rPr>
          <w:rFonts w:hint="default" w:ascii="Times New Roman" w:hAnsi="Times New Roman" w:cs="Times New Roman"/>
          <w:highlight w:val="none"/>
          <w:lang w:val="en-US" w:eastAsia="zh-CN"/>
        </w:rPr>
        <w:t>%；湖泊水面</w:t>
      </w:r>
      <w:r>
        <w:rPr>
          <w:rFonts w:hint="eastAsia" w:cs="Times New Roman"/>
          <w:highlight w:val="none"/>
          <w:lang w:val="en-US" w:eastAsia="zh-CN"/>
        </w:rPr>
        <w:t>567.0036</w:t>
      </w:r>
      <w:r>
        <w:rPr>
          <w:rFonts w:hint="default" w:ascii="Times New Roman" w:hAnsi="Times New Roman" w:cs="Times New Roman"/>
          <w:highlight w:val="none"/>
          <w:lang w:val="en-US" w:eastAsia="zh-CN"/>
        </w:rPr>
        <w:t>公顷，约占总面积的0.7</w:t>
      </w:r>
      <w:r>
        <w:rPr>
          <w:rFonts w:hint="eastAsia" w:cs="Times New Roman"/>
          <w:highlight w:val="none"/>
          <w:lang w:val="en-US" w:eastAsia="zh-CN"/>
        </w:rPr>
        <w:t>0</w:t>
      </w:r>
      <w:r>
        <w:rPr>
          <w:rFonts w:hint="default" w:ascii="Times New Roman" w:hAnsi="Times New Roman" w:cs="Times New Roman"/>
          <w:highlight w:val="none"/>
          <w:lang w:val="en-US" w:eastAsia="zh-CN"/>
        </w:rPr>
        <w:t>%；沼泽地</w:t>
      </w:r>
      <w:r>
        <w:rPr>
          <w:rFonts w:hint="eastAsia" w:cs="Times New Roman"/>
          <w:highlight w:val="none"/>
          <w:lang w:val="en-US" w:eastAsia="zh-CN"/>
        </w:rPr>
        <w:t>536.3031</w:t>
      </w:r>
      <w:r>
        <w:rPr>
          <w:rFonts w:hint="default" w:ascii="Times New Roman" w:hAnsi="Times New Roman" w:cs="Times New Roman"/>
          <w:highlight w:val="none"/>
          <w:lang w:val="en-US" w:eastAsia="zh-CN"/>
        </w:rPr>
        <w:t>公顷约占总面积的0.66%；灌丛沼泽</w:t>
      </w:r>
      <w:r>
        <w:rPr>
          <w:rFonts w:hint="eastAsia" w:cs="Times New Roman"/>
          <w:highlight w:val="none"/>
          <w:lang w:val="en-US" w:eastAsia="zh-CN"/>
        </w:rPr>
        <w:t>446.6878</w:t>
      </w:r>
      <w:r>
        <w:rPr>
          <w:rFonts w:hint="default" w:ascii="Times New Roman" w:hAnsi="Times New Roman" w:cs="Times New Roman"/>
          <w:highlight w:val="none"/>
          <w:lang w:val="en-US" w:eastAsia="zh-CN"/>
        </w:rPr>
        <w:t>公顷，约占总面积的0.55%。</w:t>
      </w:r>
      <w:r>
        <w:rPr>
          <w:rFonts w:hint="eastAsia" w:ascii="Times New Roman" w:hAnsi="Times New Roman" w:eastAsia="仿宋_GB2312" w:cs="Times New Roman"/>
          <w:b w:val="0"/>
          <w:bCs w:val="0"/>
          <w:color w:val="000000"/>
          <w:kern w:val="0"/>
          <w:sz w:val="28"/>
          <w:szCs w:val="28"/>
          <w:lang w:val="en-US" w:eastAsia="zh-CN" w:bidi="ar"/>
        </w:rPr>
        <w:t>具体分布见</w:t>
      </w:r>
      <w:r>
        <w:rPr>
          <w:rFonts w:hint="eastAsia" w:eastAsia="仿宋_GB2312" w:cs="Times New Roman"/>
          <w:b w:val="0"/>
          <w:bCs w:val="0"/>
          <w:color w:val="000000"/>
          <w:kern w:val="0"/>
          <w:sz w:val="28"/>
          <w:szCs w:val="28"/>
          <w:lang w:val="en-US" w:eastAsia="zh-CN" w:bidi="ar"/>
        </w:rPr>
        <w:t>附表3。</w:t>
      </w:r>
    </w:p>
    <w:p w14:paraId="751A11FB">
      <w:pPr>
        <w:pStyle w:val="8"/>
        <w:jc w:val="cente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表1-1</w:t>
      </w:r>
      <w:r>
        <w:rPr>
          <w:rFonts w:hint="eastAsia" w:ascii="Times New Roman" w:hAnsi="Times New Roman" w:cs="Times New Roman"/>
          <w:highlight w:val="none"/>
          <w:lang w:val="en-US" w:eastAsia="zh-CN"/>
        </w:rPr>
        <w:t>昌吉回族自治州</w:t>
      </w:r>
      <w:r>
        <w:rPr>
          <w:rFonts w:hint="default" w:ascii="Times New Roman" w:hAnsi="Times New Roman" w:cs="Times New Roman"/>
          <w:highlight w:val="none"/>
          <w:lang w:val="en-US" w:eastAsia="zh-CN"/>
        </w:rPr>
        <w:t>各类型湿地面积一览表</w:t>
      </w:r>
    </w:p>
    <w:tbl>
      <w:tblPr>
        <w:tblStyle w:val="17"/>
        <w:tblW w:w="499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847"/>
        <w:gridCol w:w="1433"/>
        <w:gridCol w:w="2606"/>
        <w:gridCol w:w="3633"/>
      </w:tblGrid>
      <w:tr w14:paraId="59DFCE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497" w:type="pct"/>
            <w:tcBorders>
              <w:tl2br w:val="nil"/>
              <w:tr2bl w:val="nil"/>
            </w:tcBorders>
            <w:shd w:val="clear" w:color="auto" w:fill="auto"/>
            <w:noWrap/>
            <w:vAlign w:val="center"/>
          </w:tcPr>
          <w:p w14:paraId="033838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41" w:type="pct"/>
            <w:tcBorders>
              <w:tl2br w:val="nil"/>
              <w:tr2bl w:val="nil"/>
            </w:tcBorders>
            <w:shd w:val="clear" w:color="auto" w:fill="auto"/>
            <w:noWrap/>
            <w:vAlign w:val="center"/>
          </w:tcPr>
          <w:p w14:paraId="50D62B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湿地类型</w:t>
            </w:r>
          </w:p>
        </w:tc>
        <w:tc>
          <w:tcPr>
            <w:tcW w:w="1529" w:type="pct"/>
            <w:tcBorders>
              <w:tl2br w:val="nil"/>
              <w:tr2bl w:val="nil"/>
            </w:tcBorders>
            <w:shd w:val="clear" w:color="auto" w:fill="auto"/>
            <w:noWrap/>
            <w:vAlign w:val="center"/>
          </w:tcPr>
          <w:p w14:paraId="046FF4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湿地面积（公顷）</w:t>
            </w:r>
          </w:p>
        </w:tc>
        <w:tc>
          <w:tcPr>
            <w:tcW w:w="2131" w:type="pct"/>
            <w:tcBorders>
              <w:tl2br w:val="nil"/>
              <w:tr2bl w:val="nil"/>
            </w:tcBorders>
            <w:shd w:val="clear" w:color="auto" w:fill="auto"/>
            <w:noWrap/>
            <w:vAlign w:val="center"/>
          </w:tcPr>
          <w:p w14:paraId="5C21BB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所占湿地总面积比例（%）</w:t>
            </w:r>
          </w:p>
        </w:tc>
      </w:tr>
      <w:tr w14:paraId="661ADC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032BB4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41" w:type="pct"/>
            <w:tcBorders>
              <w:tl2br w:val="nil"/>
              <w:tr2bl w:val="nil"/>
            </w:tcBorders>
            <w:shd w:val="clear" w:color="auto" w:fill="auto"/>
            <w:noWrap/>
            <w:vAlign w:val="center"/>
          </w:tcPr>
          <w:p w14:paraId="1A1F7A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河流水面</w:t>
            </w:r>
          </w:p>
        </w:tc>
        <w:tc>
          <w:tcPr>
            <w:tcW w:w="1529" w:type="pct"/>
            <w:tcBorders>
              <w:tl2br w:val="nil"/>
              <w:tr2bl w:val="nil"/>
            </w:tcBorders>
            <w:shd w:val="clear" w:color="auto" w:fill="auto"/>
            <w:noWrap/>
            <w:vAlign w:val="center"/>
          </w:tcPr>
          <w:p w14:paraId="4B60906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25363.6000</w:t>
            </w:r>
          </w:p>
        </w:tc>
        <w:tc>
          <w:tcPr>
            <w:tcW w:w="2131" w:type="pct"/>
            <w:tcBorders>
              <w:tl2br w:val="nil"/>
              <w:tr2bl w:val="nil"/>
            </w:tcBorders>
            <w:shd w:val="clear" w:color="auto" w:fill="auto"/>
            <w:noWrap/>
            <w:vAlign w:val="center"/>
          </w:tcPr>
          <w:p w14:paraId="4E2AAF2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31.20%</w:t>
            </w:r>
          </w:p>
        </w:tc>
      </w:tr>
      <w:tr w14:paraId="587800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6DF97B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41" w:type="pct"/>
            <w:tcBorders>
              <w:tl2br w:val="nil"/>
              <w:tr2bl w:val="nil"/>
            </w:tcBorders>
            <w:shd w:val="clear" w:color="auto" w:fill="auto"/>
            <w:noWrap/>
            <w:vAlign w:val="center"/>
          </w:tcPr>
          <w:p w14:paraId="0687B0C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沟渠</w:t>
            </w:r>
          </w:p>
        </w:tc>
        <w:tc>
          <w:tcPr>
            <w:tcW w:w="1529" w:type="pct"/>
            <w:tcBorders>
              <w:tl2br w:val="nil"/>
              <w:tr2bl w:val="nil"/>
            </w:tcBorders>
            <w:shd w:val="clear" w:color="auto" w:fill="auto"/>
            <w:noWrap/>
            <w:vAlign w:val="center"/>
          </w:tcPr>
          <w:p w14:paraId="002247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17263.1036</w:t>
            </w:r>
          </w:p>
        </w:tc>
        <w:tc>
          <w:tcPr>
            <w:tcW w:w="2131" w:type="pct"/>
            <w:tcBorders>
              <w:tl2br w:val="nil"/>
              <w:tr2bl w:val="nil"/>
            </w:tcBorders>
            <w:shd w:val="clear" w:color="auto" w:fill="auto"/>
            <w:noWrap/>
            <w:vAlign w:val="center"/>
          </w:tcPr>
          <w:p w14:paraId="5CE3E1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21.24%</w:t>
            </w:r>
          </w:p>
        </w:tc>
      </w:tr>
      <w:tr w14:paraId="521886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1043376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41" w:type="pct"/>
            <w:tcBorders>
              <w:tl2br w:val="nil"/>
              <w:tr2bl w:val="nil"/>
            </w:tcBorders>
            <w:shd w:val="clear" w:color="auto" w:fill="auto"/>
            <w:noWrap/>
            <w:vAlign w:val="center"/>
          </w:tcPr>
          <w:p w14:paraId="5F2B749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水库水面</w:t>
            </w:r>
          </w:p>
        </w:tc>
        <w:tc>
          <w:tcPr>
            <w:tcW w:w="1529" w:type="pct"/>
            <w:tcBorders>
              <w:tl2br w:val="nil"/>
              <w:tr2bl w:val="nil"/>
            </w:tcBorders>
            <w:shd w:val="clear" w:color="auto" w:fill="auto"/>
            <w:noWrap/>
            <w:vAlign w:val="center"/>
          </w:tcPr>
          <w:p w14:paraId="4C5B3D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16395.6130</w:t>
            </w:r>
          </w:p>
        </w:tc>
        <w:tc>
          <w:tcPr>
            <w:tcW w:w="2131" w:type="pct"/>
            <w:tcBorders>
              <w:tl2br w:val="nil"/>
              <w:tr2bl w:val="nil"/>
            </w:tcBorders>
            <w:shd w:val="clear" w:color="auto" w:fill="auto"/>
            <w:noWrap/>
            <w:vAlign w:val="center"/>
          </w:tcPr>
          <w:p w14:paraId="1BD9F4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20.17%</w:t>
            </w:r>
          </w:p>
        </w:tc>
      </w:tr>
      <w:tr w14:paraId="6FA21A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39177C6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41" w:type="pct"/>
            <w:tcBorders>
              <w:tl2br w:val="nil"/>
              <w:tr2bl w:val="nil"/>
            </w:tcBorders>
            <w:shd w:val="clear" w:color="auto" w:fill="auto"/>
            <w:noWrap/>
            <w:vAlign w:val="center"/>
          </w:tcPr>
          <w:p w14:paraId="2AB3A4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内陆滩涂</w:t>
            </w:r>
          </w:p>
        </w:tc>
        <w:tc>
          <w:tcPr>
            <w:tcW w:w="1529" w:type="pct"/>
            <w:tcBorders>
              <w:tl2br w:val="nil"/>
              <w:tr2bl w:val="nil"/>
            </w:tcBorders>
            <w:shd w:val="clear" w:color="auto" w:fill="auto"/>
            <w:noWrap/>
            <w:vAlign w:val="center"/>
          </w:tcPr>
          <w:p w14:paraId="319E01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14438.2027</w:t>
            </w:r>
          </w:p>
        </w:tc>
        <w:tc>
          <w:tcPr>
            <w:tcW w:w="2131" w:type="pct"/>
            <w:tcBorders>
              <w:tl2br w:val="nil"/>
              <w:tr2bl w:val="nil"/>
            </w:tcBorders>
            <w:shd w:val="clear" w:color="auto" w:fill="auto"/>
            <w:noWrap/>
            <w:vAlign w:val="center"/>
          </w:tcPr>
          <w:p w14:paraId="1A316F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17.76%</w:t>
            </w:r>
          </w:p>
        </w:tc>
      </w:tr>
      <w:tr w14:paraId="204446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6044761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41" w:type="pct"/>
            <w:tcBorders>
              <w:tl2br w:val="nil"/>
              <w:tr2bl w:val="nil"/>
            </w:tcBorders>
            <w:shd w:val="clear" w:color="auto" w:fill="auto"/>
            <w:noWrap/>
            <w:vAlign w:val="center"/>
          </w:tcPr>
          <w:p w14:paraId="0659D46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坑塘水面</w:t>
            </w:r>
          </w:p>
        </w:tc>
        <w:tc>
          <w:tcPr>
            <w:tcW w:w="1529" w:type="pct"/>
            <w:tcBorders>
              <w:tl2br w:val="nil"/>
              <w:tr2bl w:val="nil"/>
            </w:tcBorders>
            <w:shd w:val="clear" w:color="auto" w:fill="auto"/>
            <w:noWrap/>
            <w:vAlign w:val="center"/>
          </w:tcPr>
          <w:p w14:paraId="67544D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5363.8858</w:t>
            </w:r>
          </w:p>
        </w:tc>
        <w:tc>
          <w:tcPr>
            <w:tcW w:w="2131" w:type="pct"/>
            <w:tcBorders>
              <w:tl2br w:val="nil"/>
              <w:tr2bl w:val="nil"/>
            </w:tcBorders>
            <w:shd w:val="clear" w:color="auto" w:fill="auto"/>
            <w:noWrap/>
            <w:vAlign w:val="center"/>
          </w:tcPr>
          <w:p w14:paraId="5447B6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6.60%</w:t>
            </w:r>
          </w:p>
        </w:tc>
      </w:tr>
      <w:tr w14:paraId="5503D7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05EE27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41" w:type="pct"/>
            <w:tcBorders>
              <w:tl2br w:val="nil"/>
              <w:tr2bl w:val="nil"/>
            </w:tcBorders>
            <w:shd w:val="clear" w:color="auto" w:fill="auto"/>
            <w:noWrap/>
            <w:vAlign w:val="center"/>
          </w:tcPr>
          <w:p w14:paraId="0234C1A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沼泽草地</w:t>
            </w:r>
          </w:p>
        </w:tc>
        <w:tc>
          <w:tcPr>
            <w:tcW w:w="1529" w:type="pct"/>
            <w:tcBorders>
              <w:tl2br w:val="nil"/>
              <w:tr2bl w:val="nil"/>
            </w:tcBorders>
            <w:shd w:val="clear" w:color="auto" w:fill="auto"/>
            <w:noWrap/>
            <w:vAlign w:val="center"/>
          </w:tcPr>
          <w:p w14:paraId="7BC315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911.9147</w:t>
            </w:r>
          </w:p>
        </w:tc>
        <w:tc>
          <w:tcPr>
            <w:tcW w:w="2131" w:type="pct"/>
            <w:tcBorders>
              <w:tl2br w:val="nil"/>
              <w:tr2bl w:val="nil"/>
            </w:tcBorders>
            <w:shd w:val="clear" w:color="auto" w:fill="auto"/>
            <w:noWrap/>
            <w:vAlign w:val="center"/>
          </w:tcPr>
          <w:p w14:paraId="07B3A2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w:t>
            </w:r>
          </w:p>
        </w:tc>
      </w:tr>
      <w:tr w14:paraId="7FA326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05FCA6C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41" w:type="pct"/>
            <w:tcBorders>
              <w:tl2br w:val="nil"/>
              <w:tr2bl w:val="nil"/>
            </w:tcBorders>
            <w:shd w:val="clear" w:color="auto" w:fill="auto"/>
            <w:noWrap/>
            <w:vAlign w:val="center"/>
          </w:tcPr>
          <w:p w14:paraId="2F0445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湖泊水面</w:t>
            </w:r>
          </w:p>
        </w:tc>
        <w:tc>
          <w:tcPr>
            <w:tcW w:w="1529" w:type="pct"/>
            <w:tcBorders>
              <w:tl2br w:val="nil"/>
              <w:tr2bl w:val="nil"/>
            </w:tcBorders>
            <w:shd w:val="clear" w:color="auto" w:fill="auto"/>
            <w:noWrap/>
            <w:vAlign w:val="center"/>
          </w:tcPr>
          <w:p w14:paraId="2B9F261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567.0036</w:t>
            </w:r>
          </w:p>
        </w:tc>
        <w:tc>
          <w:tcPr>
            <w:tcW w:w="2131" w:type="pct"/>
            <w:tcBorders>
              <w:tl2br w:val="nil"/>
              <w:tr2bl w:val="nil"/>
            </w:tcBorders>
            <w:shd w:val="clear" w:color="auto" w:fill="auto"/>
            <w:noWrap/>
            <w:vAlign w:val="center"/>
          </w:tcPr>
          <w:p w14:paraId="243BA33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0.70%</w:t>
            </w:r>
          </w:p>
        </w:tc>
      </w:tr>
      <w:tr w14:paraId="51F445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395AC1E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41" w:type="pct"/>
            <w:tcBorders>
              <w:tl2br w:val="nil"/>
              <w:tr2bl w:val="nil"/>
            </w:tcBorders>
            <w:shd w:val="clear" w:color="auto" w:fill="auto"/>
            <w:noWrap/>
            <w:vAlign w:val="center"/>
          </w:tcPr>
          <w:p w14:paraId="1AA3A2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沼泽地</w:t>
            </w:r>
          </w:p>
        </w:tc>
        <w:tc>
          <w:tcPr>
            <w:tcW w:w="1529" w:type="pct"/>
            <w:tcBorders>
              <w:tl2br w:val="nil"/>
              <w:tr2bl w:val="nil"/>
            </w:tcBorders>
            <w:shd w:val="clear" w:color="auto" w:fill="auto"/>
            <w:noWrap/>
            <w:vAlign w:val="center"/>
          </w:tcPr>
          <w:p w14:paraId="3F6AD2B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536.3031</w:t>
            </w:r>
          </w:p>
        </w:tc>
        <w:tc>
          <w:tcPr>
            <w:tcW w:w="2131" w:type="pct"/>
            <w:tcBorders>
              <w:tl2br w:val="nil"/>
              <w:tr2bl w:val="nil"/>
            </w:tcBorders>
            <w:shd w:val="clear" w:color="auto" w:fill="auto"/>
            <w:noWrap/>
            <w:vAlign w:val="center"/>
          </w:tcPr>
          <w:p w14:paraId="5A255A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0.66%</w:t>
            </w:r>
          </w:p>
        </w:tc>
      </w:tr>
      <w:tr w14:paraId="77A715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32D9033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41" w:type="pct"/>
            <w:tcBorders>
              <w:tl2br w:val="nil"/>
              <w:tr2bl w:val="nil"/>
            </w:tcBorders>
            <w:shd w:val="clear" w:color="auto" w:fill="auto"/>
            <w:noWrap/>
            <w:vAlign w:val="center"/>
          </w:tcPr>
          <w:p w14:paraId="159DBB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灌丛沼泽</w:t>
            </w:r>
          </w:p>
        </w:tc>
        <w:tc>
          <w:tcPr>
            <w:tcW w:w="1529" w:type="pct"/>
            <w:tcBorders>
              <w:tl2br w:val="nil"/>
              <w:tr2bl w:val="nil"/>
            </w:tcBorders>
            <w:shd w:val="clear" w:color="auto" w:fill="auto"/>
            <w:noWrap/>
            <w:vAlign w:val="center"/>
          </w:tcPr>
          <w:p w14:paraId="48751E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446.6878</w:t>
            </w:r>
          </w:p>
        </w:tc>
        <w:tc>
          <w:tcPr>
            <w:tcW w:w="2131" w:type="pct"/>
            <w:tcBorders>
              <w:tl2br w:val="nil"/>
              <w:tr2bl w:val="nil"/>
            </w:tcBorders>
            <w:shd w:val="clear" w:color="auto" w:fill="auto"/>
            <w:noWrap/>
            <w:vAlign w:val="center"/>
          </w:tcPr>
          <w:p w14:paraId="3ACB29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0.55%</w:t>
            </w:r>
          </w:p>
        </w:tc>
      </w:tr>
      <w:tr w14:paraId="26AC3D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15" w:hRule="atLeast"/>
        </w:trPr>
        <w:tc>
          <w:tcPr>
            <w:tcW w:w="497" w:type="pct"/>
            <w:tcBorders>
              <w:tl2br w:val="nil"/>
              <w:tr2bl w:val="nil"/>
            </w:tcBorders>
            <w:shd w:val="clear" w:color="auto" w:fill="auto"/>
            <w:noWrap/>
            <w:vAlign w:val="center"/>
          </w:tcPr>
          <w:p w14:paraId="709E08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41" w:type="pct"/>
            <w:tcBorders>
              <w:tl2br w:val="nil"/>
              <w:tr2bl w:val="nil"/>
            </w:tcBorders>
            <w:shd w:val="clear" w:color="auto" w:fill="auto"/>
            <w:noWrap/>
            <w:vAlign w:val="center"/>
          </w:tcPr>
          <w:p w14:paraId="0619D8D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529" w:type="pct"/>
            <w:tcBorders>
              <w:tl2br w:val="nil"/>
              <w:tr2bl w:val="nil"/>
            </w:tcBorders>
            <w:shd w:val="clear" w:color="auto" w:fill="auto"/>
            <w:noWrap/>
            <w:vAlign w:val="center"/>
          </w:tcPr>
          <w:p w14:paraId="083996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81286.3143</w:t>
            </w:r>
          </w:p>
        </w:tc>
        <w:tc>
          <w:tcPr>
            <w:tcW w:w="2131" w:type="pct"/>
            <w:tcBorders>
              <w:tl2br w:val="nil"/>
              <w:tr2bl w:val="nil"/>
            </w:tcBorders>
            <w:shd w:val="clear" w:color="auto" w:fill="auto"/>
            <w:noWrap/>
            <w:vAlign w:val="center"/>
          </w:tcPr>
          <w:p w14:paraId="7ED3B3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r>
    </w:tbl>
    <w:p w14:paraId="6E4954D6">
      <w:pPr>
        <w:pStyle w:val="3"/>
        <w:bidi w:val="0"/>
        <w:rPr>
          <w:rFonts w:hint="default" w:ascii="Times New Roman" w:hAnsi="Times New Roman" w:cs="Times New Roman"/>
          <w:highlight w:val="none"/>
          <w:lang w:val="en-US" w:eastAsia="zh-CN"/>
        </w:rPr>
      </w:pPr>
      <w:bookmarkStart w:id="65" w:name="_Toc16050"/>
      <w:bookmarkStart w:id="66" w:name="_Toc25562"/>
      <w:bookmarkStart w:id="67" w:name="_Toc20420"/>
      <w:r>
        <w:rPr>
          <w:rFonts w:hint="eastAsia" w:ascii="Times New Roman" w:hAnsi="Times New Roman" w:cs="Times New Roman"/>
          <w:highlight w:val="none"/>
          <w:lang w:val="en-US" w:eastAsia="zh-CN"/>
        </w:rPr>
        <w:t xml:space="preserve">第二节  </w:t>
      </w:r>
      <w:r>
        <w:rPr>
          <w:rFonts w:hint="default" w:ascii="Times New Roman" w:hAnsi="Times New Roman" w:cs="Times New Roman"/>
          <w:highlight w:val="none"/>
          <w:lang w:val="en-US" w:eastAsia="zh-CN"/>
        </w:rPr>
        <w:t>保护成效</w:t>
      </w:r>
      <w:bookmarkEnd w:id="65"/>
      <w:bookmarkEnd w:id="66"/>
      <w:bookmarkEnd w:id="67"/>
    </w:p>
    <w:p w14:paraId="3D1DA1AE">
      <w:pPr>
        <w:bidi w:val="0"/>
        <w:jc w:val="both"/>
        <w:rPr>
          <w:rFonts w:hint="default" w:ascii="Times New Roman" w:hAnsi="Times New Roman" w:cs="Times New Roman"/>
        </w:rPr>
      </w:pPr>
      <w:bookmarkStart w:id="68" w:name="OLE_LINK4"/>
      <w:r>
        <w:rPr>
          <w:rFonts w:hint="default" w:ascii="Times New Roman" w:hAnsi="Times New Roman" w:cs="Times New Roman"/>
          <w:lang w:val="en-US" w:eastAsia="zh-CN"/>
        </w:rPr>
        <w:t>党的十八大以来，习近平总书记多次强调和阐述绿水青山就是金山银山的理念，指明了实现发展和保护协同共生的新路径。</w:t>
      </w:r>
      <w:r>
        <w:rPr>
          <w:rFonts w:hint="eastAsia" w:cs="Times New Roman"/>
          <w:lang w:val="en-US" w:eastAsia="zh-CN"/>
        </w:rPr>
        <w:t>昌吉回族自治州</w:t>
      </w:r>
      <w:r>
        <w:rPr>
          <w:rFonts w:hint="default" w:ascii="Times New Roman" w:hAnsi="Times New Roman" w:cs="Times New Roman"/>
        </w:rPr>
        <w:t>深入贯彻落实习近平总书记关于加强湿地保护管理的重要指</w:t>
      </w:r>
      <w:r>
        <w:rPr>
          <w:rFonts w:hint="default" w:ascii="Times New Roman" w:hAnsi="Times New Roman" w:cs="Times New Roman"/>
          <w:highlight w:val="none"/>
        </w:rPr>
        <w:t>示批示精神，</w:t>
      </w:r>
      <w:r>
        <w:rPr>
          <w:rFonts w:hint="default" w:ascii="Times New Roman" w:hAnsi="Times New Roman" w:cs="Times New Roman"/>
          <w:highlight w:val="none"/>
          <w:lang w:val="en-US" w:eastAsia="zh-CN"/>
        </w:rPr>
        <w:t>切实落实自治区的相关政策和规划，申报建立了</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个</w:t>
      </w:r>
      <w:r>
        <w:rPr>
          <w:rFonts w:hint="default" w:ascii="Times New Roman" w:hAnsi="Times New Roman" w:cs="Times New Roman"/>
          <w:highlight w:val="none"/>
          <w:lang w:val="en-US" w:eastAsia="zh-CN"/>
        </w:rPr>
        <w:t>国家</w:t>
      </w:r>
      <w:r>
        <w:rPr>
          <w:rFonts w:hint="default" w:ascii="Times New Roman" w:hAnsi="Times New Roman" w:cs="Times New Roman"/>
          <w:lang w:val="en-US" w:eastAsia="zh-CN"/>
        </w:rPr>
        <w:t>级湿地公园，实施了多个河湖污染治理工程，</w:t>
      </w:r>
      <w:r>
        <w:rPr>
          <w:rFonts w:hint="default" w:ascii="Times New Roman" w:hAnsi="Times New Roman" w:cs="Times New Roman"/>
        </w:rPr>
        <w:t>以提升湿地生态系统的原真性、完整性、可持续性和生物多样性为重点，坚持保护优先、系统治理，开展科学修复、合理利用，全</w:t>
      </w:r>
      <w:r>
        <w:rPr>
          <w:rFonts w:hint="default" w:ascii="Times New Roman" w:hAnsi="Times New Roman" w:cs="Times New Roman"/>
          <w:lang w:val="en-US" w:eastAsia="zh-CN"/>
        </w:rPr>
        <w:t>州</w:t>
      </w:r>
      <w:r>
        <w:rPr>
          <w:rFonts w:hint="default" w:ascii="Times New Roman" w:hAnsi="Times New Roman" w:cs="Times New Roman"/>
        </w:rPr>
        <w:t>湿地保护管理工作取得</w:t>
      </w:r>
      <w:r>
        <w:rPr>
          <w:rFonts w:hint="default" w:ascii="Times New Roman" w:hAnsi="Times New Roman" w:cs="Times New Roman"/>
          <w:lang w:val="en-US" w:eastAsia="zh-CN"/>
        </w:rPr>
        <w:t>较大</w:t>
      </w:r>
      <w:r>
        <w:rPr>
          <w:rFonts w:hint="default" w:ascii="Times New Roman" w:hAnsi="Times New Roman" w:cs="Times New Roman"/>
        </w:rPr>
        <w:t>成效。</w:t>
      </w:r>
    </w:p>
    <w:bookmarkEnd w:id="68"/>
    <w:p w14:paraId="3CFD2CCA">
      <w:pPr>
        <w:pStyle w:val="4"/>
        <w:bidi w:val="0"/>
        <w:rPr>
          <w:rFonts w:hint="eastAsia" w:ascii="Times New Roman" w:hAnsi="Times New Roman" w:eastAsia="黑体" w:cs="Times New Roman"/>
          <w:highlight w:val="none"/>
          <w:lang w:eastAsia="zh-CN"/>
        </w:rPr>
      </w:pPr>
      <w:bookmarkStart w:id="69" w:name="_Toc31403"/>
      <w:bookmarkStart w:id="70" w:name="_Toc6490"/>
      <w:bookmarkStart w:id="71" w:name="OLE_LINK60"/>
      <w:r>
        <w:rPr>
          <w:rFonts w:hint="default" w:ascii="Times New Roman" w:hAnsi="Times New Roman" w:cs="Times New Roman"/>
          <w:highlight w:val="none"/>
          <w:lang w:val="en-US" w:eastAsia="zh-CN"/>
        </w:rPr>
        <w:t>1、</w:t>
      </w:r>
      <w:bookmarkStart w:id="72" w:name="OLE_LINK41"/>
      <w:r>
        <w:rPr>
          <w:rFonts w:hint="default" w:ascii="Times New Roman" w:hAnsi="Times New Roman" w:cs="Times New Roman"/>
          <w:highlight w:val="none"/>
        </w:rPr>
        <w:t>湿地自然保护地体系初步建立</w:t>
      </w:r>
      <w:bookmarkEnd w:id="69"/>
      <w:bookmarkEnd w:id="70"/>
      <w:bookmarkEnd w:id="72"/>
    </w:p>
    <w:bookmarkEnd w:id="71"/>
    <w:p w14:paraId="44B15156">
      <w:pPr>
        <w:bidi w:val="0"/>
        <w:jc w:val="both"/>
        <w:rPr>
          <w:rFonts w:hint="default" w:ascii="Times New Roman" w:hAnsi="Times New Roman" w:cs="Times New Roman"/>
        </w:rPr>
      </w:pPr>
      <w:bookmarkStart w:id="73" w:name="OLE_LINK5"/>
      <w:r>
        <w:rPr>
          <w:rFonts w:hint="eastAsia" w:cs="Times New Roman"/>
          <w:lang w:val="en-US" w:eastAsia="zh-CN"/>
        </w:rPr>
        <w:t>近年来</w:t>
      </w:r>
      <w:r>
        <w:rPr>
          <w:rFonts w:hint="default" w:ascii="Times New Roman" w:hAnsi="Times New Roman" w:cs="Times New Roman"/>
          <w:lang w:val="en-US" w:eastAsia="zh-CN"/>
        </w:rPr>
        <w:t>，全州共</w:t>
      </w:r>
      <w:r>
        <w:rPr>
          <w:rFonts w:hint="default" w:ascii="Times New Roman" w:hAnsi="Times New Roman" w:cs="Times New Roman"/>
        </w:rPr>
        <w:t>建立</w:t>
      </w:r>
      <w:r>
        <w:rPr>
          <w:rFonts w:hint="default" w:ascii="Times New Roman" w:hAnsi="Times New Roman" w:cs="Times New Roman"/>
          <w:lang w:val="en-US" w:eastAsia="zh-CN"/>
        </w:rPr>
        <w:t>玛纳斯国家湿地公园、呼图壁大海子国家湿地公园、吉木萨尔北庭国家湿地公园、阜康特纳格尔国家湿地公园4处</w:t>
      </w:r>
      <w:r>
        <w:rPr>
          <w:rFonts w:hint="default" w:ascii="Times New Roman" w:hAnsi="Times New Roman" w:cs="Times New Roman"/>
        </w:rPr>
        <w:t>国家级湿地公园，初步建立湿地公园保护形式的湿地保护体系。</w:t>
      </w:r>
    </w:p>
    <w:p w14:paraId="59C6B9F8">
      <w:pPr>
        <w:bidi w:val="0"/>
        <w:jc w:val="both"/>
        <w:rPr>
          <w:rFonts w:hint="default" w:ascii="Times New Roman" w:hAnsi="Times New Roman" w:eastAsia="仿宋" w:cs="Times New Roman"/>
          <w:lang w:val="en-US" w:eastAsia="zh-CN"/>
        </w:rPr>
      </w:pPr>
      <w:r>
        <w:rPr>
          <w:rFonts w:hint="default" w:ascii="Times New Roman" w:hAnsi="Times New Roman" w:cs="Times New Roman"/>
          <w:lang w:val="en-US" w:eastAsia="zh-CN"/>
        </w:rPr>
        <w:t>4处</w:t>
      </w:r>
      <w:r>
        <w:rPr>
          <w:rFonts w:hint="default" w:ascii="Times New Roman" w:hAnsi="Times New Roman" w:cs="Times New Roman"/>
        </w:rPr>
        <w:t>国家级湿地公园</w:t>
      </w:r>
      <w:r>
        <w:rPr>
          <w:rFonts w:hint="eastAsia" w:cs="Times New Roman"/>
          <w:lang w:val="en-US" w:eastAsia="zh-CN"/>
        </w:rPr>
        <w:t>已设立独立管理机构，负责湿地公园的具体建设、保护、开发、运营和管理工作。玛纳斯县人民政府于2011年成立“玛纳斯国家湿地公园管理局”，其内设办公室、湿地保护科、产业科、野生动植物保护科4个机构；呼图壁县政府于2015年规划组建“呼图壁大海子国家湿地公园管理处”，其下设办公室、保护管理科、科研监测科、科普宣教科、社区共管科、湿地生态旅游服务公司六个功能部门；吉木萨尔县政府于2014年规划组建“吉木萨尔北庭国家湿地公园管理局”，其下设综合管理办公室、湿地保护管理中心、科研监测中心、旅游咨询处、生物传染病防治中心、动物救护站六个功能部门；阜康市政府于2016年规划建立“新疆阜康特纳格尔国家湿地公园管理局”，下设综合办公室、湿地保护科、科普宣教科、计划财务科四个职能科室。</w:t>
      </w:r>
    </w:p>
    <w:bookmarkEnd w:id="73"/>
    <w:p w14:paraId="710B1AE7">
      <w:pPr>
        <w:pStyle w:val="4"/>
        <w:bidi w:val="0"/>
        <w:rPr>
          <w:rFonts w:hint="default" w:ascii="Times New Roman" w:hAnsi="Times New Roman" w:eastAsia="黑体" w:cs="Times New Roman"/>
          <w:lang w:val="en-US" w:eastAsia="zh-CN"/>
        </w:rPr>
      </w:pPr>
      <w:bookmarkStart w:id="74" w:name="_Toc28893"/>
      <w:bookmarkStart w:id="75" w:name="_Toc482"/>
      <w:r>
        <w:rPr>
          <w:rFonts w:hint="default" w:ascii="Times New Roman" w:hAnsi="Times New Roman" w:cs="Times New Roman"/>
          <w:lang w:val="en-US" w:eastAsia="zh-CN"/>
        </w:rPr>
        <w:t>2、</w:t>
      </w:r>
      <w:bookmarkStart w:id="76" w:name="OLE_LINK42"/>
      <w:r>
        <w:rPr>
          <w:rFonts w:hint="default" w:ascii="Times New Roman" w:hAnsi="Times New Roman" w:cs="Times New Roman"/>
        </w:rPr>
        <w:t>湿地</w:t>
      </w:r>
      <w:r>
        <w:rPr>
          <w:rFonts w:hint="default" w:ascii="Times New Roman" w:hAnsi="Times New Roman" w:cs="Times New Roman"/>
          <w:lang w:val="en-US" w:eastAsia="zh-CN"/>
        </w:rPr>
        <w:t>管理和</w:t>
      </w:r>
      <w:r>
        <w:rPr>
          <w:rFonts w:hint="default" w:ascii="Times New Roman" w:hAnsi="Times New Roman" w:cs="Times New Roman"/>
        </w:rPr>
        <w:t>保护修复</w:t>
      </w:r>
      <w:bookmarkEnd w:id="74"/>
      <w:bookmarkEnd w:id="75"/>
      <w:bookmarkEnd w:id="76"/>
      <w:r>
        <w:rPr>
          <w:rFonts w:hint="eastAsia" w:cs="Times New Roman"/>
          <w:lang w:val="en-US" w:eastAsia="zh-CN"/>
        </w:rPr>
        <w:t>成效显现</w:t>
      </w:r>
    </w:p>
    <w:p w14:paraId="6B8C321F">
      <w:pPr>
        <w:bidi w:val="0"/>
        <w:jc w:val="both"/>
        <w:rPr>
          <w:rFonts w:hint="default" w:ascii="Times New Roman" w:hAnsi="Times New Roman" w:cs="Times New Roman"/>
          <w:lang w:val="en-US" w:eastAsia="zh-CN"/>
        </w:rPr>
      </w:pPr>
      <w:bookmarkStart w:id="77" w:name="OLE_LINK6"/>
      <w:r>
        <w:rPr>
          <w:rFonts w:hint="eastAsia" w:cs="Times New Roman"/>
          <w:b/>
          <w:bCs/>
          <w:lang w:val="en-US" w:eastAsia="zh-CN"/>
        </w:rPr>
        <w:t>（1）</w:t>
      </w:r>
      <w:bookmarkStart w:id="78" w:name="OLE_LINK232"/>
      <w:r>
        <w:rPr>
          <w:rFonts w:hint="default" w:ascii="Times New Roman" w:hAnsi="Times New Roman" w:cs="Times New Roman"/>
          <w:b/>
          <w:bCs/>
          <w:lang w:val="en-US" w:eastAsia="zh-CN"/>
        </w:rPr>
        <w:t>完善湿地保护法规制度</w:t>
      </w:r>
      <w:bookmarkEnd w:id="78"/>
      <w:r>
        <w:rPr>
          <w:rFonts w:hint="default" w:ascii="Times New Roman" w:hAnsi="Times New Roman" w:cs="Times New Roman"/>
          <w:b/>
          <w:bCs/>
          <w:lang w:val="en-US" w:eastAsia="zh-CN"/>
        </w:rPr>
        <w:t>。</w:t>
      </w:r>
      <w:r>
        <w:rPr>
          <w:rFonts w:hint="eastAsia" w:cs="Times New Roman"/>
          <w:lang w:val="en-US" w:eastAsia="zh-CN"/>
        </w:rPr>
        <w:t>昌吉回族自治州</w:t>
      </w:r>
      <w:r>
        <w:rPr>
          <w:rFonts w:hint="default" w:ascii="Times New Roman" w:hAnsi="Times New Roman" w:cs="Times New Roman"/>
          <w:lang w:val="en-US" w:eastAsia="zh-CN"/>
        </w:rPr>
        <w:t>把法规制度建设作为湿地保护管理的重要内容，围绕重点区域、重要湿地和关键环节，制定</w:t>
      </w:r>
      <w:r>
        <w:rPr>
          <w:rFonts w:hint="eastAsia" w:cs="Times New Roman"/>
          <w:lang w:val="en-US" w:eastAsia="zh-CN"/>
        </w:rPr>
        <w:t>相应条例。《新疆玛纳斯国家湿地公园保护条例》于2014年1月24日经‌昌吉回族自治州第十四届人民代表大会第三次会议审议通过，并于2014年7月25日由新疆维吾尔自治区第十二届人民代表大会常务委员会第九次会议审议批准。此为玛纳斯湿地公园保护管理提供了制度依据，为昌吉回族自治州湿地保护管理逐渐规范化、制度化奠定了基础。‌‌</w:t>
      </w:r>
    </w:p>
    <w:p w14:paraId="526E7909">
      <w:pPr>
        <w:bidi w:val="0"/>
        <w:jc w:val="both"/>
        <w:rPr>
          <w:rFonts w:hint="default" w:ascii="Times New Roman" w:hAnsi="Times New Roman" w:cs="Times New Roman"/>
          <w:lang w:val="en-US" w:eastAsia="zh-CN"/>
        </w:rPr>
      </w:pPr>
      <w:r>
        <w:rPr>
          <w:rFonts w:hint="eastAsia" w:cs="Times New Roman"/>
          <w:b/>
          <w:bCs/>
          <w:lang w:val="en-US" w:eastAsia="zh-CN"/>
        </w:rPr>
        <w:t>（</w:t>
      </w:r>
      <w:bookmarkStart w:id="79" w:name="OLE_LINK132"/>
      <w:r>
        <w:rPr>
          <w:rFonts w:hint="eastAsia" w:cs="Times New Roman"/>
          <w:b/>
          <w:bCs/>
          <w:highlight w:val="none"/>
          <w:lang w:val="en-US" w:eastAsia="zh-CN"/>
        </w:rPr>
        <w:t>2）</w:t>
      </w:r>
      <w:bookmarkStart w:id="80" w:name="OLE_LINK231"/>
      <w:bookmarkStart w:id="81" w:name="OLE_LINK43"/>
      <w:r>
        <w:rPr>
          <w:rFonts w:hint="default" w:ascii="Times New Roman" w:hAnsi="Times New Roman" w:cs="Times New Roman"/>
          <w:b/>
          <w:bCs/>
          <w:highlight w:val="none"/>
          <w:lang w:val="en-US" w:eastAsia="zh-CN"/>
        </w:rPr>
        <w:t>落实湿地分级管理体系</w:t>
      </w:r>
      <w:bookmarkEnd w:id="80"/>
      <w:r>
        <w:rPr>
          <w:rFonts w:hint="default" w:ascii="Times New Roman" w:hAnsi="Times New Roman" w:cs="Times New Roman"/>
          <w:b/>
          <w:bCs/>
          <w:highlight w:val="none"/>
          <w:lang w:val="en-US" w:eastAsia="zh-CN"/>
        </w:rPr>
        <w:t>。</w:t>
      </w:r>
      <w:bookmarkEnd w:id="81"/>
      <w:bookmarkStart w:id="82" w:name="OLE_LINK114"/>
      <w:r>
        <w:rPr>
          <w:rFonts w:hint="default" w:ascii="Times New Roman" w:hAnsi="Times New Roman" w:cs="Times New Roman"/>
          <w:highlight w:val="none"/>
          <w:lang w:val="en-US" w:eastAsia="zh-CN"/>
        </w:rPr>
        <w:t>全州湿地按</w:t>
      </w:r>
      <w:bookmarkStart w:id="83" w:name="OLE_LINK61"/>
      <w:r>
        <w:rPr>
          <w:rFonts w:hint="eastAsia" w:cs="Times New Roman"/>
          <w:highlight w:val="none"/>
          <w:lang w:val="en-US" w:eastAsia="zh-CN"/>
        </w:rPr>
        <w:t>自治</w:t>
      </w:r>
      <w:bookmarkEnd w:id="79"/>
      <w:r>
        <w:rPr>
          <w:rFonts w:hint="eastAsia" w:cs="Times New Roman"/>
          <w:lang w:val="en-US" w:eastAsia="zh-CN"/>
        </w:rPr>
        <w:t>区</w:t>
      </w:r>
      <w:r>
        <w:rPr>
          <w:rFonts w:hint="default" w:ascii="Times New Roman" w:hAnsi="Times New Roman" w:cs="Times New Roman"/>
          <w:lang w:val="en-US" w:eastAsia="zh-CN"/>
        </w:rPr>
        <w:t>重要湿地和一般湿地分级管理。</w:t>
      </w:r>
      <w:bookmarkEnd w:id="82"/>
      <w:bookmarkStart w:id="84" w:name="OLE_LINK62"/>
    </w:p>
    <w:p w14:paraId="23109FE1">
      <w:pPr>
        <w:bidi w:val="0"/>
        <w:jc w:val="both"/>
        <w:rPr>
          <w:rFonts w:hint="default" w:ascii="Times New Roman" w:hAnsi="Times New Roman" w:cs="Times New Roman"/>
          <w:lang w:val="en-US" w:eastAsia="zh-CN"/>
        </w:rPr>
      </w:pPr>
      <w:r>
        <w:rPr>
          <w:rFonts w:hint="eastAsia" w:cs="Times New Roman"/>
          <w:lang w:val="en-US" w:eastAsia="zh-CN"/>
        </w:rPr>
        <w:t>完成了</w:t>
      </w:r>
      <w:r>
        <w:rPr>
          <w:rFonts w:hint="default" w:ascii="Times New Roman" w:hAnsi="Times New Roman" w:cs="Times New Roman"/>
          <w:lang w:val="en-US" w:eastAsia="zh-CN"/>
        </w:rPr>
        <w:t>4个国家级湿地公园</w:t>
      </w:r>
      <w:r>
        <w:rPr>
          <w:rFonts w:hint="eastAsia" w:cs="Times New Roman"/>
          <w:lang w:val="en-US" w:eastAsia="zh-CN"/>
        </w:rPr>
        <w:t>总体规划的编制</w:t>
      </w:r>
      <w:r>
        <w:rPr>
          <w:rFonts w:hint="default" w:ascii="Times New Roman" w:hAnsi="Times New Roman" w:cs="Times New Roman"/>
          <w:lang w:val="en-US" w:eastAsia="zh-CN"/>
        </w:rPr>
        <w:t>，按照生态保护优先、综合治理、分类管理、科学规划、动态调整的原则，明确湿地的保护范围、</w:t>
      </w:r>
      <w:bookmarkEnd w:id="83"/>
      <w:r>
        <w:rPr>
          <w:rFonts w:hint="default" w:ascii="Times New Roman" w:hAnsi="Times New Roman" w:cs="Times New Roman"/>
          <w:lang w:val="en-US" w:eastAsia="zh-CN"/>
        </w:rPr>
        <w:t>保护目标，限制利用和开发，确保湿地生态系统的稳定性和生态功能的发挥，防止大面</w:t>
      </w:r>
      <w:bookmarkStart w:id="85" w:name="OLE_LINK126"/>
      <w:r>
        <w:rPr>
          <w:rFonts w:hint="default" w:ascii="Times New Roman" w:hAnsi="Times New Roman" w:cs="Times New Roman"/>
          <w:lang w:val="en-US" w:eastAsia="zh-CN"/>
        </w:rPr>
        <w:t>积破坏和损伤湿地生态系统</w:t>
      </w:r>
      <w:r>
        <w:rPr>
          <w:rFonts w:hint="eastAsia" w:cs="Times New Roman"/>
          <w:lang w:val="en-US" w:eastAsia="zh-CN"/>
        </w:rPr>
        <w:t>；</w:t>
      </w:r>
      <w:r>
        <w:rPr>
          <w:rFonts w:hint="default" w:ascii="Times New Roman" w:hAnsi="Times New Roman" w:cs="Times New Roman"/>
          <w:lang w:val="en-US" w:eastAsia="zh-CN"/>
        </w:rPr>
        <w:t>对</w:t>
      </w:r>
      <w:bookmarkEnd w:id="85"/>
      <w:bookmarkStart w:id="86" w:name="OLE_LINK128"/>
      <w:r>
        <w:rPr>
          <w:rFonts w:hint="default" w:ascii="Times New Roman" w:hAnsi="Times New Roman" w:cs="Times New Roman"/>
          <w:lang w:val="en-US" w:eastAsia="zh-CN"/>
        </w:rPr>
        <w:t>于确</w:t>
      </w:r>
      <w:bookmarkStart w:id="87" w:name="OLE_LINK127"/>
      <w:r>
        <w:rPr>
          <w:rFonts w:hint="default" w:ascii="Times New Roman" w:hAnsi="Times New Roman" w:cs="Times New Roman"/>
          <w:lang w:val="en-US" w:eastAsia="zh-CN"/>
        </w:rPr>
        <w:t>有需要的开</w:t>
      </w:r>
      <w:bookmarkEnd w:id="87"/>
      <w:r>
        <w:rPr>
          <w:rFonts w:hint="default" w:ascii="Times New Roman" w:hAnsi="Times New Roman" w:cs="Times New Roman"/>
          <w:lang w:val="en-US" w:eastAsia="zh-CN"/>
        </w:rPr>
        <w:t>发和利用行为</w:t>
      </w:r>
      <w:bookmarkEnd w:id="86"/>
      <w:r>
        <w:rPr>
          <w:rFonts w:hint="default" w:ascii="Times New Roman" w:hAnsi="Times New Roman" w:cs="Times New Roman"/>
          <w:lang w:val="en-US" w:eastAsia="zh-CN"/>
        </w:rPr>
        <w:t>，经</w:t>
      </w:r>
      <w:bookmarkStart w:id="88" w:name="OLE_LINK129"/>
      <w:r>
        <w:rPr>
          <w:rFonts w:hint="default" w:ascii="Times New Roman" w:hAnsi="Times New Roman" w:cs="Times New Roman"/>
          <w:lang w:val="en-US" w:eastAsia="zh-CN"/>
        </w:rPr>
        <w:t>过相关部门审批，并制定环境影响评价报告</w:t>
      </w:r>
      <w:bookmarkEnd w:id="88"/>
      <w:r>
        <w:rPr>
          <w:rFonts w:hint="default" w:ascii="Times New Roman" w:hAnsi="Times New Roman" w:cs="Times New Roman"/>
          <w:lang w:val="en-US" w:eastAsia="zh-CN"/>
        </w:rPr>
        <w:t>；</w:t>
      </w:r>
      <w:bookmarkStart w:id="89" w:name="OLE_LINK130"/>
      <w:r>
        <w:rPr>
          <w:rFonts w:hint="default" w:ascii="Times New Roman" w:hAnsi="Times New Roman" w:cs="Times New Roman"/>
          <w:lang w:val="en-US" w:eastAsia="zh-CN"/>
        </w:rPr>
        <w:t>同时加大</w:t>
      </w:r>
      <w:r>
        <w:rPr>
          <w:rFonts w:hint="eastAsia" w:cs="Times New Roman"/>
          <w:lang w:val="en-US" w:eastAsia="zh-CN"/>
        </w:rPr>
        <w:t>了</w:t>
      </w:r>
      <w:r>
        <w:rPr>
          <w:rFonts w:hint="default" w:ascii="Times New Roman" w:hAnsi="Times New Roman" w:cs="Times New Roman"/>
          <w:lang w:val="en-US" w:eastAsia="zh-CN"/>
        </w:rPr>
        <w:t>监督执法力度，加强</w:t>
      </w:r>
      <w:r>
        <w:rPr>
          <w:rFonts w:hint="eastAsia" w:cs="Times New Roman"/>
          <w:lang w:val="en-US" w:eastAsia="zh-CN"/>
        </w:rPr>
        <w:t>了</w:t>
      </w:r>
      <w:r>
        <w:rPr>
          <w:rFonts w:hint="default" w:ascii="Times New Roman" w:hAnsi="Times New Roman" w:cs="Times New Roman"/>
          <w:lang w:val="en-US" w:eastAsia="zh-CN"/>
        </w:rPr>
        <w:t>监测和</w:t>
      </w:r>
      <w:bookmarkEnd w:id="89"/>
      <w:r>
        <w:rPr>
          <w:rFonts w:hint="default" w:ascii="Times New Roman" w:hAnsi="Times New Roman" w:cs="Times New Roman"/>
          <w:lang w:val="en-US" w:eastAsia="zh-CN"/>
        </w:rPr>
        <w:t>评估，对湿地资源进行动态监管，及时发</w:t>
      </w:r>
      <w:bookmarkStart w:id="90" w:name="OLE_LINK131"/>
      <w:r>
        <w:rPr>
          <w:rFonts w:hint="default" w:ascii="Times New Roman" w:hAnsi="Times New Roman" w:cs="Times New Roman"/>
          <w:lang w:val="en-US" w:eastAsia="zh-CN"/>
        </w:rPr>
        <w:t>现问题并采取</w:t>
      </w:r>
      <w:r>
        <w:rPr>
          <w:rFonts w:hint="eastAsia" w:cs="Times New Roman"/>
          <w:lang w:val="en-US" w:eastAsia="zh-CN"/>
        </w:rPr>
        <w:t>了</w:t>
      </w:r>
      <w:r>
        <w:rPr>
          <w:rFonts w:hint="default" w:ascii="Times New Roman" w:hAnsi="Times New Roman" w:cs="Times New Roman"/>
          <w:lang w:val="en-US" w:eastAsia="zh-CN"/>
        </w:rPr>
        <w:t>相应措施，开展湿地生态状况监测评估等。</w:t>
      </w:r>
    </w:p>
    <w:bookmarkEnd w:id="84"/>
    <w:bookmarkEnd w:id="90"/>
    <w:p w14:paraId="719481BB">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对</w:t>
      </w:r>
      <w:bookmarkStart w:id="91" w:name="OLE_LINK135"/>
      <w:r>
        <w:rPr>
          <w:rFonts w:hint="eastAsia" w:cs="Times New Roman"/>
          <w:lang w:val="en-US" w:eastAsia="zh-CN"/>
        </w:rPr>
        <w:t>昌吉回族自治州</w:t>
      </w:r>
      <w:r>
        <w:rPr>
          <w:rFonts w:hint="default" w:ascii="Times New Roman" w:hAnsi="Times New Roman" w:cs="Times New Roman"/>
          <w:lang w:val="en-US" w:eastAsia="zh-CN"/>
        </w:rPr>
        <w:t>内其他一般湿地制定一般湿地保护和管理计划，实现不同湿地类型和特征的差异化管理；强化</w:t>
      </w:r>
      <w:r>
        <w:rPr>
          <w:rFonts w:hint="eastAsia" w:cs="Times New Roman"/>
          <w:lang w:val="en-US" w:eastAsia="zh-CN"/>
        </w:rPr>
        <w:t>了一般</w:t>
      </w:r>
      <w:r>
        <w:rPr>
          <w:rFonts w:hint="default" w:ascii="Times New Roman" w:hAnsi="Times New Roman" w:cs="Times New Roman"/>
          <w:lang w:val="en-US" w:eastAsia="zh-CN"/>
        </w:rPr>
        <w:t>湿地</w:t>
      </w:r>
      <w:bookmarkEnd w:id="91"/>
      <w:r>
        <w:rPr>
          <w:rFonts w:hint="default" w:ascii="Times New Roman" w:hAnsi="Times New Roman" w:cs="Times New Roman"/>
          <w:lang w:val="en-US" w:eastAsia="zh-CN"/>
        </w:rPr>
        <w:t>的</w:t>
      </w:r>
      <w:bookmarkStart w:id="92" w:name="OLE_LINK136"/>
      <w:r>
        <w:rPr>
          <w:rFonts w:hint="default" w:ascii="Times New Roman" w:hAnsi="Times New Roman" w:cs="Times New Roman"/>
          <w:lang w:val="en-US" w:eastAsia="zh-CN"/>
        </w:rPr>
        <w:t>监测，加强</w:t>
      </w:r>
      <w:r>
        <w:rPr>
          <w:rFonts w:hint="eastAsia" w:cs="Times New Roman"/>
          <w:lang w:val="en-US" w:eastAsia="zh-CN"/>
        </w:rPr>
        <w:t>了一般</w:t>
      </w:r>
      <w:r>
        <w:rPr>
          <w:rFonts w:hint="default" w:ascii="Times New Roman" w:hAnsi="Times New Roman" w:cs="Times New Roman"/>
          <w:lang w:val="en-US" w:eastAsia="zh-CN"/>
        </w:rPr>
        <w:t>湿地的管理机制和资源保障；制定湿地资源主管部门和保护区管理机构的管理制度，建立健全的监督体系，加强湿地生态环境的监测和评价；建立</w:t>
      </w:r>
      <w:r>
        <w:rPr>
          <w:rFonts w:hint="eastAsia" w:cs="Times New Roman"/>
          <w:lang w:val="en-US" w:eastAsia="zh-CN"/>
        </w:rPr>
        <w:t>了</w:t>
      </w:r>
      <w:r>
        <w:rPr>
          <w:rFonts w:hint="default" w:ascii="Times New Roman" w:hAnsi="Times New Roman" w:cs="Times New Roman"/>
          <w:lang w:val="en-US" w:eastAsia="zh-CN"/>
        </w:rPr>
        <w:t>湿地修复和生态保护机制，采取保护性开发和</w:t>
      </w:r>
      <w:r>
        <w:rPr>
          <w:rFonts w:hint="eastAsia" w:cs="Times New Roman"/>
          <w:lang w:val="en-US" w:eastAsia="zh-CN"/>
        </w:rPr>
        <w:t>综合治理</w:t>
      </w:r>
      <w:r>
        <w:rPr>
          <w:rFonts w:hint="default" w:ascii="Times New Roman" w:hAnsi="Times New Roman" w:cs="Times New Roman"/>
          <w:lang w:val="en-US" w:eastAsia="zh-CN"/>
        </w:rPr>
        <w:t>的方式，促进</w:t>
      </w:r>
      <w:r>
        <w:rPr>
          <w:rFonts w:hint="eastAsia" w:cs="Times New Roman"/>
          <w:lang w:val="en-US" w:eastAsia="zh-CN"/>
        </w:rPr>
        <w:t>了</w:t>
      </w:r>
      <w:r>
        <w:rPr>
          <w:rFonts w:hint="default" w:ascii="Times New Roman" w:hAnsi="Times New Roman" w:cs="Times New Roman"/>
          <w:lang w:val="en-US" w:eastAsia="zh-CN"/>
        </w:rPr>
        <w:t>湿地生态系统的恢复和发展；加大湿地环境监管力度，制定湿地环境</w:t>
      </w:r>
      <w:bookmarkEnd w:id="92"/>
      <w:r>
        <w:rPr>
          <w:rFonts w:hint="default" w:ascii="Times New Roman" w:hAnsi="Times New Roman" w:cs="Times New Roman"/>
          <w:lang w:val="en-US" w:eastAsia="zh-CN"/>
        </w:rPr>
        <w:t>质量标准和监测评估方法，开展专项执法检查，加强湿地环境安全保障。</w:t>
      </w:r>
    </w:p>
    <w:p w14:paraId="71072366">
      <w:pPr>
        <w:bidi w:val="0"/>
        <w:jc w:val="both"/>
        <w:rPr>
          <w:rFonts w:hint="default" w:cs="Times New Roman"/>
          <w:lang w:val="en-US" w:eastAsia="zh-CN"/>
        </w:rPr>
      </w:pPr>
      <w:bookmarkStart w:id="93" w:name="OLE_LINK72"/>
      <w:r>
        <w:rPr>
          <w:rFonts w:hint="eastAsia" w:cs="Times New Roman"/>
          <w:b/>
          <w:bCs/>
          <w:highlight w:val="none"/>
          <w:lang w:val="en-US" w:eastAsia="zh-CN"/>
        </w:rPr>
        <w:t>（3</w:t>
      </w:r>
      <w:bookmarkStart w:id="94" w:name="OLE_LINK71"/>
      <w:r>
        <w:rPr>
          <w:rFonts w:hint="eastAsia" w:cs="Times New Roman"/>
          <w:b/>
          <w:bCs/>
          <w:highlight w:val="none"/>
          <w:lang w:val="en-US" w:eastAsia="zh-CN"/>
        </w:rPr>
        <w:t>）</w:t>
      </w:r>
      <w:bookmarkStart w:id="95" w:name="OLE_LINK112"/>
      <w:bookmarkStart w:id="96" w:name="OLE_LINK44"/>
      <w:r>
        <w:rPr>
          <w:rFonts w:hint="default" w:ascii="Times New Roman" w:hAnsi="Times New Roman" w:cs="Times New Roman"/>
          <w:b/>
          <w:bCs/>
          <w:highlight w:val="none"/>
          <w:lang w:val="en-US" w:eastAsia="zh-CN"/>
        </w:rPr>
        <w:t>实行湿地面积总量管控</w:t>
      </w:r>
      <w:bookmarkEnd w:id="95"/>
      <w:r>
        <w:rPr>
          <w:rFonts w:hint="default" w:ascii="Times New Roman" w:hAnsi="Times New Roman" w:cs="Times New Roman"/>
          <w:b/>
          <w:bCs/>
          <w:highlight w:val="none"/>
          <w:lang w:val="en-US" w:eastAsia="zh-CN"/>
        </w:rPr>
        <w:t>。</w:t>
      </w:r>
      <w:bookmarkEnd w:id="94"/>
      <w:bookmarkEnd w:id="96"/>
      <w:bookmarkStart w:id="97" w:name="OLE_LINK64"/>
      <w:bookmarkStart w:id="98" w:name="OLE_LINK63"/>
      <w:r>
        <w:rPr>
          <w:rFonts w:hint="default" w:ascii="Times New Roman" w:hAnsi="Times New Roman" w:cs="Times New Roman"/>
          <w:highlight w:val="none"/>
          <w:lang w:val="en-US" w:eastAsia="zh-CN"/>
        </w:rPr>
        <w:t>落实湿地面积总量管控制度，</w:t>
      </w:r>
      <w:bookmarkEnd w:id="97"/>
      <w:r>
        <w:rPr>
          <w:rFonts w:hint="default" w:ascii="Times New Roman" w:hAnsi="Times New Roman" w:cs="Times New Roman"/>
          <w:highlight w:val="none"/>
          <w:lang w:val="en-US" w:eastAsia="zh-CN"/>
        </w:rPr>
        <w:t>确定</w:t>
      </w:r>
      <w:bookmarkEnd w:id="98"/>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湿地面积管控目标，将湿地面积</w:t>
      </w:r>
      <w:bookmarkEnd w:id="93"/>
      <w:r>
        <w:rPr>
          <w:rFonts w:hint="default" w:ascii="Times New Roman" w:hAnsi="Times New Roman" w:cs="Times New Roman"/>
          <w:lang w:val="en-US" w:eastAsia="zh-CN"/>
        </w:rPr>
        <w:t>总量管控目标纳入湿地保护目标责任制</w:t>
      </w:r>
      <w:r>
        <w:rPr>
          <w:rFonts w:hint="eastAsia" w:cs="Times New Roman"/>
          <w:lang w:val="en-US" w:eastAsia="zh-CN"/>
        </w:rPr>
        <w:t>。</w:t>
      </w:r>
    </w:p>
    <w:p w14:paraId="26E0C9AF">
      <w:pPr>
        <w:bidi w:val="0"/>
        <w:jc w:val="both"/>
        <w:rPr>
          <w:rFonts w:hint="default" w:ascii="Times New Roman" w:hAnsi="Times New Roman" w:cs="Times New Roman"/>
          <w:highlight w:val="none"/>
          <w:lang w:val="en-US" w:eastAsia="zh-CN"/>
        </w:rPr>
      </w:pPr>
      <w:r>
        <w:rPr>
          <w:rFonts w:hint="default" w:ascii="Times New Roman" w:hAnsi="Times New Roman" w:cs="Times New Roman"/>
          <w:lang w:val="en-US" w:eastAsia="zh-CN"/>
        </w:rPr>
        <w:t>强化湿地整体性保护，积极推进湿地公园建设，实施对各类资源一体保护、系统治理。</w:t>
      </w:r>
      <w:bookmarkStart w:id="99" w:name="OLE_LINK70"/>
      <w:r>
        <w:rPr>
          <w:rFonts w:hint="default" w:ascii="Times New Roman" w:hAnsi="Times New Roman" w:cs="Times New Roman"/>
          <w:lang w:val="en-US" w:eastAsia="zh-CN"/>
        </w:rPr>
        <w:t>加强湿地用途管控，坚持“绕行、避让、减量”原则，严把湿地公园征占用审核关，</w:t>
      </w:r>
      <w:bookmarkEnd w:id="99"/>
      <w:r>
        <w:rPr>
          <w:rFonts w:hint="default" w:ascii="Times New Roman" w:hAnsi="Times New Roman" w:cs="Times New Roman"/>
          <w:lang w:val="en-US" w:eastAsia="zh-CN"/>
        </w:rPr>
        <w:t>从严控制建设项目占用湿地和湿地公园，对重大基础设施项目和民生工程涉及占用湿地和湿地公园的，严格开展生态影响评估论证，对无法避让确需占用的</w:t>
      </w:r>
      <w:bookmarkStart w:id="100" w:name="OLE_LINK236"/>
      <w:r>
        <w:rPr>
          <w:rFonts w:hint="default" w:ascii="Times New Roman" w:hAnsi="Times New Roman" w:cs="Times New Roman"/>
          <w:highlight w:val="none"/>
          <w:lang w:val="en-US" w:eastAsia="zh-CN"/>
        </w:rPr>
        <w:t>，实行“先补后占、占补平衡”，确保湿地面积不减少、功能不降低</w:t>
      </w:r>
      <w:bookmarkStart w:id="101" w:name="OLE_LINK137"/>
      <w:bookmarkStart w:id="102" w:name="OLE_LINK125"/>
      <w:r>
        <w:rPr>
          <w:rFonts w:hint="eastAsia" w:cs="Times New Roman"/>
          <w:highlight w:val="none"/>
          <w:lang w:val="en-US" w:eastAsia="zh-CN"/>
        </w:rPr>
        <w:t>。自2019年起，共6个建设项目占用湿地公园，共占湿地公园</w:t>
      </w:r>
      <w:bookmarkStart w:id="103" w:name="OLE_LINK166"/>
      <w:r>
        <w:rPr>
          <w:rFonts w:hint="eastAsia" w:cs="Times New Roman"/>
          <w:highlight w:val="none"/>
          <w:lang w:val="en-US" w:eastAsia="zh-CN"/>
        </w:rPr>
        <w:t>5.9966公顷，</w:t>
      </w:r>
      <w:bookmarkEnd w:id="103"/>
      <w:r>
        <w:rPr>
          <w:rFonts w:hint="eastAsia" w:cs="Times New Roman"/>
          <w:highlight w:val="none"/>
          <w:lang w:val="en-US" w:eastAsia="zh-CN"/>
        </w:rPr>
        <w:t>占用湿地资源0.1577公顷</w:t>
      </w:r>
      <w:bookmarkEnd w:id="101"/>
      <w:r>
        <w:rPr>
          <w:rFonts w:hint="eastAsia" w:cs="Times New Roman"/>
          <w:highlight w:val="none"/>
          <w:lang w:val="en-US" w:eastAsia="zh-CN"/>
        </w:rPr>
        <w:t>，</w:t>
      </w:r>
      <w:bookmarkStart w:id="104" w:name="OLE_LINK167"/>
      <w:r>
        <w:rPr>
          <w:rFonts w:hint="eastAsia" w:cs="Times New Roman"/>
          <w:highlight w:val="none"/>
          <w:lang w:val="en-US" w:eastAsia="zh-CN"/>
        </w:rPr>
        <w:t>补充湿地资源</w:t>
      </w:r>
      <w:bookmarkStart w:id="105" w:name="OLE_LINK168"/>
      <w:r>
        <w:rPr>
          <w:rFonts w:hint="eastAsia" w:cs="Times New Roman"/>
          <w:highlight w:val="none"/>
          <w:lang w:val="en-US" w:eastAsia="zh-CN"/>
        </w:rPr>
        <w:t>0.15</w:t>
      </w:r>
      <w:bookmarkEnd w:id="104"/>
      <w:r>
        <w:rPr>
          <w:rFonts w:hint="eastAsia" w:cs="Times New Roman"/>
          <w:highlight w:val="none"/>
          <w:lang w:val="en-US" w:eastAsia="zh-CN"/>
        </w:rPr>
        <w:t>77</w:t>
      </w:r>
      <w:bookmarkEnd w:id="105"/>
      <w:r>
        <w:rPr>
          <w:rFonts w:hint="eastAsia" w:cs="Times New Roman"/>
          <w:highlight w:val="none"/>
          <w:lang w:val="en-US" w:eastAsia="zh-CN"/>
        </w:rPr>
        <w:t>公顷</w:t>
      </w:r>
      <w:r>
        <w:rPr>
          <w:rFonts w:hint="default" w:ascii="Times New Roman" w:hAnsi="Times New Roman" w:cs="Times New Roman"/>
          <w:highlight w:val="none"/>
          <w:lang w:val="en-US" w:eastAsia="zh-CN"/>
        </w:rPr>
        <w:t>。</w:t>
      </w:r>
    </w:p>
    <w:bookmarkEnd w:id="100"/>
    <w:bookmarkEnd w:id="102"/>
    <w:p w14:paraId="27B17318">
      <w:pPr>
        <w:bidi w:val="0"/>
        <w:jc w:val="both"/>
        <w:rPr>
          <w:rFonts w:hint="default" w:ascii="Times New Roman" w:hAnsi="Times New Roman" w:cs="Times New Roman"/>
          <w:lang w:val="en-US" w:eastAsia="zh-CN"/>
        </w:rPr>
      </w:pPr>
      <w:bookmarkStart w:id="106" w:name="OLE_LINK68"/>
      <w:bookmarkStart w:id="107" w:name="OLE_LINK45"/>
      <w:bookmarkStart w:id="108" w:name="OLE_LINK74"/>
      <w:r>
        <w:rPr>
          <w:rFonts w:hint="eastAsia" w:cs="Times New Roman"/>
          <w:b/>
          <w:bCs/>
          <w:highlight w:val="none"/>
          <w:lang w:val="en-US" w:eastAsia="zh-CN"/>
        </w:rPr>
        <w:t>（4）</w:t>
      </w:r>
      <w:bookmarkStart w:id="109" w:name="OLE_LINK233"/>
      <w:r>
        <w:rPr>
          <w:rFonts w:hint="default" w:ascii="Times New Roman" w:hAnsi="Times New Roman" w:cs="Times New Roman"/>
          <w:b/>
          <w:bCs/>
          <w:highlight w:val="none"/>
          <w:lang w:val="en-US" w:eastAsia="zh-CN"/>
        </w:rPr>
        <w:t>开展湿地保护修复</w:t>
      </w:r>
      <w:bookmarkEnd w:id="109"/>
      <w:r>
        <w:rPr>
          <w:rFonts w:hint="eastAsia" w:cs="Times New Roman"/>
          <w:b/>
          <w:bCs/>
          <w:highlight w:val="none"/>
          <w:lang w:val="en-US" w:eastAsia="zh-CN"/>
        </w:rPr>
        <w:t>工程</w:t>
      </w:r>
      <w:r>
        <w:rPr>
          <w:rFonts w:hint="default" w:ascii="Times New Roman" w:hAnsi="Times New Roman" w:cs="Times New Roman"/>
          <w:b/>
          <w:bCs/>
          <w:highlight w:val="none"/>
          <w:lang w:val="en-US" w:eastAsia="zh-CN"/>
        </w:rPr>
        <w:t>。</w:t>
      </w:r>
      <w:bookmarkEnd w:id="106"/>
      <w:bookmarkEnd w:id="107"/>
      <w:bookmarkEnd w:id="108"/>
      <w:r>
        <w:rPr>
          <w:rFonts w:hint="eastAsia" w:cs="Times New Roman"/>
          <w:highlight w:val="none"/>
          <w:lang w:val="en-US" w:eastAsia="zh-CN"/>
        </w:rPr>
        <w:t>昌吉回族自治州</w:t>
      </w:r>
      <w:r>
        <w:rPr>
          <w:rFonts w:hint="default" w:ascii="Times New Roman" w:hAnsi="Times New Roman" w:cs="Times New Roman"/>
          <w:lang w:val="en-US" w:eastAsia="zh-CN"/>
        </w:rPr>
        <w:t>多措并举加强湿地保护修复工作，推动湿地保护工作从抢救性保护向全面保护和功能提升转变，坚持以自然恢复为主、自然恢复和人工修复相结合的原则，加强湿地修复工作，恢复湿地面积，提高湿地生态系统稳定性。在头屯河流域、三工河流域、三屯河流域先后开展了</w:t>
      </w:r>
      <w:bookmarkStart w:id="110" w:name="OLE_LINK69"/>
      <w:r>
        <w:rPr>
          <w:rFonts w:hint="default" w:ascii="Times New Roman" w:hAnsi="Times New Roman" w:cs="Times New Roman"/>
          <w:lang w:val="en-US" w:eastAsia="zh-CN"/>
        </w:rPr>
        <w:t>昌吉市头屯河综合整治项目</w:t>
      </w:r>
      <w:bookmarkEnd w:id="110"/>
      <w:r>
        <w:rPr>
          <w:rFonts w:hint="default" w:ascii="Times New Roman" w:hAnsi="Times New Roman" w:cs="Times New Roman"/>
          <w:lang w:val="en-US" w:eastAsia="zh-CN"/>
        </w:rPr>
        <w:t>、昌吉市头屯河沿岸综合整治工程、</w:t>
      </w:r>
      <w:bookmarkStart w:id="111" w:name="OLE_LINK73"/>
      <w:r>
        <w:rPr>
          <w:rFonts w:hint="default" w:ascii="Times New Roman" w:hAnsi="Times New Roman" w:cs="Times New Roman"/>
          <w:lang w:val="en-US" w:eastAsia="zh-CN"/>
        </w:rPr>
        <w:t>昌吉市三屯河流域西干渠首以北河段水环境治理项目</w:t>
      </w:r>
      <w:bookmarkEnd w:id="111"/>
      <w:r>
        <w:rPr>
          <w:rFonts w:hint="default" w:ascii="Times New Roman" w:hAnsi="Times New Roman" w:cs="Times New Roman"/>
          <w:lang w:val="en-US" w:eastAsia="zh-CN"/>
        </w:rPr>
        <w:t>、新疆</w:t>
      </w:r>
      <w:r>
        <w:rPr>
          <w:rFonts w:hint="eastAsia" w:cs="Times New Roman"/>
          <w:lang w:val="en-US" w:eastAsia="zh-CN"/>
        </w:rPr>
        <w:t>昌吉回族自治州</w:t>
      </w:r>
      <w:r>
        <w:rPr>
          <w:rFonts w:hint="default" w:ascii="Times New Roman" w:hAnsi="Times New Roman" w:cs="Times New Roman"/>
          <w:lang w:val="en-US" w:eastAsia="zh-CN"/>
        </w:rPr>
        <w:t>阜康市三工河渠首至良繁村段中小河流治理工程</w:t>
      </w:r>
      <w:r>
        <w:rPr>
          <w:rFonts w:hint="eastAsia" w:cs="Times New Roman"/>
          <w:lang w:val="en-US" w:eastAsia="zh-CN"/>
        </w:rPr>
        <w:t>等</w:t>
      </w:r>
      <w:r>
        <w:rPr>
          <w:rFonts w:hint="default" w:ascii="Times New Roman" w:hAnsi="Times New Roman" w:cs="Times New Roman"/>
          <w:lang w:val="en-US" w:eastAsia="zh-CN"/>
        </w:rPr>
        <w:t>，</w:t>
      </w:r>
      <w:r>
        <w:rPr>
          <w:rFonts w:hint="eastAsia" w:cs="Times New Roman"/>
          <w:lang w:val="en-US" w:eastAsia="zh-CN"/>
        </w:rPr>
        <w:t>改善了流域环境，</w:t>
      </w:r>
      <w:r>
        <w:rPr>
          <w:rFonts w:hint="default" w:ascii="Times New Roman" w:hAnsi="Times New Roman" w:cs="Times New Roman"/>
          <w:lang w:val="en-US" w:eastAsia="zh-CN"/>
        </w:rPr>
        <w:t>累计投资约1.4亿余元；在其他湿地开展了</w:t>
      </w:r>
      <w:r>
        <w:rPr>
          <w:rFonts w:hint="eastAsia" w:cs="Times New Roman"/>
          <w:lang w:val="en-US" w:eastAsia="zh-CN"/>
        </w:rPr>
        <w:t>昌吉回族自治州</w:t>
      </w:r>
      <w:r>
        <w:rPr>
          <w:rFonts w:hint="default" w:ascii="Times New Roman" w:hAnsi="Times New Roman" w:cs="Times New Roman"/>
          <w:lang w:val="en-US" w:eastAsia="zh-CN"/>
        </w:rPr>
        <w:t>玛纳斯县</w:t>
      </w:r>
      <w:bookmarkStart w:id="112" w:name="OLE_LINK76"/>
      <w:r>
        <w:rPr>
          <w:rFonts w:hint="default" w:ascii="Times New Roman" w:hAnsi="Times New Roman" w:cs="Times New Roman"/>
          <w:lang w:val="en-US" w:eastAsia="zh-CN"/>
        </w:rPr>
        <w:t>2021年玛纳斯湿地公园基础设施建设项目</w:t>
      </w:r>
      <w:bookmarkEnd w:id="112"/>
      <w:r>
        <w:rPr>
          <w:rFonts w:hint="default" w:ascii="Times New Roman" w:hAnsi="Times New Roman" w:cs="Times New Roman"/>
          <w:lang w:val="en-US" w:eastAsia="zh-CN"/>
        </w:rPr>
        <w:t>、天池博格达峰自然保护</w:t>
      </w:r>
      <w:bookmarkStart w:id="113" w:name="OLE_LINK77"/>
      <w:r>
        <w:rPr>
          <w:rFonts w:hint="default" w:ascii="Times New Roman" w:hAnsi="Times New Roman" w:cs="Times New Roman"/>
          <w:lang w:val="en-US" w:eastAsia="zh-CN"/>
        </w:rPr>
        <w:t>区2021年湿地保护修复补助项</w:t>
      </w:r>
      <w:bookmarkEnd w:id="113"/>
      <w:r>
        <w:rPr>
          <w:rFonts w:hint="default" w:ascii="Times New Roman" w:hAnsi="Times New Roman" w:cs="Times New Roman"/>
          <w:lang w:val="en-US" w:eastAsia="zh-CN"/>
        </w:rPr>
        <w:t>目、呼图</w:t>
      </w:r>
      <w:bookmarkStart w:id="114" w:name="OLE_LINK78"/>
      <w:r>
        <w:rPr>
          <w:rFonts w:hint="default" w:ascii="Times New Roman" w:hAnsi="Times New Roman" w:cs="Times New Roman"/>
          <w:lang w:val="en-US" w:eastAsia="zh-CN"/>
        </w:rPr>
        <w:t>壁县丰泉污水处理厂尾水人工湿地水质净化工程，</w:t>
      </w:r>
      <w:bookmarkEnd w:id="114"/>
      <w:r>
        <w:rPr>
          <w:rFonts w:hint="default" w:ascii="Times New Roman" w:hAnsi="Times New Roman" w:cs="Times New Roman"/>
          <w:lang w:val="en-US" w:eastAsia="zh-CN"/>
        </w:rPr>
        <w:t>累计</w:t>
      </w:r>
      <w:bookmarkStart w:id="115" w:name="OLE_LINK79"/>
      <w:r>
        <w:rPr>
          <w:rFonts w:hint="default" w:ascii="Times New Roman" w:hAnsi="Times New Roman" w:cs="Times New Roman"/>
          <w:lang w:val="en-US" w:eastAsia="zh-CN"/>
        </w:rPr>
        <w:t>环保投资约1832.3万</w:t>
      </w:r>
      <w:bookmarkEnd w:id="115"/>
      <w:r>
        <w:rPr>
          <w:rFonts w:hint="default" w:ascii="Times New Roman" w:hAnsi="Times New Roman" w:cs="Times New Roman"/>
          <w:lang w:val="en-US" w:eastAsia="zh-CN"/>
        </w:rPr>
        <w:t>余元。在国家级重点湿地</w:t>
      </w:r>
      <w:r>
        <w:rPr>
          <w:rFonts w:hint="eastAsia" w:cs="Times New Roman"/>
          <w:lang w:val="en-US" w:eastAsia="zh-CN"/>
        </w:rPr>
        <w:t>公园</w:t>
      </w:r>
      <w:r>
        <w:rPr>
          <w:rFonts w:hint="default" w:ascii="Times New Roman" w:hAnsi="Times New Roman" w:cs="Times New Roman"/>
          <w:lang w:val="en-US" w:eastAsia="zh-CN"/>
        </w:rPr>
        <w:t>和自然保护</w:t>
      </w:r>
      <w:r>
        <w:rPr>
          <w:rFonts w:hint="eastAsia" w:cs="Times New Roman"/>
          <w:lang w:val="en-US" w:eastAsia="zh-CN"/>
        </w:rPr>
        <w:t>地</w:t>
      </w:r>
      <w:r>
        <w:rPr>
          <w:rFonts w:hint="default" w:ascii="Times New Roman" w:hAnsi="Times New Roman" w:cs="Times New Roman"/>
          <w:lang w:val="en-US" w:eastAsia="zh-CN"/>
        </w:rPr>
        <w:t>，对北庭国家湿地公园、玛纳斯国家湿地公园、新疆天池博格达峰自然保护区累计投入湿地修复保护专项资金1240万元，修复保护湿地面积10869.07公顷，湿地植物、动物</w:t>
      </w:r>
      <w:r>
        <w:rPr>
          <w:rFonts w:hint="eastAsia" w:cs="Times New Roman"/>
          <w:lang w:val="en-US" w:eastAsia="zh-CN"/>
        </w:rPr>
        <w:t>的</w:t>
      </w:r>
      <w:r>
        <w:rPr>
          <w:rFonts w:hint="default" w:ascii="Times New Roman" w:hAnsi="Times New Roman" w:cs="Times New Roman"/>
          <w:lang w:val="en-US" w:eastAsia="zh-CN"/>
        </w:rPr>
        <w:t>种类、数量</w:t>
      </w:r>
      <w:r>
        <w:rPr>
          <w:rFonts w:hint="eastAsia" w:cs="Times New Roman"/>
          <w:lang w:val="en-US" w:eastAsia="zh-CN"/>
        </w:rPr>
        <w:t>得到提升，</w:t>
      </w:r>
      <w:r>
        <w:rPr>
          <w:rFonts w:hint="default" w:ascii="Times New Roman" w:hAnsi="Times New Roman" w:cs="Times New Roman"/>
          <w:lang w:val="en-US" w:eastAsia="zh-CN"/>
        </w:rPr>
        <w:t>显著改善了湿地公园和保护区的湿地生境状态，稳固且提高了修复区域湿地生态系统的功能。</w:t>
      </w:r>
    </w:p>
    <w:p w14:paraId="2ED10481">
      <w:pPr>
        <w:bidi w:val="0"/>
        <w:jc w:val="both"/>
        <w:rPr>
          <w:rFonts w:hint="default" w:ascii="Times New Roman" w:hAnsi="Times New Roman" w:cs="Times New Roman"/>
          <w:highlight w:val="none"/>
          <w:lang w:val="en-US" w:eastAsia="zh-CN"/>
        </w:rPr>
      </w:pPr>
      <w:r>
        <w:rPr>
          <w:rFonts w:hint="eastAsia" w:cs="Times New Roman"/>
          <w:b/>
          <w:bCs/>
          <w:lang w:val="en-US" w:eastAsia="zh-CN"/>
        </w:rPr>
        <w:t>（5）</w:t>
      </w:r>
      <w:bookmarkStart w:id="116" w:name="OLE_LINK234"/>
      <w:r>
        <w:rPr>
          <w:rFonts w:hint="default" w:ascii="Times New Roman" w:hAnsi="Times New Roman" w:cs="Times New Roman"/>
          <w:b/>
          <w:bCs/>
          <w:lang w:val="en-US" w:eastAsia="zh-CN"/>
        </w:rPr>
        <w:t>强化科技支撑能力建设</w:t>
      </w:r>
      <w:bookmarkEnd w:id="116"/>
      <w:r>
        <w:rPr>
          <w:rFonts w:hint="default" w:ascii="Times New Roman" w:hAnsi="Times New Roman" w:cs="Times New Roman"/>
          <w:b/>
          <w:bCs/>
          <w:lang w:val="en-US" w:eastAsia="zh-CN"/>
        </w:rPr>
        <w:t>。</w:t>
      </w:r>
      <w:r>
        <w:rPr>
          <w:rFonts w:hint="default" w:ascii="Times New Roman" w:hAnsi="Times New Roman" w:cs="Times New Roman"/>
          <w:lang w:val="en-US" w:eastAsia="zh-CN"/>
        </w:rPr>
        <w:t>逐步建立一体化智慧湿地监测体系，加快湿地资源数据采集、监测、评估、预警、决策的集成化与智能化</w:t>
      </w:r>
      <w:r>
        <w:rPr>
          <w:rFonts w:hint="default" w:ascii="Times New Roman" w:hAnsi="Times New Roman" w:cs="Times New Roman"/>
          <w:highlight w:val="none"/>
          <w:lang w:val="en-US" w:eastAsia="zh-CN"/>
        </w:rPr>
        <w:t>建设</w:t>
      </w:r>
      <w:bookmarkStart w:id="117" w:name="OLE_LINK46"/>
      <w:r>
        <w:rPr>
          <w:rFonts w:hint="default" w:ascii="Times New Roman" w:hAnsi="Times New Roman" w:cs="Times New Roman"/>
          <w:highlight w:val="none"/>
          <w:lang w:val="en-US" w:eastAsia="zh-CN"/>
        </w:rPr>
        <w:t>。</w:t>
      </w:r>
      <w:bookmarkEnd w:id="117"/>
      <w:r>
        <w:rPr>
          <w:rFonts w:hint="eastAsia" w:cs="Times New Roman"/>
          <w:highlight w:val="none"/>
          <w:lang w:val="en-US" w:eastAsia="zh-CN"/>
        </w:rPr>
        <w:t>2021年阜康市投入11万元购买了无人机设备</w:t>
      </w:r>
      <w:r>
        <w:rPr>
          <w:rFonts w:hint="default" w:ascii="Times New Roman" w:hAnsi="Times New Roman" w:cs="Times New Roman"/>
          <w:highlight w:val="none"/>
          <w:lang w:val="en-US" w:eastAsia="zh-CN"/>
        </w:rPr>
        <w:t>，</w:t>
      </w:r>
      <w:bookmarkStart w:id="118" w:name="OLE_LINK47"/>
      <w:r>
        <w:rPr>
          <w:rFonts w:hint="default" w:ascii="Times New Roman" w:hAnsi="Times New Roman" w:cs="Times New Roman"/>
          <w:highlight w:val="none"/>
          <w:lang w:val="en-US" w:eastAsia="zh-CN"/>
        </w:rPr>
        <w:t>由专业人员操作</w:t>
      </w:r>
      <w:bookmarkEnd w:id="118"/>
      <w:r>
        <w:rPr>
          <w:rFonts w:hint="default" w:ascii="Times New Roman" w:hAnsi="Times New Roman" w:cs="Times New Roman"/>
          <w:highlight w:val="none"/>
          <w:lang w:val="en-US" w:eastAsia="zh-CN"/>
        </w:rPr>
        <w:t>，极大提升了巡河效率和发现问题的能力，实现了人巡与机巡的有效</w:t>
      </w:r>
      <w:r>
        <w:rPr>
          <w:rFonts w:hint="default" w:ascii="Times New Roman" w:hAnsi="Times New Roman" w:cs="Times New Roman"/>
          <w:lang w:val="en-US" w:eastAsia="zh-CN"/>
        </w:rPr>
        <w:t>结合，进一步增强了治理河道和湖泊的能力，为阜康市持续创造良好的湿地生态环境奠定了坚实的基础；</w:t>
      </w:r>
      <w:bookmarkStart w:id="119" w:name="OLE_LINK48"/>
      <w:r>
        <w:rPr>
          <w:rFonts w:hint="default" w:ascii="Times New Roman" w:hAnsi="Times New Roman" w:cs="Times New Roman"/>
          <w:lang w:val="en-US" w:eastAsia="zh-CN"/>
        </w:rPr>
        <w:t>卡拉麦里保护区</w:t>
      </w:r>
      <w:bookmarkEnd w:id="119"/>
      <w:bookmarkStart w:id="120" w:name="OLE_LINK49"/>
      <w:bookmarkStart w:id="121" w:name="OLE_LINK65"/>
      <w:r>
        <w:rPr>
          <w:rFonts w:hint="eastAsia" w:cs="Times New Roman"/>
          <w:highlight w:val="none"/>
          <w:lang w:val="en-US" w:eastAsia="zh-CN"/>
        </w:rPr>
        <w:t>2023年起</w:t>
      </w:r>
      <w:r>
        <w:rPr>
          <w:rFonts w:hint="default" w:ascii="Times New Roman" w:hAnsi="Times New Roman" w:cs="Times New Roman"/>
          <w:highlight w:val="none"/>
          <w:lang w:val="en-US" w:eastAsia="zh-CN"/>
        </w:rPr>
        <w:t>利用无人值守无</w:t>
      </w:r>
      <w:bookmarkEnd w:id="120"/>
      <w:r>
        <w:rPr>
          <w:rFonts w:hint="default" w:ascii="Times New Roman" w:hAnsi="Times New Roman" w:cs="Times New Roman"/>
          <w:lang w:val="en-US" w:eastAsia="zh-CN"/>
        </w:rPr>
        <w:t>人机系统</w:t>
      </w:r>
      <w:bookmarkEnd w:id="121"/>
      <w:r>
        <w:rPr>
          <w:rFonts w:hint="default" w:ascii="Times New Roman" w:hAnsi="Times New Roman" w:cs="Times New Roman"/>
          <w:lang w:val="en-US" w:eastAsia="zh-CN"/>
        </w:rPr>
        <w:t>，有效提升保护区对自然资源和人类活动的监管能力、监管效率和监管水平；另外</w:t>
      </w:r>
      <w:r>
        <w:rPr>
          <w:rFonts w:hint="eastAsia" w:cs="Times New Roman"/>
          <w:lang w:val="en-US" w:eastAsia="zh-CN"/>
        </w:rPr>
        <w:t>昌吉回族自治州</w:t>
      </w:r>
      <w:r>
        <w:rPr>
          <w:rFonts w:hint="default" w:ascii="Times New Roman" w:hAnsi="Times New Roman" w:cs="Times New Roman"/>
          <w:lang w:val="en-US" w:eastAsia="zh-CN"/>
        </w:rPr>
        <w:t>在呼图壁县南部山区开展森林、草原、湿地调查监测工作，由新疆农业大学董乙强团队为该县林业和草原局专业技术人员进行了培训，内容包括图斑监测、样地调查、质量管控、数据库建设、统计分析等，培养基层调查监测人员对现代林业科技的利用能力，以科技助力保障保护区及湿地的生态</w:t>
      </w:r>
      <w:bookmarkStart w:id="122" w:name="OLE_LINK83"/>
      <w:r>
        <w:rPr>
          <w:rFonts w:hint="default" w:ascii="Times New Roman" w:hAnsi="Times New Roman" w:cs="Times New Roman"/>
          <w:highlight w:val="none"/>
          <w:lang w:val="en-US" w:eastAsia="zh-CN"/>
        </w:rPr>
        <w:t>安全。</w:t>
      </w:r>
    </w:p>
    <w:p w14:paraId="0A04B3B5">
      <w:pPr>
        <w:bidi w:val="0"/>
        <w:jc w:val="both"/>
        <w:rPr>
          <w:rFonts w:hint="default" w:ascii="Times New Roman" w:hAnsi="Times New Roman" w:cs="Times New Roman"/>
          <w:highlight w:val="none"/>
          <w:lang w:val="en-US" w:eastAsia="zh-CN"/>
        </w:rPr>
      </w:pPr>
      <w:bookmarkStart w:id="123" w:name="OLE_LINK50"/>
      <w:r>
        <w:rPr>
          <w:rFonts w:hint="eastAsia" w:cs="Times New Roman"/>
          <w:b/>
          <w:bCs/>
          <w:highlight w:val="none"/>
          <w:lang w:val="en-US" w:eastAsia="zh-CN"/>
        </w:rPr>
        <w:t>（6）</w:t>
      </w:r>
      <w:bookmarkStart w:id="124" w:name="OLE_LINK235"/>
      <w:r>
        <w:rPr>
          <w:rFonts w:hint="default" w:ascii="Times New Roman" w:hAnsi="Times New Roman" w:cs="Times New Roman"/>
          <w:b/>
          <w:bCs/>
          <w:highlight w:val="none"/>
          <w:lang w:val="en-US" w:eastAsia="zh-CN"/>
        </w:rPr>
        <w:t>合理利用湿地资源</w:t>
      </w:r>
      <w:bookmarkEnd w:id="124"/>
      <w:r>
        <w:rPr>
          <w:rFonts w:hint="default" w:ascii="Times New Roman" w:hAnsi="Times New Roman" w:cs="Times New Roman"/>
          <w:b/>
          <w:bCs/>
          <w:highlight w:val="none"/>
          <w:lang w:val="en-US" w:eastAsia="zh-CN"/>
        </w:rPr>
        <w:t>。</w:t>
      </w:r>
      <w:bookmarkEnd w:id="123"/>
      <w:r>
        <w:rPr>
          <w:rFonts w:hint="default" w:ascii="Times New Roman" w:hAnsi="Times New Roman" w:cs="Times New Roman"/>
          <w:highlight w:val="none"/>
          <w:lang w:val="en-US" w:eastAsia="zh-CN"/>
        </w:rPr>
        <w:t>多年</w:t>
      </w:r>
      <w:bookmarkEnd w:id="122"/>
      <w:r>
        <w:rPr>
          <w:rFonts w:hint="default" w:ascii="Times New Roman" w:hAnsi="Times New Roman" w:cs="Times New Roman"/>
          <w:lang w:val="en-US" w:eastAsia="zh-CN"/>
        </w:rPr>
        <w:t>来，</w:t>
      </w:r>
      <w:r>
        <w:rPr>
          <w:rFonts w:hint="eastAsia" w:cs="Times New Roman"/>
          <w:lang w:val="en-US" w:eastAsia="zh-CN"/>
        </w:rPr>
        <w:t>昌吉回族自治州</w:t>
      </w:r>
      <w:r>
        <w:rPr>
          <w:rFonts w:hint="default" w:ascii="Times New Roman" w:hAnsi="Times New Roman" w:cs="Times New Roman"/>
          <w:lang w:val="en-US" w:eastAsia="zh-CN"/>
        </w:rPr>
        <w:t>党委、政府高度重视生态环境保护工作，深入贯彻落实</w:t>
      </w:r>
      <w:r>
        <w:rPr>
          <w:rFonts w:hint="eastAsia" w:cs="Times New Roman"/>
          <w:lang w:val="en-US" w:eastAsia="zh-CN"/>
        </w:rPr>
        <w:t>“</w:t>
      </w:r>
      <w:r>
        <w:rPr>
          <w:rFonts w:hint="default" w:ascii="Times New Roman" w:hAnsi="Times New Roman" w:cs="Times New Roman"/>
          <w:lang w:val="en-US" w:eastAsia="zh-CN"/>
        </w:rPr>
        <w:t>绿水青山就是金山银山</w:t>
      </w:r>
      <w:r>
        <w:rPr>
          <w:rFonts w:hint="eastAsia" w:cs="Times New Roman"/>
          <w:lang w:val="en-US" w:eastAsia="zh-CN"/>
        </w:rPr>
        <w:t>”</w:t>
      </w:r>
      <w:r>
        <w:rPr>
          <w:rFonts w:hint="default" w:ascii="Times New Roman" w:hAnsi="Times New Roman" w:cs="Times New Roman"/>
          <w:lang w:val="en-US" w:eastAsia="zh-CN"/>
        </w:rPr>
        <w:t>生态保护理念，开展了山水林田湖草沙系统治理。自治州政府完善湿地合理利用政策，推动湿地文化保护传承示范，支持湿地碳汇功能开发，制定</w:t>
      </w:r>
      <w:r>
        <w:rPr>
          <w:rFonts w:hint="eastAsia" w:cs="Times New Roman"/>
          <w:lang w:val="en-US" w:eastAsia="zh-CN"/>
        </w:rPr>
        <w:t>并印发</w:t>
      </w:r>
      <w:r>
        <w:rPr>
          <w:rFonts w:hint="default" w:ascii="Times New Roman" w:hAnsi="Times New Roman" w:cs="Times New Roman"/>
          <w:lang w:val="en-US" w:eastAsia="zh-CN"/>
        </w:rPr>
        <w:t>了《自治州湿地保护与修复实施方案》，利用湿地资源建</w:t>
      </w:r>
      <w:bookmarkStart w:id="125" w:name="OLE_LINK81"/>
      <w:r>
        <w:rPr>
          <w:rFonts w:hint="default" w:ascii="Times New Roman" w:hAnsi="Times New Roman" w:cs="Times New Roman"/>
          <w:highlight w:val="none"/>
          <w:lang w:val="en-US" w:eastAsia="zh-CN"/>
        </w:rPr>
        <w:t>设了</w:t>
      </w:r>
      <w:bookmarkStart w:id="126" w:name="OLE_LINK82"/>
      <w:r>
        <w:rPr>
          <w:rFonts w:hint="eastAsia" w:cs="Times New Roman"/>
          <w:highlight w:val="none"/>
          <w:lang w:val="en-US" w:eastAsia="zh-CN"/>
        </w:rPr>
        <w:t>玛纳斯湿地公园观鸟平台</w:t>
      </w:r>
      <w:bookmarkEnd w:id="126"/>
      <w:r>
        <w:rPr>
          <w:rFonts w:hint="eastAsia" w:cs="Times New Roman"/>
          <w:highlight w:val="none"/>
          <w:lang w:val="en-US" w:eastAsia="zh-CN"/>
        </w:rPr>
        <w:t>等</w:t>
      </w:r>
      <w:r>
        <w:rPr>
          <w:rFonts w:hint="default" w:ascii="Times New Roman" w:hAnsi="Times New Roman" w:cs="Times New Roman"/>
          <w:highlight w:val="none"/>
          <w:lang w:val="en-US" w:eastAsia="zh-CN"/>
        </w:rPr>
        <w:t>，开展了头屯河综合旅游开发项目，加强了湿地生态经济产业示范，增进湿地游憩体验。</w:t>
      </w:r>
    </w:p>
    <w:bookmarkEnd w:id="77"/>
    <w:bookmarkEnd w:id="125"/>
    <w:p w14:paraId="7B39862A">
      <w:pPr>
        <w:pStyle w:val="4"/>
        <w:bidi w:val="0"/>
        <w:rPr>
          <w:rFonts w:hint="default" w:ascii="Times New Roman" w:hAnsi="Times New Roman" w:cs="Times New Roman"/>
          <w:highlight w:val="none"/>
        </w:rPr>
      </w:pPr>
      <w:bookmarkStart w:id="127" w:name="_Toc8415"/>
      <w:bookmarkStart w:id="128" w:name="_Toc4537"/>
      <w:r>
        <w:rPr>
          <w:rFonts w:hint="default" w:ascii="Times New Roman" w:hAnsi="Times New Roman" w:cs="Times New Roman"/>
          <w:highlight w:val="none"/>
          <w:lang w:val="en-US" w:eastAsia="zh-CN"/>
        </w:rPr>
        <w:t>3、</w:t>
      </w:r>
      <w:r>
        <w:rPr>
          <w:rFonts w:hint="eastAsia" w:cs="Times New Roman"/>
          <w:highlight w:val="none"/>
          <w:lang w:val="en-US" w:eastAsia="zh-CN"/>
        </w:rPr>
        <w:t>全</w:t>
      </w:r>
      <w:r>
        <w:rPr>
          <w:rFonts w:hint="default" w:ascii="Times New Roman" w:hAnsi="Times New Roman" w:cs="Times New Roman"/>
          <w:highlight w:val="none"/>
        </w:rPr>
        <w:t>社会湿地保护意识显著增强</w:t>
      </w:r>
      <w:bookmarkEnd w:id="127"/>
      <w:bookmarkEnd w:id="128"/>
    </w:p>
    <w:p w14:paraId="10E1A7FE">
      <w:pPr>
        <w:bidi w:val="0"/>
        <w:jc w:val="both"/>
        <w:rPr>
          <w:rFonts w:hint="default" w:ascii="Times New Roman" w:hAnsi="Times New Roman" w:cs="Times New Roman"/>
          <w:highlight w:val="none"/>
          <w:lang w:val="en-US" w:eastAsia="zh-CN"/>
        </w:rPr>
      </w:pPr>
      <w:bookmarkStart w:id="129" w:name="OLE_LINK7"/>
      <w:r>
        <w:rPr>
          <w:rFonts w:hint="default" w:ascii="Times New Roman" w:hAnsi="Times New Roman" w:cs="Times New Roman"/>
          <w:lang w:val="en-US" w:eastAsia="zh-CN"/>
        </w:rPr>
        <w:t>把科普宣教作为自然保护区、湿地公园等自然保护地建设发展的重要内容，向公众宣传湿地知识、法律法规和保护成效。建立科普宣教体系，在湿地公园设立科普宣教区，深化科普宣教内容，完善宣教场馆建设，采用互动式、浸入式、体验式等多种形式，宣传和展示湿地的生态服务功能，普及生态科学知识，</w:t>
      </w:r>
      <w:r>
        <w:rPr>
          <w:rFonts w:hint="eastAsia" w:cs="Times New Roman"/>
          <w:lang w:val="en-US" w:eastAsia="zh-CN"/>
        </w:rPr>
        <w:t>增强</w:t>
      </w:r>
      <w:r>
        <w:rPr>
          <w:rFonts w:hint="default" w:ascii="Times New Roman" w:hAnsi="Times New Roman" w:cs="Times New Roman"/>
          <w:lang w:val="en-US" w:eastAsia="zh-CN"/>
        </w:rPr>
        <w:t>公众的湿地保护意识。加强保护宣传教育，以每年2月2日</w:t>
      </w:r>
      <w:r>
        <w:rPr>
          <w:rFonts w:hint="eastAsia" w:cs="Times New Roman"/>
          <w:lang w:val="en-US" w:eastAsia="zh-CN"/>
        </w:rPr>
        <w:t>“</w:t>
      </w:r>
      <w:r>
        <w:rPr>
          <w:rFonts w:hint="default" w:ascii="Times New Roman" w:hAnsi="Times New Roman" w:cs="Times New Roman"/>
          <w:lang w:val="en-US" w:eastAsia="zh-CN"/>
        </w:rPr>
        <w:t>世界湿地日</w:t>
      </w:r>
      <w:r>
        <w:rPr>
          <w:rFonts w:hint="eastAsia" w:cs="Times New Roman"/>
          <w:lang w:val="en-US" w:eastAsia="zh-CN"/>
        </w:rPr>
        <w:t>”</w:t>
      </w:r>
      <w:r>
        <w:rPr>
          <w:rFonts w:hint="default" w:ascii="Times New Roman" w:hAnsi="Times New Roman" w:cs="Times New Roman"/>
          <w:lang w:val="en-US" w:eastAsia="zh-CN"/>
        </w:rPr>
        <w:t>、5月22日</w:t>
      </w:r>
      <w:r>
        <w:rPr>
          <w:rFonts w:hint="eastAsia" w:cs="Times New Roman"/>
          <w:lang w:val="en-US" w:eastAsia="zh-CN"/>
        </w:rPr>
        <w:t>“</w:t>
      </w:r>
      <w:r>
        <w:rPr>
          <w:rFonts w:hint="default" w:ascii="Times New Roman" w:hAnsi="Times New Roman" w:cs="Times New Roman"/>
          <w:lang w:val="en-US" w:eastAsia="zh-CN"/>
        </w:rPr>
        <w:t>国际生物多样性日</w:t>
      </w:r>
      <w:r>
        <w:rPr>
          <w:rFonts w:hint="eastAsia" w:cs="Times New Roman"/>
          <w:lang w:val="en-US" w:eastAsia="zh-CN"/>
        </w:rPr>
        <w:t>”</w:t>
      </w:r>
      <w:r>
        <w:rPr>
          <w:rFonts w:hint="default" w:ascii="Times New Roman" w:hAnsi="Times New Roman" w:cs="Times New Roman"/>
          <w:lang w:val="en-US" w:eastAsia="zh-CN"/>
        </w:rPr>
        <w:t>等为契机，采取</w:t>
      </w:r>
      <w:r>
        <w:rPr>
          <w:rFonts w:hint="eastAsia" w:cs="Times New Roman"/>
          <w:lang w:val="en-US" w:eastAsia="zh-CN"/>
        </w:rPr>
        <w:t>了</w:t>
      </w:r>
      <w:r>
        <w:rPr>
          <w:rFonts w:hint="default" w:ascii="Times New Roman" w:hAnsi="Times New Roman" w:cs="Times New Roman"/>
          <w:lang w:val="en-US" w:eastAsia="zh-CN"/>
        </w:rPr>
        <w:t>网络直播、短视频、知识竞答、摄影比赛活动等多种方式，引导广大群众树立</w:t>
      </w:r>
      <w:r>
        <w:rPr>
          <w:rFonts w:hint="eastAsia" w:cs="Times New Roman"/>
          <w:lang w:val="en-US" w:eastAsia="zh-CN"/>
        </w:rPr>
        <w:t>了</w:t>
      </w:r>
      <w:r>
        <w:rPr>
          <w:rFonts w:hint="default" w:ascii="Times New Roman" w:hAnsi="Times New Roman" w:cs="Times New Roman"/>
          <w:lang w:val="en-US" w:eastAsia="zh-CN"/>
        </w:rPr>
        <w:t>保护</w:t>
      </w:r>
      <w:r>
        <w:rPr>
          <w:rFonts w:hint="default" w:ascii="Times New Roman" w:hAnsi="Times New Roman" w:cs="Times New Roman"/>
          <w:highlight w:val="none"/>
          <w:lang w:val="en-US" w:eastAsia="zh-CN"/>
        </w:rPr>
        <w:t>湿地的意识。</w:t>
      </w:r>
    </w:p>
    <w:bookmarkEnd w:id="129"/>
    <w:p w14:paraId="48F85C5D">
      <w:pPr>
        <w:pStyle w:val="3"/>
        <w:bidi w:val="0"/>
        <w:rPr>
          <w:rFonts w:hint="default" w:ascii="Times New Roman" w:hAnsi="Times New Roman" w:cs="Times New Roman"/>
          <w:highlight w:val="none"/>
          <w:lang w:val="en-US" w:eastAsia="zh-CN"/>
        </w:rPr>
      </w:pPr>
      <w:bookmarkStart w:id="130" w:name="_Toc7962"/>
      <w:bookmarkStart w:id="131" w:name="_Toc24575"/>
      <w:bookmarkStart w:id="132" w:name="_Toc13065"/>
      <w:r>
        <w:rPr>
          <w:rFonts w:hint="eastAsia" w:ascii="Times New Roman" w:hAnsi="Times New Roman" w:cs="Times New Roman"/>
          <w:highlight w:val="none"/>
          <w:lang w:val="en-US" w:eastAsia="zh-CN"/>
        </w:rPr>
        <w:t xml:space="preserve">第三节  </w:t>
      </w:r>
      <w:r>
        <w:rPr>
          <w:rFonts w:hint="default" w:ascii="Times New Roman" w:hAnsi="Times New Roman" w:cs="Times New Roman"/>
          <w:highlight w:val="none"/>
          <w:lang w:val="en-US" w:eastAsia="zh-CN"/>
        </w:rPr>
        <w:t>问题挑战</w:t>
      </w:r>
      <w:bookmarkEnd w:id="130"/>
      <w:bookmarkEnd w:id="131"/>
      <w:bookmarkEnd w:id="132"/>
    </w:p>
    <w:p w14:paraId="3C7392E4">
      <w:pPr>
        <w:bidi w:val="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虽然</w:t>
      </w:r>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湿地保护工作取得明显成</w:t>
      </w:r>
      <w:r>
        <w:rPr>
          <w:rFonts w:hint="default" w:ascii="Times New Roman" w:hAnsi="Times New Roman" w:cs="Times New Roman"/>
          <w:lang w:val="en-US" w:eastAsia="zh-CN"/>
        </w:rPr>
        <w:t>效，但是湿地保护工作面临的压力依然</w:t>
      </w:r>
      <w:bookmarkStart w:id="133" w:name="OLE_LINK52"/>
      <w:r>
        <w:rPr>
          <w:rFonts w:hint="default" w:ascii="Times New Roman" w:hAnsi="Times New Roman" w:cs="Times New Roman"/>
          <w:highlight w:val="none"/>
          <w:lang w:val="en-US" w:eastAsia="zh-CN"/>
        </w:rPr>
        <w:t>巨大，既有保护管理方面的不足，也有</w:t>
      </w:r>
      <w:r>
        <w:rPr>
          <w:rFonts w:hint="eastAsia" w:cs="Times New Roman"/>
          <w:highlight w:val="none"/>
          <w:lang w:val="en-US" w:eastAsia="zh-CN"/>
        </w:rPr>
        <w:t>自然因素干旱缺水等</w:t>
      </w:r>
      <w:r>
        <w:rPr>
          <w:rFonts w:hint="default" w:ascii="Times New Roman" w:hAnsi="Times New Roman" w:cs="Times New Roman"/>
          <w:highlight w:val="none"/>
          <w:lang w:val="en-US" w:eastAsia="zh-CN"/>
        </w:rPr>
        <w:t>问题。</w:t>
      </w:r>
      <w:bookmarkEnd w:id="133"/>
      <w:bookmarkStart w:id="134" w:name="OLE_LINK113"/>
    </w:p>
    <w:p w14:paraId="4FABDB30">
      <w:pPr>
        <w:bidi w:val="0"/>
        <w:jc w:val="both"/>
        <w:rPr>
          <w:rFonts w:hint="default" w:ascii="Times New Roman" w:hAnsi="Times New Roman" w:cs="Times New Roman"/>
          <w:highlight w:val="none"/>
          <w:lang w:val="en-US" w:eastAsia="zh-CN"/>
        </w:rPr>
      </w:pPr>
      <w:r>
        <w:rPr>
          <w:rFonts w:hint="eastAsia" w:cs="Times New Roman"/>
          <w:b/>
          <w:bCs/>
          <w:highlight w:val="none"/>
          <w:lang w:val="en-US" w:eastAsia="zh-CN"/>
        </w:rPr>
        <w:t>1、</w:t>
      </w:r>
      <w:bookmarkStart w:id="135" w:name="OLE_LINK171"/>
      <w:bookmarkStart w:id="136" w:name="OLE_LINK169"/>
      <w:r>
        <w:rPr>
          <w:rFonts w:hint="default" w:ascii="Times New Roman" w:hAnsi="Times New Roman" w:cs="Times New Roman"/>
          <w:b/>
          <w:bCs/>
          <w:highlight w:val="none"/>
          <w:lang w:val="en-US" w:eastAsia="zh-CN"/>
        </w:rPr>
        <w:t>湿地保护</w:t>
      </w:r>
      <w:bookmarkStart w:id="137" w:name="OLE_LINK173"/>
      <w:r>
        <w:rPr>
          <w:rFonts w:hint="default" w:ascii="Times New Roman" w:hAnsi="Times New Roman" w:cs="Times New Roman"/>
          <w:b/>
          <w:bCs/>
          <w:highlight w:val="none"/>
          <w:lang w:val="en-US" w:eastAsia="zh-CN"/>
        </w:rPr>
        <w:t>管理</w:t>
      </w:r>
      <w:bookmarkEnd w:id="137"/>
      <w:r>
        <w:rPr>
          <w:rFonts w:hint="default" w:ascii="Times New Roman" w:hAnsi="Times New Roman" w:cs="Times New Roman"/>
          <w:b/>
          <w:bCs/>
          <w:highlight w:val="none"/>
          <w:lang w:val="en-US" w:eastAsia="zh-CN"/>
        </w:rPr>
        <w:t>基层力量薄弱</w:t>
      </w:r>
      <w:bookmarkEnd w:id="135"/>
      <w:r>
        <w:rPr>
          <w:rFonts w:hint="default" w:ascii="Times New Roman" w:hAnsi="Times New Roman" w:cs="Times New Roman"/>
          <w:b/>
          <w:bCs/>
          <w:highlight w:val="none"/>
          <w:lang w:val="en-US" w:eastAsia="zh-CN"/>
        </w:rPr>
        <w:t>。</w:t>
      </w:r>
      <w:bookmarkEnd w:id="136"/>
      <w:bookmarkStart w:id="138" w:name="OLE_LINK228"/>
      <w:r>
        <w:rPr>
          <w:rFonts w:hint="default" w:ascii="Times New Roman" w:hAnsi="Times New Roman" w:cs="Times New Roman"/>
          <w:highlight w:val="none"/>
          <w:lang w:val="en-US" w:eastAsia="zh-CN"/>
        </w:rPr>
        <w:t>目前各级湿地保护管理机构中，相关专业人员和科研力量严重不足，湿地保护管理基层工作力量薄弱，</w:t>
      </w:r>
      <w:bookmarkStart w:id="139" w:name="OLE_LINK53"/>
      <w:r>
        <w:rPr>
          <w:rFonts w:hint="eastAsia" w:cs="Times New Roman"/>
          <w:highlight w:val="none"/>
          <w:lang w:val="en-US" w:eastAsia="zh-CN"/>
        </w:rPr>
        <w:t>湿地公园的管理存在一定的不足之处</w:t>
      </w:r>
      <w:bookmarkEnd w:id="139"/>
      <w:r>
        <w:rPr>
          <w:rFonts w:hint="default" w:ascii="Times New Roman" w:hAnsi="Times New Roman" w:cs="Times New Roman"/>
          <w:highlight w:val="none"/>
          <w:lang w:val="en-US" w:eastAsia="zh-CN"/>
        </w:rPr>
        <w:t>，管理人员少，设备、资金缺乏，无法实现对保护区内的湿地资源和野生动植物资源的有效管理和保护</w:t>
      </w:r>
      <w:r>
        <w:rPr>
          <w:rFonts w:hint="eastAsia" w:cs="Times New Roman"/>
          <w:highlight w:val="none"/>
          <w:lang w:val="en-US" w:eastAsia="zh-CN"/>
        </w:rPr>
        <w:t>，使工作无法有效开展</w:t>
      </w:r>
      <w:r>
        <w:rPr>
          <w:rFonts w:hint="default" w:ascii="Times New Roman" w:hAnsi="Times New Roman" w:cs="Times New Roman"/>
          <w:highlight w:val="none"/>
          <w:lang w:val="en-US" w:eastAsia="zh-CN"/>
        </w:rPr>
        <w:t>。</w:t>
      </w:r>
    </w:p>
    <w:bookmarkEnd w:id="138"/>
    <w:p w14:paraId="43CA3372">
      <w:pPr>
        <w:bidi w:val="0"/>
        <w:jc w:val="both"/>
        <w:rPr>
          <w:rFonts w:hint="default" w:ascii="Times New Roman" w:hAnsi="Times New Roman" w:cs="Times New Roman"/>
          <w:highlight w:val="none"/>
          <w:lang w:val="en-US" w:eastAsia="zh-CN"/>
        </w:rPr>
      </w:pPr>
      <w:bookmarkStart w:id="140" w:name="OLE_LINK55"/>
      <w:r>
        <w:rPr>
          <w:rFonts w:hint="eastAsia" w:ascii="Times New Roman" w:hAnsi="Times New Roman" w:cs="Times New Roman"/>
          <w:b/>
          <w:bCs/>
          <w:highlight w:val="none"/>
          <w:lang w:val="en-US" w:eastAsia="zh-CN"/>
        </w:rPr>
        <w:t>2、</w:t>
      </w:r>
      <w:bookmarkStart w:id="141" w:name="OLE_LINK170"/>
      <w:r>
        <w:rPr>
          <w:rFonts w:hint="eastAsia" w:cs="Times New Roman"/>
          <w:b/>
          <w:bCs/>
          <w:highlight w:val="none"/>
          <w:lang w:val="en-US" w:eastAsia="zh-CN"/>
        </w:rPr>
        <w:t>各部门沟通协调不够完善</w:t>
      </w:r>
      <w:r>
        <w:rPr>
          <w:rFonts w:hint="default" w:ascii="Times New Roman" w:hAnsi="Times New Roman" w:cs="Times New Roman"/>
          <w:b/>
          <w:bCs/>
          <w:highlight w:val="none"/>
          <w:lang w:val="en-US" w:eastAsia="zh-CN"/>
        </w:rPr>
        <w:t>。</w:t>
      </w:r>
      <w:bookmarkEnd w:id="141"/>
      <w:bookmarkStart w:id="142" w:name="OLE_LINK229"/>
      <w:r>
        <w:rPr>
          <w:rFonts w:hint="eastAsia" w:cs="Times New Roman"/>
          <w:b w:val="0"/>
          <w:bCs w:val="0"/>
          <w:highlight w:val="none"/>
          <w:lang w:val="en-US" w:eastAsia="zh-CN"/>
        </w:rPr>
        <w:t>湿地保护管理涉及自然资源、水利、生态环境、农业农村等多个职能部门，跨部门综合协调机制仍未有效建立，</w:t>
      </w:r>
      <w:r>
        <w:rPr>
          <w:rFonts w:hint="default" w:ascii="Times New Roman" w:hAnsi="Times New Roman" w:cs="Times New Roman"/>
          <w:highlight w:val="none"/>
          <w:lang w:val="en-US" w:eastAsia="zh-CN"/>
        </w:rPr>
        <w:t>湿地保护协作和信息通报机制不健全</w:t>
      </w:r>
      <w:r>
        <w:rPr>
          <w:rFonts w:hint="eastAsia" w:cs="Times New Roman"/>
          <w:highlight w:val="none"/>
          <w:lang w:val="en-US" w:eastAsia="zh-CN"/>
        </w:rPr>
        <w:t>，</w:t>
      </w:r>
      <w:r>
        <w:rPr>
          <w:rFonts w:hint="default" w:ascii="Times New Roman" w:hAnsi="Times New Roman" w:cs="Times New Roman"/>
          <w:highlight w:val="none"/>
          <w:lang w:val="en-US" w:eastAsia="zh-CN"/>
        </w:rPr>
        <w:t>对湿地</w:t>
      </w:r>
      <w:r>
        <w:rPr>
          <w:rFonts w:hint="eastAsia" w:cs="Times New Roman"/>
          <w:highlight w:val="none"/>
          <w:lang w:val="en-US" w:eastAsia="zh-CN"/>
        </w:rPr>
        <w:t>管理对象</w:t>
      </w:r>
      <w:r>
        <w:rPr>
          <w:rFonts w:hint="default" w:ascii="Times New Roman" w:hAnsi="Times New Roman" w:cs="Times New Roman"/>
          <w:highlight w:val="none"/>
          <w:lang w:val="en-US" w:eastAsia="zh-CN"/>
        </w:rPr>
        <w:t>认识不足</w:t>
      </w:r>
      <w:bookmarkStart w:id="143" w:name="OLE_LINK54"/>
      <w:r>
        <w:rPr>
          <w:rFonts w:hint="eastAsia" w:cs="Times New Roman"/>
          <w:highlight w:val="none"/>
          <w:lang w:val="en-US" w:eastAsia="zh-CN"/>
        </w:rPr>
        <w:t>等问题</w:t>
      </w:r>
      <w:r>
        <w:rPr>
          <w:rFonts w:hint="default" w:ascii="Times New Roman" w:hAnsi="Times New Roman" w:cs="Times New Roman"/>
          <w:highlight w:val="none"/>
          <w:lang w:val="en-US" w:eastAsia="zh-CN"/>
        </w:rPr>
        <w:t>。</w:t>
      </w:r>
      <w:bookmarkEnd w:id="134"/>
      <w:bookmarkEnd w:id="140"/>
      <w:bookmarkEnd w:id="143"/>
      <w:bookmarkStart w:id="144" w:name="OLE_LINK56"/>
      <w:bookmarkStart w:id="145" w:name="OLE_LINK116"/>
    </w:p>
    <w:bookmarkEnd w:id="142"/>
    <w:p w14:paraId="555AE88E">
      <w:pPr>
        <w:widowControl w:val="0"/>
        <w:bidi w:val="0"/>
        <w:adjustRightInd w:val="0"/>
        <w:spacing w:line="360" w:lineRule="auto"/>
        <w:ind w:firstLine="602" w:firstLineChars="200"/>
        <w:jc w:val="both"/>
        <w:rPr>
          <w:rFonts w:hint="default" w:ascii="Times New Roman" w:hAnsi="Times New Roman" w:cs="Times New Roman"/>
          <w:lang w:val="en-US" w:eastAsia="zh-CN"/>
        </w:rPr>
      </w:pPr>
      <w:r>
        <w:rPr>
          <w:rFonts w:hint="default" w:ascii="Times New Roman" w:hAnsi="Times New Roman" w:cs="Times New Roman"/>
          <w:b/>
          <w:bCs/>
          <w:highlight w:val="none"/>
          <w:lang w:val="en-US" w:eastAsia="zh-CN"/>
        </w:rPr>
        <w:t>3</w:t>
      </w:r>
      <w:r>
        <w:rPr>
          <w:rFonts w:hint="eastAsia" w:ascii="Times New Roman" w:hAnsi="Times New Roman" w:cs="Times New Roman"/>
          <w:b/>
          <w:bCs/>
          <w:highlight w:val="none"/>
          <w:lang w:val="en-US" w:eastAsia="zh-CN"/>
        </w:rPr>
        <w:t>、</w:t>
      </w:r>
      <w:bookmarkEnd w:id="144"/>
      <w:bookmarkStart w:id="146" w:name="OLE_LINK230"/>
      <w:r>
        <w:rPr>
          <w:rFonts w:hint="eastAsia" w:cs="Times New Roman"/>
          <w:b/>
          <w:bCs/>
          <w:highlight w:val="none"/>
          <w:lang w:val="en-US" w:eastAsia="zh-CN"/>
        </w:rPr>
        <w:t>民</w:t>
      </w:r>
      <w:r>
        <w:rPr>
          <w:rFonts w:ascii="Times New Roman" w:hAnsi="Times New Roman" w:eastAsia="仿宋" w:cs="Times New Roman"/>
          <w:b/>
          <w:bCs/>
          <w:sz w:val="30"/>
          <w:szCs w:val="32"/>
          <w:lang w:bidi="ar-SA"/>
        </w:rPr>
        <w:t>众对湿地保护的意识尚显不足</w:t>
      </w:r>
      <w:r>
        <w:rPr>
          <w:rFonts w:hint="eastAsia" w:cs="Times New Roman"/>
          <w:b/>
          <w:bCs/>
          <w:highlight w:val="none"/>
          <w:lang w:val="en-US" w:eastAsia="zh-CN"/>
        </w:rPr>
        <w:t>。</w:t>
      </w:r>
      <w:bookmarkEnd w:id="146"/>
      <w:r>
        <w:rPr>
          <w:rFonts w:hint="default" w:ascii="Times New Roman" w:hAnsi="Times New Roman" w:cs="Times New Roman"/>
          <w:highlight w:val="none"/>
          <w:lang w:val="en-US" w:eastAsia="zh-CN"/>
        </w:rPr>
        <w:t>民众对</w:t>
      </w:r>
      <w:bookmarkStart w:id="147" w:name="OLE_LINK115"/>
      <w:r>
        <w:rPr>
          <w:rFonts w:hint="default" w:ascii="Times New Roman" w:hAnsi="Times New Roman" w:cs="Times New Roman"/>
          <w:highlight w:val="none"/>
          <w:lang w:val="en-US" w:eastAsia="zh-CN"/>
        </w:rPr>
        <w:t>湿地保护的了解途径单一，仅在湿地保护区有部分宣传</w:t>
      </w:r>
      <w:bookmarkEnd w:id="145"/>
      <w:r>
        <w:rPr>
          <w:rFonts w:hint="default" w:ascii="Times New Roman" w:hAnsi="Times New Roman" w:cs="Times New Roman"/>
          <w:lang w:val="en-US" w:eastAsia="zh-CN"/>
        </w:rPr>
        <w:t>标识；因湿地面积大，湿地基础设施不完善，民众</w:t>
      </w:r>
      <w:bookmarkEnd w:id="147"/>
      <w:r>
        <w:rPr>
          <w:rFonts w:hint="eastAsia" w:cs="Times New Roman"/>
          <w:lang w:val="en-US" w:eastAsia="zh-CN"/>
        </w:rPr>
        <w:t>湿地</w:t>
      </w:r>
      <w:r>
        <w:rPr>
          <w:rFonts w:hint="default" w:ascii="Times New Roman" w:hAnsi="Times New Roman" w:cs="Times New Roman"/>
          <w:lang w:val="en-US" w:eastAsia="zh-CN"/>
        </w:rPr>
        <w:t>保护意识不足</w:t>
      </w:r>
      <w:r>
        <w:rPr>
          <w:rFonts w:hint="eastAsia" w:cs="Times New Roman"/>
          <w:lang w:val="en-US" w:eastAsia="zh-CN"/>
        </w:rPr>
        <w:t>，</w:t>
      </w:r>
      <w:r>
        <w:rPr>
          <w:rFonts w:hint="default" w:ascii="Times New Roman" w:hAnsi="Times New Roman" w:cs="Times New Roman"/>
          <w:lang w:val="en-US" w:eastAsia="zh-CN"/>
        </w:rPr>
        <w:t>湿地公园工作人员少，造成湿地巡护不全、巡护人员任务重、管理难等问题。</w:t>
      </w:r>
    </w:p>
    <w:p w14:paraId="05AA3E61">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4</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地方财政投入资金不足。</w:t>
      </w:r>
      <w:r>
        <w:rPr>
          <w:rFonts w:hint="default" w:ascii="Times New Roman" w:hAnsi="Times New Roman" w:cs="Times New Roman"/>
          <w:lang w:val="en-US" w:eastAsia="zh-CN"/>
        </w:rPr>
        <w:t>湿地保护与管理需要资金投入，当前</w:t>
      </w:r>
      <w:r>
        <w:rPr>
          <w:rFonts w:hint="eastAsia" w:cs="Times New Roman"/>
          <w:lang w:val="en-US" w:eastAsia="zh-CN"/>
        </w:rPr>
        <w:t>昌吉回族自治州</w:t>
      </w:r>
      <w:r>
        <w:rPr>
          <w:rFonts w:hint="default" w:ascii="Times New Roman" w:hAnsi="Times New Roman" w:cs="Times New Roman"/>
          <w:lang w:val="en-US" w:eastAsia="zh-CN"/>
        </w:rPr>
        <w:t>湿地保护和</w:t>
      </w:r>
      <w:bookmarkStart w:id="148" w:name="OLE_LINK117"/>
      <w:r>
        <w:rPr>
          <w:rFonts w:hint="eastAsia" w:cs="Times New Roman"/>
          <w:lang w:val="en-US" w:eastAsia="zh-CN"/>
        </w:rPr>
        <w:t>修复</w:t>
      </w:r>
      <w:r>
        <w:rPr>
          <w:rFonts w:hint="default" w:ascii="Times New Roman" w:hAnsi="Times New Roman" w:cs="Times New Roman"/>
          <w:lang w:val="en-US" w:eastAsia="zh-CN"/>
        </w:rPr>
        <w:t>的</w:t>
      </w:r>
      <w:bookmarkEnd w:id="148"/>
      <w:r>
        <w:rPr>
          <w:rFonts w:hint="default" w:ascii="Times New Roman" w:hAnsi="Times New Roman" w:cs="Times New Roman"/>
          <w:lang w:val="en-US" w:eastAsia="zh-CN"/>
        </w:rPr>
        <w:t>经费严重不足，已经成为制约湿地可持续发展的瓶颈。在湿地调查、保护区建设、基础设施建设、湿地监测、湿地研究、人员培训、执法手段与队伍建设等方面都需专门的资金支持，由于资金短缺，使许多湿地保护计划和行动难以实施。</w:t>
      </w:r>
    </w:p>
    <w:p w14:paraId="250A3417">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5</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湿地保护基础设施欠缺。</w:t>
      </w:r>
      <w:r>
        <w:rPr>
          <w:rFonts w:hint="default" w:ascii="Times New Roman" w:hAnsi="Times New Roman" w:cs="Times New Roman"/>
          <w:lang w:val="en-US" w:eastAsia="zh-CN"/>
        </w:rPr>
        <w:t>必要的湿地保护基础建设滞后，对湿地的监测活动也多限于自治州内4个国家级湿地公园。近年来州政府对湿地保护修复的投入虽逐年增长，但湿地修复项目涉及区域广、湿地环境复杂、修复成本高等问题，</w:t>
      </w:r>
      <w:r>
        <w:rPr>
          <w:rFonts w:hint="eastAsia" w:cs="Times New Roman"/>
          <w:lang w:val="en-US" w:eastAsia="zh-CN"/>
        </w:rPr>
        <w:t>且</w:t>
      </w:r>
      <w:r>
        <w:rPr>
          <w:rFonts w:hint="default" w:ascii="Times New Roman" w:hAnsi="Times New Roman" w:cs="Times New Roman"/>
          <w:lang w:val="en-US" w:eastAsia="zh-CN"/>
        </w:rPr>
        <w:t>修复后由于人员和监测设施的缺乏，部分区域也无法得到有效管护。</w:t>
      </w:r>
    </w:p>
    <w:p w14:paraId="0E98B30F">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6</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信息标准不统一，成果得不到有效利用。</w:t>
      </w:r>
      <w:r>
        <w:rPr>
          <w:rFonts w:hint="default" w:ascii="Times New Roman" w:hAnsi="Times New Roman" w:cs="Times New Roman"/>
          <w:lang w:val="en-US" w:eastAsia="zh-CN"/>
        </w:rPr>
        <w:t>已收集的与湿地有关的基础信息，包括数据，参数标准不一，尚未形成数据库，难以共享。例如与国土调查、林草湿综合监测相比，目前使用的湿地调查成果在调查尺度、分类系统等方面难以满足</w:t>
      </w:r>
      <w:r>
        <w:rPr>
          <w:rFonts w:hint="eastAsia" w:cs="Times New Roman"/>
          <w:lang w:val="en-US" w:eastAsia="zh-CN"/>
        </w:rPr>
        <w:t>“</w:t>
      </w:r>
      <w:r>
        <w:rPr>
          <w:rFonts w:hint="default" w:ascii="Times New Roman" w:hAnsi="Times New Roman" w:cs="Times New Roman"/>
          <w:lang w:val="en-US" w:eastAsia="zh-CN"/>
        </w:rPr>
        <w:t>多规合一</w:t>
      </w:r>
      <w:r>
        <w:rPr>
          <w:rFonts w:hint="eastAsia" w:cs="Times New Roman"/>
          <w:lang w:val="en-US" w:eastAsia="zh-CN"/>
        </w:rPr>
        <w:t>”</w:t>
      </w:r>
      <w:r>
        <w:rPr>
          <w:rFonts w:hint="default" w:ascii="Times New Roman" w:hAnsi="Times New Roman" w:cs="Times New Roman"/>
          <w:lang w:val="en-US" w:eastAsia="zh-CN"/>
        </w:rPr>
        <w:t>、精准管控、精准落地的要求。</w:t>
      </w:r>
    </w:p>
    <w:p w14:paraId="4CF09CB9">
      <w:pPr>
        <w:pStyle w:val="3"/>
        <w:bidi w:val="0"/>
        <w:rPr>
          <w:rFonts w:hint="default" w:ascii="Times New Roman" w:hAnsi="Times New Roman" w:eastAsia="黑体" w:cs="Times New Roman"/>
          <w:highlight w:val="none"/>
          <w:lang w:val="en-US" w:eastAsia="zh-CN"/>
        </w:rPr>
      </w:pPr>
      <w:bookmarkStart w:id="149" w:name="OLE_LINK57"/>
      <w:bookmarkStart w:id="150" w:name="_Toc31300"/>
      <w:bookmarkStart w:id="151" w:name="_Toc9678"/>
      <w:bookmarkStart w:id="152" w:name="_Toc9218"/>
      <w:r>
        <w:rPr>
          <w:rFonts w:hint="eastAsia" w:ascii="Times New Roman" w:hAnsi="Times New Roman" w:cs="Times New Roman"/>
          <w:highlight w:val="none"/>
          <w:lang w:val="en-US" w:eastAsia="zh-CN"/>
        </w:rPr>
        <w:t xml:space="preserve">第四节  </w:t>
      </w:r>
      <w:r>
        <w:rPr>
          <w:rFonts w:hint="default" w:ascii="Times New Roman" w:hAnsi="Times New Roman" w:cs="Times New Roman"/>
          <w:highlight w:val="none"/>
          <w:lang w:val="en-US" w:eastAsia="zh-CN"/>
        </w:rPr>
        <w:t>机遇形势</w:t>
      </w:r>
      <w:bookmarkEnd w:id="149"/>
      <w:bookmarkEnd w:id="150"/>
      <w:bookmarkEnd w:id="151"/>
      <w:bookmarkEnd w:id="152"/>
    </w:p>
    <w:p w14:paraId="271091F8">
      <w:pPr>
        <w:bidi w:val="0"/>
        <w:jc w:val="both"/>
        <w:rPr>
          <w:rFonts w:hint="default" w:ascii="Times New Roman" w:hAnsi="Times New Roman" w:cs="Times New Roman"/>
          <w:lang w:val="en-US" w:eastAsia="zh-CN"/>
        </w:rPr>
      </w:pPr>
      <w:bookmarkStart w:id="153" w:name="OLE_LINK8"/>
      <w:r>
        <w:rPr>
          <w:rFonts w:hint="default" w:ascii="Times New Roman" w:hAnsi="Times New Roman" w:cs="Times New Roman"/>
          <w:b/>
          <w:bCs/>
          <w:highlight w:val="none"/>
          <w:lang w:val="en-US" w:eastAsia="zh-CN"/>
        </w:rPr>
        <w:t>1</w:t>
      </w:r>
      <w:r>
        <w:rPr>
          <w:rFonts w:hint="eastAsia" w:ascii="Times New Roman" w:hAnsi="Times New Roman" w:cs="Times New Roman"/>
          <w:b/>
          <w:bCs/>
          <w:highlight w:val="none"/>
          <w:lang w:val="en-US" w:eastAsia="zh-CN"/>
        </w:rPr>
        <w:t>、</w:t>
      </w:r>
      <w:r>
        <w:rPr>
          <w:rFonts w:hint="default" w:ascii="Times New Roman" w:hAnsi="Times New Roman" w:cs="Times New Roman"/>
          <w:b/>
          <w:bCs/>
          <w:highlight w:val="none"/>
          <w:lang w:val="en-US" w:eastAsia="zh-CN"/>
        </w:rPr>
        <w:t>习近平生态文明思想为</w:t>
      </w:r>
      <w:r>
        <w:rPr>
          <w:rFonts w:hint="default" w:ascii="Times New Roman" w:hAnsi="Times New Roman" w:cs="Times New Roman"/>
          <w:b/>
          <w:bCs/>
          <w:lang w:val="en-US" w:eastAsia="zh-CN"/>
        </w:rPr>
        <w:t>湿地保护提供科学指引。</w:t>
      </w:r>
      <w:r>
        <w:rPr>
          <w:rFonts w:hint="default" w:ascii="Times New Roman" w:hAnsi="Times New Roman" w:cs="Times New Roman"/>
          <w:lang w:val="en-US" w:eastAsia="zh-CN"/>
        </w:rPr>
        <w:t>习近平总书记站在中华民族伟大复兴和永续发展的战略全局高度，对湿地保护修复作出了一系列重要指示批示，特别是2023年6月6日在内蒙古巴彦淖尔考察时指出</w:t>
      </w:r>
      <w:r>
        <w:rPr>
          <w:rFonts w:hint="eastAsia" w:cs="Times New Roman"/>
          <w:lang w:val="en-US" w:eastAsia="zh-CN"/>
        </w:rPr>
        <w:t>“</w:t>
      </w:r>
      <w:r>
        <w:rPr>
          <w:rFonts w:hint="default" w:ascii="Times New Roman" w:hAnsi="Times New Roman" w:cs="Times New Roman"/>
          <w:lang w:val="en-US" w:eastAsia="zh-CN"/>
        </w:rPr>
        <w:t>要合理利用水资源，坚持以水定绿、以水定地、以水定人、以水定产，把水资源作为最大的刚性约束，大力发展节水林草，因地制宜、科学推广应用行之有效的治理模式；要坚持系统观念，扎实推进山水林田湖草沙一体化保护和系统治理。要统筹森林、草原、湿地、荒漠生态保护修复，加强治沙、治水、治山全要素协调和管理，着力培育健康稳定、功能完备的森林、草原、湿地、荒漠生态系统</w:t>
      </w:r>
      <w:r>
        <w:rPr>
          <w:rFonts w:hint="eastAsia" w:cs="Times New Roman"/>
          <w:lang w:val="en-US" w:eastAsia="zh-CN"/>
        </w:rPr>
        <w:t>”</w:t>
      </w:r>
      <w:r>
        <w:rPr>
          <w:rFonts w:hint="default" w:ascii="Times New Roman" w:hAnsi="Times New Roman" w:cs="Times New Roman"/>
          <w:lang w:val="en-US" w:eastAsia="zh-CN"/>
        </w:rPr>
        <w:t>，为湿地保护工作提供了科学指引和行动指南。</w:t>
      </w:r>
    </w:p>
    <w:p w14:paraId="1880EE6A">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2</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w:t>
      </w:r>
      <w:r>
        <w:rPr>
          <w:rFonts w:hint="eastAsia" w:cs="Times New Roman"/>
          <w:b/>
          <w:bCs/>
          <w:lang w:val="en-US" w:eastAsia="zh-CN"/>
        </w:rPr>
        <w:t>中华人民共和国湿地保护法</w:t>
      </w:r>
      <w:r>
        <w:rPr>
          <w:rFonts w:hint="default" w:ascii="Times New Roman" w:hAnsi="Times New Roman" w:cs="Times New Roman"/>
          <w:b/>
          <w:bCs/>
          <w:lang w:val="en-US" w:eastAsia="zh-CN"/>
        </w:rPr>
        <w:t>》为湿地保护高质量发展提供法治保障。</w:t>
      </w:r>
      <w:r>
        <w:rPr>
          <w:rFonts w:hint="default" w:ascii="Times New Roman" w:hAnsi="Times New Roman" w:cs="Times New Roman"/>
          <w:lang w:val="en-US" w:eastAsia="zh-CN"/>
        </w:rPr>
        <w:t>《</w:t>
      </w:r>
      <w:r>
        <w:rPr>
          <w:rFonts w:hint="eastAsia" w:cs="Times New Roman"/>
          <w:lang w:val="en-US" w:eastAsia="zh-CN"/>
        </w:rPr>
        <w:t>中华人民共和国湿地保护法</w:t>
      </w:r>
      <w:r>
        <w:rPr>
          <w:rFonts w:hint="default" w:ascii="Times New Roman" w:hAnsi="Times New Roman" w:cs="Times New Roman"/>
          <w:lang w:val="en-US" w:eastAsia="zh-CN"/>
        </w:rPr>
        <w:t>》是我国首部专门保护湿地的法律，共7章65条，立足湿地生态系统的整体性保护修复，确立了湿地保护管理顶层设计的</w:t>
      </w:r>
      <w:r>
        <w:rPr>
          <w:rFonts w:hint="eastAsia" w:cs="Times New Roman"/>
          <w:lang w:val="en-US" w:eastAsia="zh-CN"/>
        </w:rPr>
        <w:t>“</w:t>
      </w:r>
      <w:r>
        <w:rPr>
          <w:rFonts w:hint="default" w:ascii="Times New Roman" w:hAnsi="Times New Roman" w:cs="Times New Roman"/>
          <w:lang w:val="en-US" w:eastAsia="zh-CN"/>
        </w:rPr>
        <w:t>四梁八柱</w:t>
      </w:r>
      <w:r>
        <w:rPr>
          <w:rFonts w:hint="eastAsia" w:cs="Times New Roman"/>
          <w:lang w:val="en-US" w:eastAsia="zh-CN"/>
        </w:rPr>
        <w:t>”</w:t>
      </w:r>
      <w:r>
        <w:rPr>
          <w:rFonts w:hint="default" w:ascii="Times New Roman" w:hAnsi="Times New Roman" w:cs="Times New Roman"/>
          <w:lang w:val="en-US" w:eastAsia="zh-CN"/>
        </w:rPr>
        <w:t>。法律围绕湿地资源的管理、修复、保护与利用，确立了</w:t>
      </w:r>
      <w:r>
        <w:rPr>
          <w:rFonts w:hint="eastAsia" w:cs="Times New Roman"/>
          <w:lang w:val="en-US" w:eastAsia="zh-CN"/>
        </w:rPr>
        <w:t>“</w:t>
      </w:r>
      <w:r>
        <w:rPr>
          <w:rFonts w:hint="default" w:ascii="Times New Roman" w:hAnsi="Times New Roman" w:cs="Times New Roman"/>
          <w:lang w:val="en-US" w:eastAsia="zh-CN"/>
        </w:rPr>
        <w:t>保护优先、严格管理、系统治理、科学修复、合理利用</w:t>
      </w:r>
      <w:r>
        <w:rPr>
          <w:rFonts w:hint="eastAsia" w:cs="Times New Roman"/>
          <w:lang w:val="en-US" w:eastAsia="zh-CN"/>
        </w:rPr>
        <w:t>”</w:t>
      </w:r>
      <w:r>
        <w:rPr>
          <w:rFonts w:hint="default" w:ascii="Times New Roman" w:hAnsi="Times New Roman" w:cs="Times New Roman"/>
          <w:lang w:val="en-US" w:eastAsia="zh-CN"/>
        </w:rPr>
        <w:t>基本原则，建立了覆盖全面、体系协调、功能完备的湿地保护法律制度，引领我国湿地保护工作全面进入法治化轨道，填补了生态系统立法的空白，为湿地保护高质量发展提供了法治保障。</w:t>
      </w:r>
    </w:p>
    <w:p w14:paraId="29CBF336">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3</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《新疆维吾尔自治区林业草原保护发展</w:t>
      </w:r>
      <w:r>
        <w:rPr>
          <w:rFonts w:hint="eastAsia" w:cs="Times New Roman"/>
          <w:b/>
          <w:bCs/>
          <w:lang w:val="en-US" w:eastAsia="zh-CN"/>
        </w:rPr>
        <w:t>“</w:t>
      </w:r>
      <w:r>
        <w:rPr>
          <w:rFonts w:hint="default" w:ascii="Times New Roman" w:hAnsi="Times New Roman" w:cs="Times New Roman"/>
          <w:b/>
          <w:bCs/>
          <w:lang w:val="en-US" w:eastAsia="zh-CN"/>
        </w:rPr>
        <w:t>十四五</w:t>
      </w:r>
      <w:r>
        <w:rPr>
          <w:rFonts w:hint="eastAsia" w:cs="Times New Roman"/>
          <w:b/>
          <w:bCs/>
          <w:lang w:val="en-US" w:eastAsia="zh-CN"/>
        </w:rPr>
        <w:t>”</w:t>
      </w:r>
      <w:r>
        <w:rPr>
          <w:rFonts w:hint="default" w:ascii="Times New Roman" w:hAnsi="Times New Roman" w:cs="Times New Roman"/>
          <w:b/>
          <w:bCs/>
          <w:lang w:val="en-US" w:eastAsia="zh-CN"/>
        </w:rPr>
        <w:t>规划》为湿地保护提供总体目标。</w:t>
      </w:r>
      <w:r>
        <w:rPr>
          <w:rFonts w:hint="default" w:ascii="Times New Roman" w:hAnsi="Times New Roman" w:cs="Times New Roman"/>
          <w:lang w:val="en-US" w:eastAsia="zh-CN"/>
        </w:rPr>
        <w:t>《新疆维吾尔自治区林业草原保护发展</w:t>
      </w:r>
      <w:r>
        <w:rPr>
          <w:rFonts w:hint="eastAsia" w:cs="Times New Roman"/>
          <w:lang w:val="en-US" w:eastAsia="zh-CN"/>
        </w:rPr>
        <w:t>“</w:t>
      </w:r>
      <w:r>
        <w:rPr>
          <w:rFonts w:hint="default" w:ascii="Times New Roman" w:hAnsi="Times New Roman" w:cs="Times New Roman"/>
          <w:lang w:val="en-US" w:eastAsia="zh-CN"/>
        </w:rPr>
        <w:t>十四五</w:t>
      </w:r>
      <w:r>
        <w:rPr>
          <w:rFonts w:hint="eastAsia" w:cs="Times New Roman"/>
          <w:lang w:val="en-US" w:eastAsia="zh-CN"/>
        </w:rPr>
        <w:t>”</w:t>
      </w:r>
      <w:r>
        <w:rPr>
          <w:rFonts w:hint="default" w:ascii="Times New Roman" w:hAnsi="Times New Roman" w:cs="Times New Roman"/>
          <w:lang w:val="en-US" w:eastAsia="zh-CN"/>
        </w:rPr>
        <w:t>规划》立足自治区湿地资源现状，明确自治区湿地保护的总体要求和重点任务，提出优化湿地保护体系和空间布局，重点加强典型湿地生态系统保护和珍稀濒危物种集中分布的自然湿地保护。坚持全面保护、分级管理，健全湿地保护体系，实现国家重要湿地、自治区重要湿地和一般湿地边界清晰、事权明确、管理到位。积极申报国家重要湿地，确认发布自治区重要湿地，全面加强湿地保护修复，科学修复退化湿地，湿地规模增加、质量提升，健全湿地保护法规制度体系，提升湿地监测监管能力水平，提高湿地生态系统质量和稳定性，湿地保护法治化水平持续提升，为湿地保护工作提供了明确目标。</w:t>
      </w:r>
    </w:p>
    <w:p w14:paraId="165F59B8">
      <w:pPr>
        <w:bidi w:val="0"/>
        <w:jc w:val="both"/>
        <w:rPr>
          <w:rFonts w:hint="default" w:ascii="Times New Roman" w:hAnsi="Times New Roman" w:cs="Times New Roman"/>
          <w:b/>
          <w:bCs/>
          <w:lang w:val="en-US" w:eastAsia="zh-CN"/>
        </w:rPr>
      </w:pPr>
      <w:r>
        <w:rPr>
          <w:rFonts w:hint="default" w:ascii="Times New Roman" w:hAnsi="Times New Roman" w:cs="Times New Roman"/>
          <w:b/>
          <w:bCs/>
          <w:lang w:val="en-US" w:eastAsia="zh-CN"/>
        </w:rPr>
        <w:t>4</w:t>
      </w:r>
      <w:r>
        <w:rPr>
          <w:rFonts w:hint="eastAsia" w:ascii="Times New Roman" w:hAnsi="Times New Roman" w:cs="Times New Roman"/>
          <w:b/>
          <w:bCs/>
          <w:lang w:val="en-US" w:eastAsia="zh-CN"/>
        </w:rPr>
        <w:t>、</w:t>
      </w:r>
      <w:r>
        <w:rPr>
          <w:rFonts w:hint="eastAsia" w:cs="Times New Roman"/>
          <w:b/>
          <w:bCs/>
          <w:lang w:val="en-US" w:eastAsia="zh-CN"/>
        </w:rPr>
        <w:t>人民群众对优美生态环境的需要为湿地保护提供行动方向。</w:t>
      </w:r>
      <w:bookmarkStart w:id="154" w:name="OLE_LINK118"/>
      <w:r>
        <w:rPr>
          <w:rFonts w:hint="eastAsia" w:cs="Times New Roman"/>
          <w:b w:val="0"/>
          <w:bCs w:val="0"/>
          <w:lang w:val="en-US" w:eastAsia="zh-CN"/>
        </w:rPr>
        <w:t>党的二十大</w:t>
      </w:r>
      <w:bookmarkEnd w:id="154"/>
      <w:r>
        <w:rPr>
          <w:rFonts w:hint="eastAsia" w:cs="Times New Roman"/>
          <w:b w:val="0"/>
          <w:bCs w:val="0"/>
          <w:lang w:val="en-US" w:eastAsia="zh-CN"/>
        </w:rPr>
        <w:t>报告提出“中国式现代化是人与自然和谐共生的现代化”“大自然是人类赖以生存发展的基本条件，要站在人与自然和谐共生的高度谋划发展”。当前，人民群众不仅对物质生活产生了更加个性化、多样化、高层次的需求，对公平、正义、法治、生态等方面的需求也日益增加。湿地保护要坚持以人民为中心的发展思想，增加高质量湿地生态环境保障及生态产品有效供给，让湿地成为人民群众共享的绿色空间，不断满足人民日益增长的优美生态环境需要。湿地惠民、湿地利民、湿地为民，有效提供更多更丰富的优质湿地生态产品、生态空间，是湿地保护修复和利用的主要方向。</w:t>
      </w:r>
    </w:p>
    <w:p w14:paraId="7D7AEFDD">
      <w:pPr>
        <w:bidi w:val="0"/>
        <w:jc w:val="both"/>
        <w:rPr>
          <w:rFonts w:hint="default"/>
          <w:lang w:val="en-US" w:eastAsia="zh-CN"/>
        </w:rPr>
      </w:pPr>
      <w:r>
        <w:rPr>
          <w:rFonts w:hint="eastAsia" w:cs="Times New Roman"/>
          <w:b/>
          <w:bCs/>
          <w:lang w:val="en-US" w:eastAsia="zh-CN"/>
        </w:rPr>
        <w:t>5、</w:t>
      </w:r>
      <w:r>
        <w:rPr>
          <w:rFonts w:hint="default" w:ascii="Times New Roman" w:hAnsi="Times New Roman" w:cs="Times New Roman"/>
          <w:b/>
          <w:bCs/>
          <w:lang w:val="en-US" w:eastAsia="zh-CN"/>
        </w:rPr>
        <w:t>现代</w:t>
      </w:r>
      <w:r>
        <w:rPr>
          <w:rFonts w:hint="eastAsia" w:cs="Times New Roman"/>
          <w:b/>
          <w:bCs/>
          <w:lang w:val="en-US" w:eastAsia="zh-CN"/>
        </w:rPr>
        <w:t>科学技术和</w:t>
      </w:r>
      <w:r>
        <w:rPr>
          <w:rFonts w:hint="default" w:ascii="Times New Roman" w:hAnsi="Times New Roman" w:cs="Times New Roman"/>
          <w:b/>
          <w:bCs/>
          <w:lang w:val="en-US" w:eastAsia="zh-CN"/>
        </w:rPr>
        <w:t>信息化手段为湿地保护</w:t>
      </w:r>
      <w:r>
        <w:rPr>
          <w:rFonts w:hint="eastAsia" w:cs="Times New Roman"/>
          <w:b/>
          <w:bCs/>
          <w:lang w:val="en-US" w:eastAsia="zh-CN"/>
        </w:rPr>
        <w:t>管理和宣传</w:t>
      </w:r>
      <w:r>
        <w:rPr>
          <w:rFonts w:hint="default" w:ascii="Times New Roman" w:hAnsi="Times New Roman" w:cs="Times New Roman"/>
          <w:b/>
          <w:bCs/>
          <w:lang w:val="en-US" w:eastAsia="zh-CN"/>
        </w:rPr>
        <w:t>提供</w:t>
      </w:r>
      <w:r>
        <w:rPr>
          <w:rFonts w:hint="eastAsia" w:cs="Times New Roman"/>
          <w:b/>
          <w:bCs/>
          <w:lang w:val="en-US" w:eastAsia="zh-CN"/>
        </w:rPr>
        <w:t>技术支撑</w:t>
      </w:r>
      <w:r>
        <w:rPr>
          <w:rFonts w:hint="default" w:ascii="Times New Roman" w:hAnsi="Times New Roman" w:cs="Times New Roman"/>
          <w:b/>
          <w:bCs/>
          <w:lang w:val="en-US" w:eastAsia="zh-CN"/>
        </w:rPr>
        <w:t>。</w:t>
      </w:r>
      <w:r>
        <w:rPr>
          <w:rFonts w:hint="default" w:ascii="Times New Roman" w:hAnsi="Times New Roman" w:cs="Times New Roman"/>
          <w:lang w:val="en-US" w:eastAsia="zh-CN"/>
        </w:rPr>
        <w:t>通过政府引导，率先在学校、科研机关</w:t>
      </w:r>
      <w:r>
        <w:rPr>
          <w:rFonts w:hint="eastAsia" w:cs="Times New Roman"/>
          <w:lang w:val="en-US" w:eastAsia="zh-CN"/>
        </w:rPr>
        <w:t>进行</w:t>
      </w:r>
      <w:r>
        <w:rPr>
          <w:rFonts w:hint="default" w:ascii="Times New Roman" w:hAnsi="Times New Roman" w:cs="Times New Roman"/>
          <w:lang w:val="en-US" w:eastAsia="zh-CN"/>
        </w:rPr>
        <w:t>湿地保护</w:t>
      </w:r>
      <w:r>
        <w:rPr>
          <w:rFonts w:hint="eastAsia" w:cs="Times New Roman"/>
          <w:lang w:val="en-US" w:eastAsia="zh-CN"/>
        </w:rPr>
        <w:t>宣传</w:t>
      </w:r>
      <w:r>
        <w:rPr>
          <w:rFonts w:hint="default" w:ascii="Times New Roman" w:hAnsi="Times New Roman" w:cs="Times New Roman"/>
          <w:lang w:val="en-US" w:eastAsia="zh-CN"/>
        </w:rPr>
        <w:t>，让科研一线的专家学者参与进来，为政府决策提供科学依据，为发展湿地产业的企业提供技术支持；加大湿地信息公开的程度，通过电视、直播、报纸等多种途径公开湿地信息并建立反馈机制，采用创新方法，取得出其不意之效果。</w:t>
      </w:r>
      <w:r>
        <w:rPr>
          <w:rFonts w:hint="eastAsia" w:cs="Times New Roman"/>
          <w:lang w:val="en-US" w:eastAsia="zh-CN"/>
        </w:rPr>
        <w:t>昌吉回族自治州</w:t>
      </w:r>
      <w:r>
        <w:rPr>
          <w:rFonts w:hint="default" w:ascii="Times New Roman" w:hAnsi="Times New Roman" w:cs="Times New Roman"/>
          <w:lang w:val="en-US" w:eastAsia="zh-CN"/>
        </w:rPr>
        <w:t>湿地环境优美而独特，如何利用信息手段来提升</w:t>
      </w:r>
      <w:r>
        <w:rPr>
          <w:rFonts w:hint="eastAsia" w:cs="Times New Roman"/>
          <w:lang w:val="en-US" w:eastAsia="zh-CN"/>
        </w:rPr>
        <w:t>昌吉回族自治州</w:t>
      </w:r>
      <w:r>
        <w:rPr>
          <w:rFonts w:hint="default" w:ascii="Times New Roman" w:hAnsi="Times New Roman" w:cs="Times New Roman"/>
          <w:lang w:val="en-US" w:eastAsia="zh-CN"/>
        </w:rPr>
        <w:t>湿地文化宣传和湿地保护精细化管理水平，以及满足自治区建设对区域环境生态保护提出的新要求是湿地保护修复和利用的重要发展方向。</w:t>
      </w:r>
      <w:bookmarkEnd w:id="153"/>
    </w:p>
    <w:bookmarkEnd w:id="64"/>
    <w:p w14:paraId="7110D020">
      <w:pPr>
        <w:pStyle w:val="2"/>
        <w:numPr>
          <w:ilvl w:val="0"/>
          <w:numId w:val="0"/>
        </w:numPr>
        <w:bidi w:val="0"/>
        <w:jc w:val="center"/>
        <w:rPr>
          <w:rFonts w:hint="default" w:ascii="Times New Roman" w:hAnsi="Times New Roman" w:cs="Times New Roman"/>
          <w:highlight w:val="none"/>
          <w:lang w:val="en-US" w:eastAsia="zh-CN"/>
        </w:rPr>
        <w:sectPr>
          <w:footerReference r:id="rId8" w:type="default"/>
          <w:pgSz w:w="11906" w:h="16838"/>
          <w:pgMar w:top="1440" w:right="1800" w:bottom="1440" w:left="1800" w:header="992" w:footer="992" w:gutter="0"/>
          <w:pgBorders>
            <w:top w:val="none" w:sz="0" w:space="0"/>
            <w:left w:val="none" w:sz="0" w:space="0"/>
            <w:bottom w:val="none" w:sz="0" w:space="0"/>
            <w:right w:val="none" w:sz="0" w:space="0"/>
          </w:pgBorders>
          <w:pgNumType w:fmt="decimal" w:start="1"/>
          <w:cols w:space="0" w:num="1"/>
          <w:rtlGutter w:val="0"/>
          <w:docGrid w:type="lines" w:linePitch="442" w:charSpace="0"/>
        </w:sectPr>
      </w:pPr>
      <w:bookmarkStart w:id="155" w:name="_Toc78885644"/>
      <w:bookmarkStart w:id="156" w:name="_Toc4624"/>
      <w:bookmarkStart w:id="157" w:name="_Toc4165"/>
      <w:bookmarkStart w:id="158" w:name="_Toc8946"/>
    </w:p>
    <w:p w14:paraId="36913DA0">
      <w:pPr>
        <w:pStyle w:val="2"/>
        <w:numPr>
          <w:ilvl w:val="0"/>
          <w:numId w:val="0"/>
        </w:numPr>
        <w:bidi w:val="0"/>
        <w:jc w:val="center"/>
        <w:rPr>
          <w:rFonts w:hint="default" w:ascii="Times New Roman" w:hAnsi="Times New Roman" w:cs="Times New Roman"/>
          <w:highlight w:val="none"/>
          <w:lang w:val="en-US" w:eastAsia="zh-CN"/>
        </w:rPr>
      </w:pPr>
      <w:bookmarkStart w:id="159" w:name="_Toc4941"/>
      <w:r>
        <w:rPr>
          <w:rFonts w:hint="default" w:ascii="Times New Roman" w:hAnsi="Times New Roman" w:cs="Times New Roman"/>
          <w:highlight w:val="none"/>
          <w:lang w:val="en-US" w:eastAsia="zh-CN"/>
        </w:rPr>
        <w:t>第二章  指导思想及</w:t>
      </w:r>
      <w:bookmarkEnd w:id="155"/>
      <w:bookmarkEnd w:id="156"/>
      <w:bookmarkStart w:id="160" w:name="_Toc55568913"/>
      <w:bookmarkStart w:id="161" w:name="_Toc42767417"/>
      <w:bookmarkStart w:id="162" w:name="_Toc78885645"/>
      <w:r>
        <w:rPr>
          <w:rFonts w:hint="default" w:ascii="Times New Roman" w:hAnsi="Times New Roman" w:cs="Times New Roman"/>
          <w:highlight w:val="none"/>
          <w:lang w:val="en-US" w:eastAsia="zh-CN"/>
        </w:rPr>
        <w:t>目标</w:t>
      </w:r>
      <w:bookmarkEnd w:id="157"/>
      <w:bookmarkEnd w:id="158"/>
      <w:bookmarkEnd w:id="159"/>
    </w:p>
    <w:p w14:paraId="7E11D90F">
      <w:pPr>
        <w:pStyle w:val="3"/>
        <w:bidi w:val="0"/>
        <w:rPr>
          <w:rFonts w:hint="default" w:ascii="Times New Roman" w:hAnsi="Times New Roman" w:cs="Times New Roman"/>
          <w:highlight w:val="none"/>
          <w:lang w:val="en-US" w:eastAsia="zh-CN"/>
        </w:rPr>
      </w:pPr>
      <w:bookmarkStart w:id="163" w:name="_Toc6108"/>
      <w:bookmarkStart w:id="164" w:name="_Toc6617"/>
      <w:bookmarkStart w:id="165" w:name="_Toc3780"/>
      <w:r>
        <w:rPr>
          <w:rFonts w:hint="eastAsia" w:ascii="Times New Roman" w:hAnsi="Times New Roman" w:cs="Times New Roman"/>
          <w:highlight w:val="none"/>
          <w:lang w:val="en-US" w:eastAsia="zh-CN"/>
        </w:rPr>
        <w:t xml:space="preserve">第一节  </w:t>
      </w:r>
      <w:r>
        <w:rPr>
          <w:rFonts w:hint="default" w:ascii="Times New Roman" w:hAnsi="Times New Roman" w:cs="Times New Roman"/>
          <w:highlight w:val="none"/>
          <w:lang w:val="en-US" w:eastAsia="zh-CN"/>
        </w:rPr>
        <w:t>指导思想</w:t>
      </w:r>
      <w:bookmarkEnd w:id="163"/>
      <w:bookmarkEnd w:id="164"/>
      <w:bookmarkEnd w:id="165"/>
    </w:p>
    <w:p w14:paraId="73597868">
      <w:pPr>
        <w:bidi w:val="0"/>
        <w:jc w:val="both"/>
        <w:rPr>
          <w:rFonts w:hint="default" w:ascii="Times New Roman" w:hAnsi="Times New Roman" w:cs="Times New Roman"/>
          <w:lang w:val="en-US" w:eastAsia="zh-CN"/>
        </w:rPr>
      </w:pPr>
      <w:bookmarkStart w:id="166" w:name="OLE_LINK9"/>
      <w:r>
        <w:rPr>
          <w:rFonts w:hint="default" w:ascii="Times New Roman" w:hAnsi="Times New Roman" w:cs="Times New Roman"/>
          <w:lang w:val="en-US" w:eastAsia="zh-CN"/>
        </w:rPr>
        <w:t>湿地保护修复工作要坚持以习近平生态文明思想为引领，强化区域联防</w:t>
      </w:r>
      <w:bookmarkStart w:id="167" w:name="OLE_LINK58"/>
      <w:r>
        <w:rPr>
          <w:rFonts w:hint="default" w:ascii="Times New Roman" w:hAnsi="Times New Roman" w:cs="Times New Roman"/>
          <w:highlight w:val="none"/>
          <w:lang w:val="en-US" w:eastAsia="zh-CN"/>
        </w:rPr>
        <w:t>联治，打破行政区域界限，持续深入推进《</w:t>
      </w:r>
      <w:r>
        <w:rPr>
          <w:rFonts w:hint="eastAsia" w:cs="Times New Roman"/>
          <w:highlight w:val="none"/>
          <w:lang w:val="en-US" w:eastAsia="zh-CN"/>
        </w:rPr>
        <w:t>中华人民共和国湿地保护法</w:t>
      </w:r>
      <w:r>
        <w:rPr>
          <w:rFonts w:hint="default" w:ascii="Times New Roman" w:hAnsi="Times New Roman" w:cs="Times New Roman"/>
          <w:highlight w:val="none"/>
          <w:lang w:val="en-US" w:eastAsia="zh-CN"/>
        </w:rPr>
        <w:t>》实施工作</w:t>
      </w:r>
      <w:bookmarkStart w:id="168" w:name="OLE_LINK59"/>
      <w:r>
        <w:rPr>
          <w:rFonts w:hint="eastAsia" w:cs="Times New Roman"/>
          <w:highlight w:val="none"/>
          <w:lang w:val="en-US" w:eastAsia="zh-CN"/>
        </w:rPr>
        <w:t>。</w:t>
      </w:r>
      <w:r>
        <w:rPr>
          <w:rFonts w:hint="default" w:ascii="Times New Roman" w:hAnsi="Times New Roman" w:cs="Times New Roman"/>
          <w:highlight w:val="none"/>
          <w:lang w:val="en-US" w:eastAsia="zh-CN"/>
        </w:rPr>
        <w:t>以推进湿地保护高质量发展为主线，</w:t>
      </w:r>
      <w:bookmarkEnd w:id="168"/>
      <w:r>
        <w:rPr>
          <w:rFonts w:hint="eastAsia" w:cs="Times New Roman"/>
          <w:highlight w:val="none"/>
          <w:lang w:val="en-US" w:eastAsia="zh-CN"/>
        </w:rPr>
        <w:t>以实施重大保护修复工程为抓手，</w:t>
      </w:r>
      <w:r>
        <w:rPr>
          <w:rFonts w:hint="default" w:ascii="Times New Roman" w:hAnsi="Times New Roman" w:cs="Times New Roman"/>
          <w:highlight w:val="none"/>
          <w:lang w:val="en-US" w:eastAsia="zh-CN"/>
        </w:rPr>
        <w:t>建立健全部门协作、总量管控、分级管理、系统修复、科学利用的湿地保护管</w:t>
      </w:r>
      <w:bookmarkEnd w:id="167"/>
      <w:r>
        <w:rPr>
          <w:rFonts w:hint="default" w:ascii="Times New Roman" w:hAnsi="Times New Roman" w:cs="Times New Roman"/>
          <w:lang w:val="en-US" w:eastAsia="zh-CN"/>
        </w:rPr>
        <w:t>理体系；以</w:t>
      </w:r>
      <w:r>
        <w:rPr>
          <w:rFonts w:hint="eastAsia" w:cs="Times New Roman"/>
          <w:lang w:val="en-US" w:eastAsia="zh-CN"/>
        </w:rPr>
        <w:t>“</w:t>
      </w:r>
      <w:r>
        <w:rPr>
          <w:rFonts w:hint="default" w:ascii="Times New Roman" w:hAnsi="Times New Roman" w:cs="Times New Roman"/>
          <w:lang w:val="en-US" w:eastAsia="zh-CN"/>
        </w:rPr>
        <w:t>文化润疆 旅游兴疆</w:t>
      </w:r>
      <w:r>
        <w:rPr>
          <w:rFonts w:hint="eastAsia" w:cs="Times New Roman"/>
          <w:lang w:val="en-US" w:eastAsia="zh-CN"/>
        </w:rPr>
        <w:t>”</w:t>
      </w:r>
      <w:r>
        <w:rPr>
          <w:rFonts w:hint="default" w:ascii="Times New Roman" w:hAnsi="Times New Roman" w:cs="Times New Roman"/>
          <w:lang w:val="en-US" w:eastAsia="zh-CN"/>
        </w:rPr>
        <w:t>为契机，提高基础设施建设，深化产业升级改造，强化资源利用管理，加强湿地文化宣传；以新时代生态科技为</w:t>
      </w:r>
      <w:r>
        <w:rPr>
          <w:rFonts w:hint="eastAsia" w:cs="Times New Roman"/>
          <w:lang w:val="en-US" w:eastAsia="zh-CN"/>
        </w:rPr>
        <w:t>基础</w:t>
      </w:r>
      <w:r>
        <w:rPr>
          <w:rFonts w:hint="default" w:ascii="Times New Roman" w:hAnsi="Times New Roman" w:cs="Times New Roman"/>
          <w:lang w:val="en-US" w:eastAsia="zh-CN"/>
        </w:rPr>
        <w:t>，完善湿地生态监测系统，用科技手段保障湿地生态系统安全切实保护湿地生物多样性，维护湿地生态系统健康，提高湿地生态服务功能，保障国土生态安全。</w:t>
      </w:r>
    </w:p>
    <w:bookmarkEnd w:id="166"/>
    <w:p w14:paraId="5061880B">
      <w:pPr>
        <w:pStyle w:val="3"/>
        <w:bidi w:val="0"/>
        <w:rPr>
          <w:rFonts w:hint="default" w:ascii="Times New Roman" w:hAnsi="Times New Roman" w:cs="Times New Roman"/>
          <w:highlight w:val="none"/>
          <w:lang w:val="en-US" w:eastAsia="zh-CN"/>
        </w:rPr>
      </w:pPr>
      <w:bookmarkStart w:id="169" w:name="_Toc17646"/>
      <w:bookmarkStart w:id="170" w:name="_Toc30668"/>
      <w:bookmarkStart w:id="171" w:name="_Toc21468"/>
      <w:r>
        <w:rPr>
          <w:rFonts w:hint="eastAsia" w:ascii="Times New Roman" w:hAnsi="Times New Roman" w:cs="Times New Roman"/>
          <w:highlight w:val="none"/>
          <w:lang w:val="en-US" w:eastAsia="zh-CN"/>
        </w:rPr>
        <w:t xml:space="preserve">第二节  </w:t>
      </w:r>
      <w:r>
        <w:rPr>
          <w:rFonts w:hint="default" w:ascii="Times New Roman" w:hAnsi="Times New Roman" w:cs="Times New Roman"/>
          <w:highlight w:val="none"/>
          <w:lang w:val="en-US" w:eastAsia="zh-CN"/>
        </w:rPr>
        <w:t>基本原则</w:t>
      </w:r>
      <w:bookmarkEnd w:id="169"/>
      <w:bookmarkEnd w:id="170"/>
      <w:bookmarkEnd w:id="171"/>
    </w:p>
    <w:p w14:paraId="5E929252">
      <w:pPr>
        <w:bidi w:val="0"/>
        <w:jc w:val="both"/>
        <w:rPr>
          <w:rFonts w:hint="default" w:ascii="Times New Roman" w:hAnsi="Times New Roman" w:cs="Times New Roman"/>
          <w:lang w:val="en-US" w:eastAsia="zh-CN"/>
        </w:rPr>
      </w:pPr>
      <w:bookmarkStart w:id="172" w:name="OLE_LINK10"/>
      <w:r>
        <w:rPr>
          <w:rFonts w:hint="default" w:ascii="Times New Roman" w:hAnsi="Times New Roman" w:cs="Times New Roman"/>
          <w:b/>
          <w:bCs/>
          <w:lang w:val="en-US" w:eastAsia="zh-CN"/>
        </w:rPr>
        <w:t>1</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坚持保护优先，科学修复。</w:t>
      </w:r>
      <w:r>
        <w:rPr>
          <w:rFonts w:hint="default" w:ascii="Times New Roman" w:hAnsi="Times New Roman" w:cs="Times New Roman"/>
          <w:lang w:val="en-US" w:eastAsia="zh-CN"/>
        </w:rPr>
        <w:t>以维护湿地生态系统健康为目的，把保护放在优先位置，对不同类型</w:t>
      </w:r>
      <w:r>
        <w:rPr>
          <w:rFonts w:hint="eastAsia" w:cs="Times New Roman"/>
          <w:lang w:val="en-US" w:eastAsia="zh-CN"/>
        </w:rPr>
        <w:t>、</w:t>
      </w:r>
      <w:r>
        <w:rPr>
          <w:rFonts w:hint="default" w:ascii="Times New Roman" w:hAnsi="Times New Roman" w:cs="Times New Roman"/>
          <w:lang w:val="en-US" w:eastAsia="zh-CN"/>
        </w:rPr>
        <w:t>资源的湿地，施行有针对性的保护修复理念和方案。结合湿地保护修复、水污染防治领域先进技术，充分发挥科学技术在湿地修复、水污染防治工作中的作用，科学推进湿地保护修复，稳步提升湿地生态质量，恢复湿地生态功能。</w:t>
      </w:r>
    </w:p>
    <w:p w14:paraId="6CACF57C">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2</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坚持严格管理，依法监管。</w:t>
      </w:r>
      <w:r>
        <w:rPr>
          <w:rFonts w:hint="default" w:ascii="Times New Roman" w:hAnsi="Times New Roman" w:cs="Times New Roman"/>
          <w:lang w:val="en-US" w:eastAsia="zh-CN"/>
        </w:rPr>
        <w:t>加强湿地资源的管理工作，建立高效的湿地保护与管理协调机制，促进各管理部门协调发展，对湿地资源进行有效</w:t>
      </w:r>
      <w:r>
        <w:rPr>
          <w:rFonts w:hint="eastAsia" w:cs="Times New Roman"/>
          <w:lang w:val="en-US" w:eastAsia="zh-CN"/>
        </w:rPr>
        <w:t>地</w:t>
      </w:r>
      <w:r>
        <w:rPr>
          <w:rFonts w:hint="default" w:ascii="Times New Roman" w:hAnsi="Times New Roman" w:cs="Times New Roman"/>
          <w:lang w:val="en-US" w:eastAsia="zh-CN"/>
        </w:rPr>
        <w:t>保护；强化湿地资源的统一和综合管理，采取统一管理和分类分层管理相结合、一般管理和重点管理相结合的措施，切实做好湿地资源分类管理和重点管理工作。加强执法机构和执法队伍建设，提高执法人员的整体素质和业务水平，强化执法手段，</w:t>
      </w:r>
      <w:r>
        <w:rPr>
          <w:rFonts w:hint="eastAsia" w:cs="Times New Roman"/>
          <w:lang w:val="en-US" w:eastAsia="zh-CN"/>
        </w:rPr>
        <w:t>加大</w:t>
      </w:r>
      <w:r>
        <w:rPr>
          <w:rFonts w:hint="default" w:ascii="Times New Roman" w:hAnsi="Times New Roman" w:cs="Times New Roman"/>
          <w:lang w:val="en-US" w:eastAsia="zh-CN"/>
        </w:rPr>
        <w:t>执法力度，使湿地保护具有强有力的法律保障体系。</w:t>
      </w:r>
    </w:p>
    <w:p w14:paraId="687EA5FC">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3</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坚持突出重点，系统治理。</w:t>
      </w:r>
      <w:r>
        <w:rPr>
          <w:rFonts w:hint="default" w:ascii="Times New Roman" w:hAnsi="Times New Roman" w:cs="Times New Roman"/>
          <w:lang w:val="en-US" w:eastAsia="zh-CN"/>
        </w:rPr>
        <w:t>依据湿地资源分布、功能特点，科学制定治理措施，因地制宜开展湿地保护修复。重点开展重要湿地、国家级湿地公园等重点区域湿地保护修复工程。坚持山水林田湖草沙生命共同体理念，统筹水源涵养、水质净化、固碳释氧、生物多样性保护等多项功能修复，推进上下游、左右岸、干支流协同治理。</w:t>
      </w:r>
    </w:p>
    <w:p w14:paraId="35061FEE">
      <w:pPr>
        <w:bidi w:val="0"/>
        <w:jc w:val="both"/>
        <w:rPr>
          <w:rFonts w:hint="default" w:ascii="Times New Roman" w:hAnsi="Times New Roman" w:cs="Times New Roman"/>
          <w:lang w:val="en-US" w:eastAsia="zh-CN"/>
        </w:rPr>
      </w:pPr>
      <w:bookmarkStart w:id="173" w:name="OLE_LINK227"/>
      <w:r>
        <w:rPr>
          <w:rFonts w:hint="default" w:ascii="Times New Roman" w:hAnsi="Times New Roman" w:cs="Times New Roman"/>
          <w:b/>
          <w:bCs/>
          <w:lang w:val="en-US" w:eastAsia="zh-CN"/>
        </w:rPr>
        <w:t>4</w:t>
      </w:r>
      <w:r>
        <w:rPr>
          <w:rFonts w:hint="eastAsia" w:ascii="Times New Roman" w:hAnsi="Times New Roman" w:cs="Times New Roman"/>
          <w:b/>
          <w:bCs/>
          <w:lang w:val="en-US" w:eastAsia="zh-CN"/>
        </w:rPr>
        <w:t>、</w:t>
      </w:r>
      <w:r>
        <w:rPr>
          <w:rFonts w:hint="default" w:ascii="Times New Roman" w:hAnsi="Times New Roman" w:cs="Times New Roman"/>
          <w:b/>
          <w:bCs/>
          <w:lang w:val="en-US" w:eastAsia="zh-CN"/>
        </w:rPr>
        <w:t>坚持合理利用，持续发展。</w:t>
      </w:r>
      <w:bookmarkEnd w:id="173"/>
      <w:r>
        <w:rPr>
          <w:rFonts w:hint="default" w:ascii="Times New Roman" w:hAnsi="Times New Roman" w:cs="Times New Roman"/>
          <w:lang w:val="en-US" w:eastAsia="zh-CN"/>
        </w:rPr>
        <w:t>在维护湿地生态功能的前提下，综合考虑湿地保护、湿地供给、调节、文化及支持功能，协调湿地保护与开发利用、生态建设与区域经济社会发展、整体与局部、当前与长远利益关系，引导和促进合理利用湿地资源，充分发挥湿地综合效益优势，维护当地传统生计空间，促进湿地资源可持续发展利用。</w:t>
      </w:r>
    </w:p>
    <w:p w14:paraId="5A46E6F7">
      <w:pPr>
        <w:bidi w:val="0"/>
        <w:jc w:val="both"/>
        <w:rPr>
          <w:rFonts w:hint="default" w:ascii="Times New Roman" w:hAnsi="Times New Roman" w:cs="Times New Roman"/>
          <w:lang w:val="en-US" w:eastAsia="zh-CN"/>
        </w:rPr>
      </w:pPr>
      <w:r>
        <w:rPr>
          <w:rFonts w:hint="default" w:ascii="Times New Roman" w:hAnsi="Times New Roman" w:cs="Times New Roman"/>
          <w:b/>
          <w:bCs/>
          <w:lang w:val="en-US" w:eastAsia="zh-CN"/>
        </w:rPr>
        <w:t>5</w:t>
      </w:r>
      <w:r>
        <w:rPr>
          <w:rFonts w:hint="eastAsia" w:cs="Times New Roman"/>
          <w:b/>
          <w:bCs/>
          <w:lang w:val="en-US" w:eastAsia="zh-CN"/>
        </w:rPr>
        <w:t>、</w:t>
      </w:r>
      <w:r>
        <w:rPr>
          <w:rFonts w:hint="default" w:ascii="Times New Roman" w:hAnsi="Times New Roman" w:cs="Times New Roman"/>
          <w:b/>
          <w:bCs/>
          <w:lang w:val="en-US" w:eastAsia="zh-CN"/>
        </w:rPr>
        <w:t>坚持政府主导，社会参与。</w:t>
      </w:r>
      <w:r>
        <w:rPr>
          <w:rFonts w:hint="default" w:ascii="Times New Roman" w:hAnsi="Times New Roman" w:cs="Times New Roman"/>
          <w:lang w:val="en-US" w:eastAsia="zh-CN"/>
        </w:rPr>
        <w:t>以政府为主导，按照《</w:t>
      </w:r>
      <w:r>
        <w:rPr>
          <w:rFonts w:hint="eastAsia" w:cs="Times New Roman"/>
          <w:lang w:val="en-US" w:eastAsia="zh-CN"/>
        </w:rPr>
        <w:t>中华人民共和国湿地保护法</w:t>
      </w:r>
      <w:r>
        <w:rPr>
          <w:rFonts w:hint="default" w:ascii="Times New Roman" w:hAnsi="Times New Roman" w:cs="Times New Roman"/>
          <w:lang w:val="en-US" w:eastAsia="zh-CN"/>
        </w:rPr>
        <w:t>》《新疆维吾尔自治区湿地保护条例》等法律法规，协调解决湿地管护责任单位、经费保障、湿地保护利用等方面的重大问题。充分调动社会力量共同参与湿地保护修复，积极引入市场机制，促进全社会共同参与保护。</w:t>
      </w:r>
    </w:p>
    <w:bookmarkEnd w:id="172"/>
    <w:p w14:paraId="5F384894">
      <w:pPr>
        <w:pStyle w:val="3"/>
        <w:bidi w:val="0"/>
        <w:rPr>
          <w:rFonts w:hint="default" w:ascii="Times New Roman" w:hAnsi="Times New Roman" w:cs="Times New Roman"/>
          <w:highlight w:val="none"/>
          <w:lang w:val="en-US" w:eastAsia="zh-CN"/>
        </w:rPr>
      </w:pPr>
      <w:bookmarkStart w:id="174" w:name="_Toc16338"/>
      <w:bookmarkStart w:id="175" w:name="_Toc11548"/>
      <w:bookmarkStart w:id="176" w:name="_Toc29677"/>
      <w:r>
        <w:rPr>
          <w:rFonts w:hint="eastAsia" w:ascii="Times New Roman" w:hAnsi="Times New Roman" w:cs="Times New Roman"/>
          <w:highlight w:val="none"/>
          <w:lang w:val="en-US" w:eastAsia="zh-CN"/>
        </w:rPr>
        <w:t xml:space="preserve">第三节  </w:t>
      </w:r>
      <w:r>
        <w:rPr>
          <w:rFonts w:hint="default" w:ascii="Times New Roman" w:hAnsi="Times New Roman" w:cs="Times New Roman"/>
          <w:highlight w:val="none"/>
          <w:lang w:val="en-US" w:eastAsia="zh-CN"/>
        </w:rPr>
        <w:t>规划依据</w:t>
      </w:r>
      <w:bookmarkEnd w:id="174"/>
      <w:bookmarkEnd w:id="175"/>
      <w:bookmarkEnd w:id="176"/>
    </w:p>
    <w:p w14:paraId="7A618E2C">
      <w:pPr>
        <w:bidi w:val="0"/>
        <w:jc w:val="both"/>
        <w:rPr>
          <w:rFonts w:hint="default" w:ascii="Times New Roman" w:hAnsi="Times New Roman" w:cs="Times New Roman"/>
        </w:rPr>
      </w:pPr>
      <w:bookmarkStart w:id="177" w:name="OLE_LINK11"/>
      <w:r>
        <w:rPr>
          <w:rFonts w:hint="eastAsia" w:cs="Times New Roman"/>
          <w:lang w:val="en-US" w:eastAsia="zh-CN"/>
        </w:rPr>
        <w:t>1、</w:t>
      </w:r>
      <w:r>
        <w:rPr>
          <w:rFonts w:hint="default" w:ascii="Times New Roman" w:hAnsi="Times New Roman" w:cs="Times New Roman"/>
        </w:rPr>
        <w:t>《</w:t>
      </w:r>
      <w:bookmarkStart w:id="178" w:name="OLE_LINK51"/>
      <w:r>
        <w:rPr>
          <w:rFonts w:hint="default" w:ascii="Times New Roman" w:hAnsi="Times New Roman" w:cs="Times New Roman"/>
        </w:rPr>
        <w:t>中华人民共和国湿地保护法</w:t>
      </w:r>
      <w:bookmarkEnd w:id="178"/>
      <w:r>
        <w:rPr>
          <w:rFonts w:hint="default" w:ascii="Times New Roman" w:hAnsi="Times New Roman" w:cs="Times New Roman"/>
        </w:rPr>
        <w:t>》</w:t>
      </w:r>
      <w:r>
        <w:rPr>
          <w:rFonts w:hint="eastAsia" w:cs="Times New Roman"/>
          <w:lang w:eastAsia="zh-CN"/>
        </w:rPr>
        <w:t>（2022年6月1日</w:t>
      </w:r>
      <w:r>
        <w:rPr>
          <w:rFonts w:hint="eastAsia" w:cs="Times New Roman"/>
          <w:lang w:val="en-US" w:eastAsia="zh-CN"/>
        </w:rPr>
        <w:t>起</w:t>
      </w:r>
      <w:r>
        <w:rPr>
          <w:rFonts w:hint="eastAsia" w:cs="Times New Roman"/>
          <w:lang w:eastAsia="zh-CN"/>
        </w:rPr>
        <w:t>）</w:t>
      </w:r>
      <w:r>
        <w:rPr>
          <w:rFonts w:hint="default" w:ascii="Times New Roman" w:hAnsi="Times New Roman" w:cs="Times New Roman"/>
          <w:lang w:eastAsia="zh-CN"/>
        </w:rPr>
        <w:t>；</w:t>
      </w:r>
    </w:p>
    <w:p w14:paraId="2B618A16">
      <w:pPr>
        <w:bidi w:val="0"/>
        <w:jc w:val="both"/>
        <w:rPr>
          <w:rFonts w:hint="eastAsia" w:cs="Times New Roman"/>
          <w:lang w:val="en-US" w:eastAsia="zh-CN"/>
        </w:rPr>
      </w:pPr>
      <w:r>
        <w:rPr>
          <w:rFonts w:hint="eastAsia" w:cs="Times New Roman"/>
          <w:lang w:val="en-US" w:eastAsia="zh-CN"/>
        </w:rPr>
        <w:t>2、《中华人民共和国自然保护区条例》（2017年10月7日修订）；</w:t>
      </w:r>
    </w:p>
    <w:p w14:paraId="077C8B42">
      <w:pPr>
        <w:bidi w:val="0"/>
        <w:jc w:val="both"/>
        <w:rPr>
          <w:rFonts w:hint="eastAsia" w:cs="Times New Roman"/>
          <w:lang w:val="en-US" w:eastAsia="zh-CN"/>
        </w:rPr>
      </w:pPr>
      <w:r>
        <w:rPr>
          <w:rFonts w:hint="eastAsia" w:cs="Times New Roman"/>
          <w:lang w:val="en-US" w:eastAsia="zh-CN"/>
        </w:rPr>
        <w:t>3、《中华人民共和国野生动物保护法》（2023年5月1日起）；</w:t>
      </w:r>
    </w:p>
    <w:p w14:paraId="69DA42DD">
      <w:pPr>
        <w:bidi w:val="0"/>
        <w:jc w:val="both"/>
        <w:rPr>
          <w:rFonts w:hint="eastAsia" w:cs="Times New Roman"/>
          <w:highlight w:val="none"/>
          <w:lang w:val="en-US" w:eastAsia="zh-CN"/>
        </w:rPr>
      </w:pPr>
      <w:r>
        <w:rPr>
          <w:rFonts w:hint="eastAsia" w:cs="Times New Roman"/>
          <w:lang w:val="en-US" w:eastAsia="zh-CN"/>
        </w:rPr>
        <w:t>4、《中华人民共和国野生植物保护条例》2017年10月7日修订）</w:t>
      </w:r>
      <w:r>
        <w:rPr>
          <w:rFonts w:hint="eastAsia" w:cs="Times New Roman"/>
          <w:highlight w:val="none"/>
          <w:lang w:val="en-US" w:eastAsia="zh-CN"/>
        </w:rPr>
        <w:t>；</w:t>
      </w:r>
    </w:p>
    <w:p w14:paraId="610872E8">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5、</w:t>
      </w:r>
      <w:r>
        <w:rPr>
          <w:rFonts w:hint="default" w:ascii="Times New Roman" w:hAnsi="Times New Roman" w:cs="Times New Roman"/>
          <w:highlight w:val="none"/>
        </w:rPr>
        <w:t>《全国湿地保护规划</w:t>
      </w:r>
      <w:r>
        <w:rPr>
          <w:rFonts w:hint="default" w:ascii="Times New Roman" w:hAnsi="Times New Roman" w:cs="Times New Roman"/>
          <w:highlight w:val="none"/>
          <w:lang w:eastAsia="zh-CN"/>
        </w:rPr>
        <w:t>（</w:t>
      </w:r>
      <w:r>
        <w:rPr>
          <w:rFonts w:hint="default" w:ascii="Times New Roman" w:hAnsi="Times New Roman" w:cs="Times New Roman"/>
          <w:highlight w:val="none"/>
        </w:rPr>
        <w:t>2022-2030年</w:t>
      </w:r>
      <w:r>
        <w:rPr>
          <w:rFonts w:hint="default" w:ascii="Times New Roman" w:hAnsi="Times New Roman" w:cs="Times New Roman"/>
          <w:highlight w:val="none"/>
          <w:lang w:eastAsia="zh-CN"/>
        </w:rPr>
        <w:t>）</w:t>
      </w:r>
      <w:r>
        <w:rPr>
          <w:rFonts w:hint="default" w:ascii="Times New Roman" w:hAnsi="Times New Roman" w:cs="Times New Roman"/>
          <w:highlight w:val="none"/>
        </w:rPr>
        <w:t>》</w:t>
      </w:r>
      <w:r>
        <w:rPr>
          <w:rFonts w:hint="eastAsia" w:cs="Times New Roman"/>
          <w:highlight w:val="none"/>
          <w:lang w:eastAsia="zh-CN"/>
        </w:rPr>
        <w:t>（2022年10月</w:t>
      </w:r>
      <w:r>
        <w:rPr>
          <w:rFonts w:hint="eastAsia" w:cs="Times New Roman"/>
          <w:highlight w:val="none"/>
          <w:lang w:val="en-US" w:eastAsia="zh-CN"/>
        </w:rPr>
        <w:t>起</w:t>
      </w:r>
      <w:r>
        <w:rPr>
          <w:rFonts w:hint="eastAsia" w:cs="Times New Roman"/>
          <w:highlight w:val="none"/>
          <w:lang w:eastAsia="zh-CN"/>
        </w:rPr>
        <w:t>）</w:t>
      </w:r>
      <w:r>
        <w:rPr>
          <w:rFonts w:hint="default" w:ascii="Times New Roman" w:hAnsi="Times New Roman" w:cs="Times New Roman"/>
          <w:highlight w:val="none"/>
          <w:lang w:eastAsia="zh-CN"/>
        </w:rPr>
        <w:t>；</w:t>
      </w:r>
    </w:p>
    <w:p w14:paraId="5170F8EB">
      <w:pPr>
        <w:bidi w:val="0"/>
        <w:jc w:val="both"/>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6、国家林业和草原局关于印发</w:t>
      </w:r>
      <w:r>
        <w:rPr>
          <w:rFonts w:hint="eastAsia" w:cs="Times New Roman"/>
          <w:highlight w:val="none"/>
          <w:lang w:val="en-US" w:eastAsia="zh-CN"/>
        </w:rPr>
        <w:t>《国家级自然公园管理办法（试行）》的通知（林保规〔2023〕4号）；</w:t>
      </w:r>
    </w:p>
    <w:p w14:paraId="29C66430">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7、</w:t>
      </w:r>
      <w:r>
        <w:rPr>
          <w:rFonts w:hint="default" w:ascii="Times New Roman" w:hAnsi="Times New Roman" w:cs="Times New Roman"/>
          <w:highlight w:val="none"/>
          <w:lang w:val="en-US" w:eastAsia="zh-CN"/>
        </w:rPr>
        <w:t>《新疆维吾尔自治区湿地保护条例》</w:t>
      </w:r>
      <w:r>
        <w:rPr>
          <w:rFonts w:hint="eastAsia" w:cs="Times New Roman"/>
          <w:highlight w:val="none"/>
          <w:lang w:val="en-US" w:eastAsia="zh-CN"/>
        </w:rPr>
        <w:t>（2012年10月1日起）</w:t>
      </w:r>
      <w:r>
        <w:rPr>
          <w:rFonts w:hint="default" w:ascii="Times New Roman" w:hAnsi="Times New Roman" w:cs="Times New Roman"/>
          <w:highlight w:val="none"/>
          <w:lang w:val="en-US" w:eastAsia="zh-CN"/>
        </w:rPr>
        <w:t>；</w:t>
      </w:r>
    </w:p>
    <w:p w14:paraId="52C45973">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8</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《新疆维吾尔自治区湿地保护与修复工作实施方案》；</w:t>
      </w:r>
    </w:p>
    <w:p w14:paraId="788902FF">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9</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《新疆重要生态系统保护和修复重大工程规划（2021—2035年）》</w:t>
      </w:r>
      <w:r>
        <w:rPr>
          <w:rFonts w:hint="eastAsia" w:ascii="Times New Roman" w:hAnsi="Times New Roman" w:cs="Times New Roman"/>
          <w:highlight w:val="none"/>
          <w:lang w:val="en-US" w:eastAsia="zh-CN"/>
        </w:rPr>
        <w:t>；</w:t>
      </w:r>
    </w:p>
    <w:p w14:paraId="08BA78F9">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10</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《新疆维吾尔自治区林业草原保护发展</w:t>
      </w:r>
      <w:r>
        <w:rPr>
          <w:rFonts w:hint="eastAsia" w:cs="Times New Roman"/>
          <w:highlight w:val="none"/>
          <w:lang w:val="en-US" w:eastAsia="zh-CN"/>
        </w:rPr>
        <w:t>“</w:t>
      </w:r>
      <w:r>
        <w:rPr>
          <w:rFonts w:hint="default" w:ascii="Times New Roman" w:hAnsi="Times New Roman" w:cs="Times New Roman"/>
          <w:highlight w:val="none"/>
          <w:lang w:val="en-US" w:eastAsia="zh-CN"/>
        </w:rPr>
        <w:t>十四五</w:t>
      </w:r>
      <w:r>
        <w:rPr>
          <w:rFonts w:hint="eastAsia" w:cs="Times New Roman"/>
          <w:highlight w:val="none"/>
          <w:lang w:val="en-US" w:eastAsia="zh-CN"/>
        </w:rPr>
        <w:t>”</w:t>
      </w:r>
      <w:r>
        <w:rPr>
          <w:rFonts w:hint="default" w:ascii="Times New Roman" w:hAnsi="Times New Roman" w:cs="Times New Roman"/>
          <w:highlight w:val="none"/>
          <w:lang w:val="en-US" w:eastAsia="zh-CN"/>
        </w:rPr>
        <w:t>规划》；</w:t>
      </w:r>
    </w:p>
    <w:p w14:paraId="6D691E54">
      <w:pPr>
        <w:bidi w:val="0"/>
        <w:jc w:val="both"/>
        <w:rPr>
          <w:rFonts w:hint="eastAsia" w:cs="Times New Roman"/>
          <w:highlight w:val="none"/>
          <w:lang w:val="en-US" w:eastAsia="zh-CN"/>
        </w:rPr>
      </w:pPr>
      <w:r>
        <w:rPr>
          <w:rFonts w:hint="eastAsia" w:ascii="Times New Roman" w:hAnsi="Times New Roman" w:cs="Times New Roman"/>
          <w:highlight w:val="none"/>
          <w:lang w:val="en-US" w:eastAsia="zh-CN"/>
        </w:rPr>
        <w:t>1</w:t>
      </w:r>
      <w:r>
        <w:rPr>
          <w:rFonts w:hint="eastAsia" w:cs="Times New Roman"/>
          <w:highlight w:val="none"/>
          <w:lang w:val="en-US" w:eastAsia="zh-CN"/>
        </w:rPr>
        <w:t>1</w:t>
      </w:r>
      <w:r>
        <w:rPr>
          <w:rFonts w:hint="eastAsia" w:ascii="Times New Roman" w:hAnsi="Times New Roman" w:cs="Times New Roman"/>
          <w:highlight w:val="none"/>
          <w:lang w:val="en-US" w:eastAsia="zh-CN"/>
        </w:rPr>
        <w:t>、</w:t>
      </w:r>
      <w:r>
        <w:rPr>
          <w:rFonts w:hint="eastAsia" w:cs="Times New Roman"/>
          <w:highlight w:val="none"/>
          <w:lang w:val="en-US" w:eastAsia="zh-CN"/>
        </w:rPr>
        <w:t>《新疆维吾尔自治区湿地保护规划（2024-2030年）》；</w:t>
      </w:r>
    </w:p>
    <w:p w14:paraId="2E62EF78">
      <w:pPr>
        <w:bidi w:val="0"/>
        <w:jc w:val="both"/>
        <w:rPr>
          <w:rFonts w:hint="default" w:cs="Times New Roman"/>
          <w:highlight w:val="none"/>
          <w:lang w:val="en-US" w:eastAsia="zh-CN"/>
        </w:rPr>
      </w:pPr>
      <w:r>
        <w:rPr>
          <w:rFonts w:hint="eastAsia" w:cs="Times New Roman"/>
          <w:highlight w:val="none"/>
          <w:lang w:val="en-US" w:eastAsia="zh-CN"/>
        </w:rPr>
        <w:t>12、新疆维吾尔自治区</w:t>
      </w:r>
      <w:r>
        <w:rPr>
          <w:rFonts w:hint="eastAsia" w:ascii="Times New Roman" w:hAnsi="Times New Roman" w:cs="Times New Roman"/>
          <w:highlight w:val="none"/>
          <w:lang w:val="en-US" w:eastAsia="zh-CN"/>
        </w:rPr>
        <w:t>林业和草原局关于印发</w:t>
      </w:r>
      <w:r>
        <w:rPr>
          <w:rFonts w:hint="eastAsia" w:cs="Times New Roman"/>
          <w:highlight w:val="none"/>
          <w:lang w:val="en-US" w:eastAsia="zh-CN"/>
        </w:rPr>
        <w:t>《新疆维吾尔自治区自治区级自然公园管理办法（试行）》的通知（新林规〔2024〕2号）；</w:t>
      </w:r>
    </w:p>
    <w:p w14:paraId="4C009BD8">
      <w:pPr>
        <w:bidi w:val="0"/>
        <w:jc w:val="both"/>
        <w:rPr>
          <w:rFonts w:hint="default" w:ascii="Times New Roman" w:hAnsi="Times New Roman" w:cs="Times New Roman"/>
          <w:highlight w:val="none"/>
          <w:lang w:val="en-US" w:eastAsia="zh-CN"/>
        </w:rPr>
      </w:pPr>
      <w:r>
        <w:rPr>
          <w:rFonts w:hint="eastAsia" w:cs="Times New Roman"/>
          <w:highlight w:val="none"/>
          <w:lang w:val="en-US" w:eastAsia="zh-CN"/>
        </w:rPr>
        <w:t>13、</w:t>
      </w:r>
      <w:r>
        <w:rPr>
          <w:rFonts w:hint="default" w:ascii="Times New Roman" w:hAnsi="Times New Roman" w:cs="Times New Roman"/>
          <w:highlight w:val="none"/>
          <w:lang w:val="en-US" w:eastAsia="zh-CN"/>
        </w:rPr>
        <w:t>《昌吉回族自治州林业草原保护发展</w:t>
      </w:r>
      <w:r>
        <w:rPr>
          <w:rFonts w:hint="eastAsia" w:cs="Times New Roman"/>
          <w:highlight w:val="none"/>
          <w:lang w:val="en-US" w:eastAsia="zh-CN"/>
        </w:rPr>
        <w:t>“</w:t>
      </w:r>
      <w:r>
        <w:rPr>
          <w:rFonts w:hint="eastAsia" w:ascii="Times New Roman" w:hAnsi="Times New Roman" w:cs="Times New Roman"/>
          <w:highlight w:val="none"/>
          <w:lang w:val="en-US" w:eastAsia="zh-CN"/>
        </w:rPr>
        <w:t>十四五</w:t>
      </w:r>
      <w:r>
        <w:rPr>
          <w:rFonts w:hint="eastAsia" w:cs="Times New Roman"/>
          <w:highlight w:val="none"/>
          <w:lang w:val="en-US" w:eastAsia="zh-CN"/>
        </w:rPr>
        <w:t>”</w:t>
      </w:r>
      <w:r>
        <w:rPr>
          <w:rFonts w:hint="eastAsia" w:ascii="Times New Roman" w:hAnsi="Times New Roman" w:cs="Times New Roman"/>
          <w:highlight w:val="none"/>
          <w:lang w:val="en-US" w:eastAsia="zh-CN"/>
        </w:rPr>
        <w:t>规划》；</w:t>
      </w:r>
    </w:p>
    <w:p w14:paraId="54C1FE34">
      <w:pPr>
        <w:bidi w:val="0"/>
        <w:jc w:val="both"/>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w:t>
      </w:r>
      <w:r>
        <w:rPr>
          <w:rFonts w:hint="eastAsia" w:cs="Times New Roman"/>
          <w:highlight w:val="none"/>
          <w:lang w:val="en-US" w:eastAsia="zh-CN"/>
        </w:rPr>
        <w:t>4</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昌吉回族自治州国土空间总体规划（</w:t>
      </w:r>
      <w:r>
        <w:rPr>
          <w:rFonts w:hint="default" w:ascii="Times New Roman" w:hAnsi="Times New Roman" w:cs="Times New Roman"/>
          <w:highlight w:val="none"/>
          <w:lang w:val="en-US" w:eastAsia="zh-CN"/>
        </w:rPr>
        <w:t>2021-20</w:t>
      </w:r>
      <w:r>
        <w:rPr>
          <w:rFonts w:hint="eastAsia" w:ascii="Times New Roman" w:hAnsi="Times New Roman" w:cs="Times New Roman"/>
          <w:highlight w:val="none"/>
          <w:lang w:val="en-US" w:eastAsia="zh-CN"/>
        </w:rPr>
        <w:t>35年）》；</w:t>
      </w:r>
    </w:p>
    <w:p w14:paraId="13094604">
      <w:pPr>
        <w:bidi w:val="0"/>
        <w:jc w:val="both"/>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w:t>
      </w:r>
      <w:r>
        <w:rPr>
          <w:rFonts w:hint="eastAsia" w:cs="Times New Roman"/>
          <w:highlight w:val="none"/>
          <w:lang w:val="en-US" w:eastAsia="zh-CN"/>
        </w:rPr>
        <w:t>5</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昌吉回族自治州国土空间生态修复规划（</w:t>
      </w:r>
      <w:r>
        <w:rPr>
          <w:rFonts w:hint="default" w:ascii="Times New Roman" w:hAnsi="Times New Roman" w:cs="Times New Roman"/>
          <w:highlight w:val="none"/>
          <w:lang w:val="en-US" w:eastAsia="zh-CN"/>
        </w:rPr>
        <w:t>2021-20</w:t>
      </w:r>
      <w:r>
        <w:rPr>
          <w:rFonts w:hint="eastAsia" w:ascii="Times New Roman" w:hAnsi="Times New Roman" w:cs="Times New Roman"/>
          <w:highlight w:val="none"/>
          <w:lang w:val="en-US" w:eastAsia="zh-CN"/>
        </w:rPr>
        <w:t>35年）》</w:t>
      </w:r>
      <w:r>
        <w:rPr>
          <w:rFonts w:hint="eastAsia" w:cs="Times New Roman"/>
          <w:highlight w:val="none"/>
          <w:lang w:val="en-US" w:eastAsia="zh-CN"/>
        </w:rPr>
        <w:t>；</w:t>
      </w:r>
    </w:p>
    <w:p w14:paraId="763F5067">
      <w:pPr>
        <w:bidi w:val="0"/>
        <w:jc w:val="both"/>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w:t>
      </w:r>
      <w:r>
        <w:rPr>
          <w:rFonts w:hint="eastAsia" w:cs="Times New Roman"/>
          <w:highlight w:val="none"/>
          <w:lang w:val="en-US" w:eastAsia="zh-CN"/>
        </w:rPr>
        <w:t>6</w:t>
      </w:r>
      <w:r>
        <w:rPr>
          <w:rFonts w:hint="eastAsia" w:ascii="Times New Roman" w:hAnsi="Times New Roman" w:cs="Times New Roman"/>
          <w:highlight w:val="none"/>
          <w:lang w:val="en-US" w:eastAsia="zh-CN"/>
        </w:rPr>
        <w:t>、《</w:t>
      </w:r>
      <w:r>
        <w:rPr>
          <w:rFonts w:hint="default" w:ascii="Times New Roman" w:hAnsi="Times New Roman" w:cs="Times New Roman"/>
          <w:highlight w:val="none"/>
          <w:lang w:val="en-US" w:eastAsia="zh-CN"/>
        </w:rPr>
        <w:t>自治州湿地保护与修复实施方案</w:t>
      </w:r>
      <w:r>
        <w:rPr>
          <w:rFonts w:hint="eastAsia" w:ascii="Times New Roman" w:hAnsi="Times New Roman" w:cs="Times New Roman"/>
          <w:highlight w:val="none"/>
          <w:lang w:val="en-US" w:eastAsia="zh-CN"/>
        </w:rPr>
        <w:t>》；</w:t>
      </w:r>
    </w:p>
    <w:p w14:paraId="1BF1C849">
      <w:pPr>
        <w:bidi w:val="0"/>
        <w:jc w:val="both"/>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1</w:t>
      </w:r>
      <w:r>
        <w:rPr>
          <w:rFonts w:hint="eastAsia" w:cs="Times New Roman"/>
          <w:highlight w:val="none"/>
          <w:lang w:val="en-US" w:eastAsia="zh-CN"/>
        </w:rPr>
        <w:t>7</w:t>
      </w:r>
      <w:r>
        <w:rPr>
          <w:rFonts w:hint="eastAsia" w:ascii="Times New Roman" w:hAnsi="Times New Roman" w:cs="Times New Roman"/>
          <w:highlight w:val="none"/>
          <w:lang w:val="en-US" w:eastAsia="zh-CN"/>
        </w:rPr>
        <w:t>、</w:t>
      </w:r>
      <w:r>
        <w:rPr>
          <w:rFonts w:hint="eastAsia" w:cs="Times New Roman"/>
          <w:highlight w:val="none"/>
          <w:lang w:val="en-US" w:eastAsia="zh-CN"/>
        </w:rPr>
        <w:t>《</w:t>
      </w:r>
      <w:r>
        <w:rPr>
          <w:rFonts w:hint="default" w:ascii="Times New Roman" w:hAnsi="Times New Roman" w:cs="Times New Roman"/>
          <w:highlight w:val="none"/>
          <w:lang w:val="en-US" w:eastAsia="zh-CN"/>
        </w:rPr>
        <w:t>自治州</w:t>
      </w:r>
      <w:r>
        <w:rPr>
          <w:rFonts w:hint="eastAsia" w:cs="Times New Roman"/>
          <w:highlight w:val="none"/>
          <w:lang w:val="en-US" w:eastAsia="zh-CN"/>
        </w:rPr>
        <w:t>自然保护地整合优化方案》；</w:t>
      </w:r>
    </w:p>
    <w:p w14:paraId="6D236F7E">
      <w:pPr>
        <w:bidi w:val="0"/>
        <w:jc w:val="both"/>
        <w:rPr>
          <w:rFonts w:hint="default" w:ascii="Times New Roman" w:hAnsi="Times New Roman" w:cs="Times New Roman"/>
          <w:highlight w:val="none"/>
          <w:lang w:val="en-US" w:eastAsia="zh-CN"/>
        </w:rPr>
      </w:pPr>
      <w:r>
        <w:rPr>
          <w:rFonts w:hint="eastAsia" w:cs="Times New Roman"/>
          <w:lang w:val="en-US" w:eastAsia="zh-CN"/>
        </w:rPr>
        <w:t>18、</w:t>
      </w:r>
      <w:r>
        <w:rPr>
          <w:rFonts w:hint="eastAsia" w:cs="Times New Roman"/>
          <w:highlight w:val="none"/>
          <w:lang w:val="en-US" w:eastAsia="zh-CN"/>
        </w:rPr>
        <w:t>新疆维吾尔自治区第三次全国国土调查主要数据公报（2022年版）</w:t>
      </w:r>
      <w:r>
        <w:rPr>
          <w:rFonts w:hint="eastAsia" w:ascii="Times New Roman" w:hAnsi="Times New Roman" w:cs="Times New Roman"/>
          <w:highlight w:val="none"/>
          <w:lang w:val="en-US" w:eastAsia="zh-CN"/>
        </w:rPr>
        <w:t>。</w:t>
      </w:r>
    </w:p>
    <w:p w14:paraId="0F206DC2">
      <w:pPr>
        <w:bidi w:val="0"/>
        <w:jc w:val="both"/>
        <w:rPr>
          <w:rFonts w:hint="default" w:ascii="Times New Roman" w:hAnsi="Times New Roman" w:cs="Times New Roman"/>
          <w:lang w:val="en-US" w:eastAsia="zh-CN"/>
        </w:rPr>
      </w:pPr>
      <w:r>
        <w:rPr>
          <w:rFonts w:hint="default" w:ascii="Times New Roman" w:hAnsi="Times New Roman" w:cs="Times New Roman"/>
        </w:rPr>
        <w:t>2022年6月1日实施的《</w:t>
      </w:r>
      <w:r>
        <w:rPr>
          <w:rFonts w:hint="eastAsia" w:cs="Times New Roman"/>
          <w:lang w:eastAsia="zh-CN"/>
        </w:rPr>
        <w:t>中华人民共和国湿地保护法</w:t>
      </w:r>
      <w:r>
        <w:rPr>
          <w:rFonts w:hint="default" w:ascii="Times New Roman" w:hAnsi="Times New Roman" w:cs="Times New Roman"/>
        </w:rPr>
        <w:t>》第十五条规定，</w:t>
      </w:r>
      <w:r>
        <w:rPr>
          <w:rFonts w:hint="eastAsia" w:cs="Times New Roman"/>
          <w:lang w:eastAsia="zh-CN"/>
        </w:rPr>
        <w:t>“</w:t>
      </w:r>
      <w:r>
        <w:rPr>
          <w:rFonts w:hint="default" w:ascii="Times New Roman" w:hAnsi="Times New Roman" w:cs="Times New Roman"/>
        </w:rPr>
        <w:t>县级以上地方人民政府林业草原主管部门应当会同有关部门，依据本级国土空间规划和上一级湿地保护规划编制本行政区域内的湿地保护规划，报同级人民政府批准后组织实施。</w:t>
      </w:r>
      <w:r>
        <w:rPr>
          <w:rFonts w:hint="eastAsia" w:cs="Times New Roman"/>
          <w:lang w:eastAsia="zh-CN"/>
        </w:rPr>
        <w:t>”</w:t>
      </w:r>
      <w:r>
        <w:rPr>
          <w:rFonts w:hint="default" w:ascii="Times New Roman" w:hAnsi="Times New Roman" w:cs="Times New Roman"/>
        </w:rPr>
        <w:t>2022年10</w:t>
      </w:r>
      <w:r>
        <w:rPr>
          <w:rFonts w:hint="default" w:ascii="Times New Roman" w:hAnsi="Times New Roman" w:cs="Times New Roman"/>
          <w:highlight w:val="none"/>
        </w:rPr>
        <w:t>月，</w:t>
      </w:r>
      <w:bookmarkStart w:id="179" w:name="OLE_LINK174"/>
      <w:r>
        <w:rPr>
          <w:rFonts w:hint="eastAsia" w:cs="Times New Roman"/>
          <w:highlight w:val="none"/>
          <w:lang w:eastAsia="zh-CN"/>
        </w:rPr>
        <w:t>国家林业和草原局</w:t>
      </w:r>
      <w:r>
        <w:rPr>
          <w:rFonts w:hint="default" w:ascii="Times New Roman" w:hAnsi="Times New Roman" w:cs="Times New Roman"/>
          <w:highlight w:val="none"/>
        </w:rPr>
        <w:t>、</w:t>
      </w:r>
      <w:bookmarkEnd w:id="179"/>
      <w:r>
        <w:rPr>
          <w:rFonts w:hint="default" w:ascii="Times New Roman" w:hAnsi="Times New Roman" w:cs="Times New Roman"/>
          <w:highlight w:val="none"/>
        </w:rPr>
        <w:t>自然资源部联合印发《全国湿地保护规</w:t>
      </w:r>
      <w:r>
        <w:rPr>
          <w:rFonts w:hint="default" w:ascii="Times New Roman" w:hAnsi="Times New Roman" w:cs="Times New Roman"/>
        </w:rPr>
        <w:t>划（2022-2030年）》，明确了我国湿地保护的空间布局、重点任务、保障措施</w:t>
      </w:r>
      <w:r>
        <w:rPr>
          <w:rFonts w:hint="default" w:ascii="Times New Roman" w:hAnsi="Times New Roman" w:cs="Times New Roman"/>
          <w:lang w:eastAsia="zh-CN"/>
        </w:rPr>
        <w:t>。</w:t>
      </w:r>
      <w:r>
        <w:rPr>
          <w:rFonts w:hint="default" w:ascii="Times New Roman" w:hAnsi="Times New Roman" w:cs="Times New Roman"/>
          <w:lang w:val="en-US" w:eastAsia="zh-CN"/>
        </w:rPr>
        <w:t>根据</w:t>
      </w:r>
      <w:r>
        <w:rPr>
          <w:rFonts w:hint="default" w:ascii="Times New Roman" w:hAnsi="Times New Roman" w:cs="Times New Roman"/>
        </w:rPr>
        <w:t>《全国湿地保护规划</w:t>
      </w:r>
      <w:r>
        <w:rPr>
          <w:rFonts w:hint="default" w:ascii="Times New Roman" w:hAnsi="Times New Roman" w:cs="Times New Roman"/>
          <w:lang w:eastAsia="zh-CN"/>
        </w:rPr>
        <w:t>（</w:t>
      </w:r>
      <w:r>
        <w:rPr>
          <w:rFonts w:hint="default" w:ascii="Times New Roman" w:hAnsi="Times New Roman" w:cs="Times New Roman"/>
        </w:rPr>
        <w:t>2022-2030年</w:t>
      </w:r>
      <w:r>
        <w:rPr>
          <w:rFonts w:hint="default" w:ascii="Times New Roman" w:hAnsi="Times New Roman" w:cs="Times New Roman"/>
          <w:lang w:eastAsia="zh-CN"/>
        </w:rPr>
        <w:t>）</w:t>
      </w:r>
      <w:r>
        <w:rPr>
          <w:rFonts w:hint="default" w:ascii="Times New Roman" w:hAnsi="Times New Roman" w:cs="Times New Roman"/>
        </w:rPr>
        <w:t>》</w:t>
      </w:r>
      <w:r>
        <w:rPr>
          <w:rFonts w:hint="default" w:ascii="Times New Roman" w:hAnsi="Times New Roman" w:cs="Times New Roman"/>
          <w:lang w:val="en-US" w:eastAsia="zh-CN"/>
        </w:rPr>
        <w:t>对北方地区的要求：</w:t>
      </w:r>
      <w:r>
        <w:rPr>
          <w:rFonts w:hint="eastAsia" w:cs="Times New Roman"/>
          <w:lang w:val="en-US" w:eastAsia="zh-CN"/>
        </w:rPr>
        <w:t>“</w:t>
      </w:r>
      <w:r>
        <w:rPr>
          <w:rFonts w:hint="default" w:ascii="Times New Roman" w:hAnsi="Times New Roman" w:cs="Times New Roman"/>
          <w:lang w:val="en-US" w:eastAsia="zh-CN"/>
        </w:rPr>
        <w:t>以推动全面保护湿地生态系统，加强系统综合整治和自然恢复，提升水鸟等珍稀濒危物种生境为主攻方向，统筹开展湿地恢复、河湖修复，加强重要湿地整体保护、统一规划、协同治理，对集中连片、功能退化的自然湿地进行系统修复和综合整治。</w:t>
      </w:r>
      <w:r>
        <w:rPr>
          <w:rFonts w:hint="eastAsia" w:cs="Times New Roman"/>
          <w:lang w:val="en-US" w:eastAsia="zh-CN"/>
        </w:rPr>
        <w:t>”</w:t>
      </w:r>
      <w:r>
        <w:rPr>
          <w:rFonts w:hint="default" w:ascii="Times New Roman" w:hAnsi="Times New Roman" w:cs="Times New Roman"/>
        </w:rPr>
        <w:t>《</w:t>
      </w:r>
      <w:r>
        <w:rPr>
          <w:rFonts w:hint="eastAsia" w:cs="Times New Roman"/>
          <w:lang w:eastAsia="zh-CN"/>
        </w:rPr>
        <w:t>中华人民共和国湿地保护法》《</w:t>
      </w:r>
      <w:r>
        <w:rPr>
          <w:rFonts w:hint="default" w:ascii="Times New Roman" w:hAnsi="Times New Roman" w:cs="Times New Roman"/>
        </w:rPr>
        <w:t>全国湿地保护规划（2022-2030年）</w:t>
      </w:r>
      <w:r>
        <w:rPr>
          <w:rFonts w:hint="eastAsia" w:cs="Times New Roman"/>
          <w:lang w:eastAsia="zh-CN"/>
        </w:rPr>
        <w:t>》《新疆维吾尔自治区湿地保护规划（2024-2030年）》《</w:t>
      </w:r>
      <w:r>
        <w:rPr>
          <w:rFonts w:hint="default" w:ascii="Times New Roman" w:hAnsi="Times New Roman" w:cs="Times New Roman"/>
          <w:lang w:val="en-US" w:eastAsia="zh-CN"/>
        </w:rPr>
        <w:t>新疆维吾尔自治区林业草原保护发展</w:t>
      </w:r>
      <w:r>
        <w:rPr>
          <w:rFonts w:hint="eastAsia" w:cs="Times New Roman"/>
          <w:lang w:val="en-US" w:eastAsia="zh-CN"/>
        </w:rPr>
        <w:t>“</w:t>
      </w:r>
      <w:r>
        <w:rPr>
          <w:rFonts w:hint="default" w:ascii="Times New Roman" w:hAnsi="Times New Roman" w:cs="Times New Roman"/>
          <w:lang w:val="en-US" w:eastAsia="zh-CN"/>
        </w:rPr>
        <w:t>十四五</w:t>
      </w:r>
      <w:r>
        <w:rPr>
          <w:rFonts w:hint="eastAsia" w:cs="Times New Roman"/>
          <w:lang w:val="en-US" w:eastAsia="zh-CN"/>
        </w:rPr>
        <w:t>”</w:t>
      </w:r>
      <w:r>
        <w:rPr>
          <w:rFonts w:hint="default" w:ascii="Times New Roman" w:hAnsi="Times New Roman" w:cs="Times New Roman"/>
          <w:lang w:val="en-US" w:eastAsia="zh-CN"/>
        </w:rPr>
        <w:t>规划》的颁布实施，为</w:t>
      </w:r>
      <w:r>
        <w:rPr>
          <w:rFonts w:hint="eastAsia" w:cs="Times New Roman"/>
          <w:lang w:val="en-US" w:eastAsia="zh-CN"/>
        </w:rPr>
        <w:t>昌吉回族自治州</w:t>
      </w:r>
      <w:r>
        <w:rPr>
          <w:rFonts w:hint="default" w:ascii="Times New Roman" w:hAnsi="Times New Roman" w:cs="Times New Roman"/>
          <w:lang w:val="en-US" w:eastAsia="zh-CN"/>
        </w:rPr>
        <w:t>湿地保护规划编制提供了法律和政策依据，明确了工作方向。</w:t>
      </w:r>
    </w:p>
    <w:bookmarkEnd w:id="177"/>
    <w:p w14:paraId="63091AE1">
      <w:pPr>
        <w:pStyle w:val="3"/>
        <w:bidi w:val="0"/>
        <w:rPr>
          <w:rFonts w:hint="default" w:ascii="Times New Roman" w:hAnsi="Times New Roman" w:cs="Times New Roman"/>
          <w:highlight w:val="none"/>
          <w:lang w:val="en-US" w:eastAsia="zh-CN"/>
        </w:rPr>
      </w:pPr>
      <w:bookmarkStart w:id="180" w:name="_Toc29668"/>
      <w:bookmarkStart w:id="181" w:name="_Toc2946"/>
      <w:bookmarkStart w:id="182" w:name="_Toc32557"/>
      <w:r>
        <w:rPr>
          <w:rFonts w:hint="eastAsia" w:ascii="Times New Roman" w:hAnsi="Times New Roman" w:cs="Times New Roman"/>
          <w:highlight w:val="none"/>
          <w:lang w:val="en-US" w:eastAsia="zh-CN"/>
        </w:rPr>
        <w:t xml:space="preserve">第四节  </w:t>
      </w:r>
      <w:r>
        <w:rPr>
          <w:rFonts w:hint="default" w:ascii="Times New Roman" w:hAnsi="Times New Roman" w:cs="Times New Roman"/>
          <w:highlight w:val="none"/>
          <w:lang w:val="en-US" w:eastAsia="zh-CN"/>
        </w:rPr>
        <w:t>规划期限</w:t>
      </w:r>
      <w:bookmarkEnd w:id="180"/>
      <w:bookmarkEnd w:id="181"/>
      <w:bookmarkEnd w:id="182"/>
    </w:p>
    <w:p w14:paraId="55CAF813">
      <w:pPr>
        <w:bidi w:val="0"/>
        <w:jc w:val="both"/>
        <w:rPr>
          <w:rFonts w:hint="default" w:ascii="Times New Roman" w:hAnsi="Times New Roman" w:cs="Times New Roman"/>
          <w:lang w:val="en-US" w:eastAsia="zh-CN"/>
        </w:rPr>
      </w:pPr>
      <w:bookmarkStart w:id="183" w:name="OLE_LINK66"/>
      <w:bookmarkStart w:id="184" w:name="OLE_LINK12"/>
      <w:r>
        <w:rPr>
          <w:rFonts w:hint="eastAsia" w:cs="Times New Roman"/>
          <w:lang w:val="en-US" w:eastAsia="zh-CN"/>
        </w:rPr>
        <w:t>规划基准年为2023年，规划期为</w:t>
      </w:r>
      <w:r>
        <w:rPr>
          <w:rFonts w:hint="default" w:ascii="Times New Roman" w:hAnsi="Times New Roman" w:cs="Times New Roman"/>
          <w:lang w:val="en-US" w:eastAsia="zh-CN"/>
        </w:rPr>
        <w:t>202</w:t>
      </w:r>
      <w:r>
        <w:rPr>
          <w:rFonts w:hint="eastAsia" w:cs="Times New Roman"/>
          <w:lang w:val="en-US" w:eastAsia="zh-CN"/>
        </w:rPr>
        <w:t>4</w:t>
      </w:r>
      <w:r>
        <w:rPr>
          <w:rFonts w:hint="default" w:ascii="Times New Roman" w:hAnsi="Times New Roman" w:cs="Times New Roman"/>
          <w:lang w:val="en-US" w:eastAsia="zh-CN"/>
        </w:rPr>
        <w:t>年至2030年</w:t>
      </w:r>
      <w:bookmarkEnd w:id="183"/>
      <w:r>
        <w:rPr>
          <w:rFonts w:hint="eastAsia" w:cs="Times New Roman"/>
          <w:lang w:val="en-US" w:eastAsia="zh-CN"/>
        </w:rPr>
        <w:t>。</w:t>
      </w:r>
    </w:p>
    <w:bookmarkEnd w:id="184"/>
    <w:p w14:paraId="64B18896">
      <w:pPr>
        <w:pStyle w:val="3"/>
        <w:bidi w:val="0"/>
        <w:rPr>
          <w:rFonts w:hint="default" w:ascii="Times New Roman" w:hAnsi="Times New Roman" w:cs="Times New Roman"/>
          <w:highlight w:val="none"/>
          <w:lang w:val="en-US" w:eastAsia="zh-CN"/>
        </w:rPr>
      </w:pPr>
      <w:bookmarkStart w:id="185" w:name="_Toc27503"/>
      <w:bookmarkStart w:id="186" w:name="_Toc11983"/>
      <w:bookmarkStart w:id="187" w:name="_Toc11939"/>
      <w:r>
        <w:rPr>
          <w:rFonts w:hint="eastAsia" w:ascii="Times New Roman" w:hAnsi="Times New Roman" w:cs="Times New Roman"/>
          <w:highlight w:val="none"/>
          <w:lang w:val="en-US" w:eastAsia="zh-CN"/>
        </w:rPr>
        <w:t xml:space="preserve">第五节  </w:t>
      </w:r>
      <w:r>
        <w:rPr>
          <w:rFonts w:hint="default" w:ascii="Times New Roman" w:hAnsi="Times New Roman" w:cs="Times New Roman"/>
          <w:highlight w:val="none"/>
          <w:lang w:val="en-US" w:eastAsia="zh-CN"/>
        </w:rPr>
        <w:t>规划目标</w:t>
      </w:r>
      <w:bookmarkEnd w:id="185"/>
      <w:bookmarkEnd w:id="186"/>
      <w:bookmarkEnd w:id="187"/>
    </w:p>
    <w:p w14:paraId="7C86DCD3">
      <w:pPr>
        <w:bidi w:val="0"/>
        <w:jc w:val="both"/>
        <w:rPr>
          <w:rFonts w:hint="default"/>
          <w:highlight w:val="none"/>
          <w:lang w:val="en-US" w:eastAsia="zh-CN"/>
        </w:rPr>
      </w:pPr>
      <w:bookmarkStart w:id="188" w:name="OLE_LINK13"/>
      <w:bookmarkStart w:id="189" w:name="OLE_LINK121"/>
      <w:r>
        <w:rPr>
          <w:rFonts w:hint="eastAsia"/>
          <w:highlight w:val="none"/>
          <w:lang w:val="en-US" w:eastAsia="zh-CN"/>
        </w:rPr>
        <w:t>一期</w:t>
      </w:r>
      <w:r>
        <w:rPr>
          <w:rFonts w:hint="default"/>
          <w:highlight w:val="none"/>
          <w:lang w:val="en-US" w:eastAsia="zh-CN"/>
        </w:rPr>
        <w:t>目标：到2025年，全州湿地保护法规制度体系基本建立，湿地监测监管能力水平得到提升，湿地生态系统质量和稳定性得到提高。</w:t>
      </w:r>
    </w:p>
    <w:p w14:paraId="109D1FBD">
      <w:pPr>
        <w:bidi w:val="0"/>
        <w:jc w:val="both"/>
        <w:rPr>
          <w:rFonts w:hint="default"/>
          <w:lang w:val="en-US" w:eastAsia="zh-CN"/>
        </w:rPr>
      </w:pPr>
      <w:r>
        <w:rPr>
          <w:rFonts w:hint="eastAsia"/>
          <w:highlight w:val="none"/>
          <w:lang w:val="en-US" w:eastAsia="zh-CN"/>
        </w:rPr>
        <w:t>二</w:t>
      </w:r>
      <w:r>
        <w:rPr>
          <w:rFonts w:hint="default"/>
          <w:highlight w:val="none"/>
          <w:lang w:val="en-US" w:eastAsia="zh-CN"/>
        </w:rPr>
        <w:t>期目标：2026年到2030年，</w:t>
      </w:r>
      <w:r>
        <w:rPr>
          <w:rFonts w:hint="eastAsia"/>
          <w:highlight w:val="none"/>
          <w:lang w:val="en-US" w:eastAsia="zh-CN"/>
        </w:rPr>
        <w:t>完成湿地公园总体规划的修编，</w:t>
      </w:r>
      <w:r>
        <w:rPr>
          <w:rFonts w:hint="default"/>
          <w:highlight w:val="none"/>
          <w:lang w:val="en-US" w:eastAsia="zh-CN"/>
        </w:rPr>
        <w:t>湿地保护高质量发展新格局初步建立，湿地保护体系更加完善，湿地生态系统得到科学修复，湿地生态系统功能和生物多样性持续改善，湿地生态系统综合服务功能明显增强，湿地保护法治化水平显著提升。</w:t>
      </w:r>
      <w:bookmarkEnd w:id="188"/>
      <w:r>
        <w:rPr>
          <w:rFonts w:hint="eastAsia"/>
          <w:highlight w:val="none"/>
          <w:lang w:val="en-US" w:eastAsia="zh-CN"/>
        </w:rPr>
        <w:t>全州修复退化湿地2万亩以上，规划国家级重要湿地候选区2处，自治区级重要湿地候选区3处。</w:t>
      </w:r>
      <w:bookmarkEnd w:id="189"/>
    </w:p>
    <w:bookmarkEnd w:id="160"/>
    <w:bookmarkEnd w:id="161"/>
    <w:bookmarkEnd w:id="162"/>
    <w:p w14:paraId="2AB2D8E0">
      <w:pPr>
        <w:pStyle w:val="2"/>
        <w:bidi w:val="0"/>
        <w:rPr>
          <w:rFonts w:hint="default" w:ascii="Times New Roman" w:hAnsi="Times New Roman" w:cs="Times New Roman"/>
          <w:highlight w:val="none"/>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bookmarkStart w:id="190" w:name="_Toc13529"/>
      <w:bookmarkStart w:id="191" w:name="_Toc78885648"/>
      <w:bookmarkStart w:id="192" w:name="_Toc7886"/>
      <w:bookmarkStart w:id="193" w:name="_Toc28062"/>
    </w:p>
    <w:p w14:paraId="66E67E1D">
      <w:pPr>
        <w:pStyle w:val="2"/>
        <w:bidi w:val="0"/>
        <w:rPr>
          <w:rFonts w:hint="default" w:ascii="Times New Roman" w:hAnsi="Times New Roman" w:cs="Times New Roman"/>
          <w:highlight w:val="none"/>
          <w:lang w:val="en-US" w:eastAsia="zh-CN"/>
        </w:rPr>
      </w:pPr>
      <w:bookmarkStart w:id="194" w:name="_Toc17914"/>
      <w:r>
        <w:rPr>
          <w:rFonts w:hint="default" w:ascii="Times New Roman" w:hAnsi="Times New Roman" w:cs="Times New Roman"/>
          <w:highlight w:val="none"/>
        </w:rPr>
        <w:t>第三章</w:t>
      </w:r>
      <w:r>
        <w:rPr>
          <w:rFonts w:hint="default" w:ascii="Times New Roman" w:hAnsi="Times New Roman" w:cs="Times New Roman"/>
          <w:highlight w:val="none"/>
          <w:lang w:val="en-US" w:eastAsia="zh-CN"/>
        </w:rPr>
        <w:t xml:space="preserve"> </w:t>
      </w:r>
      <w:r>
        <w:rPr>
          <w:rFonts w:hint="default" w:ascii="Times New Roman" w:hAnsi="Times New Roman" w:cs="Times New Roman"/>
          <w:highlight w:val="none"/>
        </w:rPr>
        <w:t xml:space="preserve"> </w:t>
      </w:r>
      <w:bookmarkEnd w:id="190"/>
      <w:bookmarkEnd w:id="191"/>
      <w:bookmarkStart w:id="195" w:name="_Toc78885649"/>
      <w:r>
        <w:rPr>
          <w:rFonts w:hint="default" w:ascii="Times New Roman" w:hAnsi="Times New Roman" w:cs="Times New Roman"/>
          <w:highlight w:val="none"/>
          <w:lang w:val="en-US" w:eastAsia="zh-CN"/>
        </w:rPr>
        <w:t>空间布局</w:t>
      </w:r>
      <w:bookmarkEnd w:id="192"/>
      <w:bookmarkEnd w:id="193"/>
      <w:bookmarkEnd w:id="194"/>
    </w:p>
    <w:p w14:paraId="11E47E43">
      <w:pPr>
        <w:bidi w:val="0"/>
        <w:jc w:val="both"/>
        <w:rPr>
          <w:rFonts w:hint="eastAsia"/>
          <w:highlight w:val="none"/>
          <w:lang w:val="en-US" w:eastAsia="zh-CN"/>
        </w:rPr>
      </w:pPr>
      <w:bookmarkStart w:id="196" w:name="OLE_LINK14"/>
      <w:r>
        <w:rPr>
          <w:rFonts w:hint="eastAsia"/>
          <w:highlight w:val="none"/>
          <w:lang w:val="en-US" w:eastAsia="zh-CN"/>
        </w:rPr>
        <w:t>依据《新疆维吾尔自治区湿地保护规划》《昌吉回族自治州国土空间规划》，昌吉回族自治州属于天山中东部湿地区，行政区划包括玛纳斯县、呼图壁县、昌吉市、阜康市、吉木萨尔县、奇台县、木垒县共7个市县区。该区域湿地类型以河流湿地和湖泊湿地为主，人工湿地为辅，零星分布于全州各县市。</w:t>
      </w:r>
    </w:p>
    <w:p w14:paraId="227D7914">
      <w:pPr>
        <w:bidi w:val="0"/>
        <w:jc w:val="both"/>
        <w:rPr>
          <w:rFonts w:hint="default"/>
          <w:highlight w:val="none"/>
          <w:lang w:val="en-US" w:eastAsia="zh-CN"/>
        </w:rPr>
      </w:pPr>
      <w:r>
        <w:rPr>
          <w:rFonts w:hint="eastAsia"/>
          <w:highlight w:val="none"/>
          <w:lang w:val="en-US" w:eastAsia="zh-CN"/>
        </w:rPr>
        <w:t>根据行政区划、地形地貌特点、湿地形成特点和空间分布特征，结合湿地分布区、流域及重要生态节点分布，将全州</w:t>
      </w:r>
      <w:r>
        <w:rPr>
          <w:rFonts w:hint="default"/>
          <w:highlight w:val="none"/>
          <w:lang w:val="en-US" w:eastAsia="zh-CN"/>
        </w:rPr>
        <w:t>湿地的空间布局</w:t>
      </w:r>
      <w:r>
        <w:rPr>
          <w:rFonts w:hint="eastAsia"/>
          <w:highlight w:val="none"/>
          <w:lang w:val="en-US" w:eastAsia="zh-CN"/>
        </w:rPr>
        <w:t>区</w:t>
      </w:r>
      <w:r>
        <w:rPr>
          <w:rFonts w:hint="default"/>
          <w:highlight w:val="none"/>
          <w:lang w:val="en-US" w:eastAsia="zh-CN"/>
        </w:rPr>
        <w:t>划为</w:t>
      </w:r>
      <w:r>
        <w:rPr>
          <w:rFonts w:hint="eastAsia"/>
          <w:highlight w:val="none"/>
          <w:lang w:val="en-US" w:eastAsia="zh-CN"/>
        </w:rPr>
        <w:t>“四</w:t>
      </w:r>
      <w:r>
        <w:rPr>
          <w:rFonts w:hint="default"/>
          <w:highlight w:val="none"/>
          <w:lang w:val="en-US" w:eastAsia="zh-CN"/>
        </w:rPr>
        <w:t>区九带多点</w:t>
      </w:r>
      <w:r>
        <w:rPr>
          <w:rFonts w:hint="eastAsia"/>
          <w:highlight w:val="none"/>
          <w:lang w:val="en-US" w:eastAsia="zh-CN"/>
        </w:rPr>
        <w:t>”</w:t>
      </w:r>
      <w:r>
        <w:rPr>
          <w:rFonts w:hint="default"/>
          <w:highlight w:val="none"/>
          <w:lang w:val="en-US" w:eastAsia="zh-CN"/>
        </w:rPr>
        <w:t>。</w:t>
      </w:r>
    </w:p>
    <w:p w14:paraId="723EBCF0">
      <w:pPr>
        <w:bidi w:val="0"/>
        <w:jc w:val="both"/>
        <w:rPr>
          <w:rFonts w:hint="default"/>
          <w:highlight w:val="none"/>
          <w:lang w:val="en-US" w:eastAsia="zh-CN"/>
        </w:rPr>
      </w:pPr>
      <w:r>
        <w:rPr>
          <w:rFonts w:hint="eastAsia"/>
          <w:highlight w:val="none"/>
          <w:lang w:val="en-US" w:eastAsia="zh-CN"/>
        </w:rPr>
        <w:t>“四</w:t>
      </w:r>
      <w:r>
        <w:rPr>
          <w:rFonts w:hint="default"/>
          <w:highlight w:val="none"/>
          <w:lang w:val="en-US" w:eastAsia="zh-CN"/>
        </w:rPr>
        <w:t>区</w:t>
      </w:r>
      <w:r>
        <w:rPr>
          <w:rFonts w:hint="eastAsia"/>
          <w:highlight w:val="none"/>
          <w:lang w:val="en-US" w:eastAsia="zh-CN"/>
        </w:rPr>
        <w:t>”</w:t>
      </w:r>
      <w:r>
        <w:rPr>
          <w:rFonts w:hint="default"/>
          <w:highlight w:val="none"/>
          <w:lang w:val="en-US" w:eastAsia="zh-CN"/>
        </w:rPr>
        <w:t>是指玛纳斯</w:t>
      </w:r>
      <w:r>
        <w:rPr>
          <w:rFonts w:hint="eastAsia"/>
          <w:highlight w:val="none"/>
          <w:lang w:val="en-US" w:eastAsia="zh-CN"/>
        </w:rPr>
        <w:t>国家湿地公园</w:t>
      </w:r>
      <w:r>
        <w:rPr>
          <w:rFonts w:hint="default"/>
          <w:highlight w:val="none"/>
          <w:lang w:val="en-US" w:eastAsia="zh-CN"/>
        </w:rPr>
        <w:t>生态区、呼图壁</w:t>
      </w:r>
      <w:r>
        <w:rPr>
          <w:rFonts w:hint="eastAsia"/>
          <w:highlight w:val="none"/>
          <w:lang w:val="en-US" w:eastAsia="zh-CN"/>
        </w:rPr>
        <w:t>大海子国家湿地公园</w:t>
      </w:r>
      <w:r>
        <w:rPr>
          <w:rFonts w:hint="default"/>
          <w:highlight w:val="none"/>
          <w:lang w:val="en-US" w:eastAsia="zh-CN"/>
        </w:rPr>
        <w:t>生态区</w:t>
      </w:r>
      <w:r>
        <w:rPr>
          <w:rFonts w:hint="eastAsia"/>
          <w:highlight w:val="none"/>
          <w:lang w:val="en-US" w:eastAsia="zh-CN"/>
        </w:rPr>
        <w:t>、阜康特纳格尔国家湿地公园生态区、吉木萨尔北庭国家湿地公园生态区。</w:t>
      </w:r>
    </w:p>
    <w:p w14:paraId="1B1CB2DA">
      <w:pPr>
        <w:bidi w:val="0"/>
        <w:jc w:val="both"/>
        <w:rPr>
          <w:rFonts w:hint="default"/>
          <w:lang w:val="en-US" w:eastAsia="zh-CN"/>
        </w:rPr>
      </w:pPr>
      <w:r>
        <w:rPr>
          <w:rFonts w:hint="eastAsia"/>
          <w:highlight w:val="none"/>
          <w:lang w:val="en-US" w:eastAsia="zh-CN"/>
        </w:rPr>
        <w:t>“</w:t>
      </w:r>
      <w:r>
        <w:rPr>
          <w:rFonts w:hint="default"/>
          <w:highlight w:val="none"/>
          <w:lang w:val="en-US" w:eastAsia="zh-CN"/>
        </w:rPr>
        <w:t>九带</w:t>
      </w:r>
      <w:r>
        <w:rPr>
          <w:rFonts w:hint="eastAsia"/>
          <w:highlight w:val="none"/>
          <w:lang w:val="en-US" w:eastAsia="zh-CN"/>
        </w:rPr>
        <w:t>”</w:t>
      </w:r>
      <w:r>
        <w:rPr>
          <w:rFonts w:hint="default"/>
          <w:highlight w:val="none"/>
          <w:lang w:val="en-US" w:eastAsia="zh-CN"/>
        </w:rPr>
        <w:t>是指玛纳斯河、塔西河、呼图壁河、三</w:t>
      </w:r>
      <w:r>
        <w:rPr>
          <w:rFonts w:hint="default"/>
          <w:lang w:val="en-US" w:eastAsia="zh-CN"/>
        </w:rPr>
        <w:t>屯河、水磨河、三工河、白杨河、碧流河-水磨河及木垒河河流驳岸带重点湿地生态区</w:t>
      </w:r>
      <w:r>
        <w:rPr>
          <w:rFonts w:hint="eastAsia"/>
          <w:lang w:val="en-US" w:eastAsia="zh-CN"/>
        </w:rPr>
        <w:t>。</w:t>
      </w:r>
    </w:p>
    <w:p w14:paraId="2887D92A">
      <w:pPr>
        <w:bidi w:val="0"/>
        <w:jc w:val="both"/>
        <w:rPr>
          <w:rFonts w:hint="default"/>
          <w:lang w:val="en-US" w:eastAsia="zh-CN"/>
        </w:rPr>
      </w:pPr>
      <w:r>
        <w:rPr>
          <w:rFonts w:hint="eastAsia"/>
          <w:lang w:val="en-US" w:eastAsia="zh-CN"/>
        </w:rPr>
        <w:t>“</w:t>
      </w:r>
      <w:r>
        <w:rPr>
          <w:rFonts w:hint="default"/>
          <w:lang w:val="en-US" w:eastAsia="zh-CN"/>
        </w:rPr>
        <w:t>多点</w:t>
      </w:r>
      <w:r>
        <w:rPr>
          <w:rFonts w:hint="eastAsia"/>
          <w:lang w:val="en-US" w:eastAsia="zh-CN"/>
        </w:rPr>
        <w:t>”</w:t>
      </w:r>
      <w:r>
        <w:rPr>
          <w:rFonts w:hint="default"/>
          <w:lang w:val="en-US" w:eastAsia="zh-CN"/>
        </w:rPr>
        <w:t>是指分布在各县区</w:t>
      </w:r>
      <w:r>
        <w:rPr>
          <w:rFonts w:hint="eastAsia"/>
          <w:lang w:val="en-US" w:eastAsia="zh-CN"/>
        </w:rPr>
        <w:t>零星湿地、各区县</w:t>
      </w:r>
      <w:r>
        <w:rPr>
          <w:rFonts w:hint="default"/>
          <w:lang w:val="en-US" w:eastAsia="zh-CN"/>
        </w:rPr>
        <w:t>水库等重要生态节点。</w:t>
      </w:r>
    </w:p>
    <w:bookmarkEnd w:id="196"/>
    <w:p w14:paraId="35387729">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drawing>
          <wp:inline distT="0" distB="0" distL="114300" distR="114300">
            <wp:extent cx="5264785" cy="3697605"/>
            <wp:effectExtent l="0" t="0" r="12065" b="17145"/>
            <wp:docPr id="1" name="图片 1" descr="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
                    <pic:cNvPicPr>
                      <a:picLocks noChangeAspect="1"/>
                    </pic:cNvPicPr>
                  </pic:nvPicPr>
                  <pic:blipFill>
                    <a:blip r:embed="rId11"/>
                    <a:stretch>
                      <a:fillRect/>
                    </a:stretch>
                  </pic:blipFill>
                  <pic:spPr>
                    <a:xfrm>
                      <a:off x="0" y="0"/>
                      <a:ext cx="5264785" cy="3697605"/>
                    </a:xfrm>
                    <a:prstGeom prst="rect">
                      <a:avLst/>
                    </a:prstGeom>
                  </pic:spPr>
                </pic:pic>
              </a:graphicData>
            </a:graphic>
          </wp:inline>
        </w:drawing>
      </w:r>
    </w:p>
    <w:bookmarkEnd w:id="195"/>
    <w:p w14:paraId="0B6908DD">
      <w:pPr>
        <w:pStyle w:val="3"/>
        <w:bidi w:val="0"/>
        <w:rPr>
          <w:rFonts w:hint="default"/>
          <w:lang w:val="en-US" w:eastAsia="zh-CN"/>
        </w:rPr>
      </w:pPr>
      <w:bookmarkStart w:id="197" w:name="_Toc95"/>
      <w:bookmarkStart w:id="198" w:name="_Toc15386"/>
      <w:bookmarkStart w:id="199" w:name="_Toc22324"/>
      <w:bookmarkStart w:id="200" w:name="_Toc1960"/>
      <w:r>
        <w:rPr>
          <w:rFonts w:hint="eastAsia"/>
          <w:lang w:val="en-US" w:eastAsia="zh-CN"/>
        </w:rPr>
        <w:t xml:space="preserve">第一节  </w:t>
      </w:r>
      <w:bookmarkEnd w:id="197"/>
      <w:bookmarkEnd w:id="198"/>
      <w:bookmarkEnd w:id="199"/>
      <w:r>
        <w:rPr>
          <w:rFonts w:hint="default"/>
          <w:lang w:val="en-US" w:eastAsia="zh-CN"/>
        </w:rPr>
        <w:t>玛纳斯国家湿地公园生态区</w:t>
      </w:r>
      <w:bookmarkEnd w:id="200"/>
    </w:p>
    <w:p w14:paraId="2B4C22DB">
      <w:pPr>
        <w:bidi w:val="0"/>
        <w:jc w:val="both"/>
        <w:rPr>
          <w:rFonts w:hint="eastAsia" w:cs="Times New Roman"/>
          <w:lang w:val="en-US" w:eastAsia="zh-CN"/>
        </w:rPr>
      </w:pPr>
      <w:r>
        <w:rPr>
          <w:rFonts w:hint="default" w:ascii="Times New Roman" w:hAnsi="Times New Roman" w:cs="Times New Roman"/>
          <w:b/>
          <w:bCs/>
          <w:highlight w:val="none"/>
          <w:lang w:val="en-US" w:eastAsia="zh-CN"/>
        </w:rPr>
        <w:t>区域现状：</w:t>
      </w:r>
      <w:bookmarkStart w:id="201" w:name="OLE_LINK138"/>
      <w:r>
        <w:rPr>
          <w:rFonts w:hint="default" w:ascii="Times New Roman" w:hAnsi="Times New Roman" w:cs="Times New Roman"/>
          <w:b w:val="0"/>
          <w:bCs w:val="0"/>
          <w:highlight w:val="none"/>
          <w:lang w:val="en-US" w:eastAsia="zh-CN"/>
        </w:rPr>
        <w:t>2011年3月25日，玛纳斯湿地被国家林业局正式批准为国家湿地公园建设试点，并被纳入国家重点生态功能区范围。</w:t>
      </w:r>
      <w:r>
        <w:rPr>
          <w:rFonts w:hint="default" w:ascii="Times New Roman" w:hAnsi="Times New Roman" w:cs="Times New Roman"/>
          <w:lang w:val="en-US" w:eastAsia="zh-CN"/>
        </w:rPr>
        <w:t>湿地公园北至玛纳斯河峡谷一四七团十四连，东北至白土坑水库北岸，南至头二三宫渠与玛河交汇水坝，西至玛纳斯与石河子市边界，东至新户坪水库东岸其保护规划总面积</w:t>
      </w:r>
      <w:r>
        <w:rPr>
          <w:rFonts w:hint="eastAsia" w:cs="Times New Roman"/>
          <w:lang w:val="en-US" w:eastAsia="zh-CN"/>
        </w:rPr>
        <w:t>4702.00</w:t>
      </w:r>
      <w:r>
        <w:rPr>
          <w:rFonts w:hint="default" w:ascii="Times New Roman" w:hAnsi="Times New Roman" w:cs="Times New Roman"/>
          <w:lang w:val="en-US" w:eastAsia="zh-CN"/>
        </w:rPr>
        <w:t>公顷</w:t>
      </w:r>
      <w:r>
        <w:rPr>
          <w:rFonts w:hint="eastAsia" w:cs="Times New Roman"/>
          <w:lang w:val="en-US" w:eastAsia="zh-CN"/>
        </w:rPr>
        <w:t>。</w:t>
      </w:r>
      <w:r>
        <w:rPr>
          <w:rFonts w:hint="default"/>
          <w:lang w:val="en-US" w:eastAsia="zh-CN"/>
        </w:rPr>
        <w:t>生态区包括白土坑水库、新户坪水库等以及玛纳斯河故道、六阜渠、漠河渠周边部分区域。</w:t>
      </w:r>
      <w:bookmarkEnd w:id="201"/>
      <w:r>
        <w:rPr>
          <w:rFonts w:hint="default" w:ascii="Times New Roman" w:hAnsi="Times New Roman" w:cs="Times New Roman"/>
          <w:lang w:val="en-US" w:eastAsia="zh-CN"/>
        </w:rPr>
        <w:t>湿地内水域广阔，滩涂广袤，池塘众多，有多种水鸟及植物种类，自然景观优美，又有小李庄农场文化相衬，保护价值相当突出。湿地生态区芦苇、荷花丰茂，地形复杂，区域内池塘众多，鱼、虾等食物资源丰富，为鸟类提供了良好的觅食场所，因此珍稀鸟类繁多，是候鸟类及越冬鸟类的重要栖息地，湿地生态区资源丰富，自然景观优美，滩涂植物丛生，形成了芦苇群落、蒲草群落等典型的湿地植被景观。生态区内的鸟类共计279种，涉及18目58科279种，国家重点保护鸟类46种，其中一级重点保护10种</w:t>
      </w:r>
      <w:r>
        <w:rPr>
          <w:rFonts w:hint="eastAsia" w:cs="Times New Roman"/>
          <w:lang w:val="en-US" w:eastAsia="zh-CN"/>
        </w:rPr>
        <w:t>（</w:t>
      </w:r>
      <w:r>
        <w:rPr>
          <w:rFonts w:hint="default" w:ascii="Times New Roman" w:hAnsi="Times New Roman" w:cs="Times New Roman"/>
          <w:lang w:val="en-US" w:eastAsia="zh-CN"/>
        </w:rPr>
        <w:t>黑鹳、玉带海雕、白尾海雕、遗鸥等</w:t>
      </w:r>
      <w:r>
        <w:rPr>
          <w:rFonts w:hint="eastAsia" w:cs="Times New Roman"/>
          <w:lang w:val="en-US" w:eastAsia="zh-CN"/>
        </w:rPr>
        <w:t>）</w:t>
      </w:r>
      <w:r>
        <w:rPr>
          <w:rFonts w:hint="default" w:ascii="Times New Roman" w:hAnsi="Times New Roman" w:cs="Times New Roman"/>
          <w:lang w:val="en-US" w:eastAsia="zh-CN"/>
        </w:rPr>
        <w:t>，二级保护36种（黑颈鸊鷉、白鹈鹕、大天鹅、灰鹤等）。</w:t>
      </w:r>
    </w:p>
    <w:p w14:paraId="49863DA1">
      <w:pPr>
        <w:bidi w:val="0"/>
        <w:jc w:val="both"/>
        <w:rPr>
          <w:rFonts w:hint="default" w:ascii="Times New Roman" w:hAnsi="Times New Roman" w:cs="Times New Roman"/>
          <w:highlight w:val="none"/>
          <w:lang w:val="en-US" w:eastAsia="zh-CN"/>
        </w:rPr>
      </w:pPr>
      <w:bookmarkStart w:id="202" w:name="OLE_LINK237"/>
      <w:bookmarkStart w:id="203" w:name="OLE_LINK84"/>
      <w:bookmarkStart w:id="204" w:name="OLE_LINK143"/>
      <w:r>
        <w:rPr>
          <w:rFonts w:hint="default" w:ascii="Times New Roman" w:hAnsi="Times New Roman" w:cs="Times New Roman"/>
          <w:b/>
          <w:bCs/>
          <w:highlight w:val="none"/>
          <w:lang w:val="en-US" w:eastAsia="zh-CN"/>
        </w:rPr>
        <w:t>主要</w:t>
      </w:r>
      <w:bookmarkStart w:id="205" w:name="OLE_LINK178"/>
      <w:r>
        <w:rPr>
          <w:rFonts w:hint="default" w:ascii="Times New Roman" w:hAnsi="Times New Roman" w:cs="Times New Roman"/>
          <w:b/>
          <w:bCs/>
          <w:highlight w:val="none"/>
          <w:lang w:val="en-US" w:eastAsia="zh-CN"/>
        </w:rPr>
        <w:t>问题：</w:t>
      </w:r>
      <w:bookmarkStart w:id="206" w:name="OLE_LINK182"/>
      <w:bookmarkStart w:id="207" w:name="OLE_LINK140"/>
      <w:bookmarkStart w:id="208" w:name="OLE_LINK192"/>
      <w:bookmarkStart w:id="209" w:name="OLE_LINK175"/>
      <w:r>
        <w:rPr>
          <w:rFonts w:hint="eastAsia" w:cs="Times New Roman"/>
          <w:b w:val="0"/>
          <w:bCs w:val="0"/>
          <w:highlight w:val="none"/>
          <w:lang w:val="en-US" w:eastAsia="zh-CN"/>
        </w:rPr>
        <w:t>湿地公园周边</w:t>
      </w:r>
      <w:r>
        <w:rPr>
          <w:rFonts w:hint="default" w:ascii="Times New Roman" w:hAnsi="Times New Roman" w:cs="Times New Roman"/>
          <w:b w:val="0"/>
          <w:bCs w:val="0"/>
          <w:highlight w:val="none"/>
          <w:lang w:val="en-US" w:eastAsia="zh-CN"/>
        </w:rPr>
        <w:t>耕地较多，植被覆盖率低，湿地涵养水源、净化水体等生态功能退化</w:t>
      </w:r>
      <w:r>
        <w:rPr>
          <w:rFonts w:hint="eastAsia" w:cs="Times New Roman"/>
          <w:b w:val="0"/>
          <w:bCs w:val="0"/>
          <w:highlight w:val="none"/>
          <w:lang w:val="en-US" w:eastAsia="zh-CN"/>
        </w:rPr>
        <w:t>。</w:t>
      </w:r>
      <w:bookmarkEnd w:id="205"/>
      <w:bookmarkEnd w:id="206"/>
      <w:bookmarkEnd w:id="207"/>
      <w:bookmarkEnd w:id="208"/>
      <w:bookmarkStart w:id="210" w:name="OLE_LINK181"/>
      <w:bookmarkStart w:id="211" w:name="OLE_LINK183"/>
      <w:bookmarkStart w:id="212" w:name="OLE_LINK239"/>
      <w:r>
        <w:rPr>
          <w:rFonts w:hint="default" w:ascii="Times New Roman" w:hAnsi="Times New Roman" w:cs="Times New Roman"/>
          <w:highlight w:val="none"/>
          <w:lang w:val="en-US" w:eastAsia="zh-CN"/>
        </w:rPr>
        <w:t>湿地公园</w:t>
      </w:r>
      <w:r>
        <w:rPr>
          <w:rFonts w:hint="eastAsia" w:cs="Times New Roman"/>
          <w:highlight w:val="none"/>
          <w:lang w:val="en-US" w:eastAsia="zh-CN"/>
        </w:rPr>
        <w:t>基础设施</w:t>
      </w:r>
      <w:r>
        <w:rPr>
          <w:rFonts w:hint="default" w:ascii="Times New Roman" w:hAnsi="Times New Roman" w:cs="Times New Roman"/>
          <w:highlight w:val="none"/>
          <w:lang w:val="en-US" w:eastAsia="zh-CN"/>
        </w:rPr>
        <w:t>建设</w:t>
      </w:r>
      <w:r>
        <w:rPr>
          <w:rFonts w:hint="eastAsia" w:cs="Times New Roman"/>
          <w:highlight w:val="none"/>
          <w:lang w:val="en-US" w:eastAsia="zh-CN"/>
        </w:rPr>
        <w:t>、队伍建设、</w:t>
      </w:r>
      <w:r>
        <w:rPr>
          <w:rFonts w:hint="default" w:ascii="Times New Roman" w:hAnsi="Times New Roman" w:cs="Times New Roman"/>
          <w:highlight w:val="none"/>
          <w:lang w:val="en-US" w:eastAsia="zh-CN"/>
        </w:rPr>
        <w:t>科研监测工作仍需</w:t>
      </w:r>
      <w:bookmarkStart w:id="213" w:name="OLE_LINK177"/>
      <w:r>
        <w:rPr>
          <w:rFonts w:hint="default" w:ascii="Times New Roman" w:hAnsi="Times New Roman" w:cs="Times New Roman"/>
          <w:highlight w:val="none"/>
          <w:lang w:val="en-US" w:eastAsia="zh-CN"/>
        </w:rPr>
        <w:t>加强。</w:t>
      </w:r>
      <w:bookmarkEnd w:id="209"/>
      <w:bookmarkEnd w:id="210"/>
    </w:p>
    <w:bookmarkEnd w:id="202"/>
    <w:bookmarkEnd w:id="211"/>
    <w:p w14:paraId="43D63632">
      <w:pPr>
        <w:bidi w:val="0"/>
        <w:jc w:val="both"/>
        <w:rPr>
          <w:rFonts w:hint="default" w:ascii="Times New Roman" w:hAnsi="Times New Roman" w:cs="Times New Roman"/>
          <w:b/>
          <w:bCs/>
          <w:highlight w:val="none"/>
          <w:lang w:val="en-US" w:eastAsia="zh-CN"/>
        </w:rPr>
      </w:pPr>
      <w:bookmarkStart w:id="214" w:name="OLE_LINK238"/>
      <w:r>
        <w:rPr>
          <w:rFonts w:hint="default" w:ascii="Times New Roman" w:hAnsi="Times New Roman" w:cs="Times New Roman"/>
          <w:b/>
          <w:bCs/>
          <w:highlight w:val="none"/>
          <w:lang w:val="en-US" w:eastAsia="zh-CN"/>
        </w:rPr>
        <w:t>主攻方向：</w:t>
      </w:r>
      <w:bookmarkStart w:id="215" w:name="OLE_LINK187"/>
      <w:bookmarkStart w:id="216" w:name="OLE_LINK141"/>
      <w:bookmarkStart w:id="217" w:name="OLE_LINK176"/>
      <w:r>
        <w:rPr>
          <w:rFonts w:hint="default" w:ascii="Times New Roman" w:hAnsi="Times New Roman" w:cs="Times New Roman"/>
          <w:b w:val="0"/>
          <w:bCs w:val="0"/>
          <w:highlight w:val="none"/>
          <w:lang w:val="en-US" w:eastAsia="zh-CN"/>
        </w:rPr>
        <w:t>以</w:t>
      </w:r>
      <w:bookmarkStart w:id="218" w:name="OLE_LINK185"/>
      <w:bookmarkStart w:id="219" w:name="OLE_LINK209"/>
      <w:r>
        <w:rPr>
          <w:rFonts w:hint="default" w:ascii="Times New Roman" w:hAnsi="Times New Roman" w:cs="Times New Roman"/>
          <w:b w:val="0"/>
          <w:bCs w:val="0"/>
          <w:highlight w:val="none"/>
          <w:lang w:val="en-US" w:eastAsia="zh-CN"/>
        </w:rPr>
        <w:t>加强</w:t>
      </w:r>
      <w:bookmarkEnd w:id="218"/>
      <w:bookmarkStart w:id="220" w:name="OLE_LINK184"/>
      <w:r>
        <w:rPr>
          <w:rFonts w:hint="eastAsia" w:cs="Times New Roman"/>
          <w:b w:val="0"/>
          <w:bCs w:val="0"/>
          <w:highlight w:val="none"/>
          <w:lang w:val="en-US" w:eastAsia="zh-CN"/>
        </w:rPr>
        <w:t>湿地保护</w:t>
      </w:r>
      <w:r>
        <w:rPr>
          <w:rFonts w:hint="default" w:ascii="Times New Roman" w:hAnsi="Times New Roman" w:cs="Times New Roman"/>
          <w:b w:val="0"/>
          <w:bCs w:val="0"/>
          <w:highlight w:val="none"/>
          <w:lang w:val="en-US" w:eastAsia="zh-CN"/>
        </w:rPr>
        <w:t>为主攻方向</w:t>
      </w:r>
      <w:bookmarkEnd w:id="219"/>
      <w:r>
        <w:rPr>
          <w:rFonts w:hint="eastAsia" w:cs="Times New Roman"/>
          <w:b w:val="0"/>
          <w:bCs w:val="0"/>
          <w:highlight w:val="none"/>
          <w:lang w:val="en-US" w:eastAsia="zh-CN"/>
        </w:rPr>
        <w:t>。</w:t>
      </w:r>
      <w:bookmarkEnd w:id="220"/>
      <w:r>
        <w:rPr>
          <w:rFonts w:hint="default" w:ascii="Times New Roman" w:hAnsi="Times New Roman" w:cs="Times New Roman"/>
          <w:b w:val="0"/>
          <w:bCs w:val="0"/>
          <w:highlight w:val="none"/>
          <w:lang w:val="en-US" w:eastAsia="zh-CN"/>
        </w:rPr>
        <w:t>统筹开展湿地恢复、</w:t>
      </w:r>
      <w:r>
        <w:rPr>
          <w:rFonts w:hint="eastAsia" w:cs="Times New Roman"/>
          <w:b w:val="0"/>
          <w:bCs w:val="0"/>
          <w:highlight w:val="none"/>
          <w:lang w:val="en-US" w:eastAsia="zh-CN"/>
        </w:rPr>
        <w:t>退耕还湿、河道疏浚等工程；</w:t>
      </w:r>
      <w:bookmarkStart w:id="221" w:name="OLE_LINK188"/>
      <w:r>
        <w:rPr>
          <w:rFonts w:hint="default" w:ascii="Times New Roman" w:hAnsi="Times New Roman" w:cs="Times New Roman"/>
          <w:b w:val="0"/>
          <w:bCs w:val="0"/>
          <w:highlight w:val="none"/>
          <w:lang w:val="en-US" w:eastAsia="zh-CN"/>
        </w:rPr>
        <w:t>加强湿地整体保护、统一规划、协同治理，</w:t>
      </w:r>
      <w:r>
        <w:rPr>
          <w:rFonts w:hint="eastAsia" w:cs="Times New Roman"/>
          <w:b w:val="0"/>
          <w:bCs w:val="0"/>
          <w:highlight w:val="none"/>
          <w:lang w:val="en-US" w:eastAsia="zh-CN"/>
        </w:rPr>
        <w:t>在退化湿地恢复典型区域开展退化湿地可持续利用示范</w:t>
      </w:r>
      <w:r>
        <w:rPr>
          <w:rFonts w:hint="default" w:ascii="Times New Roman" w:hAnsi="Times New Roman" w:cs="Times New Roman"/>
          <w:b w:val="0"/>
          <w:bCs w:val="0"/>
          <w:highlight w:val="none"/>
          <w:lang w:val="en-US" w:eastAsia="zh-CN"/>
        </w:rPr>
        <w:t>。</w:t>
      </w:r>
      <w:bookmarkEnd w:id="221"/>
      <w:r>
        <w:rPr>
          <w:rFonts w:hint="eastAsia" w:cs="Times New Roman"/>
          <w:b w:val="0"/>
          <w:bCs w:val="0"/>
          <w:highlight w:val="none"/>
          <w:lang w:val="en-US" w:eastAsia="zh-CN"/>
        </w:rPr>
        <w:t>加强湿地公园基础设施配套建设，加强湿地保护管理人员培训，</w:t>
      </w:r>
      <w:r>
        <w:rPr>
          <w:rFonts w:hint="default" w:ascii="Times New Roman" w:hAnsi="Times New Roman" w:cs="Times New Roman"/>
          <w:highlight w:val="none"/>
          <w:lang w:val="en-US" w:eastAsia="zh-CN"/>
        </w:rPr>
        <w:t>对湿地生态开展常态化监测</w:t>
      </w:r>
      <w:r>
        <w:rPr>
          <w:rFonts w:hint="eastAsia" w:cs="Times New Roman"/>
          <w:highlight w:val="none"/>
          <w:lang w:val="en-US" w:eastAsia="zh-CN"/>
        </w:rPr>
        <w:t>。</w:t>
      </w:r>
    </w:p>
    <w:bookmarkEnd w:id="203"/>
    <w:bookmarkEnd w:id="212"/>
    <w:bookmarkEnd w:id="213"/>
    <w:bookmarkEnd w:id="214"/>
    <w:bookmarkEnd w:id="215"/>
    <w:bookmarkEnd w:id="216"/>
    <w:bookmarkEnd w:id="217"/>
    <w:p w14:paraId="49A3D3C3">
      <w:pPr>
        <w:pStyle w:val="3"/>
        <w:bidi w:val="0"/>
        <w:rPr>
          <w:rFonts w:hint="eastAsia"/>
          <w:highlight w:val="none"/>
          <w:lang w:val="en-US" w:eastAsia="zh-CN"/>
        </w:rPr>
      </w:pPr>
      <w:bookmarkStart w:id="222" w:name="_Toc20545"/>
      <w:bookmarkStart w:id="223" w:name="_Toc31279"/>
      <w:bookmarkStart w:id="224" w:name="_Toc16034"/>
      <w:bookmarkStart w:id="225" w:name="_Toc7805"/>
      <w:r>
        <w:rPr>
          <w:rFonts w:hint="eastAsia"/>
          <w:highlight w:val="none"/>
          <w:lang w:val="en-US" w:eastAsia="zh-CN"/>
        </w:rPr>
        <w:t>第二节  呼图壁大海子国家湿地公园生态区</w:t>
      </w:r>
      <w:bookmarkEnd w:id="222"/>
    </w:p>
    <w:p w14:paraId="74B53D77">
      <w:pPr>
        <w:jc w:val="both"/>
        <w:outlineLvl w:val="9"/>
        <w:rPr>
          <w:rFonts w:hint="default" w:ascii="Times New Roman" w:hAnsi="Times New Roman" w:cs="Times New Roman"/>
          <w:highlight w:val="none"/>
          <w:lang w:val="en-US" w:eastAsia="zh-CN"/>
        </w:rPr>
      </w:pPr>
      <w:bookmarkStart w:id="226" w:name="OLE_LINK222"/>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呼图壁大海子国家湿地公园生态区面积约</w:t>
      </w:r>
      <w:r>
        <w:rPr>
          <w:rFonts w:hint="eastAsia" w:cs="Times New Roman"/>
          <w:highlight w:val="none"/>
          <w:lang w:val="en-US" w:eastAsia="zh-CN"/>
        </w:rPr>
        <w:t>1960.06</w:t>
      </w:r>
      <w:r>
        <w:rPr>
          <w:rFonts w:hint="default" w:ascii="Times New Roman" w:hAnsi="Times New Roman" w:cs="Times New Roman"/>
          <w:highlight w:val="none"/>
          <w:lang w:val="en-US" w:eastAsia="zh-CN"/>
        </w:rPr>
        <w:t>公顷，该湿地公园是由大海子水库及水库周边区域和呼图壁河的西河入水库区域构成</w:t>
      </w:r>
      <w:r>
        <w:rPr>
          <w:rFonts w:hint="eastAsia" w:cs="Times New Roman"/>
          <w:highlight w:val="none"/>
          <w:lang w:val="en-US" w:eastAsia="zh-CN"/>
        </w:rPr>
        <w:t>。</w:t>
      </w:r>
      <w:r>
        <w:rPr>
          <w:rFonts w:hint="default" w:ascii="Times New Roman" w:hAnsi="Times New Roman" w:cs="Times New Roman"/>
          <w:highlight w:val="none"/>
          <w:lang w:val="en-US" w:eastAsia="zh-CN"/>
        </w:rPr>
        <w:t>湿地公园内湿地类型有河流湿地、沼泽湿地和人工湿地3大类，包括永久性河流湿地、草本沼泽湿地、库塘湿地和水产养殖场湿地4个湿地型。</w:t>
      </w:r>
      <w:bookmarkEnd w:id="226"/>
      <w:bookmarkStart w:id="227" w:name="OLE_LINK148"/>
      <w:r>
        <w:rPr>
          <w:rFonts w:hint="eastAsia" w:cs="Times New Roman"/>
          <w:highlight w:val="none"/>
          <w:lang w:val="en-US" w:eastAsia="zh-CN"/>
        </w:rPr>
        <w:t>生态区</w:t>
      </w:r>
      <w:r>
        <w:rPr>
          <w:rFonts w:hint="default" w:ascii="Times New Roman" w:hAnsi="Times New Roman" w:cs="Times New Roman"/>
          <w:highlight w:val="none"/>
          <w:lang w:val="en-US" w:eastAsia="zh-CN"/>
        </w:rPr>
        <w:t>水域辽阔，滩涂广袤，池塘众多，地形复杂，湿地资源丰富，自然景观优美。经过近几年的水利工程建设，已经形成平稳的水面，造就了天然的库塘、河流湿地景观，蔚然壮观。湿地公园内湿地植物类型多样，组成了灌丛、沼泽和水生植被等多种植被群落类型。经野外调查，规划区内共有湿地野生植物30科47属123种，主要有：芦苇、菖蒲、浮萍、慈姑、石杉、金鱼藻、金莲花、香蒲、水葱、沼泽蕨、郁金香、灯心草、伊贝母等湿地植物，广泛分布在库滨带、水岛及水体中。由于湿地中的浮水、沉水、水生、湿生植物群落面积大，隐蔽性好，有利于迁徙鸟类的栖息、觅食和繁殖。湿地公园动物资源丰富，共11目28科108种，包括鸟类7目16科75种、鱼类1目8科21种、两栖动物1目2科2种、爬行类动物1目1科1种、哺乳类动物1目1科9种。其中鸟类是重点保护物种，湿地中常见的国家一、二级保护水鸟有黑鹳、白鹤、赤麻鸭等，以鸭类、鸥类数量最多。</w:t>
      </w:r>
    </w:p>
    <w:p w14:paraId="53F74ABF">
      <w:pPr>
        <w:jc w:val="both"/>
        <w:outlineLvl w:val="9"/>
        <w:rPr>
          <w:rFonts w:hint="default" w:ascii="Times New Roman" w:hAnsi="Times New Roman" w:cs="Times New Roman"/>
          <w:b/>
          <w:bCs/>
          <w:highlight w:val="none"/>
          <w:lang w:val="en-US" w:eastAsia="zh-CN"/>
        </w:rPr>
      </w:pPr>
      <w:bookmarkStart w:id="228" w:name="OLE_LINK90"/>
      <w:r>
        <w:rPr>
          <w:rFonts w:hint="default" w:ascii="Times New Roman" w:hAnsi="Times New Roman" w:cs="Times New Roman"/>
          <w:b/>
          <w:bCs/>
          <w:highlight w:val="none"/>
          <w:lang w:val="en-US" w:eastAsia="zh-CN"/>
        </w:rPr>
        <w:t>主要问题：</w:t>
      </w:r>
      <w:r>
        <w:rPr>
          <w:rFonts w:hint="default" w:ascii="Times New Roman" w:hAnsi="Times New Roman" w:cs="Times New Roman"/>
          <w:b w:val="0"/>
          <w:bCs w:val="0"/>
          <w:highlight w:val="none"/>
          <w:lang w:val="en-US" w:eastAsia="zh-CN"/>
        </w:rPr>
        <w:t>在湿地环境保护方面存在欠缺</w:t>
      </w:r>
      <w:r>
        <w:rPr>
          <w:rFonts w:hint="eastAsia" w:cs="Times New Roman"/>
          <w:b w:val="0"/>
          <w:bCs w:val="0"/>
          <w:highlight w:val="none"/>
          <w:lang w:val="en-US" w:eastAsia="zh-CN"/>
        </w:rPr>
        <w:t>，野生动物栖息地遭到破坏。湿地专业技术人才短缺，生态监测设备不足。</w:t>
      </w:r>
    </w:p>
    <w:p w14:paraId="430FEA14">
      <w:pPr>
        <w:jc w:val="both"/>
        <w:outlineLvl w:val="9"/>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主攻方向：</w:t>
      </w:r>
      <w:r>
        <w:rPr>
          <w:rFonts w:hint="default" w:ascii="Times New Roman" w:hAnsi="Times New Roman" w:cs="Times New Roman"/>
          <w:highlight w:val="none"/>
          <w:lang w:val="en-US" w:eastAsia="zh-CN"/>
        </w:rPr>
        <w:t>以</w:t>
      </w:r>
      <w:bookmarkStart w:id="229" w:name="OLE_LINK224"/>
      <w:r>
        <w:rPr>
          <w:rFonts w:hint="default" w:ascii="Times New Roman" w:hAnsi="Times New Roman" w:cs="Times New Roman"/>
          <w:highlight w:val="none"/>
          <w:lang w:val="en-US" w:eastAsia="zh-CN"/>
        </w:rPr>
        <w:t>生态区</w:t>
      </w:r>
      <w:bookmarkEnd w:id="229"/>
      <w:r>
        <w:rPr>
          <w:rFonts w:hint="eastAsia" w:cs="Times New Roman"/>
          <w:highlight w:val="none"/>
          <w:lang w:val="en-US" w:eastAsia="zh-CN"/>
        </w:rPr>
        <w:t>湿地保护修复为</w:t>
      </w:r>
      <w:r>
        <w:rPr>
          <w:rFonts w:hint="default" w:ascii="Times New Roman" w:hAnsi="Times New Roman" w:cs="Times New Roman"/>
          <w:highlight w:val="none"/>
          <w:lang w:val="en-US" w:eastAsia="zh-CN"/>
        </w:rPr>
        <w:t>主攻方向。通过</w:t>
      </w:r>
      <w:r>
        <w:rPr>
          <w:rFonts w:hint="eastAsia" w:cs="Times New Roman"/>
          <w:highlight w:val="none"/>
          <w:lang w:val="en-US" w:eastAsia="zh-CN"/>
        </w:rPr>
        <w:t>植被恢复、野生动物栖息地改善、保护水生动植物生存环境、湿地有害生物防治、河岸线修复等</w:t>
      </w:r>
      <w:r>
        <w:rPr>
          <w:rFonts w:hint="default" w:ascii="Times New Roman" w:hAnsi="Times New Roman" w:cs="Times New Roman"/>
          <w:highlight w:val="none"/>
          <w:lang w:val="en-US" w:eastAsia="zh-CN"/>
        </w:rPr>
        <w:t>渠道来恢复湿地的面积和稳定</w:t>
      </w:r>
      <w:r>
        <w:rPr>
          <w:rFonts w:hint="eastAsia" w:cs="Times New Roman"/>
          <w:highlight w:val="none"/>
          <w:lang w:val="en-US" w:eastAsia="zh-CN"/>
        </w:rPr>
        <w:t>；组建湿地技术服务队，加强湿地管护人员培训；布设科研监测站点，配套专业仪器设备。</w:t>
      </w:r>
    </w:p>
    <w:bookmarkEnd w:id="227"/>
    <w:bookmarkEnd w:id="228"/>
    <w:p w14:paraId="41F430CE">
      <w:pPr>
        <w:pStyle w:val="3"/>
        <w:bidi w:val="0"/>
        <w:rPr>
          <w:rFonts w:hint="default"/>
          <w:highlight w:val="none"/>
          <w:lang w:val="en-US" w:eastAsia="zh-CN"/>
        </w:rPr>
      </w:pPr>
      <w:bookmarkStart w:id="230" w:name="_Toc9213"/>
      <w:r>
        <w:rPr>
          <w:rFonts w:hint="eastAsia"/>
          <w:highlight w:val="none"/>
          <w:lang w:val="en-US" w:eastAsia="zh-CN"/>
        </w:rPr>
        <w:t xml:space="preserve">第三节  </w:t>
      </w:r>
      <w:bookmarkEnd w:id="223"/>
      <w:bookmarkEnd w:id="224"/>
      <w:bookmarkEnd w:id="225"/>
      <w:r>
        <w:rPr>
          <w:rFonts w:hint="default"/>
          <w:highlight w:val="none"/>
          <w:lang w:val="en-US" w:eastAsia="zh-CN"/>
        </w:rPr>
        <w:t>阜康特纳格尔国家湿地公园生态区</w:t>
      </w:r>
      <w:bookmarkEnd w:id="230"/>
    </w:p>
    <w:bookmarkEnd w:id="204"/>
    <w:p w14:paraId="69191C6F">
      <w:pPr>
        <w:jc w:val="both"/>
        <w:outlineLvl w:val="9"/>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阜康特纳格尔国家湿地公园生态区面积约</w:t>
      </w:r>
      <w:r>
        <w:rPr>
          <w:rFonts w:hint="eastAsia" w:cs="Times New Roman"/>
          <w:highlight w:val="none"/>
          <w:lang w:val="en-US" w:eastAsia="zh-CN"/>
        </w:rPr>
        <w:t>1075.00</w:t>
      </w:r>
      <w:r>
        <w:rPr>
          <w:rFonts w:hint="default" w:ascii="Times New Roman" w:hAnsi="Times New Roman" w:cs="Times New Roman"/>
          <w:highlight w:val="none"/>
          <w:lang w:val="en-US" w:eastAsia="zh-CN"/>
        </w:rPr>
        <w:t>公顷，该湿地生态区是天山北坡准噶尔内流区稀缺的湿地资源，南以“新疆天池国家森林公园”为界，北与“新疆阜康梧桐沟国家沙漠公园”相邻，东与“新疆天山天池国家地质公园”毗邻</w:t>
      </w:r>
      <w:r>
        <w:rPr>
          <w:rFonts w:hint="eastAsia" w:cs="Times New Roman"/>
          <w:highlight w:val="none"/>
          <w:lang w:val="en-US" w:eastAsia="zh-CN"/>
        </w:rPr>
        <w:t>。湿地公园主体为发源于天山博格达峰的特纳格尔河，包括南自水磨沟乡山泉中心村泉泉沟村西侧，北至水磨沟乡水磨沟水库大坝的水磨河范围部分河谷林，红山水库、柳城子水库和水磨沟水库，以及河流汇水区的沼泽化草甸与草甸。生态区内湿地分为河流湿地、沼泽湿地和人工湿地三大湿地类以及永久性河流、洪泛湿地、草本沼泽、库塘和输水河五个湿地型。调查结果表明生态区内主要旱生植物种类有24科，171种；湿地植物有6科，7种。该区共有湿地鸟类60种，分属于7目15科。其中䴙䴘目1科（䴙䴘科）3种，鹈形目1科（鸬鹚科）1种，鹳形目3科（鹭科、鹳科、鹮科）4种，雁形目1科17种，鹤形目2科（鹤科、秧鸡科）4种，鸻形目5科（反嘴鹬科、石鸻科、鸻科、燕鸻科、鹬科）24种，鸥形目2科（鸥科、燕鸥科）7种。本区共发现受保护鸟类24种。其中列入《国家重点保护野生动物名录》中的Ⅰ类保护物种4种，为黑鹳、金雕、白肩雕、胡兀鹫；Ⅱ类20种，包括白琵鹭、大天鹅、黑耳鸢、雀鹰、棕尾鵟、普通鵟、草原雕、靴隼雕、高山兀鹫、白尾鹞、游隼、燕隼、黄爪隼、红隼、灰鹤、蓑羽鹤、纵纹腹小鸮、雕鸮、长耳鸮、短耳鸮。</w:t>
      </w:r>
    </w:p>
    <w:p w14:paraId="5164E6E3">
      <w:pPr>
        <w:tabs>
          <w:tab w:val="left" w:pos="720"/>
          <w:tab w:val="left" w:pos="1440"/>
          <w:tab w:val="left" w:pos="2160"/>
          <w:tab w:val="left" w:pos="2880"/>
          <w:tab w:val="left" w:pos="3600"/>
          <w:tab w:val="left" w:pos="4320"/>
          <w:tab w:val="right" w:pos="8504"/>
        </w:tabs>
        <w:autoSpaceDE w:val="0"/>
        <w:autoSpaceDN w:val="0"/>
        <w:adjustRightInd w:val="0"/>
        <w:spacing w:before="50" w:after="50"/>
        <w:ind w:firstLine="480" w:firstLineChars="0"/>
        <w:jc w:val="both"/>
        <w:rPr>
          <w:rFonts w:hint="default" w:ascii="Times New Roman" w:hAnsi="Times New Roman" w:cs="Times New Roman"/>
          <w:b/>
          <w:bCs/>
          <w:highlight w:val="none"/>
          <w:lang w:val="en-US" w:eastAsia="zh-CN"/>
        </w:rPr>
      </w:pPr>
      <w:bookmarkStart w:id="231" w:name="OLE_LINK146"/>
      <w:bookmarkStart w:id="232" w:name="OLE_LINK85"/>
      <w:r>
        <w:rPr>
          <w:rFonts w:hint="default" w:ascii="Times New Roman" w:hAnsi="Times New Roman" w:cs="Times New Roman"/>
          <w:b/>
          <w:bCs/>
          <w:highlight w:val="none"/>
          <w:lang w:val="en-US" w:eastAsia="zh-CN"/>
        </w:rPr>
        <w:t>主要问题</w:t>
      </w:r>
      <w:bookmarkStart w:id="233" w:name="OLE_LINK189"/>
      <w:r>
        <w:rPr>
          <w:rFonts w:hint="default" w:ascii="Times New Roman" w:hAnsi="Times New Roman" w:cs="Times New Roman"/>
          <w:b/>
          <w:bCs/>
          <w:highlight w:val="none"/>
          <w:lang w:val="en-US" w:eastAsia="zh-CN"/>
        </w:rPr>
        <w:t>：</w:t>
      </w:r>
      <w:bookmarkStart w:id="234" w:name="OLE_LINK190"/>
      <w:bookmarkStart w:id="235" w:name="OLE_LINK193"/>
      <w:bookmarkStart w:id="236" w:name="OLE_LINK198"/>
      <w:bookmarkStart w:id="237" w:name="OLE_LINK194"/>
      <w:bookmarkStart w:id="238" w:name="OLE_LINK199"/>
      <w:bookmarkStart w:id="239" w:name="OLE_LINK195"/>
      <w:bookmarkStart w:id="240" w:name="OLE_LINK203"/>
      <w:bookmarkStart w:id="241" w:name="OLE_LINK197"/>
      <w:r>
        <w:rPr>
          <w:rFonts w:hint="default" w:ascii="Times New Roman" w:hAnsi="Times New Roman" w:cs="Times New Roman"/>
          <w:b w:val="0"/>
          <w:bCs w:val="0"/>
          <w:highlight w:val="none"/>
          <w:lang w:val="en-US" w:eastAsia="zh-CN"/>
        </w:rPr>
        <w:t>受人为因素的影响，</w:t>
      </w:r>
      <w:r>
        <w:rPr>
          <w:rFonts w:hint="eastAsia" w:cs="Times New Roman"/>
          <w:b w:val="0"/>
          <w:bCs w:val="0"/>
          <w:highlight w:val="none"/>
          <w:lang w:val="en-US" w:eastAsia="zh-CN"/>
        </w:rPr>
        <w:t>河道污染比较严重</w:t>
      </w:r>
      <w:r>
        <w:rPr>
          <w:rFonts w:hint="default" w:ascii="Times New Roman" w:hAnsi="Times New Roman" w:cs="Times New Roman"/>
          <w:b w:val="0"/>
          <w:bCs w:val="0"/>
          <w:highlight w:val="none"/>
          <w:lang w:val="en-US" w:eastAsia="zh-CN"/>
        </w:rPr>
        <w:t>。河系来水逐年减少</w:t>
      </w:r>
      <w:r>
        <w:rPr>
          <w:rFonts w:hint="eastAsia" w:cs="Times New Roman"/>
          <w:b w:val="0"/>
          <w:bCs w:val="0"/>
          <w:highlight w:val="none"/>
          <w:lang w:val="en-US" w:eastAsia="zh-CN"/>
        </w:rPr>
        <w:t>。湿地</w:t>
      </w:r>
      <w:r>
        <w:rPr>
          <w:rFonts w:hint="eastAsia" w:cs="Times New Roman"/>
          <w:highlight w:val="none"/>
          <w:lang w:val="en-US" w:eastAsia="zh-CN"/>
        </w:rPr>
        <w:t>公园</w:t>
      </w:r>
      <w:r>
        <w:rPr>
          <w:rFonts w:hint="default" w:ascii="Times New Roman" w:hAnsi="Times New Roman" w:cs="Times New Roman"/>
          <w:highlight w:val="none"/>
          <w:lang w:val="en-US" w:eastAsia="zh-CN"/>
        </w:rPr>
        <w:t>基础</w:t>
      </w:r>
      <w:bookmarkStart w:id="242" w:name="OLE_LINK202"/>
      <w:r>
        <w:rPr>
          <w:rFonts w:hint="default" w:ascii="Times New Roman" w:hAnsi="Times New Roman" w:cs="Times New Roman"/>
          <w:highlight w:val="none"/>
          <w:lang w:val="en-US" w:eastAsia="zh-CN"/>
        </w:rPr>
        <w:t>设施不</w:t>
      </w:r>
      <w:r>
        <w:rPr>
          <w:rFonts w:hint="eastAsia" w:cs="Times New Roman"/>
          <w:highlight w:val="none"/>
          <w:lang w:val="en-US" w:eastAsia="zh-CN"/>
        </w:rPr>
        <w:t>够</w:t>
      </w:r>
      <w:r>
        <w:rPr>
          <w:rFonts w:hint="default" w:ascii="Times New Roman" w:hAnsi="Times New Roman" w:cs="Times New Roman"/>
          <w:highlight w:val="none"/>
          <w:lang w:val="en-US" w:eastAsia="zh-CN"/>
        </w:rPr>
        <w:t>完善</w:t>
      </w:r>
      <w:bookmarkEnd w:id="242"/>
      <w:r>
        <w:rPr>
          <w:rFonts w:hint="default" w:ascii="Times New Roman" w:hAnsi="Times New Roman" w:cs="Times New Roman"/>
          <w:highlight w:val="none"/>
          <w:lang w:val="en-US" w:eastAsia="zh-CN"/>
        </w:rPr>
        <w:t>，人为活动频繁，对湿地公园植被、动物及环境干扰</w:t>
      </w:r>
      <w:r>
        <w:rPr>
          <w:rFonts w:hint="eastAsia" w:cs="Times New Roman"/>
          <w:highlight w:val="none"/>
          <w:lang w:val="en-US" w:eastAsia="zh-CN"/>
        </w:rPr>
        <w:t>较为</w:t>
      </w:r>
      <w:r>
        <w:rPr>
          <w:rFonts w:hint="default" w:ascii="Times New Roman" w:hAnsi="Times New Roman" w:cs="Times New Roman"/>
          <w:highlight w:val="none"/>
          <w:lang w:val="en-US" w:eastAsia="zh-CN"/>
        </w:rPr>
        <w:t>严重</w:t>
      </w:r>
      <w:r>
        <w:rPr>
          <w:rFonts w:hint="default" w:ascii="Times New Roman" w:hAnsi="Times New Roman" w:cs="Times New Roman"/>
          <w:color w:val="000000"/>
          <w:kern w:val="0"/>
          <w:highlight w:val="none"/>
          <w:lang w:val="zh-CN"/>
        </w:rPr>
        <w:t>。</w:t>
      </w:r>
    </w:p>
    <w:bookmarkEnd w:id="233"/>
    <w:bookmarkEnd w:id="234"/>
    <w:bookmarkEnd w:id="235"/>
    <w:bookmarkEnd w:id="236"/>
    <w:bookmarkEnd w:id="237"/>
    <w:bookmarkEnd w:id="238"/>
    <w:bookmarkEnd w:id="239"/>
    <w:bookmarkEnd w:id="240"/>
    <w:bookmarkEnd w:id="241"/>
    <w:p w14:paraId="6FDE48EC">
      <w:pPr>
        <w:autoSpaceDE w:val="0"/>
        <w:autoSpaceDN w:val="0"/>
        <w:adjustRightInd w:val="0"/>
        <w:ind w:firstLine="480"/>
        <w:jc w:val="both"/>
        <w:rPr>
          <w:rFonts w:hint="default" w:ascii="Times New Roman" w:hAnsi="Times New Roman" w:cs="Times New Roman"/>
          <w:b/>
          <w:bCs/>
          <w:highlight w:val="none"/>
          <w:lang w:val="en-US" w:eastAsia="zh-CN"/>
        </w:rPr>
      </w:pPr>
      <w:bookmarkStart w:id="243" w:name="OLE_LINK207"/>
      <w:r>
        <w:rPr>
          <w:rFonts w:hint="default" w:ascii="Times New Roman" w:hAnsi="Times New Roman" w:cs="Times New Roman"/>
          <w:b/>
          <w:bCs/>
          <w:highlight w:val="none"/>
          <w:lang w:val="en-US" w:eastAsia="zh-CN"/>
        </w:rPr>
        <w:t>主攻方向：</w:t>
      </w:r>
      <w:bookmarkStart w:id="244" w:name="OLE_LINK196"/>
      <w:bookmarkStart w:id="245" w:name="OLE_LINK165"/>
      <w:bookmarkStart w:id="246" w:name="OLE_LINK205"/>
      <w:r>
        <w:rPr>
          <w:rFonts w:hint="eastAsia" w:cs="Times New Roman"/>
          <w:b w:val="0"/>
          <w:bCs w:val="0"/>
          <w:highlight w:val="none"/>
          <w:lang w:val="en-US" w:eastAsia="zh-CN"/>
        </w:rPr>
        <w:t>以</w:t>
      </w:r>
      <w:bookmarkStart w:id="247" w:name="OLE_LINK204"/>
      <w:bookmarkStart w:id="248" w:name="OLE_LINK208"/>
      <w:r>
        <w:rPr>
          <w:rFonts w:hint="eastAsia" w:cs="Times New Roman"/>
          <w:b w:val="0"/>
          <w:bCs w:val="0"/>
          <w:highlight w:val="none"/>
          <w:lang w:val="en-US" w:eastAsia="zh-CN"/>
        </w:rPr>
        <w:t>湿地公园</w:t>
      </w:r>
      <w:bookmarkEnd w:id="247"/>
      <w:bookmarkStart w:id="249" w:name="OLE_LINK206"/>
      <w:r>
        <w:rPr>
          <w:rFonts w:hint="eastAsia" w:cs="Times New Roman"/>
          <w:b w:val="0"/>
          <w:bCs w:val="0"/>
          <w:highlight w:val="none"/>
          <w:lang w:val="en-US" w:eastAsia="zh-CN"/>
        </w:rPr>
        <w:t>基础设施建设为主</w:t>
      </w:r>
      <w:bookmarkEnd w:id="249"/>
      <w:r>
        <w:rPr>
          <w:rFonts w:hint="eastAsia" w:cs="Times New Roman"/>
          <w:b w:val="0"/>
          <w:bCs w:val="0"/>
          <w:highlight w:val="none"/>
          <w:lang w:val="en-US" w:eastAsia="zh-CN"/>
        </w:rPr>
        <w:t>攻方向</w:t>
      </w:r>
      <w:bookmarkEnd w:id="248"/>
      <w:r>
        <w:rPr>
          <w:rFonts w:hint="eastAsia" w:cs="Times New Roman"/>
          <w:b w:val="0"/>
          <w:bCs w:val="0"/>
          <w:highlight w:val="none"/>
          <w:lang w:val="en-US" w:eastAsia="zh-CN"/>
        </w:rPr>
        <w:t>。</w:t>
      </w:r>
      <w:r>
        <w:rPr>
          <w:rFonts w:hint="default" w:ascii="Times New Roman" w:hAnsi="Times New Roman" w:cs="Times New Roman"/>
          <w:b w:val="0"/>
          <w:bCs w:val="0"/>
          <w:highlight w:val="none"/>
          <w:lang w:val="en-US" w:eastAsia="zh-CN"/>
        </w:rPr>
        <w:t>加强基础设施建设投入，通过建设围栏、修建巡护步道、鸟类监测站（瞭望塔台）等加强湿地公园基础设施建设。逐步开展生态补水、河岸线修复、河道清理疏浚、湿地植被恢复、湿地有害生物防治等措施保护和稳定湿地面积，强化湿地保护力度，构建完善的湿地生态常态化监测机制，迭代升级现有生态监测设备，对湿地生态进行持续、精准的动态监测，确保湿地资源得到有效保护与管理。</w:t>
      </w:r>
    </w:p>
    <w:bookmarkEnd w:id="231"/>
    <w:bookmarkEnd w:id="232"/>
    <w:bookmarkEnd w:id="243"/>
    <w:bookmarkEnd w:id="244"/>
    <w:bookmarkEnd w:id="245"/>
    <w:bookmarkEnd w:id="246"/>
    <w:p w14:paraId="325F5DF4">
      <w:pPr>
        <w:pStyle w:val="3"/>
        <w:bidi w:val="0"/>
        <w:rPr>
          <w:rFonts w:hint="eastAsia"/>
          <w:lang w:val="en-US" w:eastAsia="zh-CN"/>
        </w:rPr>
      </w:pPr>
      <w:bookmarkStart w:id="250" w:name="_Toc23778"/>
      <w:bookmarkStart w:id="251" w:name="_Toc32108"/>
      <w:bookmarkStart w:id="252" w:name="_Toc24717"/>
      <w:bookmarkStart w:id="253" w:name="_Toc6390"/>
      <w:r>
        <w:rPr>
          <w:rFonts w:hint="eastAsia"/>
          <w:lang w:val="en-US" w:eastAsia="zh-CN"/>
        </w:rPr>
        <w:t>第四节  吉木萨尔北庭国家湿地公园生态区</w:t>
      </w:r>
      <w:bookmarkEnd w:id="250"/>
    </w:p>
    <w:p w14:paraId="67965F1F">
      <w:pPr>
        <w:jc w:val="both"/>
        <w:outlineLvl w:val="9"/>
        <w:rPr>
          <w:rFonts w:hint="default" w:ascii="Times New Roman" w:hAnsi="Times New Roman" w:cs="Times New Roman"/>
          <w:highlight w:val="none"/>
          <w:lang w:val="en-US" w:eastAsia="zh-CN"/>
        </w:rPr>
      </w:pPr>
      <w:bookmarkStart w:id="254" w:name="OLE_LINK15"/>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吉木萨尔北庭国家湿地公园生态区面积约</w:t>
      </w:r>
      <w:r>
        <w:rPr>
          <w:rFonts w:hint="eastAsia" w:cs="Times New Roman"/>
          <w:highlight w:val="none"/>
          <w:lang w:val="en-US" w:eastAsia="zh-CN"/>
        </w:rPr>
        <w:t>1492.00</w:t>
      </w:r>
      <w:r>
        <w:rPr>
          <w:rFonts w:hint="default" w:ascii="Times New Roman" w:hAnsi="Times New Roman" w:cs="Times New Roman"/>
          <w:highlight w:val="none"/>
          <w:lang w:val="en-US" w:eastAsia="zh-CN"/>
        </w:rPr>
        <w:t>公顷，该生态区水源发源</w:t>
      </w:r>
      <w:r>
        <w:rPr>
          <w:rFonts w:hint="eastAsia" w:cs="Times New Roman"/>
          <w:highlight w:val="none"/>
          <w:lang w:val="en-US" w:eastAsia="zh-CN"/>
        </w:rPr>
        <w:t>自</w:t>
      </w:r>
      <w:r>
        <w:rPr>
          <w:rFonts w:hint="default" w:ascii="Times New Roman" w:hAnsi="Times New Roman" w:cs="Times New Roman"/>
          <w:highlight w:val="none"/>
          <w:lang w:val="en-US" w:eastAsia="zh-CN"/>
        </w:rPr>
        <w:t>天山北坡的东大龙口水系，</w:t>
      </w:r>
      <w:r>
        <w:rPr>
          <w:rFonts w:hint="eastAsia" w:cs="Times New Roman"/>
          <w:highlight w:val="none"/>
          <w:lang w:val="en-US" w:eastAsia="zh-CN"/>
        </w:rPr>
        <w:t>生态区</w:t>
      </w:r>
      <w:r>
        <w:rPr>
          <w:rFonts w:hint="default" w:ascii="Times New Roman" w:hAnsi="Times New Roman" w:cs="Times New Roman"/>
          <w:highlight w:val="none"/>
          <w:lang w:val="en-US" w:eastAsia="zh-CN"/>
        </w:rPr>
        <w:t>边界南起东大龙口河（天保区以北），北至东河坝与红旗农场交界处，东大龙口河段东包括邻近河岸沼泽湿地，西以东大龙口西河岸为界，东大龙口水库以北至东二畦水库为头工干渠，东二旗水库-南坝水库以北区域东西包括东河坝及邻近河岸边沼泽湿地</w:t>
      </w:r>
      <w:r>
        <w:rPr>
          <w:rFonts w:hint="eastAsia" w:cs="Times New Roman"/>
          <w:highlight w:val="none"/>
          <w:lang w:val="en-US" w:eastAsia="zh-CN"/>
        </w:rPr>
        <w:t>。生态区湿地类型包括河流湿地，沼泽湿地和人工湿地三个湿地类。永久性河流、季节性河流、泛洪平原湿地、草本沼泽、库塘湿地、输水干渠六个湿地型。调查统计生态区范围内植物资源有维管束植物41科113属200种，</w:t>
      </w:r>
      <w:r>
        <w:rPr>
          <w:rFonts w:hint="default" w:ascii="Times New Roman" w:hAnsi="Times New Roman" w:cs="Times New Roman"/>
          <w:highlight w:val="none"/>
          <w:lang w:val="en-US" w:eastAsia="zh-CN"/>
        </w:rPr>
        <w:t>灌木草本类植物共计164种，乔木类14种主要分布于河道两岸外侧及沼泽湿地周边，湿地水生植物22种，代表种类有小香蒲、无苞香蒲、宽叶香蒲、苦草、芦苇等，湿地水生植物主要分布于东河坝水域范围</w:t>
      </w:r>
      <w:r>
        <w:rPr>
          <w:rFonts w:hint="eastAsia" w:cs="Times New Roman"/>
          <w:highlight w:val="none"/>
          <w:lang w:val="en-US" w:eastAsia="zh-CN"/>
        </w:rPr>
        <w:t>。</w:t>
      </w:r>
      <w:r>
        <w:rPr>
          <w:rFonts w:hint="default" w:ascii="Times New Roman" w:hAnsi="Times New Roman" w:cs="Times New Roman"/>
          <w:highlight w:val="none"/>
          <w:lang w:val="en-US" w:eastAsia="zh-CN"/>
        </w:rPr>
        <w:t>生态区范围内动物资源包括兽类24种，鸟类114种，鱼类7种，两栖爬行类6种。其中列为国家一级保护动物的有黑鹳、白头鹞；列为国家二级保护动物的有鹅喉羚、大天鹅、雀鹰、棕尾鵟、大鵟、普通鵟、燕隼、灰背隼、黄爪隼、红隼、灰鹤、长耳鸮。</w:t>
      </w:r>
      <w:bookmarkStart w:id="255" w:name="OLE_LINK88"/>
      <w:bookmarkStart w:id="256" w:name="OLE_LINK253"/>
      <w:bookmarkStart w:id="257" w:name="OLE_LINK87"/>
    </w:p>
    <w:bookmarkEnd w:id="255"/>
    <w:p w14:paraId="52C2339B">
      <w:pPr>
        <w:jc w:val="both"/>
        <w:outlineLvl w:val="9"/>
        <w:rPr>
          <w:rFonts w:hint="default" w:ascii="Times New Roman" w:hAnsi="Times New Roman" w:cs="Times New Roman"/>
          <w:b w:val="0"/>
          <w:bCs w:val="0"/>
          <w:highlight w:val="none"/>
          <w:lang w:val="en-US" w:eastAsia="zh-CN"/>
        </w:rPr>
      </w:pPr>
      <w:bookmarkStart w:id="258" w:name="OLE_LINK123"/>
      <w:r>
        <w:rPr>
          <w:rFonts w:hint="default" w:ascii="Times New Roman" w:hAnsi="Times New Roman" w:cs="Times New Roman"/>
          <w:b/>
          <w:bCs/>
          <w:highlight w:val="none"/>
          <w:lang w:val="en-US" w:eastAsia="zh-CN"/>
        </w:rPr>
        <w:t>主要问题：</w:t>
      </w:r>
      <w:bookmarkEnd w:id="258"/>
      <w:bookmarkStart w:id="259" w:name="OLE_LINK215"/>
      <w:r>
        <w:rPr>
          <w:rFonts w:hint="default" w:ascii="Times New Roman" w:hAnsi="Times New Roman" w:cs="Times New Roman"/>
          <w:b w:val="0"/>
          <w:bCs w:val="0"/>
          <w:highlight w:val="none"/>
          <w:lang w:val="en-US" w:eastAsia="zh-CN"/>
        </w:rPr>
        <w:t>在湿地环境保护与建设等方面</w:t>
      </w:r>
      <w:r>
        <w:rPr>
          <w:rFonts w:hint="eastAsia" w:cs="Times New Roman"/>
          <w:b w:val="0"/>
          <w:bCs w:val="0"/>
          <w:highlight w:val="none"/>
          <w:lang w:val="en-US" w:eastAsia="zh-CN"/>
        </w:rPr>
        <w:t>存在欠缺，湿地公园</w:t>
      </w:r>
      <w:bookmarkEnd w:id="256"/>
      <w:r>
        <w:rPr>
          <w:rFonts w:hint="eastAsia" w:cs="Times New Roman"/>
          <w:b w:val="0"/>
          <w:bCs w:val="0"/>
          <w:highlight w:val="none"/>
          <w:lang w:val="en-US" w:eastAsia="zh-CN"/>
        </w:rPr>
        <w:t>的科普宣教基地建设尚未完善，存在不足之处。</w:t>
      </w:r>
      <w:bookmarkStart w:id="260" w:name="OLE_LINK252"/>
    </w:p>
    <w:bookmarkEnd w:id="259"/>
    <w:bookmarkEnd w:id="260"/>
    <w:p w14:paraId="1947F695">
      <w:pPr>
        <w:jc w:val="both"/>
        <w:outlineLvl w:val="9"/>
        <w:rPr>
          <w:rFonts w:hint="default" w:ascii="Times New Roman" w:hAnsi="Times New Roman" w:cs="Times New Roman"/>
          <w:highlight w:val="none"/>
          <w:lang w:val="en-US" w:eastAsia="zh-CN"/>
        </w:rPr>
      </w:pPr>
      <w:bookmarkStart w:id="261" w:name="OLE_LINK124"/>
      <w:r>
        <w:rPr>
          <w:rFonts w:hint="default" w:ascii="Times New Roman" w:hAnsi="Times New Roman" w:cs="Times New Roman"/>
          <w:b/>
          <w:bCs/>
          <w:highlight w:val="none"/>
          <w:lang w:val="en-US" w:eastAsia="zh-CN"/>
        </w:rPr>
        <w:t>主攻方向</w:t>
      </w:r>
      <w:bookmarkStart w:id="262" w:name="OLE_LINK214"/>
      <w:r>
        <w:rPr>
          <w:rFonts w:hint="default" w:ascii="Times New Roman" w:hAnsi="Times New Roman" w:cs="Times New Roman"/>
          <w:b/>
          <w:bCs/>
          <w:highlight w:val="none"/>
          <w:lang w:val="en-US" w:eastAsia="zh-CN"/>
        </w:rPr>
        <w:t>：</w:t>
      </w:r>
      <w:bookmarkEnd w:id="261"/>
      <w:bookmarkStart w:id="263" w:name="OLE_LINK213"/>
      <w:r>
        <w:rPr>
          <w:rFonts w:hint="default" w:ascii="Times New Roman" w:hAnsi="Times New Roman" w:cs="Times New Roman"/>
          <w:b w:val="0"/>
          <w:bCs w:val="0"/>
          <w:highlight w:val="none"/>
          <w:lang w:val="en-US" w:eastAsia="zh-CN"/>
        </w:rPr>
        <w:t>以生态区湿地保护修复为主攻方向。通过植被恢复、野生动物栖息地改善、保护鸟类生存环境、湿地有害生物防治、河岸线修复等渠道来恢复湿地的面积和稳定；</w:t>
      </w:r>
      <w:bookmarkEnd w:id="263"/>
      <w:r>
        <w:rPr>
          <w:rFonts w:hint="eastAsia" w:cs="Times New Roman"/>
          <w:highlight w:val="none"/>
          <w:lang w:val="en-US" w:eastAsia="zh-CN"/>
        </w:rPr>
        <w:t>加快</w:t>
      </w:r>
      <w:r>
        <w:rPr>
          <w:rFonts w:hint="default" w:ascii="Times New Roman" w:hAnsi="Times New Roman" w:cs="Times New Roman"/>
          <w:highlight w:val="none"/>
          <w:lang w:val="en-US" w:eastAsia="zh-CN"/>
        </w:rPr>
        <w:t>科普宣教体系</w:t>
      </w:r>
      <w:r>
        <w:rPr>
          <w:rFonts w:hint="eastAsia" w:cs="Times New Roman"/>
          <w:highlight w:val="none"/>
          <w:lang w:val="en-US" w:eastAsia="zh-CN"/>
        </w:rPr>
        <w:t>建立</w:t>
      </w:r>
      <w:r>
        <w:rPr>
          <w:rFonts w:hint="default" w:ascii="Times New Roman" w:hAnsi="Times New Roman" w:cs="Times New Roman"/>
          <w:highlight w:val="none"/>
          <w:lang w:val="en-US" w:eastAsia="zh-CN"/>
        </w:rPr>
        <w:t>，不断增强</w:t>
      </w:r>
      <w:r>
        <w:rPr>
          <w:rFonts w:hint="eastAsia" w:cs="Times New Roman"/>
          <w:highlight w:val="none"/>
          <w:lang w:val="en-US" w:eastAsia="zh-CN"/>
        </w:rPr>
        <w:t>民众</w:t>
      </w:r>
      <w:r>
        <w:rPr>
          <w:rFonts w:hint="default" w:ascii="Times New Roman" w:hAnsi="Times New Roman" w:cs="Times New Roman"/>
          <w:highlight w:val="none"/>
          <w:lang w:val="en-US" w:eastAsia="zh-CN"/>
        </w:rPr>
        <w:t>对湿地结构与功能的认识，增强湿地保护的自觉意识。</w:t>
      </w:r>
    </w:p>
    <w:bookmarkEnd w:id="251"/>
    <w:bookmarkEnd w:id="252"/>
    <w:bookmarkEnd w:id="253"/>
    <w:bookmarkEnd w:id="254"/>
    <w:bookmarkEnd w:id="257"/>
    <w:bookmarkEnd w:id="262"/>
    <w:p w14:paraId="4C2C009A">
      <w:pPr>
        <w:pStyle w:val="3"/>
        <w:bidi w:val="0"/>
        <w:rPr>
          <w:rFonts w:hint="default"/>
          <w:lang w:val="en-US" w:eastAsia="zh-CN"/>
        </w:rPr>
      </w:pPr>
      <w:bookmarkStart w:id="264" w:name="_Toc8151"/>
      <w:bookmarkStart w:id="265" w:name="_Toc5656"/>
      <w:bookmarkStart w:id="266" w:name="_Toc6579"/>
      <w:bookmarkStart w:id="267" w:name="_Toc11145"/>
      <w:r>
        <w:rPr>
          <w:rFonts w:hint="eastAsia"/>
          <w:lang w:val="en-US" w:eastAsia="zh-CN"/>
        </w:rPr>
        <w:t xml:space="preserve">第五节  </w:t>
      </w:r>
      <w:r>
        <w:rPr>
          <w:rFonts w:hint="default"/>
          <w:lang w:val="en-US" w:eastAsia="zh-CN"/>
        </w:rPr>
        <w:t>重点湿地生态带</w:t>
      </w:r>
      <w:bookmarkEnd w:id="264"/>
      <w:bookmarkEnd w:id="265"/>
      <w:bookmarkEnd w:id="266"/>
      <w:bookmarkEnd w:id="267"/>
    </w:p>
    <w:p w14:paraId="25AEC77B">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“九带”指湿地保护的关键生态带，主要为河流湿地，涉及天山北坡西北诸河流域九条河流。该区域</w:t>
      </w:r>
      <w:r>
        <w:rPr>
          <w:rFonts w:hint="eastAsia" w:cs="Times New Roman"/>
          <w:lang w:val="en-US" w:eastAsia="zh-CN"/>
        </w:rPr>
        <w:t>为</w:t>
      </w:r>
      <w:r>
        <w:rPr>
          <w:rFonts w:hint="default" w:ascii="Times New Roman" w:hAnsi="Times New Roman" w:cs="Times New Roman"/>
          <w:lang w:val="en-US" w:eastAsia="zh-CN"/>
        </w:rPr>
        <w:t>玛纳斯河、三屯河、三工河、水磨河、呼图壁河、木垒河、塔西河、白杨河及碧流河-水磨河河流驳岸带重点湿地生态区，在疏洪、调节气候、保护生物多样性和供水等方面价值显著。</w:t>
      </w:r>
    </w:p>
    <w:p w14:paraId="219F392C">
      <w:pPr>
        <w:bidi w:val="0"/>
        <w:jc w:val="both"/>
        <w:outlineLvl w:val="2"/>
        <w:rPr>
          <w:rFonts w:hint="default" w:ascii="Times New Roman" w:hAnsi="Times New Roman" w:cs="Times New Roman"/>
          <w:b/>
          <w:bCs/>
          <w:lang w:val="en-US" w:eastAsia="zh-CN"/>
        </w:rPr>
      </w:pPr>
      <w:bookmarkStart w:id="268" w:name="_Toc18517"/>
      <w:r>
        <w:rPr>
          <w:rFonts w:hint="eastAsia" w:cs="Times New Roman"/>
          <w:b/>
          <w:bCs/>
          <w:lang w:val="en-US" w:eastAsia="zh-CN"/>
        </w:rPr>
        <w:t>1、</w:t>
      </w:r>
      <w:r>
        <w:rPr>
          <w:rFonts w:hint="default" w:ascii="Times New Roman" w:hAnsi="Times New Roman" w:cs="Times New Roman"/>
          <w:b/>
          <w:bCs/>
          <w:lang w:val="en-US" w:eastAsia="zh-CN"/>
        </w:rPr>
        <w:t>玛纳斯河湿地生态带</w:t>
      </w:r>
      <w:bookmarkEnd w:id="268"/>
    </w:p>
    <w:p w14:paraId="5088D7A8">
      <w:pPr>
        <w:bidi w:val="0"/>
        <w:jc w:val="both"/>
        <w:rPr>
          <w:rFonts w:hint="default" w:ascii="Times New Roman" w:hAnsi="Times New Roman" w:cs="Times New Roman"/>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lang w:val="en-US" w:eastAsia="zh-CN"/>
        </w:rPr>
        <w:t>玛纳斯河在新疆维吾尔自治区准噶尔盆地南部，玛纳斯河发源于北天山中段依连哈比尔尕山乌代肯尼河的43号冰川，北流注入玛纳斯湖，长约450千米，是准噶尔内陆区冰川规模最大的一条河流</w:t>
      </w:r>
      <w:r>
        <w:rPr>
          <w:rFonts w:hint="eastAsia" w:cs="Times New Roman"/>
          <w:lang w:val="en-US" w:eastAsia="zh-CN"/>
        </w:rPr>
        <w:t>。</w:t>
      </w:r>
      <w:r>
        <w:rPr>
          <w:rFonts w:hint="default" w:ascii="Times New Roman" w:hAnsi="Times New Roman" w:cs="Times New Roman"/>
          <w:lang w:val="en-US" w:eastAsia="zh-CN"/>
        </w:rPr>
        <w:t>河流贯穿了山地-绿洲-荒漠系统，地表过程复杂。该流域的主要径流水源为高山区的冰雪融水与上游的降水。上游峡谷较多因而水流湍急，下游河曲发育而平原坦荡，最大支流为清水河。</w:t>
      </w:r>
    </w:p>
    <w:p w14:paraId="37108DA2">
      <w:pPr>
        <w:bidi w:val="0"/>
        <w:jc w:val="both"/>
        <w:rPr>
          <w:rFonts w:hint="default" w:ascii="Times New Roman" w:hAnsi="Times New Roman" w:cs="Times New Roman"/>
          <w:highlight w:val="none"/>
          <w:lang w:val="en-US" w:eastAsia="zh-CN"/>
        </w:rPr>
      </w:pPr>
      <w:bookmarkStart w:id="269" w:name="OLE_LINK92"/>
      <w:bookmarkStart w:id="270" w:name="OLE_LINK149"/>
      <w:bookmarkStart w:id="271" w:name="OLE_LINK94"/>
      <w:r>
        <w:rPr>
          <w:rFonts w:hint="default" w:ascii="Times New Roman" w:hAnsi="Times New Roman" w:cs="Times New Roman"/>
          <w:b/>
          <w:bCs/>
          <w:highlight w:val="none"/>
          <w:lang w:val="en-US" w:eastAsia="zh-CN"/>
        </w:rPr>
        <w:t>主要问题：</w:t>
      </w:r>
      <w:bookmarkEnd w:id="269"/>
      <w:bookmarkStart w:id="272" w:name="OLE_LINK226"/>
      <w:r>
        <w:rPr>
          <w:rFonts w:hint="default" w:ascii="Times New Roman" w:hAnsi="Times New Roman" w:cs="Times New Roman"/>
          <w:highlight w:val="none"/>
          <w:lang w:val="en-US" w:eastAsia="zh-CN"/>
        </w:rPr>
        <w:t>过度放牧导致两岸湿地植物退化，水土流失加重；工业生产对水资源的过度利用导致水位下降生态用水不足。</w:t>
      </w:r>
    </w:p>
    <w:p w14:paraId="5D011C52">
      <w:pPr>
        <w:bidi w:val="0"/>
        <w:jc w:val="both"/>
        <w:rPr>
          <w:rFonts w:hint="default" w:ascii="Times New Roman" w:hAnsi="Times New Roman" w:cs="Times New Roman"/>
          <w:highlight w:val="none"/>
          <w:lang w:val="en-US" w:eastAsia="zh-CN"/>
        </w:rPr>
      </w:pPr>
      <w:bookmarkStart w:id="273" w:name="OLE_LINK93"/>
      <w:r>
        <w:rPr>
          <w:rFonts w:hint="default" w:ascii="Times New Roman" w:hAnsi="Times New Roman" w:cs="Times New Roman"/>
          <w:b/>
          <w:bCs/>
          <w:highlight w:val="none"/>
          <w:lang w:val="en-US" w:eastAsia="zh-CN"/>
        </w:rPr>
        <w:t>主攻方向：</w:t>
      </w:r>
      <w:bookmarkEnd w:id="273"/>
      <w:r>
        <w:rPr>
          <w:rFonts w:hint="default" w:ascii="Times New Roman" w:hAnsi="Times New Roman" w:cs="Times New Roman"/>
          <w:highlight w:val="none"/>
          <w:lang w:val="en-US" w:eastAsia="zh-CN"/>
        </w:rPr>
        <w:t>以</w:t>
      </w:r>
      <w:r>
        <w:rPr>
          <w:rFonts w:hint="eastAsia" w:cs="Times New Roman"/>
          <w:highlight w:val="none"/>
          <w:lang w:val="en-US" w:eastAsia="zh-CN"/>
        </w:rPr>
        <w:t>多部门</w:t>
      </w:r>
      <w:r>
        <w:rPr>
          <w:rFonts w:hint="default" w:ascii="Times New Roman" w:hAnsi="Times New Roman" w:cs="Times New Roman"/>
          <w:highlight w:val="none"/>
          <w:lang w:val="en-US" w:eastAsia="zh-CN"/>
        </w:rPr>
        <w:t>的调度利用为主攻方向。加强生态带两岸湿地修复和草畜平衡管理；加强污水处理，加大污染源</w:t>
      </w:r>
      <w:bookmarkEnd w:id="272"/>
      <w:r>
        <w:rPr>
          <w:rFonts w:hint="default" w:ascii="Times New Roman" w:hAnsi="Times New Roman" w:cs="Times New Roman"/>
          <w:highlight w:val="none"/>
          <w:lang w:val="en-US" w:eastAsia="zh-CN"/>
        </w:rPr>
        <w:t>管理，封闭违法排污口。</w:t>
      </w:r>
    </w:p>
    <w:bookmarkEnd w:id="270"/>
    <w:bookmarkEnd w:id="271"/>
    <w:p w14:paraId="397CC483">
      <w:pPr>
        <w:bidi w:val="0"/>
        <w:jc w:val="both"/>
        <w:outlineLvl w:val="2"/>
        <w:rPr>
          <w:rFonts w:hint="default" w:ascii="Times New Roman" w:hAnsi="Times New Roman" w:cs="Times New Roman"/>
          <w:b/>
          <w:bCs/>
          <w:lang w:val="en-US" w:eastAsia="zh-CN"/>
        </w:rPr>
      </w:pPr>
      <w:bookmarkStart w:id="274" w:name="_Toc25695"/>
      <w:r>
        <w:rPr>
          <w:rFonts w:hint="eastAsia" w:ascii="Times New Roman" w:hAnsi="Times New Roman" w:cs="Times New Roman"/>
          <w:b/>
          <w:bCs/>
          <w:lang w:val="en-US" w:eastAsia="zh-CN"/>
        </w:rPr>
        <w:t>2、</w:t>
      </w:r>
      <w:r>
        <w:rPr>
          <w:rFonts w:hint="default" w:ascii="Times New Roman" w:hAnsi="Times New Roman" w:cs="Times New Roman"/>
          <w:b/>
          <w:bCs/>
          <w:lang w:val="en-US" w:eastAsia="zh-CN"/>
        </w:rPr>
        <w:t>三屯河湿地生态带</w:t>
      </w:r>
      <w:bookmarkEnd w:id="274"/>
    </w:p>
    <w:p w14:paraId="60CF872B">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lang w:val="en-US" w:eastAsia="zh-CN"/>
        </w:rPr>
        <w:t>三屯河发源于天山北坡中段最高峰天格尔峰，三屯河流域分布在新疆昌吉市境内天山北坡中段，准噶尔盆地南缘，地理位置86°22'~86°58′E</w:t>
      </w:r>
      <w:r>
        <w:rPr>
          <w:rFonts w:hint="eastAsia" w:cs="Times New Roman"/>
          <w:lang w:val="en-US" w:eastAsia="zh-CN"/>
        </w:rPr>
        <w:t>，</w:t>
      </w:r>
      <w:r>
        <w:rPr>
          <w:rFonts w:hint="default" w:ascii="Times New Roman" w:hAnsi="Times New Roman" w:cs="Times New Roman"/>
          <w:lang w:val="en-US" w:eastAsia="zh-CN"/>
        </w:rPr>
        <w:t>43°08~44°44'N之间。东与昌吉市头屯河毗邻，西与呼图壁县呼图壁河接壤，南至天山山脉的阿斯克达板山脊，北至古尔班通古特沙漠。三屯河流域地形南高北低，由东南向西北倾斜。流域南北长约260</w:t>
      </w:r>
      <w:r>
        <w:rPr>
          <w:rFonts w:hint="eastAsia" w:cs="Times New Roman"/>
          <w:lang w:val="en-US" w:eastAsia="zh-CN"/>
        </w:rPr>
        <w:t>千米</w:t>
      </w:r>
      <w:r>
        <w:rPr>
          <w:rFonts w:hint="default" w:ascii="Times New Roman" w:hAnsi="Times New Roman" w:cs="Times New Roman"/>
          <w:lang w:val="en-US" w:eastAsia="zh-CN"/>
        </w:rPr>
        <w:t>，东西宽约31</w:t>
      </w:r>
      <w:r>
        <w:rPr>
          <w:rFonts w:hint="eastAsia" w:cs="Times New Roman"/>
          <w:lang w:val="en-US" w:eastAsia="zh-CN"/>
        </w:rPr>
        <w:t>千米</w:t>
      </w:r>
      <w:r>
        <w:rPr>
          <w:rFonts w:hint="default" w:ascii="Times New Roman" w:hAnsi="Times New Roman" w:cs="Times New Roman"/>
          <w:lang w:val="en-US" w:eastAsia="zh-CN"/>
        </w:rPr>
        <w:t>。从河源至河道下游，大致可以分为山地一丘陵-冲积扇-冲洪积平原4个地貌单元；按地形变化可以概括为南部山区、中部平原区、北部沙漠区。三屯河上游山区河网发育良好，支流呈树枝状分布，两岸支流众多，流域内有冰川，冰川储量1.3213</w:t>
      </w:r>
      <w:r>
        <w:rPr>
          <w:rFonts w:hint="eastAsia" w:cs="Times New Roman"/>
          <w:lang w:val="en-US" w:eastAsia="zh-CN"/>
        </w:rPr>
        <w:t>立方千米</w:t>
      </w:r>
      <w:r>
        <w:rPr>
          <w:rFonts w:hint="default" w:ascii="Times New Roman" w:hAnsi="Times New Roman" w:cs="Times New Roman"/>
          <w:lang w:val="en-US" w:eastAsia="zh-CN"/>
        </w:rPr>
        <w:t>，是三屯河径流较稳定的补</w:t>
      </w:r>
      <w:bookmarkStart w:id="275" w:name="OLE_LINK150"/>
      <w:r>
        <w:rPr>
          <w:rFonts w:hint="default" w:ascii="Times New Roman" w:hAnsi="Times New Roman" w:cs="Times New Roman"/>
          <w:highlight w:val="none"/>
          <w:lang w:val="en-US" w:eastAsia="zh-CN"/>
        </w:rPr>
        <w:t>给来源之一。该流域的主要水工建筑物包括三屯河水库、努尔加水库、饮水枢纽（盘山渠首、西干渠首、东干渠首）及输水工程（盘干渠、东干渠、西干渠）用以防洪、供水、灌溉等。</w:t>
      </w:r>
    </w:p>
    <w:p w14:paraId="686E4EA5">
      <w:pPr>
        <w:bidi w:val="0"/>
        <w:jc w:val="both"/>
        <w:rPr>
          <w:rFonts w:hint="default" w:ascii="Times New Roman" w:hAnsi="Times New Roman" w:cs="Times New Roman"/>
          <w:highlight w:val="none"/>
          <w:lang w:val="en-US" w:eastAsia="zh-CN"/>
        </w:rPr>
      </w:pPr>
      <w:bookmarkStart w:id="276" w:name="OLE_LINK91"/>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人口密度较大区域岸线污染破坏较重；部分支流河道由于长期干涸堵塞；春、夏季洪峰流量大，造成水土流失和两岸生态侵蚀破坏。</w:t>
      </w:r>
    </w:p>
    <w:p w14:paraId="254ABD70">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主攻方向：</w:t>
      </w:r>
      <w:r>
        <w:rPr>
          <w:rFonts w:hint="default" w:ascii="Times New Roman" w:hAnsi="Times New Roman" w:cs="Times New Roman"/>
          <w:highlight w:val="none"/>
          <w:lang w:val="en-US" w:eastAsia="zh-CN"/>
        </w:rPr>
        <w:t>以驳岸生态修复为主攻方向。加强人员密集处河道管理，对堵塞河道清淤清污，打通生物多样性走廊；修复城镇附近受损岸线，采取工程措施降低洪水在城镇范围内对驳岸的侵蚀危害；在中游两岸植树、植草，建立生态驳岸防线减少水土流失。</w:t>
      </w:r>
    </w:p>
    <w:bookmarkEnd w:id="276"/>
    <w:p w14:paraId="03F2ED3D">
      <w:pPr>
        <w:bidi w:val="0"/>
        <w:jc w:val="both"/>
        <w:outlineLvl w:val="2"/>
        <w:rPr>
          <w:rFonts w:hint="default" w:ascii="Times New Roman" w:hAnsi="Times New Roman" w:cs="Times New Roman"/>
          <w:b/>
          <w:bCs/>
          <w:lang w:val="en-US" w:eastAsia="zh-CN"/>
        </w:rPr>
      </w:pPr>
      <w:bookmarkStart w:id="277" w:name="_Toc12670"/>
      <w:r>
        <w:rPr>
          <w:rFonts w:hint="eastAsia" w:ascii="Times New Roman" w:hAnsi="Times New Roman" w:cs="Times New Roman"/>
          <w:b/>
          <w:bCs/>
          <w:highlight w:val="none"/>
          <w:lang w:val="en-US" w:eastAsia="zh-CN"/>
        </w:rPr>
        <w:t>3、</w:t>
      </w:r>
      <w:r>
        <w:rPr>
          <w:rFonts w:hint="default" w:ascii="Times New Roman" w:hAnsi="Times New Roman" w:cs="Times New Roman"/>
          <w:b/>
          <w:bCs/>
          <w:highlight w:val="none"/>
          <w:lang w:val="en-US" w:eastAsia="zh-CN"/>
        </w:rPr>
        <w:t>三工河湿地</w:t>
      </w:r>
      <w:bookmarkEnd w:id="275"/>
      <w:r>
        <w:rPr>
          <w:rFonts w:hint="default" w:ascii="Times New Roman" w:hAnsi="Times New Roman" w:cs="Times New Roman"/>
          <w:b/>
          <w:bCs/>
          <w:lang w:val="en-US" w:eastAsia="zh-CN"/>
        </w:rPr>
        <w:t>生态带</w:t>
      </w:r>
      <w:bookmarkEnd w:id="277"/>
    </w:p>
    <w:p w14:paraId="5C01FDBF">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lang w:val="en-US" w:eastAsia="zh-CN"/>
        </w:rPr>
        <w:t>三工河流域位于天山北舱东部，</w:t>
      </w:r>
      <w:r>
        <w:rPr>
          <w:rFonts w:hint="eastAsia" w:cs="Times New Roman"/>
          <w:lang w:val="en-US" w:eastAsia="zh-CN"/>
        </w:rPr>
        <w:t>准噶尔盆地</w:t>
      </w:r>
      <w:r>
        <w:rPr>
          <w:rFonts w:hint="default" w:ascii="Times New Roman" w:hAnsi="Times New Roman" w:cs="Times New Roman"/>
          <w:lang w:val="en-US" w:eastAsia="zh-CN"/>
        </w:rPr>
        <w:t>南缘，地理坐标</w:t>
      </w:r>
      <w:r>
        <w:rPr>
          <w:rFonts w:hint="eastAsia" w:cs="Times New Roman"/>
          <w:lang w:val="en-US" w:eastAsia="zh-CN"/>
        </w:rPr>
        <w:t>东经</w:t>
      </w:r>
      <w:r>
        <w:rPr>
          <w:rFonts w:hint="default" w:ascii="Times New Roman" w:hAnsi="Times New Roman" w:cs="Times New Roman"/>
          <w:lang w:val="en-US" w:eastAsia="zh-CN"/>
        </w:rPr>
        <w:t>87°47′-88°17′北纬43°09′-45°22′</w:t>
      </w:r>
      <w:r>
        <w:rPr>
          <w:rFonts w:hint="eastAsia" w:cs="Times New Roman"/>
          <w:lang w:val="en-US" w:eastAsia="zh-CN"/>
        </w:rPr>
        <w:t>，发源于博格达峰三个岔冰川</w:t>
      </w:r>
      <w:r>
        <w:rPr>
          <w:rFonts w:hint="default" w:ascii="Times New Roman" w:hAnsi="Times New Roman" w:cs="Times New Roman"/>
          <w:lang w:val="en-US" w:eastAsia="zh-CN"/>
        </w:rPr>
        <w:t>。</w:t>
      </w:r>
      <w:r>
        <w:rPr>
          <w:rFonts w:hint="eastAsia" w:cs="Times New Roman"/>
          <w:lang w:val="en-US" w:eastAsia="zh-CN"/>
        </w:rPr>
        <w:t>阜康市</w:t>
      </w:r>
      <w:r>
        <w:rPr>
          <w:rFonts w:hint="default" w:ascii="Times New Roman" w:hAnsi="Times New Roman" w:cs="Times New Roman"/>
          <w:lang w:val="en-US" w:eastAsia="zh-CN"/>
        </w:rPr>
        <w:t>三工河流域南接天山北麓中段东部，北接古尔班通古特沙漠，三工河经天池调节后，进入下游灌区，多年平均径流量</w:t>
      </w:r>
      <w:r>
        <w:rPr>
          <w:rFonts w:hint="eastAsia" w:cs="Times New Roman"/>
          <w:lang w:val="en-US" w:eastAsia="zh-CN"/>
        </w:rPr>
        <w:t>5030万立方米</w:t>
      </w:r>
      <w:r>
        <w:rPr>
          <w:rFonts w:hint="default" w:ascii="Times New Roman" w:hAnsi="Times New Roman" w:cs="Times New Roman"/>
          <w:lang w:val="en-US" w:eastAsia="zh-CN"/>
        </w:rPr>
        <w:t>。流域南部山区较</w:t>
      </w:r>
      <w:r>
        <w:rPr>
          <w:rFonts w:hint="default" w:ascii="Times New Roman" w:hAnsi="Times New Roman" w:cs="Times New Roman"/>
          <w:highlight w:val="none"/>
          <w:lang w:val="en-US" w:eastAsia="zh-CN"/>
        </w:rPr>
        <w:t>湿润，是水资源的形成区，北部平原干燥。流域为大陆性</w:t>
      </w:r>
      <w:r>
        <w:rPr>
          <w:rFonts w:hint="eastAsia" w:cs="Times New Roman"/>
          <w:highlight w:val="none"/>
          <w:lang w:val="en-US" w:eastAsia="zh-CN"/>
        </w:rPr>
        <w:t>干旱</w:t>
      </w:r>
      <w:r>
        <w:rPr>
          <w:rFonts w:hint="default" w:ascii="Times New Roman" w:hAnsi="Times New Roman" w:cs="Times New Roman"/>
          <w:highlight w:val="none"/>
          <w:lang w:val="en-US" w:eastAsia="zh-CN"/>
        </w:rPr>
        <w:t>气候类型，平原区多年平均降水191</w:t>
      </w:r>
      <w:r>
        <w:rPr>
          <w:rFonts w:hint="eastAsia" w:cs="Times New Roman"/>
          <w:highlight w:val="none"/>
          <w:lang w:val="en-US" w:eastAsia="zh-CN"/>
        </w:rPr>
        <w:t>毫米</w:t>
      </w:r>
      <w:r>
        <w:rPr>
          <w:rFonts w:hint="default" w:ascii="Times New Roman" w:hAnsi="Times New Roman" w:cs="Times New Roman"/>
          <w:highlight w:val="none"/>
          <w:lang w:val="en-US" w:eastAsia="zh-CN"/>
        </w:rPr>
        <w:t>，年平均蒸发量1941</w:t>
      </w:r>
      <w:r>
        <w:rPr>
          <w:rFonts w:hint="eastAsia" w:cs="Times New Roman"/>
          <w:highlight w:val="none"/>
          <w:lang w:val="en-US" w:eastAsia="zh-CN"/>
        </w:rPr>
        <w:t>毫米</w:t>
      </w:r>
      <w:r>
        <w:rPr>
          <w:rFonts w:hint="default" w:ascii="Times New Roman" w:hAnsi="Times New Roman" w:cs="Times New Roman"/>
          <w:highlight w:val="none"/>
          <w:lang w:val="en-US" w:eastAsia="zh-CN"/>
        </w:rPr>
        <w:t>，干旱指数10.2，</w:t>
      </w:r>
      <w:bookmarkStart w:id="278" w:name="OLE_LINK151"/>
      <w:r>
        <w:rPr>
          <w:rFonts w:hint="default" w:ascii="Times New Roman" w:hAnsi="Times New Roman" w:cs="Times New Roman"/>
          <w:highlight w:val="none"/>
          <w:lang w:val="en-US" w:eastAsia="zh-CN"/>
        </w:rPr>
        <w:t>是一个水资源紧缺的</w:t>
      </w:r>
      <w:r>
        <w:rPr>
          <w:rFonts w:hint="eastAsia" w:cs="Times New Roman"/>
          <w:highlight w:val="none"/>
          <w:lang w:val="en-US" w:eastAsia="zh-CN"/>
        </w:rPr>
        <w:t>干旱地区</w:t>
      </w:r>
      <w:r>
        <w:rPr>
          <w:rFonts w:hint="default" w:ascii="Times New Roman" w:hAnsi="Times New Roman" w:cs="Times New Roman"/>
          <w:highlight w:val="none"/>
          <w:lang w:val="en-US" w:eastAsia="zh-CN"/>
        </w:rPr>
        <w:t>。三工河流域地形东南高、西北低。平原区地貌单元可分为冲洪积扇、冲洪积平原和沙漠区。</w:t>
      </w:r>
    </w:p>
    <w:p w14:paraId="2BC22BBC">
      <w:pPr>
        <w:bidi w:val="0"/>
        <w:jc w:val="both"/>
        <w:rPr>
          <w:rFonts w:hint="default" w:ascii="Times New Roman" w:hAnsi="Times New Roman" w:cs="Times New Roman"/>
          <w:highlight w:val="none"/>
          <w:lang w:val="en-US" w:eastAsia="zh-CN"/>
        </w:rPr>
      </w:pPr>
      <w:bookmarkStart w:id="279" w:name="OLE_LINK98"/>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两岸灌木草地退化，引起湿地生态多样性减少，水资源分布不均衡。</w:t>
      </w:r>
    </w:p>
    <w:p w14:paraId="320980A9">
      <w:pPr>
        <w:bidi w:val="0"/>
        <w:jc w:val="both"/>
        <w:rPr>
          <w:rFonts w:hint="default" w:ascii="Times New Roman" w:hAnsi="Times New Roman" w:cs="Times New Roman"/>
          <w:highlight w:val="none"/>
          <w:lang w:val="en-US" w:eastAsia="zh-CN"/>
        </w:rPr>
      </w:pPr>
      <w:bookmarkStart w:id="280" w:name="OLE_LINK97"/>
      <w:r>
        <w:rPr>
          <w:rFonts w:hint="default" w:ascii="Times New Roman" w:hAnsi="Times New Roman" w:cs="Times New Roman"/>
          <w:b/>
          <w:bCs/>
          <w:highlight w:val="none"/>
          <w:lang w:val="en-US" w:eastAsia="zh-CN"/>
        </w:rPr>
        <w:t>主攻方向：</w:t>
      </w:r>
      <w:bookmarkEnd w:id="280"/>
      <w:r>
        <w:rPr>
          <w:rFonts w:hint="default" w:ascii="Times New Roman" w:hAnsi="Times New Roman" w:cs="Times New Roman"/>
          <w:highlight w:val="none"/>
          <w:lang w:val="en-US" w:eastAsia="zh-CN"/>
        </w:rPr>
        <w:t>以修复湿地生态多样性，维护湿地生态稳定性为主攻方向。通过植被恢复、野生动物栖息地改善、保护鸟类生存环境、湿地有害生物防治、河岸线修复等渠道来维护湿地生态稳定性</w:t>
      </w:r>
      <w:r>
        <w:rPr>
          <w:rFonts w:hint="eastAsia" w:cs="Times New Roman"/>
          <w:highlight w:val="none"/>
          <w:lang w:val="en-US" w:eastAsia="zh-CN"/>
        </w:rPr>
        <w:t>。</w:t>
      </w:r>
    </w:p>
    <w:bookmarkEnd w:id="279"/>
    <w:p w14:paraId="7CEA2EF0">
      <w:pPr>
        <w:bidi w:val="0"/>
        <w:jc w:val="both"/>
        <w:outlineLvl w:val="2"/>
        <w:rPr>
          <w:rFonts w:hint="default" w:ascii="Times New Roman" w:hAnsi="Times New Roman" w:cs="Times New Roman"/>
          <w:b/>
          <w:bCs/>
          <w:highlight w:val="none"/>
          <w:lang w:val="en-US" w:eastAsia="zh-CN"/>
        </w:rPr>
      </w:pPr>
      <w:bookmarkStart w:id="281" w:name="_Toc12763"/>
      <w:r>
        <w:rPr>
          <w:rFonts w:hint="default" w:ascii="Times New Roman" w:hAnsi="Times New Roman" w:cs="Times New Roman"/>
          <w:b/>
          <w:bCs/>
          <w:highlight w:val="none"/>
          <w:lang w:val="en-US" w:eastAsia="zh-CN"/>
        </w:rPr>
        <w:t>4</w:t>
      </w:r>
      <w:r>
        <w:rPr>
          <w:rFonts w:hint="eastAsia" w:ascii="Times New Roman" w:hAnsi="Times New Roman" w:cs="Times New Roman"/>
          <w:b/>
          <w:bCs/>
          <w:highlight w:val="none"/>
          <w:lang w:val="en-US" w:eastAsia="zh-CN"/>
        </w:rPr>
        <w:t>、</w:t>
      </w:r>
      <w:r>
        <w:rPr>
          <w:rFonts w:hint="default" w:ascii="Times New Roman" w:hAnsi="Times New Roman" w:cs="Times New Roman"/>
          <w:b/>
          <w:bCs/>
          <w:highlight w:val="none"/>
          <w:lang w:val="en-US" w:eastAsia="zh-CN"/>
        </w:rPr>
        <w:t>水磨河湿地生态带</w:t>
      </w:r>
      <w:bookmarkEnd w:id="281"/>
    </w:p>
    <w:p w14:paraId="7D952A7C">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水磨河发源于天山博格达峰西侧的低山带，全长</w:t>
      </w:r>
      <w:r>
        <w:rPr>
          <w:rFonts w:hint="eastAsia" w:cs="Times New Roman"/>
          <w:highlight w:val="none"/>
          <w:lang w:val="en-US" w:eastAsia="zh-CN"/>
        </w:rPr>
        <w:t>54</w:t>
      </w:r>
      <w:r>
        <w:rPr>
          <w:rFonts w:hint="default" w:ascii="Times New Roman" w:hAnsi="Times New Roman" w:cs="Times New Roman"/>
          <w:highlight w:val="none"/>
          <w:lang w:val="en-US" w:eastAsia="zh-CN"/>
        </w:rPr>
        <w:t>公里。</w:t>
      </w:r>
      <w:r>
        <w:rPr>
          <w:rFonts w:hint="eastAsia" w:cs="Times New Roman"/>
          <w:highlight w:val="none"/>
          <w:lang w:val="en-US" w:eastAsia="zh-CN"/>
        </w:rPr>
        <w:t>阜康市</w:t>
      </w:r>
      <w:r>
        <w:rPr>
          <w:rFonts w:hint="default" w:ascii="Times New Roman" w:hAnsi="Times New Roman" w:cs="Times New Roman"/>
          <w:highlight w:val="none"/>
          <w:lang w:val="en-US" w:eastAsia="zh-CN"/>
        </w:rPr>
        <w:t>水磨河主要由地下水补给，是一条岩石裂隙涌泉河。上源</w:t>
      </w:r>
      <w:bookmarkEnd w:id="278"/>
      <w:r>
        <w:rPr>
          <w:rFonts w:hint="default" w:ascii="Times New Roman" w:hAnsi="Times New Roman" w:cs="Times New Roman"/>
          <w:highlight w:val="none"/>
          <w:lang w:val="en-US" w:eastAsia="zh-CN"/>
        </w:rPr>
        <w:t>受东山诸沟基岩裂隙水补给，在南东向北西径流运移中，受到北东向压抑性干断裂阻挡，以泉水的形式出露地表并汇流成河。水磨河年径流量</w:t>
      </w:r>
      <w:bookmarkStart w:id="282" w:name="OLE_LINK152"/>
      <w:r>
        <w:rPr>
          <w:rFonts w:hint="default" w:ascii="Times New Roman" w:hAnsi="Times New Roman" w:cs="Times New Roman"/>
          <w:highlight w:val="none"/>
          <w:lang w:val="en-US" w:eastAsia="zh-CN"/>
        </w:rPr>
        <w:t>2129万</w:t>
      </w:r>
      <w:r>
        <w:rPr>
          <w:rFonts w:hint="eastAsia" w:cs="Times New Roman"/>
          <w:highlight w:val="none"/>
          <w:lang w:val="en-US" w:eastAsia="zh-CN"/>
        </w:rPr>
        <w:t>立方米</w:t>
      </w:r>
      <w:r>
        <w:rPr>
          <w:rFonts w:hint="default" w:ascii="Times New Roman" w:hAnsi="Times New Roman" w:cs="Times New Roman"/>
          <w:highlight w:val="none"/>
          <w:lang w:val="en-US" w:eastAsia="zh-CN"/>
        </w:rPr>
        <w:t>，是</w:t>
      </w:r>
      <w:r>
        <w:rPr>
          <w:rFonts w:hint="eastAsia" w:cs="Times New Roman"/>
          <w:highlight w:val="none"/>
          <w:lang w:val="en-US" w:eastAsia="zh-CN"/>
        </w:rPr>
        <w:t>重要的</w:t>
      </w:r>
      <w:r>
        <w:rPr>
          <w:rFonts w:hint="default" w:ascii="Times New Roman" w:hAnsi="Times New Roman" w:cs="Times New Roman"/>
          <w:highlight w:val="none"/>
          <w:lang w:val="en-US" w:eastAsia="zh-CN"/>
        </w:rPr>
        <w:t>饮用水水源</w:t>
      </w:r>
      <w:bookmarkStart w:id="419" w:name="_GoBack"/>
      <w:bookmarkEnd w:id="419"/>
      <w:r>
        <w:rPr>
          <w:rFonts w:hint="default" w:ascii="Times New Roman" w:hAnsi="Times New Roman" w:cs="Times New Roman"/>
          <w:highlight w:val="none"/>
          <w:lang w:val="en-US" w:eastAsia="zh-CN"/>
        </w:rPr>
        <w:t>。由于泉水在基岩裂隙径流过程中溶解了岩石中的可溶性盐，因而水体中天然指标总硬度、硫酸盐的背景值较高，虽然符合饮用水标准，但口感差，水烧开后水垢沉积大。</w:t>
      </w:r>
    </w:p>
    <w:p w14:paraId="0E119615">
      <w:pPr>
        <w:bidi w:val="0"/>
        <w:jc w:val="both"/>
        <w:rPr>
          <w:rFonts w:hint="default" w:ascii="Times New Roman" w:hAnsi="Times New Roman" w:cs="Times New Roman"/>
          <w:highlight w:val="none"/>
          <w:lang w:val="en-US" w:eastAsia="zh-CN"/>
        </w:rPr>
      </w:pPr>
      <w:bookmarkStart w:id="283" w:name="OLE_LINK96"/>
      <w:r>
        <w:rPr>
          <w:rFonts w:hint="eastAsia" w:ascii="Times New Roman" w:hAnsi="Times New Roman" w:cs="Times New Roman"/>
          <w:b/>
          <w:bCs/>
          <w:highlight w:val="none"/>
          <w:lang w:val="en-US" w:eastAsia="zh-CN"/>
        </w:rPr>
        <w:t>主要问题：</w:t>
      </w:r>
      <w:r>
        <w:rPr>
          <w:rFonts w:hint="eastAsia" w:cs="Times New Roman"/>
          <w:highlight w:val="none"/>
          <w:lang w:val="en-US" w:eastAsia="zh-CN"/>
        </w:rPr>
        <w:t>季节性断流现象频发，加之人为活动频繁，导致河道两岸污染问题严重。</w:t>
      </w:r>
    </w:p>
    <w:p w14:paraId="70C3C7DB">
      <w:pPr>
        <w:bidi w:val="0"/>
        <w:jc w:val="both"/>
        <w:rPr>
          <w:rFonts w:hint="default" w:ascii="Times New Roman" w:hAnsi="Times New Roman" w:cs="Times New Roman"/>
          <w:highlight w:val="none"/>
          <w:lang w:val="en-US" w:eastAsia="zh-CN"/>
        </w:rPr>
      </w:pPr>
      <w:bookmarkStart w:id="284" w:name="OLE_LINK95"/>
      <w:r>
        <w:rPr>
          <w:rFonts w:hint="default" w:ascii="Times New Roman" w:hAnsi="Times New Roman" w:cs="Times New Roman"/>
          <w:b/>
          <w:bCs/>
          <w:highlight w:val="none"/>
          <w:lang w:val="en-US" w:eastAsia="zh-CN"/>
        </w:rPr>
        <w:t>主攻方向：</w:t>
      </w:r>
      <w:bookmarkEnd w:id="284"/>
      <w:r>
        <w:rPr>
          <w:rFonts w:hint="default" w:ascii="Times New Roman" w:hAnsi="Times New Roman" w:cs="Times New Roman"/>
          <w:highlight w:val="none"/>
          <w:lang w:val="en-US" w:eastAsia="zh-CN"/>
        </w:rPr>
        <w:t>以</w:t>
      </w:r>
      <w:r>
        <w:rPr>
          <w:rFonts w:hint="eastAsia" w:cs="Times New Roman"/>
          <w:highlight w:val="none"/>
          <w:lang w:val="en-US" w:eastAsia="zh-CN"/>
        </w:rPr>
        <w:t>河岸</w:t>
      </w:r>
      <w:r>
        <w:rPr>
          <w:rFonts w:hint="default" w:ascii="Times New Roman" w:hAnsi="Times New Roman" w:cs="Times New Roman"/>
          <w:highlight w:val="none"/>
          <w:lang w:val="en-US" w:eastAsia="zh-CN"/>
        </w:rPr>
        <w:t>生态修复为主攻方向。加强人员密集处河道管理</w:t>
      </w:r>
      <w:r>
        <w:rPr>
          <w:rFonts w:hint="eastAsia" w:cs="Times New Roman"/>
          <w:highlight w:val="none"/>
          <w:lang w:val="en-US" w:eastAsia="zh-CN"/>
        </w:rPr>
        <w:t>；增强</w:t>
      </w:r>
      <w:r>
        <w:rPr>
          <w:rFonts w:hint="default" w:ascii="Times New Roman" w:hAnsi="Times New Roman" w:cs="Times New Roman"/>
          <w:highlight w:val="none"/>
          <w:lang w:val="en-US" w:eastAsia="zh-CN"/>
        </w:rPr>
        <w:t>科普宣教，不断增强</w:t>
      </w:r>
      <w:r>
        <w:rPr>
          <w:rFonts w:hint="eastAsia" w:cs="Times New Roman"/>
          <w:highlight w:val="none"/>
          <w:lang w:val="en-US" w:eastAsia="zh-CN"/>
        </w:rPr>
        <w:t>民众</w:t>
      </w:r>
      <w:r>
        <w:rPr>
          <w:rFonts w:hint="default" w:ascii="Times New Roman" w:hAnsi="Times New Roman" w:cs="Times New Roman"/>
          <w:highlight w:val="none"/>
          <w:lang w:val="en-US" w:eastAsia="zh-CN"/>
        </w:rPr>
        <w:t>对湿地的认识，增强湿地保护的自觉意识。</w:t>
      </w:r>
    </w:p>
    <w:bookmarkEnd w:id="283"/>
    <w:p w14:paraId="0F7232AD">
      <w:pPr>
        <w:bidi w:val="0"/>
        <w:jc w:val="both"/>
        <w:outlineLvl w:val="2"/>
        <w:rPr>
          <w:rFonts w:hint="default" w:ascii="Times New Roman" w:hAnsi="Times New Roman" w:cs="Times New Roman"/>
          <w:b/>
          <w:bCs/>
          <w:highlight w:val="none"/>
          <w:lang w:val="en-US" w:eastAsia="zh-CN"/>
        </w:rPr>
      </w:pPr>
      <w:bookmarkStart w:id="285" w:name="_Toc22337"/>
      <w:r>
        <w:rPr>
          <w:rFonts w:hint="default" w:ascii="Times New Roman" w:hAnsi="Times New Roman" w:cs="Times New Roman"/>
          <w:b/>
          <w:bCs/>
          <w:highlight w:val="none"/>
          <w:lang w:val="en-US" w:eastAsia="zh-CN"/>
        </w:rPr>
        <w:t>5</w:t>
      </w:r>
      <w:r>
        <w:rPr>
          <w:rFonts w:hint="eastAsia" w:ascii="Times New Roman" w:hAnsi="Times New Roman" w:cs="Times New Roman"/>
          <w:b/>
          <w:bCs/>
          <w:highlight w:val="none"/>
          <w:lang w:val="en-US" w:eastAsia="zh-CN"/>
        </w:rPr>
        <w:t>、</w:t>
      </w:r>
      <w:r>
        <w:rPr>
          <w:rFonts w:hint="default" w:ascii="Times New Roman" w:hAnsi="Times New Roman" w:cs="Times New Roman"/>
          <w:b/>
          <w:bCs/>
          <w:highlight w:val="none"/>
          <w:lang w:val="en-US" w:eastAsia="zh-CN"/>
        </w:rPr>
        <w:t>呼图壁河湿地生态带</w:t>
      </w:r>
      <w:bookmarkEnd w:id="285"/>
    </w:p>
    <w:p w14:paraId="630A0BBA">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呼图壁河是天山北坡中段第二大河流，流域地处东经86°05′-87°08′，北纬43°07</w:t>
      </w:r>
      <w:bookmarkEnd w:id="282"/>
      <w:r>
        <w:rPr>
          <w:rFonts w:hint="default" w:ascii="Times New Roman" w:hAnsi="Times New Roman" w:cs="Times New Roman"/>
          <w:highlight w:val="none"/>
          <w:lang w:val="en-US" w:eastAsia="zh-CN"/>
        </w:rPr>
        <w:t>′-45°20′，流域南北长258</w:t>
      </w:r>
      <w:r>
        <w:rPr>
          <w:rFonts w:hint="eastAsia" w:cs="Times New Roman"/>
          <w:highlight w:val="none"/>
          <w:lang w:val="en-US" w:eastAsia="zh-CN"/>
        </w:rPr>
        <w:t>千米</w:t>
      </w:r>
      <w:r>
        <w:rPr>
          <w:rFonts w:hint="default" w:ascii="Times New Roman" w:hAnsi="Times New Roman" w:cs="Times New Roman"/>
          <w:highlight w:val="none"/>
          <w:lang w:val="en-US" w:eastAsia="zh-CN"/>
        </w:rPr>
        <w:t>。呼图壁河上游山区支流呈树枝状分布，两岸有一级支流30条，其中10条支流源头在冰川和永久积雪区，其余支流皆源于中山、低山区，靠季节性积雪消</w:t>
      </w:r>
      <w:r>
        <w:rPr>
          <w:rFonts w:hint="default" w:ascii="Times New Roman" w:hAnsi="Times New Roman" w:cs="Times New Roman"/>
          <w:lang w:val="en-US" w:eastAsia="zh-CN"/>
        </w:rPr>
        <w:t>融和夏季降水。呼图壁河主河道在中</w:t>
      </w:r>
      <w:bookmarkStart w:id="286" w:name="OLE_LINK153"/>
      <w:r>
        <w:rPr>
          <w:rFonts w:hint="default" w:ascii="Times New Roman" w:hAnsi="Times New Roman" w:cs="Times New Roman"/>
          <w:highlight w:val="none"/>
          <w:lang w:val="en-US" w:eastAsia="zh-CN"/>
        </w:rPr>
        <w:t>山区形成后，流经中山区、戈壁平原区，在冲积扇缘，泉水溢出段的芨芨坝处再分为2条河流（东河和西河）。东河上建有小海子拦河水库，西河上建有大海子拦河水库。流域自上而下分别建有石门水文站、呼图壁县水管站所属青年渠首及芨芨坝渠分水闸站</w:t>
      </w:r>
      <w:r>
        <w:rPr>
          <w:rFonts w:hint="eastAsia" w:cs="Times New Roman"/>
          <w:highlight w:val="none"/>
          <w:lang w:val="en-US" w:eastAsia="zh-CN"/>
        </w:rPr>
        <w:t>。</w:t>
      </w:r>
    </w:p>
    <w:p w14:paraId="2D4F7EAE">
      <w:pPr>
        <w:bidi w:val="0"/>
        <w:jc w:val="both"/>
        <w:rPr>
          <w:rFonts w:hint="default" w:ascii="Times New Roman" w:hAnsi="Times New Roman" w:cs="Times New Roman"/>
          <w:highlight w:val="none"/>
          <w:lang w:val="en-US" w:eastAsia="zh-CN"/>
        </w:rPr>
      </w:pPr>
      <w:bookmarkStart w:id="287" w:name="OLE_LINK100"/>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呼图壁河经治理，河湖面貌大有改观，但流域内草原呈退化趋势，水源涵养功能降低，水土流失加重。</w:t>
      </w:r>
    </w:p>
    <w:p w14:paraId="02F20CDF">
      <w:pPr>
        <w:bidi w:val="0"/>
        <w:jc w:val="both"/>
        <w:rPr>
          <w:rFonts w:hint="default" w:ascii="Times New Roman" w:hAnsi="Times New Roman" w:cs="Times New Roman"/>
          <w:highlight w:val="none"/>
          <w:lang w:val="en-US" w:eastAsia="zh-CN"/>
        </w:rPr>
      </w:pPr>
      <w:bookmarkStart w:id="288" w:name="OLE_LINK99"/>
      <w:r>
        <w:rPr>
          <w:rFonts w:hint="default" w:ascii="Times New Roman" w:hAnsi="Times New Roman" w:cs="Times New Roman"/>
          <w:b/>
          <w:bCs/>
          <w:highlight w:val="none"/>
          <w:lang w:val="en-US" w:eastAsia="zh-CN"/>
        </w:rPr>
        <w:t>主攻方向：</w:t>
      </w:r>
      <w:bookmarkEnd w:id="288"/>
      <w:r>
        <w:rPr>
          <w:rFonts w:hint="default" w:ascii="Times New Roman" w:hAnsi="Times New Roman" w:cs="Times New Roman"/>
          <w:highlight w:val="none"/>
          <w:lang w:val="en-US" w:eastAsia="zh-CN"/>
        </w:rPr>
        <w:t>以深化河湖长效化治理</w:t>
      </w:r>
      <w:r>
        <w:rPr>
          <w:rFonts w:hint="eastAsia" w:cs="Times New Roman"/>
          <w:highlight w:val="none"/>
          <w:lang w:val="en-US" w:eastAsia="zh-CN"/>
        </w:rPr>
        <w:t>协调</w:t>
      </w:r>
      <w:r>
        <w:rPr>
          <w:rFonts w:hint="default" w:ascii="Times New Roman" w:hAnsi="Times New Roman" w:cs="Times New Roman"/>
          <w:highlight w:val="none"/>
          <w:lang w:val="en-US" w:eastAsia="zh-CN"/>
        </w:rPr>
        <w:t>为主攻方向。开展河湖示范建设，推进流域内退化草原修复工作，增加水源涵养功能。</w:t>
      </w:r>
    </w:p>
    <w:bookmarkEnd w:id="287"/>
    <w:p w14:paraId="3CE2F373">
      <w:pPr>
        <w:bidi w:val="0"/>
        <w:jc w:val="both"/>
        <w:outlineLvl w:val="2"/>
        <w:rPr>
          <w:rFonts w:hint="default" w:ascii="Times New Roman" w:hAnsi="Times New Roman" w:cs="Times New Roman"/>
          <w:b/>
          <w:bCs/>
          <w:highlight w:val="none"/>
          <w:lang w:val="en-US" w:eastAsia="zh-CN"/>
        </w:rPr>
      </w:pPr>
      <w:bookmarkStart w:id="289" w:name="_Toc6793"/>
      <w:r>
        <w:rPr>
          <w:rFonts w:hint="eastAsia" w:ascii="Times New Roman" w:hAnsi="Times New Roman" w:cs="Times New Roman"/>
          <w:b/>
          <w:bCs/>
          <w:highlight w:val="none"/>
          <w:lang w:val="en-US" w:eastAsia="zh-CN"/>
        </w:rPr>
        <w:t>6、</w:t>
      </w:r>
      <w:r>
        <w:rPr>
          <w:rFonts w:hint="default" w:ascii="Times New Roman" w:hAnsi="Times New Roman" w:cs="Times New Roman"/>
          <w:b/>
          <w:bCs/>
          <w:highlight w:val="none"/>
          <w:lang w:val="en-US" w:eastAsia="zh-CN"/>
        </w:rPr>
        <w:t>木垒河湿地生态带</w:t>
      </w:r>
      <w:bookmarkEnd w:id="289"/>
    </w:p>
    <w:p w14:paraId="0CCF1123">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木垒河全长80</w:t>
      </w:r>
      <w:r>
        <w:rPr>
          <w:rFonts w:hint="eastAsia" w:cs="Times New Roman"/>
          <w:highlight w:val="none"/>
          <w:lang w:val="en-US" w:eastAsia="zh-CN"/>
        </w:rPr>
        <w:t>千米</w:t>
      </w:r>
      <w:r>
        <w:rPr>
          <w:rFonts w:hint="default" w:ascii="Times New Roman" w:hAnsi="Times New Roman" w:cs="Times New Roman"/>
          <w:highlight w:val="none"/>
          <w:lang w:val="en-US" w:eastAsia="zh-CN"/>
        </w:rPr>
        <w:t>，源头海拔3240</w:t>
      </w:r>
      <w:r>
        <w:rPr>
          <w:rFonts w:hint="eastAsia" w:cs="Times New Roman"/>
          <w:highlight w:val="none"/>
          <w:lang w:val="en-US" w:eastAsia="zh-CN"/>
        </w:rPr>
        <w:t>米</w:t>
      </w:r>
      <w:r>
        <w:rPr>
          <w:rFonts w:hint="default" w:ascii="Times New Roman" w:hAnsi="Times New Roman" w:cs="Times New Roman"/>
          <w:highlight w:val="none"/>
          <w:lang w:val="en-US" w:eastAsia="zh-CN"/>
        </w:rPr>
        <w:t>，其河源区无现代冰川，补给以降水和冰雪融水为主，年平</w:t>
      </w:r>
      <w:bookmarkEnd w:id="286"/>
      <w:r>
        <w:rPr>
          <w:rFonts w:hint="default" w:ascii="Times New Roman" w:hAnsi="Times New Roman" w:cs="Times New Roman"/>
          <w:lang w:val="en-US" w:eastAsia="zh-CN"/>
        </w:rPr>
        <w:t>均径流量4304万立方米</w:t>
      </w:r>
      <w:r>
        <w:rPr>
          <w:rFonts w:hint="eastAsia" w:cs="Times New Roman"/>
          <w:lang w:val="en-US" w:eastAsia="zh-CN"/>
        </w:rPr>
        <w:t>，</w:t>
      </w:r>
      <w:r>
        <w:rPr>
          <w:rFonts w:hint="default" w:ascii="Times New Roman" w:hAnsi="Times New Roman" w:cs="Times New Roman"/>
          <w:lang w:val="en-US" w:eastAsia="zh-CN"/>
        </w:rPr>
        <w:t>平均流量1.39立方米/秒，最大洪峰流量520立方米/秒，4~9月是木垒河的洪峰期和丰水期，河水年平均输沙量4.43万吨。该河段地处天山北坡的山地寒温带针叶林一灰褐色森林土带，年均温0~3℃，最热月均温9~15℃，最冷月均温-10~-15℃，年降水量500</w:t>
      </w:r>
      <w:r>
        <w:rPr>
          <w:rFonts w:hint="eastAsia" w:cs="Times New Roman"/>
          <w:lang w:val="en-US" w:eastAsia="zh-CN"/>
        </w:rPr>
        <w:t>~</w:t>
      </w:r>
      <w:r>
        <w:rPr>
          <w:rFonts w:hint="default" w:ascii="Times New Roman" w:hAnsi="Times New Roman" w:cs="Times New Roman"/>
          <w:lang w:val="en-US" w:eastAsia="zh-CN"/>
        </w:rPr>
        <w:t>600</w:t>
      </w:r>
      <w:r>
        <w:rPr>
          <w:rFonts w:hint="eastAsia" w:cs="Times New Roman"/>
          <w:lang w:val="en-US" w:eastAsia="zh-CN"/>
        </w:rPr>
        <w:t>毫米</w:t>
      </w:r>
      <w:r>
        <w:rPr>
          <w:rFonts w:hint="default" w:ascii="Times New Roman" w:hAnsi="Times New Roman" w:cs="Times New Roman"/>
          <w:lang w:val="en-US" w:eastAsia="zh-CN"/>
        </w:rPr>
        <w:t>。景区内常见野生动物以森林鸟类、马鹿、狍子、野猪为主，偶见棕熊，雪豹的活动踪迹。该生态带附近有木垒县照壁山乡和雀仁乡和的夏</w:t>
      </w:r>
      <w:bookmarkStart w:id="290" w:name="OLE_LINK154"/>
      <w:r>
        <w:rPr>
          <w:rFonts w:hint="default" w:ascii="Times New Roman" w:hAnsi="Times New Roman" w:cs="Times New Roman"/>
          <w:lang w:val="en-US" w:eastAsia="zh-CN"/>
        </w:rPr>
        <w:t>季共用牧场，通往该区的道路常被山洪冲毁，因此游人较少。</w:t>
      </w:r>
      <w:bookmarkStart w:id="291" w:name="OLE_LINK156"/>
    </w:p>
    <w:p w14:paraId="0B531847">
      <w:pPr>
        <w:bidi w:val="0"/>
        <w:jc w:val="both"/>
        <w:rPr>
          <w:rFonts w:hint="default" w:ascii="Times New Roman" w:hAnsi="Times New Roman" w:cs="Times New Roman"/>
          <w:highlight w:val="none"/>
          <w:lang w:val="en-US" w:eastAsia="zh-CN"/>
        </w:rPr>
      </w:pPr>
      <w:bookmarkStart w:id="292" w:name="OLE_LINK102"/>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北部受沙漠沙化侵蚀威胁，湿地外围植被时有人为破坏，造成林地、草地退化，湿地缓冲带受威胁，生物多样性减少。</w:t>
      </w:r>
    </w:p>
    <w:p w14:paraId="34A91DEF">
      <w:pPr>
        <w:bidi w:val="0"/>
        <w:jc w:val="both"/>
        <w:rPr>
          <w:rFonts w:hint="default" w:ascii="Times New Roman" w:hAnsi="Times New Roman" w:cs="Times New Roman"/>
          <w:highlight w:val="none"/>
          <w:lang w:val="en-US" w:eastAsia="zh-CN"/>
        </w:rPr>
      </w:pPr>
      <w:bookmarkStart w:id="293" w:name="OLE_LINK101"/>
      <w:r>
        <w:rPr>
          <w:rFonts w:hint="default" w:ascii="Times New Roman" w:hAnsi="Times New Roman" w:cs="Times New Roman"/>
          <w:b/>
          <w:bCs/>
          <w:highlight w:val="none"/>
          <w:lang w:val="en-US" w:eastAsia="zh-CN"/>
        </w:rPr>
        <w:t>主攻方向：</w:t>
      </w:r>
      <w:bookmarkEnd w:id="293"/>
      <w:r>
        <w:rPr>
          <w:rFonts w:hint="default" w:ascii="Times New Roman" w:hAnsi="Times New Roman" w:cs="Times New Roman"/>
          <w:highlight w:val="none"/>
          <w:lang w:val="en-US" w:eastAsia="zh-CN"/>
        </w:rPr>
        <w:t>以维护北部沙漠防风固沙生态为主攻方向。优化水土保持监测点布设，开展水土流失动态监测和水土保持调查，推动水土流失动态监测全覆盖，强</w:t>
      </w:r>
      <w:bookmarkStart w:id="294" w:name="OLE_LINK155"/>
      <w:r>
        <w:rPr>
          <w:rFonts w:hint="default" w:ascii="Times New Roman" w:hAnsi="Times New Roman" w:cs="Times New Roman"/>
          <w:highlight w:val="none"/>
          <w:lang w:val="en-US" w:eastAsia="zh-CN"/>
        </w:rPr>
        <w:t>化监测数据分析和成果应用，</w:t>
      </w:r>
      <w:bookmarkEnd w:id="294"/>
      <w:r>
        <w:rPr>
          <w:rFonts w:hint="default" w:ascii="Times New Roman" w:hAnsi="Times New Roman" w:cs="Times New Roman"/>
          <w:highlight w:val="none"/>
          <w:lang w:val="en-US" w:eastAsia="zh-CN"/>
        </w:rPr>
        <w:t>实施重要河流源头区、重要饮用水水源地、湖泊湿地区、绿洲沙漠过渡带林草植被保护。</w:t>
      </w:r>
    </w:p>
    <w:bookmarkEnd w:id="292"/>
    <w:p w14:paraId="53E0272A">
      <w:pPr>
        <w:bidi w:val="0"/>
        <w:jc w:val="both"/>
        <w:outlineLvl w:val="2"/>
        <w:rPr>
          <w:rFonts w:hint="default" w:ascii="Times New Roman" w:hAnsi="Times New Roman" w:cs="Times New Roman"/>
          <w:b/>
          <w:bCs/>
          <w:highlight w:val="none"/>
          <w:lang w:val="en-US" w:eastAsia="zh-CN"/>
        </w:rPr>
      </w:pPr>
      <w:bookmarkStart w:id="295" w:name="_Toc373"/>
      <w:r>
        <w:rPr>
          <w:rFonts w:hint="eastAsia" w:ascii="Times New Roman" w:hAnsi="Times New Roman" w:cs="Times New Roman"/>
          <w:b/>
          <w:bCs/>
          <w:highlight w:val="none"/>
          <w:lang w:val="en-US" w:eastAsia="zh-CN"/>
        </w:rPr>
        <w:t>7、</w:t>
      </w:r>
      <w:r>
        <w:rPr>
          <w:rFonts w:hint="default" w:ascii="Times New Roman" w:hAnsi="Times New Roman" w:cs="Times New Roman"/>
          <w:b/>
          <w:bCs/>
          <w:highlight w:val="none"/>
          <w:lang w:val="en-US" w:eastAsia="zh-CN"/>
        </w:rPr>
        <w:t>塔西河湿地生态带</w:t>
      </w:r>
      <w:bookmarkEnd w:id="295"/>
    </w:p>
    <w:p w14:paraId="45973069">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塔西河位于新疆准噶尔盆地南缘，全长120</w:t>
      </w:r>
      <w:r>
        <w:rPr>
          <w:rFonts w:hint="eastAsia" w:cs="Times New Roman"/>
          <w:highlight w:val="none"/>
          <w:lang w:val="en-US" w:eastAsia="zh-CN"/>
        </w:rPr>
        <w:t>千米</w:t>
      </w:r>
      <w:r>
        <w:rPr>
          <w:rFonts w:hint="default" w:ascii="Times New Roman" w:hAnsi="Times New Roman" w:cs="Times New Roman"/>
          <w:highlight w:val="none"/>
          <w:lang w:val="en-US" w:eastAsia="zh-CN"/>
        </w:rPr>
        <w:t>，由塔西河沟、其格塔依达拉、库普依达拉、库勒达拉等支流汇集而成，与</w:t>
      </w:r>
      <w:bookmarkEnd w:id="290"/>
      <w:r>
        <w:rPr>
          <w:rFonts w:hint="default" w:ascii="Times New Roman" w:hAnsi="Times New Roman" w:cs="Times New Roman"/>
          <w:highlight w:val="none"/>
          <w:lang w:val="en-US" w:eastAsia="zh-CN"/>
        </w:rPr>
        <w:t>玛纳斯河</w:t>
      </w:r>
      <w:bookmarkEnd w:id="291"/>
      <w:r>
        <w:rPr>
          <w:rFonts w:hint="default" w:ascii="Times New Roman" w:hAnsi="Times New Roman" w:cs="Times New Roman"/>
          <w:lang w:val="en-US" w:eastAsia="zh-CN"/>
        </w:rPr>
        <w:t>相同，塔西河发源于依连哈比尔尕山北麓的雪山冰川，源头冰川共187条，冰川总面积6563</w:t>
      </w:r>
      <w:r>
        <w:rPr>
          <w:rFonts w:hint="eastAsia" w:cs="Times New Roman"/>
          <w:lang w:val="en-US" w:eastAsia="zh-CN"/>
        </w:rPr>
        <w:t>0公顷</w:t>
      </w:r>
      <w:r>
        <w:rPr>
          <w:rFonts w:hint="default" w:ascii="Times New Roman" w:hAnsi="Times New Roman" w:cs="Times New Roman"/>
          <w:lang w:val="en-US" w:eastAsia="zh-CN"/>
        </w:rPr>
        <w:t>，河水</w:t>
      </w:r>
      <w:r>
        <w:rPr>
          <w:rFonts w:hint="eastAsia" w:cs="Times New Roman"/>
          <w:lang w:val="en-US" w:eastAsia="zh-CN"/>
        </w:rPr>
        <w:t>长年不断</w:t>
      </w:r>
      <w:r>
        <w:rPr>
          <w:rFonts w:hint="default" w:ascii="Times New Roman" w:hAnsi="Times New Roman" w:cs="Times New Roman"/>
          <w:lang w:val="en-US" w:eastAsia="zh-CN"/>
        </w:rPr>
        <w:t>，构成玛纳斯县两大水系，河流两岸山川壮美，从入山口到风景如画的石门子，在大自然鬼斧神工的雕琢下，两岸色彩斑</w:t>
      </w:r>
      <w:bookmarkStart w:id="296" w:name="OLE_LINK161"/>
      <w:r>
        <w:rPr>
          <w:rFonts w:hint="default" w:ascii="Times New Roman" w:hAnsi="Times New Roman" w:cs="Times New Roman"/>
          <w:highlight w:val="none"/>
          <w:lang w:val="en-US" w:eastAsia="zh-CN"/>
        </w:rPr>
        <w:t>斓，千姿百态，不但有清奇秀丽的自然风光，更有五彩的雅丹地貌，还有如燃烧着的火焰的红色山峦。</w:t>
      </w:r>
    </w:p>
    <w:p w14:paraId="40909EBA">
      <w:pPr>
        <w:bidi w:val="0"/>
        <w:jc w:val="both"/>
        <w:rPr>
          <w:rFonts w:hint="default" w:ascii="Times New Roman" w:hAnsi="Times New Roman" w:cs="Times New Roman"/>
          <w:highlight w:val="none"/>
          <w:lang w:val="en-US" w:eastAsia="zh-CN"/>
        </w:rPr>
      </w:pPr>
      <w:bookmarkStart w:id="297" w:name="OLE_LINK104"/>
      <w:r>
        <w:rPr>
          <w:rFonts w:hint="default" w:ascii="Times New Roman" w:hAnsi="Times New Roman" w:cs="Times New Roman"/>
          <w:b/>
          <w:bCs/>
          <w:highlight w:val="none"/>
          <w:lang w:val="en-US" w:eastAsia="zh-CN"/>
        </w:rPr>
        <w:t>主要问题：</w:t>
      </w:r>
      <w:bookmarkStart w:id="298" w:name="OLE_LINK157"/>
      <w:r>
        <w:rPr>
          <w:rFonts w:hint="default" w:ascii="Times New Roman" w:hAnsi="Times New Roman" w:cs="Times New Roman"/>
          <w:highlight w:val="none"/>
          <w:lang w:val="en-US" w:eastAsia="zh-CN"/>
        </w:rPr>
        <w:t>湿地景观优美但</w:t>
      </w:r>
      <w:bookmarkEnd w:id="298"/>
      <w:r>
        <w:rPr>
          <w:rFonts w:hint="default" w:ascii="Times New Roman" w:hAnsi="Times New Roman" w:cs="Times New Roman"/>
          <w:highlight w:val="none"/>
          <w:lang w:val="en-US" w:eastAsia="zh-CN"/>
        </w:rPr>
        <w:t>基础设施建设</w:t>
      </w:r>
      <w:r>
        <w:rPr>
          <w:rFonts w:hint="eastAsia" w:cs="Times New Roman"/>
          <w:highlight w:val="none"/>
          <w:lang w:val="en-US" w:eastAsia="zh-CN"/>
        </w:rPr>
        <w:t>不足。</w:t>
      </w:r>
    </w:p>
    <w:p w14:paraId="11215C44">
      <w:pPr>
        <w:bidi w:val="0"/>
        <w:jc w:val="both"/>
        <w:rPr>
          <w:rFonts w:hint="default" w:ascii="Times New Roman" w:hAnsi="Times New Roman" w:cs="Times New Roman"/>
          <w:highlight w:val="none"/>
          <w:lang w:val="en-US" w:eastAsia="zh-CN"/>
        </w:rPr>
      </w:pPr>
      <w:bookmarkStart w:id="299" w:name="OLE_LINK103"/>
      <w:r>
        <w:rPr>
          <w:rFonts w:hint="default" w:ascii="Times New Roman" w:hAnsi="Times New Roman" w:cs="Times New Roman"/>
          <w:b/>
          <w:bCs/>
          <w:highlight w:val="none"/>
          <w:lang w:val="en-US" w:eastAsia="zh-CN"/>
        </w:rPr>
        <w:t>主攻方向：</w:t>
      </w:r>
      <w:bookmarkEnd w:id="299"/>
      <w:r>
        <w:rPr>
          <w:rFonts w:hint="default" w:ascii="Times New Roman" w:hAnsi="Times New Roman" w:cs="Times New Roman"/>
          <w:highlight w:val="none"/>
          <w:lang w:val="en-US" w:eastAsia="zh-CN"/>
        </w:rPr>
        <w:t>以发展塔西河</w:t>
      </w:r>
      <w:r>
        <w:rPr>
          <w:rFonts w:hint="eastAsia" w:cs="Times New Roman"/>
          <w:highlight w:val="none"/>
          <w:lang w:val="en-US" w:eastAsia="zh-CN"/>
        </w:rPr>
        <w:t>湿地生态</w:t>
      </w:r>
      <w:r>
        <w:rPr>
          <w:rFonts w:hint="default" w:ascii="Times New Roman" w:hAnsi="Times New Roman" w:cs="Times New Roman"/>
          <w:highlight w:val="none"/>
          <w:lang w:val="en-US" w:eastAsia="zh-CN"/>
        </w:rPr>
        <w:t>为主攻方向。加强湿地基础设施建设</w:t>
      </w:r>
      <w:r>
        <w:rPr>
          <w:rFonts w:hint="eastAsia" w:cs="Times New Roman"/>
          <w:highlight w:val="none"/>
          <w:lang w:val="en-US" w:eastAsia="zh-CN"/>
        </w:rPr>
        <w:t>，</w:t>
      </w:r>
      <w:r>
        <w:rPr>
          <w:rFonts w:hint="default" w:ascii="Times New Roman" w:hAnsi="Times New Roman" w:cs="Times New Roman"/>
          <w:highlight w:val="none"/>
          <w:lang w:val="en-US" w:eastAsia="zh-CN"/>
        </w:rPr>
        <w:t>完善服务体系，同时兼顾湿地生态保护。</w:t>
      </w:r>
    </w:p>
    <w:bookmarkEnd w:id="297"/>
    <w:p w14:paraId="09A739FA">
      <w:pPr>
        <w:bidi w:val="0"/>
        <w:jc w:val="both"/>
        <w:outlineLvl w:val="2"/>
        <w:rPr>
          <w:rFonts w:hint="default" w:ascii="Times New Roman" w:hAnsi="Times New Roman" w:cs="Times New Roman"/>
          <w:b/>
          <w:bCs/>
          <w:highlight w:val="none"/>
          <w:lang w:val="en-US" w:eastAsia="zh-CN"/>
        </w:rPr>
      </w:pPr>
      <w:bookmarkStart w:id="300" w:name="_Toc6355"/>
      <w:r>
        <w:rPr>
          <w:rFonts w:hint="eastAsia" w:ascii="Times New Roman" w:hAnsi="Times New Roman" w:cs="Times New Roman"/>
          <w:b/>
          <w:bCs/>
          <w:highlight w:val="none"/>
          <w:lang w:val="en-US" w:eastAsia="zh-CN"/>
        </w:rPr>
        <w:t>8、</w:t>
      </w:r>
      <w:r>
        <w:rPr>
          <w:rFonts w:hint="default" w:ascii="Times New Roman" w:hAnsi="Times New Roman" w:cs="Times New Roman"/>
          <w:b/>
          <w:bCs/>
          <w:highlight w:val="none"/>
          <w:lang w:val="en-US" w:eastAsia="zh-CN"/>
        </w:rPr>
        <w:t>白杨河湿地生态带</w:t>
      </w:r>
      <w:bookmarkEnd w:id="300"/>
    </w:p>
    <w:p w14:paraId="59EA840A">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白杨河是奇台县重要的供水河流之一，发源于博格达峰山脊，河流水系全长约60</w:t>
      </w:r>
      <w:r>
        <w:rPr>
          <w:rFonts w:hint="eastAsia" w:cs="Times New Roman"/>
          <w:highlight w:val="none"/>
          <w:lang w:val="en-US" w:eastAsia="zh-CN"/>
        </w:rPr>
        <w:t>千米</w:t>
      </w:r>
      <w:r>
        <w:rPr>
          <w:rFonts w:hint="default" w:ascii="Times New Roman" w:hAnsi="Times New Roman" w:cs="Times New Roman"/>
          <w:highlight w:val="none"/>
          <w:lang w:val="en-US" w:eastAsia="zh-CN"/>
        </w:rPr>
        <w:t>，</w:t>
      </w:r>
      <w:r>
        <w:rPr>
          <w:rFonts w:hint="eastAsia" w:cs="Times New Roman"/>
          <w:highlight w:val="none"/>
          <w:lang w:val="en-US" w:eastAsia="zh-CN"/>
        </w:rPr>
        <w:t>年径流量</w:t>
      </w:r>
      <w:r>
        <w:rPr>
          <w:rFonts w:hint="default" w:ascii="Times New Roman" w:hAnsi="Times New Roman" w:cs="Times New Roman"/>
          <w:highlight w:val="none"/>
          <w:lang w:val="en-US" w:eastAsia="zh-CN"/>
        </w:rPr>
        <w:t>0.443×10</w:t>
      </w:r>
      <w:r>
        <w:rPr>
          <w:rFonts w:hint="default" w:ascii="Times New Roman" w:hAnsi="Times New Roman" w:cs="Times New Roman"/>
          <w:highlight w:val="none"/>
          <w:vertAlign w:val="superscript"/>
          <w:lang w:val="en-US" w:eastAsia="zh-CN"/>
        </w:rPr>
        <w:t>8</w:t>
      </w:r>
      <w:r>
        <w:rPr>
          <w:rFonts w:hint="eastAsia" w:cs="Times New Roman"/>
          <w:highlight w:val="none"/>
          <w:lang w:val="en-US" w:eastAsia="zh-CN"/>
        </w:rPr>
        <w:t>立方米</w:t>
      </w:r>
      <w:r>
        <w:rPr>
          <w:rFonts w:hint="default" w:ascii="Times New Roman" w:hAnsi="Times New Roman" w:cs="Times New Roman"/>
          <w:highlight w:val="none"/>
          <w:lang w:val="en-US" w:eastAsia="zh-CN"/>
        </w:rPr>
        <w:t>，为调配水资源分布不均衡利用不充分问题，2016年至2018年国家拨付2.7亿元建设了白杨河水库，该水库建成后</w:t>
      </w:r>
      <w:r>
        <w:rPr>
          <w:rFonts w:hint="eastAsia" w:cs="Times New Roman"/>
          <w:highlight w:val="none"/>
          <w:lang w:val="en-US" w:eastAsia="zh-CN"/>
        </w:rPr>
        <w:t>，</w:t>
      </w:r>
      <w:r>
        <w:rPr>
          <w:rFonts w:hint="default" w:ascii="Times New Roman" w:hAnsi="Times New Roman" w:cs="Times New Roman"/>
          <w:highlight w:val="none"/>
          <w:lang w:val="en-US" w:eastAsia="zh-CN"/>
        </w:rPr>
        <w:t>年新增工业及城镇生活供水水量1611万</w:t>
      </w:r>
      <w:r>
        <w:rPr>
          <w:rFonts w:hint="eastAsia" w:cs="Times New Roman"/>
          <w:highlight w:val="none"/>
          <w:lang w:val="en-US" w:eastAsia="zh-CN"/>
        </w:rPr>
        <w:t>立方米，</w:t>
      </w:r>
      <w:r>
        <w:rPr>
          <w:rFonts w:hint="default" w:ascii="Times New Roman" w:hAnsi="Times New Roman" w:cs="Times New Roman"/>
          <w:highlight w:val="none"/>
          <w:lang w:val="en-US" w:eastAsia="zh-CN"/>
        </w:rPr>
        <w:t>年保障农业灌溉供水量3964.72万</w:t>
      </w:r>
      <w:r>
        <w:rPr>
          <w:rFonts w:hint="eastAsia" w:cs="Times New Roman"/>
          <w:highlight w:val="none"/>
          <w:lang w:val="en-US" w:eastAsia="zh-CN"/>
        </w:rPr>
        <w:t>立方米，</w:t>
      </w:r>
      <w:r>
        <w:rPr>
          <w:rFonts w:hint="default" w:ascii="Times New Roman" w:hAnsi="Times New Roman" w:cs="Times New Roman"/>
          <w:highlight w:val="none"/>
          <w:lang w:val="en-US" w:eastAsia="zh-CN"/>
        </w:rPr>
        <w:t>将水库下游的防洪标准由不足5年一遇提高到10年一遇</w:t>
      </w:r>
      <w:r>
        <w:rPr>
          <w:rFonts w:hint="eastAsia" w:cs="Times New Roman"/>
          <w:highlight w:val="none"/>
          <w:lang w:val="en-US" w:eastAsia="zh-CN"/>
        </w:rPr>
        <w:t>，</w:t>
      </w:r>
      <w:r>
        <w:rPr>
          <w:rFonts w:hint="default" w:ascii="Times New Roman" w:hAnsi="Times New Roman" w:cs="Times New Roman"/>
          <w:highlight w:val="none"/>
          <w:lang w:val="en-US" w:eastAsia="zh-CN"/>
        </w:rPr>
        <w:t>减少洪水对下游的</w:t>
      </w:r>
      <w:bookmarkStart w:id="301" w:name="OLE_LINK158"/>
      <w:r>
        <w:rPr>
          <w:rFonts w:hint="default" w:ascii="Times New Roman" w:hAnsi="Times New Roman" w:cs="Times New Roman"/>
          <w:highlight w:val="none"/>
          <w:lang w:val="en-US" w:eastAsia="zh-CN"/>
        </w:rPr>
        <w:t>危害</w:t>
      </w:r>
      <w:r>
        <w:rPr>
          <w:rFonts w:hint="eastAsia" w:cs="Times New Roman"/>
          <w:highlight w:val="none"/>
          <w:lang w:val="en-US" w:eastAsia="zh-CN"/>
        </w:rPr>
        <w:t>；</w:t>
      </w:r>
      <w:r>
        <w:rPr>
          <w:rFonts w:hint="default" w:ascii="Times New Roman" w:hAnsi="Times New Roman" w:cs="Times New Roman"/>
          <w:highlight w:val="none"/>
          <w:lang w:val="en-US" w:eastAsia="zh-CN"/>
        </w:rPr>
        <w:t>改善了16.17万亩灌溉面积</w:t>
      </w:r>
      <w:r>
        <w:rPr>
          <w:rFonts w:hint="eastAsia" w:cs="Times New Roman"/>
          <w:highlight w:val="none"/>
          <w:lang w:val="en-US" w:eastAsia="zh-CN"/>
        </w:rPr>
        <w:t>，</w:t>
      </w:r>
      <w:r>
        <w:rPr>
          <w:rFonts w:hint="default" w:ascii="Times New Roman" w:hAnsi="Times New Roman" w:cs="Times New Roman"/>
          <w:highlight w:val="none"/>
          <w:lang w:val="en-US" w:eastAsia="zh-CN"/>
        </w:rPr>
        <w:t>并有效满足新增工业供水的需求</w:t>
      </w:r>
      <w:r>
        <w:rPr>
          <w:rFonts w:hint="eastAsia" w:cs="Times New Roman"/>
          <w:highlight w:val="none"/>
          <w:lang w:val="en-US" w:eastAsia="zh-CN"/>
        </w:rPr>
        <w:t>，</w:t>
      </w:r>
      <w:r>
        <w:rPr>
          <w:rFonts w:hint="default" w:ascii="Times New Roman" w:hAnsi="Times New Roman" w:cs="Times New Roman"/>
          <w:highlight w:val="none"/>
          <w:lang w:val="en-US" w:eastAsia="zh-CN"/>
        </w:rPr>
        <w:t>为奇台县新型工业化建设提供可靠的水资源保障，同时奇台县政府已申报白杨河为自治区示范河湖，加大对该湿地生态带的保护力度。</w:t>
      </w:r>
    </w:p>
    <w:p w14:paraId="2A0BDF45">
      <w:pPr>
        <w:bidi w:val="0"/>
        <w:jc w:val="both"/>
        <w:rPr>
          <w:rFonts w:hint="default" w:ascii="Times New Roman" w:hAnsi="Times New Roman" w:cs="Times New Roman"/>
          <w:highlight w:val="none"/>
          <w:lang w:val="en-US" w:eastAsia="zh-CN"/>
        </w:rPr>
      </w:pPr>
      <w:bookmarkStart w:id="302" w:name="OLE_LINK105"/>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随着奇台县经济的发展，工业用水占全县用水的比例越来越高，给本就不富余的生态用水增加了压力，地下水位下降导致的湿地退化。</w:t>
      </w:r>
    </w:p>
    <w:p w14:paraId="06C79631">
      <w:pPr>
        <w:bidi w:val="0"/>
        <w:jc w:val="both"/>
        <w:rPr>
          <w:rFonts w:hint="default" w:ascii="Times New Roman" w:hAnsi="Times New Roman" w:cs="Times New Roman"/>
          <w:highlight w:val="none"/>
          <w:lang w:val="en-US" w:eastAsia="zh-CN"/>
        </w:rPr>
      </w:pPr>
      <w:bookmarkStart w:id="303" w:name="OLE_LINK106"/>
      <w:r>
        <w:rPr>
          <w:rFonts w:hint="default" w:ascii="Times New Roman" w:hAnsi="Times New Roman" w:cs="Times New Roman"/>
          <w:b/>
          <w:bCs/>
          <w:highlight w:val="none"/>
          <w:lang w:val="en-US" w:eastAsia="zh-CN"/>
        </w:rPr>
        <w:t>主攻方向：</w:t>
      </w:r>
      <w:bookmarkEnd w:id="303"/>
      <w:r>
        <w:rPr>
          <w:rFonts w:hint="default" w:ascii="Times New Roman" w:hAnsi="Times New Roman" w:cs="Times New Roman"/>
          <w:highlight w:val="none"/>
          <w:lang w:val="en-US" w:eastAsia="zh-CN"/>
        </w:rPr>
        <w:t>以科学管理调配水资源为主攻方向。加大对地下水超采危害的宣传力度和执法手段，加强水源地生态监测，保证湿地生态环境的安全。</w:t>
      </w:r>
    </w:p>
    <w:bookmarkEnd w:id="302"/>
    <w:p w14:paraId="23A32E31">
      <w:pPr>
        <w:bidi w:val="0"/>
        <w:jc w:val="both"/>
        <w:outlineLvl w:val="2"/>
        <w:rPr>
          <w:rFonts w:hint="default" w:ascii="Times New Roman" w:hAnsi="Times New Roman" w:cs="Times New Roman"/>
          <w:b/>
          <w:bCs/>
          <w:highlight w:val="none"/>
          <w:lang w:val="en-US" w:eastAsia="zh-CN"/>
        </w:rPr>
      </w:pPr>
      <w:bookmarkStart w:id="304" w:name="_Toc4869"/>
      <w:r>
        <w:rPr>
          <w:rFonts w:hint="eastAsia" w:ascii="Times New Roman" w:hAnsi="Times New Roman" w:cs="Times New Roman"/>
          <w:b/>
          <w:bCs/>
          <w:highlight w:val="none"/>
          <w:lang w:val="en-US" w:eastAsia="zh-CN"/>
        </w:rPr>
        <w:t>9、</w:t>
      </w:r>
      <w:r>
        <w:rPr>
          <w:rFonts w:hint="default" w:ascii="Times New Roman" w:hAnsi="Times New Roman" w:cs="Times New Roman"/>
          <w:b/>
          <w:bCs/>
          <w:highlight w:val="none"/>
          <w:lang w:val="en-US" w:eastAsia="zh-CN"/>
        </w:rPr>
        <w:t>碧流河-水磨河湿地生态带</w:t>
      </w:r>
      <w:bookmarkEnd w:id="304"/>
    </w:p>
    <w:bookmarkEnd w:id="301"/>
    <w:p w14:paraId="60B1C9C5">
      <w:pPr>
        <w:bidi w:val="0"/>
        <w:jc w:val="both"/>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区域现状：</w:t>
      </w:r>
      <w:r>
        <w:rPr>
          <w:rFonts w:hint="default" w:ascii="Times New Roman" w:hAnsi="Times New Roman" w:cs="Times New Roman"/>
          <w:highlight w:val="none"/>
          <w:lang w:val="en-US" w:eastAsia="zh-CN"/>
        </w:rPr>
        <w:t>碧流河-水磨河是西北诸河流域的重要组成部分，它发源于博格达峰山脊海拔4030米处的冰川地带，汇水面积约160</w:t>
      </w:r>
      <w:r>
        <w:rPr>
          <w:rFonts w:hint="eastAsia" w:cs="Times New Roman"/>
          <w:highlight w:val="none"/>
          <w:lang w:val="en-US" w:eastAsia="zh-CN"/>
        </w:rPr>
        <w:t>00公顷</w:t>
      </w:r>
      <w:r>
        <w:rPr>
          <w:rFonts w:hint="default" w:ascii="Times New Roman" w:hAnsi="Times New Roman" w:cs="Times New Roman"/>
          <w:highlight w:val="none"/>
          <w:lang w:val="en-US" w:eastAsia="zh-CN"/>
        </w:rPr>
        <w:t>，河流全长60</w:t>
      </w:r>
      <w:r>
        <w:rPr>
          <w:rFonts w:hint="eastAsia" w:cs="Times New Roman"/>
          <w:highlight w:val="none"/>
          <w:lang w:val="en-US" w:eastAsia="zh-CN"/>
        </w:rPr>
        <w:t>千米</w:t>
      </w:r>
      <w:r>
        <w:rPr>
          <w:rFonts w:hint="default" w:ascii="Times New Roman" w:hAnsi="Times New Roman" w:cs="Times New Roman"/>
          <w:highlight w:val="none"/>
          <w:lang w:val="en-US" w:eastAsia="zh-CN"/>
        </w:rPr>
        <w:t>，</w:t>
      </w:r>
      <w:r>
        <w:rPr>
          <w:rFonts w:hint="eastAsia" w:cs="Times New Roman"/>
          <w:highlight w:val="none"/>
          <w:lang w:val="en-US" w:eastAsia="zh-CN"/>
        </w:rPr>
        <w:t>年平均径流量</w:t>
      </w:r>
      <w:r>
        <w:rPr>
          <w:rFonts w:hint="default" w:ascii="Times New Roman" w:hAnsi="Times New Roman" w:cs="Times New Roman"/>
          <w:highlight w:val="none"/>
          <w:lang w:val="en-US" w:eastAsia="zh-CN"/>
        </w:rPr>
        <w:t>0.644×10</w:t>
      </w:r>
      <w:r>
        <w:rPr>
          <w:rFonts w:hint="default" w:ascii="Times New Roman" w:hAnsi="Times New Roman" w:cs="Times New Roman"/>
          <w:highlight w:val="none"/>
          <w:vertAlign w:val="superscript"/>
          <w:lang w:val="en-US" w:eastAsia="zh-CN"/>
        </w:rPr>
        <w:t>8</w:t>
      </w:r>
      <w:r>
        <w:rPr>
          <w:rFonts w:hint="eastAsia" w:cs="Times New Roman"/>
          <w:highlight w:val="none"/>
          <w:lang w:val="en-US" w:eastAsia="zh-CN"/>
        </w:rPr>
        <w:t>立方米</w:t>
      </w:r>
      <w:r>
        <w:rPr>
          <w:rFonts w:hint="default" w:ascii="Times New Roman" w:hAnsi="Times New Roman" w:cs="Times New Roman"/>
          <w:highlight w:val="none"/>
          <w:lang w:val="en-US" w:eastAsia="zh-CN"/>
        </w:rPr>
        <w:t>，该生态带</w:t>
      </w:r>
      <w:bookmarkStart w:id="305" w:name="OLE_LINK159"/>
      <w:r>
        <w:rPr>
          <w:rFonts w:hint="default" w:ascii="Times New Roman" w:hAnsi="Times New Roman" w:cs="Times New Roman"/>
          <w:highlight w:val="none"/>
          <w:lang w:val="en-US" w:eastAsia="zh-CN"/>
        </w:rPr>
        <w:t>建有碧流河水库，水库坝后建有水力发电站，兼具防洪疏洪和发电的功效。</w:t>
      </w:r>
    </w:p>
    <w:p w14:paraId="1344E98E">
      <w:pPr>
        <w:bidi w:val="0"/>
        <w:jc w:val="both"/>
        <w:rPr>
          <w:rFonts w:hint="default" w:ascii="Times New Roman" w:hAnsi="Times New Roman" w:cs="Times New Roman"/>
          <w:highlight w:val="none"/>
          <w:lang w:val="en-US" w:eastAsia="zh-CN"/>
        </w:rPr>
      </w:pPr>
      <w:bookmarkStart w:id="306" w:name="OLE_LINK108"/>
      <w:r>
        <w:rPr>
          <w:rFonts w:hint="default" w:ascii="Times New Roman" w:hAnsi="Times New Roman" w:cs="Times New Roman"/>
          <w:b/>
          <w:bCs/>
          <w:highlight w:val="none"/>
          <w:lang w:val="en-US" w:eastAsia="zh-CN"/>
        </w:rPr>
        <w:t>主要问题：</w:t>
      </w:r>
      <w:r>
        <w:rPr>
          <w:rFonts w:hint="default" w:ascii="Times New Roman" w:hAnsi="Times New Roman" w:cs="Times New Roman"/>
          <w:highlight w:val="none"/>
          <w:lang w:val="en-US" w:eastAsia="zh-CN"/>
        </w:rPr>
        <w:t>碧流河流域经济以农牧业为主，传统的农牧业用水方式对水资源利用率低，有极大的浪费。</w:t>
      </w:r>
    </w:p>
    <w:bookmarkEnd w:id="296"/>
    <w:p w14:paraId="7089B582">
      <w:pPr>
        <w:bidi w:val="0"/>
        <w:jc w:val="both"/>
        <w:rPr>
          <w:rFonts w:hint="default" w:ascii="Times New Roman" w:hAnsi="Times New Roman" w:cs="Times New Roman"/>
          <w:highlight w:val="none"/>
          <w:lang w:val="en-US" w:eastAsia="zh-CN"/>
        </w:rPr>
      </w:pPr>
      <w:bookmarkStart w:id="307" w:name="OLE_LINK107"/>
      <w:r>
        <w:rPr>
          <w:rFonts w:hint="default" w:ascii="Times New Roman" w:hAnsi="Times New Roman" w:cs="Times New Roman"/>
          <w:b/>
          <w:bCs/>
          <w:highlight w:val="none"/>
          <w:lang w:val="en-US" w:eastAsia="zh-CN"/>
        </w:rPr>
        <w:t>主攻方向：</w:t>
      </w:r>
      <w:bookmarkEnd w:id="307"/>
      <w:r>
        <w:rPr>
          <w:rFonts w:hint="default" w:ascii="Times New Roman" w:hAnsi="Times New Roman" w:cs="Times New Roman"/>
          <w:highlight w:val="none"/>
          <w:lang w:val="en-US" w:eastAsia="zh-CN"/>
        </w:rPr>
        <w:t>以改善农牧业灌溉节水方式为主攻方向。加强生态带两岸湿地修复和草畜平衡管理；对农牧业生产用水监督检查，保障生态用水安全。</w:t>
      </w:r>
    </w:p>
    <w:bookmarkEnd w:id="305"/>
    <w:bookmarkEnd w:id="306"/>
    <w:p w14:paraId="6B5B1864">
      <w:pPr>
        <w:pStyle w:val="3"/>
        <w:bidi w:val="0"/>
        <w:rPr>
          <w:rFonts w:hint="default"/>
          <w:lang w:val="en-US" w:eastAsia="zh-CN"/>
        </w:rPr>
      </w:pPr>
      <w:bookmarkStart w:id="308" w:name="_Toc1608"/>
      <w:bookmarkStart w:id="309" w:name="_Toc5965"/>
      <w:bookmarkStart w:id="310" w:name="_Toc12351"/>
      <w:bookmarkStart w:id="311" w:name="_Toc5462"/>
      <w:r>
        <w:rPr>
          <w:rFonts w:hint="eastAsia"/>
          <w:lang w:val="en-US" w:eastAsia="zh-CN"/>
        </w:rPr>
        <w:t xml:space="preserve">第六节  </w:t>
      </w:r>
      <w:r>
        <w:rPr>
          <w:rFonts w:hint="default"/>
          <w:lang w:val="en-US" w:eastAsia="zh-CN"/>
        </w:rPr>
        <w:t>重点湿地生态节点</w:t>
      </w:r>
      <w:bookmarkEnd w:id="308"/>
      <w:bookmarkEnd w:id="309"/>
      <w:bookmarkEnd w:id="310"/>
      <w:bookmarkEnd w:id="311"/>
    </w:p>
    <w:p w14:paraId="5BE84BEE">
      <w:pPr>
        <w:bidi w:val="0"/>
        <w:jc w:val="both"/>
        <w:rPr>
          <w:rFonts w:hint="default" w:ascii="Times New Roman" w:hAnsi="Times New Roman" w:cs="Times New Roman"/>
          <w:highlight w:val="none"/>
          <w:lang w:eastAsia="zh-CN"/>
        </w:rPr>
      </w:pPr>
      <w:bookmarkStart w:id="312" w:name="OLE_LINK16"/>
      <w:r>
        <w:rPr>
          <w:rFonts w:hint="eastAsia" w:cs="Times New Roman"/>
          <w:lang w:eastAsia="zh-CN"/>
        </w:rPr>
        <w:t>“</w:t>
      </w:r>
      <w:r>
        <w:rPr>
          <w:rFonts w:hint="default" w:ascii="Times New Roman" w:hAnsi="Times New Roman" w:cs="Times New Roman"/>
          <w:lang w:eastAsia="zh-CN"/>
        </w:rPr>
        <w:t>多点</w:t>
      </w:r>
      <w:r>
        <w:rPr>
          <w:rFonts w:hint="eastAsia" w:cs="Times New Roman"/>
          <w:lang w:eastAsia="zh-CN"/>
        </w:rPr>
        <w:t>”</w:t>
      </w:r>
      <w:r>
        <w:rPr>
          <w:rFonts w:hint="default" w:ascii="Times New Roman" w:hAnsi="Times New Roman" w:cs="Times New Roman"/>
          <w:lang w:eastAsia="zh-CN"/>
        </w:rPr>
        <w:t>指各类湿地保护的重要生态节点，主要包括零星湿地</w:t>
      </w:r>
      <w:r>
        <w:rPr>
          <w:rFonts w:hint="eastAsia" w:cs="Times New Roman"/>
          <w:lang w:eastAsia="zh-CN"/>
        </w:rPr>
        <w:t>、</w:t>
      </w:r>
      <w:r>
        <w:rPr>
          <w:rFonts w:hint="default" w:ascii="Times New Roman" w:hAnsi="Times New Roman" w:cs="Times New Roman"/>
          <w:lang w:eastAsia="zh-CN"/>
        </w:rPr>
        <w:t>重要</w:t>
      </w:r>
      <w:r>
        <w:rPr>
          <w:rFonts w:hint="default" w:ascii="Times New Roman" w:hAnsi="Times New Roman" w:cs="Times New Roman"/>
          <w:lang w:val="en-US" w:eastAsia="zh-CN"/>
        </w:rPr>
        <w:t>水库</w:t>
      </w:r>
      <w:r>
        <w:rPr>
          <w:rFonts w:hint="default" w:ascii="Times New Roman" w:hAnsi="Times New Roman" w:cs="Times New Roman"/>
          <w:lang w:eastAsia="zh-CN"/>
        </w:rPr>
        <w:t>等。该区域诸多</w:t>
      </w:r>
      <w:bookmarkStart w:id="313" w:name="OLE_LINK160"/>
      <w:r>
        <w:rPr>
          <w:rFonts w:hint="default" w:ascii="Times New Roman" w:hAnsi="Times New Roman" w:cs="Times New Roman"/>
          <w:highlight w:val="none"/>
          <w:lang w:eastAsia="zh-CN"/>
        </w:rPr>
        <w:t>重要生态节点，如</w:t>
      </w:r>
      <w:r>
        <w:rPr>
          <w:rFonts w:hint="default" w:ascii="Times New Roman" w:hAnsi="Times New Roman" w:cs="Times New Roman"/>
          <w:highlight w:val="none"/>
          <w:lang w:val="en-US" w:eastAsia="zh-CN"/>
        </w:rPr>
        <w:t>头屯河楼庄子水库、昌吉市努尔加水库、石门水库、三屯河水库、500水库、小海子水库、夹子河水库、丰收水库、大唐水库、东河水库、</w:t>
      </w:r>
      <w:r>
        <w:rPr>
          <w:rFonts w:hint="eastAsia" w:cs="Times New Roman"/>
          <w:highlight w:val="none"/>
          <w:lang w:val="en-US" w:eastAsia="zh-CN"/>
        </w:rPr>
        <w:t>岌岌</w:t>
      </w:r>
      <w:r>
        <w:rPr>
          <w:rFonts w:hint="default" w:ascii="Times New Roman" w:hAnsi="Times New Roman" w:cs="Times New Roman"/>
          <w:highlight w:val="none"/>
          <w:lang w:val="en-US" w:eastAsia="zh-CN"/>
        </w:rPr>
        <w:t>庙水库、滨湖水库、红山水库、龙王庙水库等</w:t>
      </w:r>
      <w:r>
        <w:rPr>
          <w:rFonts w:hint="default" w:ascii="Times New Roman" w:hAnsi="Times New Roman" w:cs="Times New Roman"/>
          <w:highlight w:val="none"/>
          <w:lang w:eastAsia="zh-CN"/>
        </w:rPr>
        <w:t>，在</w:t>
      </w:r>
      <w:r>
        <w:rPr>
          <w:rFonts w:hint="default" w:ascii="Times New Roman" w:hAnsi="Times New Roman" w:cs="Times New Roman"/>
          <w:highlight w:val="none"/>
          <w:lang w:val="en-US" w:eastAsia="zh-CN"/>
        </w:rPr>
        <w:t>供水、灌溉、防洪泄洪、保护</w:t>
      </w:r>
      <w:r>
        <w:rPr>
          <w:rFonts w:hint="default" w:ascii="Times New Roman" w:hAnsi="Times New Roman" w:cs="Times New Roman"/>
          <w:highlight w:val="none"/>
          <w:lang w:eastAsia="zh-CN"/>
        </w:rPr>
        <w:t>生物多样性等方面价值显著。</w:t>
      </w:r>
    </w:p>
    <w:p w14:paraId="386BCDE0">
      <w:pPr>
        <w:bidi w:val="0"/>
        <w:jc w:val="both"/>
        <w:rPr>
          <w:rFonts w:hint="default" w:ascii="Times New Roman" w:hAnsi="Times New Roman" w:cs="Times New Roman"/>
          <w:highlight w:val="none"/>
          <w:lang w:val="en-US" w:eastAsia="zh-CN"/>
        </w:rPr>
      </w:pPr>
      <w:bookmarkStart w:id="314" w:name="OLE_LINK109"/>
      <w:bookmarkStart w:id="315" w:name="OLE_LINK111"/>
      <w:r>
        <w:rPr>
          <w:rFonts w:hint="default" w:ascii="Times New Roman" w:hAnsi="Times New Roman" w:cs="Times New Roman"/>
          <w:b/>
          <w:bCs/>
          <w:highlight w:val="none"/>
          <w:lang w:val="en-US" w:eastAsia="zh-CN"/>
        </w:rPr>
        <w:t>主要问题：</w:t>
      </w:r>
      <w:bookmarkEnd w:id="314"/>
      <w:r>
        <w:rPr>
          <w:rFonts w:hint="eastAsia" w:cs="Times New Roman"/>
          <w:highlight w:val="none"/>
          <w:lang w:val="en-US" w:eastAsia="zh-CN"/>
        </w:rPr>
        <w:t>昌吉回族自治州</w:t>
      </w:r>
      <w:r>
        <w:rPr>
          <w:rFonts w:hint="default" w:ascii="Times New Roman" w:hAnsi="Times New Roman" w:cs="Times New Roman"/>
          <w:highlight w:val="none"/>
          <w:lang w:val="en-US" w:eastAsia="zh-CN"/>
        </w:rPr>
        <w:t>重点湿地节点大多在</w:t>
      </w:r>
      <w:r>
        <w:rPr>
          <w:rFonts w:hint="eastAsia" w:cs="Times New Roman"/>
          <w:highlight w:val="none"/>
          <w:lang w:val="en-US" w:eastAsia="zh-CN"/>
        </w:rPr>
        <w:t>人烟稀少</w:t>
      </w:r>
      <w:r>
        <w:rPr>
          <w:rFonts w:hint="default" w:ascii="Times New Roman" w:hAnsi="Times New Roman" w:cs="Times New Roman"/>
          <w:highlight w:val="none"/>
          <w:lang w:val="en-US" w:eastAsia="zh-CN"/>
        </w:rPr>
        <w:t>区域，湿地节点管理困难，受农业洗碱耕作影响，湿地生态节点盐分累积，部分节点水库泥沙淤积，水库库容量降低，乱占滥用和破坏湿地等人类活动时有发生。</w:t>
      </w:r>
    </w:p>
    <w:p w14:paraId="087F1C05">
      <w:pPr>
        <w:bidi w:val="0"/>
        <w:jc w:val="both"/>
        <w:rPr>
          <w:rFonts w:hint="eastAsia"/>
          <w:lang w:val="en-US" w:eastAsia="zh-CN"/>
        </w:rPr>
      </w:pPr>
      <w:bookmarkStart w:id="316" w:name="OLE_LINK110"/>
      <w:r>
        <w:rPr>
          <w:rFonts w:hint="default" w:ascii="Times New Roman" w:hAnsi="Times New Roman" w:cs="Times New Roman"/>
          <w:b/>
          <w:bCs/>
          <w:highlight w:val="none"/>
          <w:lang w:eastAsia="zh-CN"/>
        </w:rPr>
        <w:t>主攻方向：</w:t>
      </w:r>
      <w:bookmarkEnd w:id="316"/>
      <w:r>
        <w:rPr>
          <w:rFonts w:hint="default" w:ascii="Times New Roman" w:hAnsi="Times New Roman" w:cs="Times New Roman"/>
          <w:highlight w:val="none"/>
          <w:lang w:val="en-US" w:eastAsia="zh-CN"/>
        </w:rPr>
        <w:t>以保障湿地节点的生态安全为主攻方向。加强生态节点上游的水污染治理，对生态节点上游地区的生活、工业、农业、牧业和渔业污染物进行截留处置，削减携带至河流水体中的污染物浓度，避免其在生态节点积累、沉淀和浓缩，以减轻河流水质的破坏程度。制订有利于生态环境的洪水调度方案，综合管理洪泛区，有计划</w:t>
      </w:r>
      <w:r>
        <w:rPr>
          <w:rFonts w:hint="eastAsia" w:cs="Times New Roman"/>
          <w:highlight w:val="none"/>
          <w:lang w:val="en-US" w:eastAsia="zh-CN"/>
        </w:rPr>
        <w:t>地</w:t>
      </w:r>
      <w:r>
        <w:rPr>
          <w:rFonts w:hint="default" w:ascii="Times New Roman" w:hAnsi="Times New Roman" w:cs="Times New Roman"/>
          <w:highlight w:val="none"/>
          <w:lang w:val="en-US" w:eastAsia="zh-CN"/>
        </w:rPr>
        <w:t>泄水，达到防洪</w:t>
      </w:r>
      <w:r>
        <w:rPr>
          <w:rFonts w:hint="eastAsia" w:cs="Times New Roman"/>
          <w:highlight w:val="none"/>
          <w:lang w:val="en-US" w:eastAsia="zh-CN"/>
        </w:rPr>
        <w:t>减灾</w:t>
      </w:r>
      <w:r>
        <w:rPr>
          <w:rFonts w:hint="default" w:ascii="Times New Roman" w:hAnsi="Times New Roman" w:cs="Times New Roman"/>
          <w:highlight w:val="none"/>
          <w:lang w:val="en-US" w:eastAsia="zh-CN"/>
        </w:rPr>
        <w:t>、满足上下游人民生产及生活需要、减轻因维修生态节点而产生的负面影响的目的，用科学环保的流域综合开发理念来开发水资源，达到水源开发的最大效益的目标。</w:t>
      </w:r>
      <w:bookmarkEnd w:id="312"/>
      <w:bookmarkEnd w:id="313"/>
      <w:bookmarkEnd w:id="315"/>
      <w:bookmarkStart w:id="317" w:name="_Toc17747"/>
      <w:bookmarkStart w:id="318" w:name="_Toc78885653"/>
      <w:bookmarkStart w:id="319" w:name="_Toc9858"/>
      <w:bookmarkStart w:id="320" w:name="_Toc11901"/>
      <w:r>
        <w:rPr>
          <w:rFonts w:hint="eastAsia"/>
          <w:lang w:val="en-US" w:eastAsia="zh-CN"/>
        </w:rPr>
        <w:br w:type="page"/>
      </w:r>
    </w:p>
    <w:p w14:paraId="2280A190">
      <w:pPr>
        <w:pStyle w:val="2"/>
        <w:bidi w:val="0"/>
        <w:rPr>
          <w:rFonts w:hint="default"/>
          <w:lang w:val="en-US" w:eastAsia="zh-CN"/>
        </w:rPr>
      </w:pPr>
      <w:bookmarkStart w:id="321" w:name="_Toc19615"/>
      <w:r>
        <w:rPr>
          <w:rFonts w:hint="eastAsia"/>
          <w:lang w:val="en-US" w:eastAsia="zh-CN"/>
        </w:rPr>
        <w:t xml:space="preserve">第四章  </w:t>
      </w:r>
      <w:r>
        <w:rPr>
          <w:rFonts w:hint="default"/>
        </w:rPr>
        <w:t>重点</w:t>
      </w:r>
      <w:bookmarkEnd w:id="317"/>
      <w:bookmarkEnd w:id="318"/>
      <w:r>
        <w:rPr>
          <w:rFonts w:hint="default"/>
          <w:lang w:val="en-US" w:eastAsia="zh-CN"/>
        </w:rPr>
        <w:t>任务</w:t>
      </w:r>
      <w:bookmarkEnd w:id="319"/>
      <w:bookmarkEnd w:id="320"/>
      <w:bookmarkEnd w:id="321"/>
    </w:p>
    <w:p w14:paraId="36D7B7E7">
      <w:pPr>
        <w:bidi w:val="0"/>
        <w:jc w:val="both"/>
        <w:rPr>
          <w:rFonts w:hint="default" w:ascii="Times New Roman" w:hAnsi="Times New Roman" w:cs="Times New Roman"/>
          <w:lang w:eastAsia="zh-CN"/>
        </w:rPr>
      </w:pPr>
      <w:bookmarkStart w:id="322" w:name="OLE_LINK17"/>
      <w:r>
        <w:rPr>
          <w:rFonts w:hint="default" w:ascii="Times New Roman" w:hAnsi="Times New Roman" w:cs="Times New Roman"/>
          <w:lang w:val="en-US" w:eastAsia="zh-CN"/>
        </w:rPr>
        <w:t>全面贯彻落实习近平总书记</w:t>
      </w:r>
      <w:r>
        <w:rPr>
          <w:rFonts w:hint="eastAsia" w:cs="Times New Roman"/>
          <w:lang w:val="en-US" w:eastAsia="zh-CN"/>
        </w:rPr>
        <w:t>“</w:t>
      </w:r>
      <w:r>
        <w:rPr>
          <w:rFonts w:hint="default" w:ascii="Times New Roman" w:hAnsi="Times New Roman" w:cs="Times New Roman"/>
          <w:lang w:val="en-US" w:eastAsia="zh-CN"/>
        </w:rPr>
        <w:t>守住湿地生态安全边界</w:t>
      </w:r>
      <w:r>
        <w:rPr>
          <w:rFonts w:hint="eastAsia" w:cs="Times New Roman"/>
          <w:lang w:val="en-US" w:eastAsia="zh-CN"/>
        </w:rPr>
        <w:t>”“</w:t>
      </w:r>
      <w:r>
        <w:rPr>
          <w:rFonts w:hint="default" w:ascii="Times New Roman" w:hAnsi="Times New Roman" w:cs="Times New Roman"/>
          <w:lang w:val="en-US" w:eastAsia="zh-CN"/>
        </w:rPr>
        <w:t>推进湿地保护事业高质量发展</w:t>
      </w:r>
      <w:r>
        <w:rPr>
          <w:rFonts w:hint="eastAsia" w:cs="Times New Roman"/>
          <w:lang w:val="en-US" w:eastAsia="zh-CN"/>
        </w:rPr>
        <w:t>”</w:t>
      </w:r>
      <w:r>
        <w:rPr>
          <w:rFonts w:hint="default" w:ascii="Times New Roman" w:hAnsi="Times New Roman" w:cs="Times New Roman"/>
          <w:lang w:val="en-US" w:eastAsia="zh-CN"/>
        </w:rPr>
        <w:t>等重要指示精神，落实湿地保护修复制度，统筹湿地保护利用需求，增强湿地生态功能，维护湿地生物多样性。</w:t>
      </w:r>
    </w:p>
    <w:p w14:paraId="3C53BB56">
      <w:pPr>
        <w:bidi w:val="0"/>
        <w:jc w:val="both"/>
        <w:rPr>
          <w:rFonts w:hint="default" w:ascii="Times New Roman" w:hAnsi="Times New Roman" w:cs="Times New Roman"/>
          <w:lang w:val="en-US" w:eastAsia="zh-CN"/>
        </w:rPr>
      </w:pPr>
      <w:bookmarkStart w:id="323" w:name="_Toc9332"/>
      <w:r>
        <w:rPr>
          <w:rFonts w:hint="default" w:ascii="Times New Roman" w:hAnsi="Times New Roman" w:cs="Times New Roman"/>
          <w:lang w:val="en-US" w:eastAsia="zh-CN"/>
        </w:rPr>
        <w:t>严格落实《</w:t>
      </w:r>
      <w:r>
        <w:rPr>
          <w:rFonts w:hint="eastAsia" w:cs="Times New Roman"/>
          <w:lang w:val="en-US" w:eastAsia="zh-CN"/>
        </w:rPr>
        <w:t>中华人民共和国湿地保护法</w:t>
      </w:r>
      <w:r>
        <w:rPr>
          <w:rFonts w:hint="default" w:ascii="Times New Roman" w:hAnsi="Times New Roman" w:cs="Times New Roman"/>
          <w:lang w:val="en-US" w:eastAsia="zh-CN"/>
        </w:rPr>
        <w:t>》《新疆维吾尔自治区湿地保护条例》法定职责，完善湿地保护管理制度，健全湿地保护管理体制机制，提升湿地保护管理成效。落实湿地面积总量管控，确保湿地</w:t>
      </w:r>
      <w:r>
        <w:rPr>
          <w:rFonts w:hint="default" w:ascii="Times New Roman" w:hAnsi="Times New Roman" w:cs="Times New Roman"/>
          <w:highlight w:val="none"/>
          <w:lang w:val="en-US" w:eastAsia="zh-CN"/>
        </w:rPr>
        <w:t>总量稳定；积极推进湿地分级管理制度；完善以湿地公园为主体，</w:t>
      </w:r>
      <w:r>
        <w:rPr>
          <w:rFonts w:hint="eastAsia" w:cs="Times New Roman"/>
          <w:highlight w:val="none"/>
          <w:lang w:val="en-US" w:eastAsia="zh-CN"/>
        </w:rPr>
        <w:t>其他保护地</w:t>
      </w:r>
      <w:r>
        <w:rPr>
          <w:rFonts w:hint="default" w:ascii="Times New Roman" w:hAnsi="Times New Roman" w:cs="Times New Roman"/>
          <w:highlight w:val="none"/>
          <w:lang w:val="en-US" w:eastAsia="zh-CN"/>
        </w:rPr>
        <w:t>为补</w:t>
      </w:r>
      <w:r>
        <w:rPr>
          <w:rFonts w:hint="default" w:ascii="Times New Roman" w:hAnsi="Times New Roman" w:cs="Times New Roman"/>
          <w:lang w:val="en-US" w:eastAsia="zh-CN"/>
        </w:rPr>
        <w:t>充的湿地保护体系。</w:t>
      </w:r>
      <w:bookmarkEnd w:id="322"/>
    </w:p>
    <w:p w14:paraId="45C38CA8">
      <w:pPr>
        <w:pStyle w:val="3"/>
        <w:bidi w:val="0"/>
        <w:rPr>
          <w:rFonts w:hint="default"/>
          <w:lang w:val="en-US" w:eastAsia="zh-CN"/>
        </w:rPr>
      </w:pPr>
      <w:bookmarkStart w:id="324" w:name="_Toc16919"/>
      <w:bookmarkStart w:id="325" w:name="_Toc16995"/>
      <w:r>
        <w:rPr>
          <w:rFonts w:hint="eastAsia"/>
          <w:lang w:val="en-US" w:eastAsia="zh-CN"/>
        </w:rPr>
        <w:t xml:space="preserve">第一节  </w:t>
      </w:r>
      <w:bookmarkEnd w:id="323"/>
      <w:bookmarkStart w:id="326" w:name="_Toc4393"/>
      <w:bookmarkStart w:id="327" w:name="_Toc3453"/>
      <w:r>
        <w:rPr>
          <w:rFonts w:hint="eastAsia"/>
          <w:lang w:val="en-US" w:eastAsia="zh-CN"/>
        </w:rPr>
        <w:t>实行</w:t>
      </w:r>
      <w:r>
        <w:rPr>
          <w:rFonts w:hint="default"/>
          <w:lang w:val="en-US" w:eastAsia="zh-CN"/>
        </w:rPr>
        <w:t>湿地面积总量管控</w:t>
      </w:r>
      <w:bookmarkEnd w:id="324"/>
      <w:bookmarkEnd w:id="325"/>
      <w:bookmarkEnd w:id="326"/>
      <w:bookmarkEnd w:id="327"/>
    </w:p>
    <w:p w14:paraId="28FEE4CE">
      <w:pPr>
        <w:bidi w:val="0"/>
        <w:jc w:val="both"/>
        <w:rPr>
          <w:rFonts w:hint="eastAsia" w:cs="Times New Roman"/>
          <w:lang w:val="en-US" w:eastAsia="zh-CN"/>
        </w:rPr>
      </w:pPr>
      <w:bookmarkStart w:id="328" w:name="OLE_LINK18"/>
      <w:r>
        <w:rPr>
          <w:rFonts w:hint="eastAsia" w:cs="Times New Roman"/>
          <w:b/>
          <w:bCs/>
          <w:lang w:val="en-US" w:eastAsia="zh-CN"/>
        </w:rPr>
        <w:t>落实总量管控制度。</w:t>
      </w:r>
      <w:r>
        <w:rPr>
          <w:rFonts w:hint="default" w:ascii="Times New Roman" w:hAnsi="Times New Roman" w:cs="Times New Roman"/>
          <w:lang w:val="en-US" w:eastAsia="zh-CN"/>
        </w:rPr>
        <w:t>按照《中华人民共和国湿地保护法》《中华人民共和国水法》《新疆维吾尔自治区湿地保护条例》等法律法规，</w:t>
      </w:r>
      <w:r>
        <w:rPr>
          <w:rFonts w:hint="eastAsia" w:cs="Times New Roman"/>
          <w:lang w:val="en-US" w:eastAsia="zh-CN"/>
        </w:rPr>
        <w:t>州级林草主管部门会同自然资源、水利、住房和城乡建设、生态环境、农业等有关部门，根据全州湿地资源状况、自然变化情况和面积总量管控要求，</w:t>
      </w:r>
      <w:r>
        <w:rPr>
          <w:rFonts w:hint="default" w:ascii="Times New Roman" w:hAnsi="Times New Roman" w:cs="Times New Roman"/>
          <w:highlight w:val="none"/>
          <w:lang w:val="en-US" w:eastAsia="zh-CN"/>
        </w:rPr>
        <w:t>以2022年发布的</w:t>
      </w:r>
      <w:r>
        <w:rPr>
          <w:rFonts w:hint="eastAsia" w:cs="Times New Roman"/>
          <w:highlight w:val="none"/>
          <w:lang w:val="en-US" w:eastAsia="zh-CN"/>
        </w:rPr>
        <w:t>“</w:t>
      </w:r>
      <w:r>
        <w:rPr>
          <w:rFonts w:hint="default" w:ascii="Times New Roman" w:hAnsi="Times New Roman" w:cs="Times New Roman"/>
          <w:highlight w:val="none"/>
          <w:lang w:val="en-US" w:eastAsia="zh-CN"/>
        </w:rPr>
        <w:t>新疆维吾尔自治区第三次全国国土调查主要数据公报</w:t>
      </w:r>
      <w:r>
        <w:rPr>
          <w:rFonts w:hint="eastAsia" w:cs="Times New Roman"/>
          <w:highlight w:val="none"/>
          <w:lang w:val="en-US" w:eastAsia="zh-CN"/>
        </w:rPr>
        <w:t>”</w:t>
      </w:r>
      <w:r>
        <w:rPr>
          <w:rFonts w:hint="default" w:ascii="Times New Roman" w:hAnsi="Times New Roman" w:cs="Times New Roman"/>
          <w:highlight w:val="none"/>
          <w:lang w:val="en-US" w:eastAsia="zh-CN"/>
        </w:rPr>
        <w:t>为</w:t>
      </w:r>
      <w:r>
        <w:rPr>
          <w:rFonts w:hint="default" w:ascii="Times New Roman" w:hAnsi="Times New Roman" w:cs="Times New Roman"/>
          <w:lang w:val="en-US" w:eastAsia="zh-CN"/>
        </w:rPr>
        <w:t>基础，科学确定湿地面积总量管控目标，确保湿地总量稳定。将湿地面积总量管控目标纳入</w:t>
      </w:r>
      <w:r>
        <w:rPr>
          <w:rFonts w:hint="eastAsia" w:ascii="仿宋" w:hAnsi="仿宋" w:eastAsia="仿宋" w:cs="仿宋"/>
          <w:i w:val="0"/>
          <w:iCs w:val="0"/>
          <w:caps w:val="0"/>
          <w:color w:val="333333"/>
          <w:spacing w:val="0"/>
          <w:sz w:val="31"/>
          <w:szCs w:val="31"/>
          <w:shd w:val="clear" w:fill="FFFFFF"/>
        </w:rPr>
        <w:t>资源目标责任制考核和</w:t>
      </w:r>
      <w:r>
        <w:rPr>
          <w:rFonts w:hint="default" w:ascii="Times New Roman" w:hAnsi="Times New Roman" w:cs="Times New Roman"/>
          <w:lang w:val="en-US" w:eastAsia="zh-CN"/>
        </w:rPr>
        <w:t>林长制考核指标体系</w:t>
      </w:r>
      <w:r>
        <w:rPr>
          <w:rFonts w:hint="eastAsia" w:cs="Times New Roman"/>
          <w:lang w:val="en-US" w:eastAsia="zh-CN"/>
        </w:rPr>
        <w:t>，采取有效措施，分解落实各县市湿地面积管控目标和相关要求，压实湿地保护责任，保持湿地面积指标的动态平衡，守住湿地生态安全底线。</w:t>
      </w:r>
      <w:bookmarkEnd w:id="328"/>
      <w:r>
        <w:rPr>
          <w:rFonts w:hint="eastAsia" w:cs="Times New Roman"/>
          <w:lang w:val="en-US" w:eastAsia="zh-CN"/>
        </w:rPr>
        <w:br w:type="page"/>
      </w:r>
    </w:p>
    <w:p w14:paraId="766BC98A">
      <w:pPr>
        <w:keepNext w:val="0"/>
        <w:keepLines w:val="0"/>
        <w:pageBreakBefore w:val="0"/>
        <w:widowControl w:val="0"/>
        <w:kinsoku/>
        <w:wordWrap/>
        <w:overflowPunct/>
        <w:topLinePunct w:val="0"/>
        <w:autoSpaceDE/>
        <w:autoSpaceDN/>
        <w:bidi w:val="0"/>
        <w:adjustRightInd w:val="0"/>
        <w:snapToGrid w:val="0"/>
        <w:ind w:left="0" w:leftChars="0" w:firstLine="602" w:firstLineChars="200"/>
        <w:jc w:val="both"/>
        <w:textAlignment w:val="auto"/>
        <w:rPr>
          <w:rFonts w:hint="default" w:ascii="Times New Roman" w:hAnsi="Times New Roman" w:cs="Times New Roman"/>
        </w:rPr>
      </w:pPr>
      <w:bookmarkStart w:id="329" w:name="OLE_LINK19"/>
      <w:r>
        <w:rPr>
          <w:rFonts w:hint="eastAsia" w:cs="Times New Roman"/>
          <w:b/>
          <w:bCs/>
          <w:lang w:val="en-US" w:eastAsia="zh-CN"/>
        </w:rPr>
        <w:t>严格控制占用湿地。</w:t>
      </w:r>
      <w:r>
        <w:rPr>
          <w:rFonts w:hint="default" w:ascii="Times New Roman" w:hAnsi="Times New Roman" w:cs="Times New Roman"/>
          <w:lang w:val="en-US" w:eastAsia="zh-CN"/>
        </w:rPr>
        <w:t>各县市严格控制占用湿地，加强征占用湿地管理</w:t>
      </w:r>
      <w:r>
        <w:rPr>
          <w:rFonts w:hint="default" w:cs="Times New Roman"/>
          <w:lang w:val="en-US" w:eastAsia="zh-CN"/>
        </w:rPr>
        <w:t>，</w:t>
      </w:r>
      <w:r>
        <w:rPr>
          <w:rFonts w:hint="eastAsia" w:cs="Times New Roman"/>
          <w:lang w:val="en-US" w:eastAsia="zh-CN"/>
        </w:rPr>
        <w:t>除国家和自治区重点建设工程、基础设施建设，以及重点公益性项目建设外，严格限制占用湿地。建设项目选址、选线应当避让湿地，无法避让的应当尽量减少占用，</w:t>
      </w:r>
      <w:r>
        <w:rPr>
          <w:rFonts w:hint="default" w:ascii="Times New Roman" w:hAnsi="Times New Roman" w:cs="Times New Roman"/>
          <w:lang w:val="en-US" w:eastAsia="zh-CN"/>
        </w:rPr>
        <w:t>落实好占用湿地的占补平衡，</w:t>
      </w:r>
      <w:r>
        <w:rPr>
          <w:rFonts w:hint="eastAsia" w:cs="Times New Roman"/>
          <w:lang w:val="en-US" w:eastAsia="zh-CN"/>
        </w:rPr>
        <w:t>并采取必要措施减轻对湿地生态功能的不利影响</w:t>
      </w:r>
      <w:r>
        <w:rPr>
          <w:rFonts w:hint="default" w:ascii="Times New Roman" w:hAnsi="Times New Roman" w:cs="Times New Roman"/>
          <w:lang w:val="en-US" w:eastAsia="zh-CN"/>
        </w:rPr>
        <w:t>。根据</w:t>
      </w:r>
      <w:r>
        <w:rPr>
          <w:rFonts w:hint="eastAsia" w:cs="Times New Roman"/>
          <w:lang w:val="en-US" w:eastAsia="zh-CN"/>
        </w:rPr>
        <w:t>《自然资源部 生态环</w:t>
      </w:r>
      <w:r>
        <w:rPr>
          <w:rFonts w:hint="eastAsia" w:ascii="Times New Roman" w:hAnsi="Times New Roman" w:cs="Times New Roman"/>
          <w:lang w:val="en-US" w:eastAsia="zh-CN"/>
        </w:rPr>
        <w:t>境部 国家林业和</w:t>
      </w:r>
      <w:r>
        <w:rPr>
          <w:rFonts w:hint="eastAsia" w:cs="Times New Roman"/>
          <w:lang w:val="en-US" w:eastAsia="zh-CN"/>
        </w:rPr>
        <w:t>草原局</w:t>
      </w:r>
      <w:r>
        <w:rPr>
          <w:rFonts w:hint="eastAsia" w:ascii="Times New Roman" w:hAnsi="Times New Roman" w:cs="Times New Roman"/>
          <w:lang w:val="en-US" w:eastAsia="zh-CN"/>
        </w:rPr>
        <w:t>有关于加强生态保护红线管理的通知（试行）》（</w:t>
      </w:r>
      <w:r>
        <w:rPr>
          <w:rFonts w:hint="default" w:ascii="Times New Roman" w:hAnsi="Times New Roman" w:cs="Times New Roman"/>
          <w:lang w:val="en-US" w:eastAsia="zh-CN"/>
        </w:rPr>
        <w:t>自然资发〔2022〕142号</w:t>
      </w:r>
      <w:r>
        <w:rPr>
          <w:rFonts w:hint="eastAsia" w:ascii="Times New Roman" w:hAnsi="Times New Roman" w:cs="Times New Roman"/>
          <w:lang w:val="en-US" w:eastAsia="zh-CN"/>
        </w:rPr>
        <w:t>）</w:t>
      </w:r>
      <w:r>
        <w:rPr>
          <w:rFonts w:hint="eastAsia" w:cs="Times New Roman"/>
          <w:lang w:val="en-US" w:eastAsia="zh-CN"/>
        </w:rPr>
        <w:t>、《关于加强自治区生态保护红线的通知（试行）》（新自然资发〔2024〕56号）、《湿地恢复费缴纳和使用管理暂行办法》等相关规定，</w:t>
      </w:r>
      <w:r>
        <w:rPr>
          <w:rFonts w:hint="default" w:ascii="Times New Roman" w:hAnsi="Times New Roman" w:cs="Times New Roman"/>
          <w:lang w:val="en-US" w:eastAsia="zh-CN"/>
        </w:rPr>
        <w:t>守好湿地生态空间</w:t>
      </w:r>
      <w:r>
        <w:rPr>
          <w:rFonts w:hint="eastAsia" w:cs="Times New Roman"/>
          <w:lang w:val="en-US" w:eastAsia="zh-CN"/>
        </w:rPr>
        <w:t>，</w:t>
      </w:r>
      <w:r>
        <w:rPr>
          <w:rFonts w:hint="default" w:ascii="Times New Roman" w:hAnsi="Times New Roman" w:cs="Times New Roman"/>
          <w:lang w:val="en-US" w:eastAsia="zh-CN"/>
        </w:rPr>
        <w:t>严格审批国家重大项目占用，从严把关生态保护红线调整，强化生态保护红线监管。</w:t>
      </w:r>
    </w:p>
    <w:bookmarkEnd w:id="329"/>
    <w:p w14:paraId="432BCF7A">
      <w:pPr>
        <w:pStyle w:val="3"/>
        <w:bidi w:val="0"/>
        <w:rPr>
          <w:rFonts w:hint="default"/>
          <w:lang w:val="en-US" w:eastAsia="zh-CN"/>
        </w:rPr>
      </w:pPr>
      <w:bookmarkStart w:id="330" w:name="_Toc20145"/>
      <w:bookmarkStart w:id="331" w:name="_Toc19954"/>
      <w:bookmarkStart w:id="332" w:name="_Toc9561"/>
      <w:r>
        <w:rPr>
          <w:rFonts w:hint="eastAsia"/>
          <w:lang w:val="en-US" w:eastAsia="zh-CN"/>
        </w:rPr>
        <w:t>第二节  落实湿地分级管理制度</w:t>
      </w:r>
      <w:bookmarkEnd w:id="330"/>
      <w:bookmarkEnd w:id="331"/>
      <w:bookmarkEnd w:id="332"/>
    </w:p>
    <w:p w14:paraId="34D69F5A">
      <w:pPr>
        <w:bidi w:val="0"/>
        <w:jc w:val="both"/>
        <w:rPr>
          <w:rFonts w:hint="eastAsia"/>
          <w:lang w:val="en-US" w:eastAsia="zh-CN"/>
        </w:rPr>
      </w:pPr>
      <w:bookmarkStart w:id="333" w:name="OLE_LINK20"/>
      <w:r>
        <w:rPr>
          <w:rFonts w:hint="eastAsia"/>
          <w:lang w:val="en-US" w:eastAsia="zh-CN"/>
        </w:rPr>
        <w:t>根据《新疆维吾尔自治区湿地名录管理办法》《关于发布第二批自治区重要湿地名录的通知》（新林湿字〔</w:t>
      </w:r>
      <w:r>
        <w:rPr>
          <w:rFonts w:hint="default"/>
          <w:lang w:val="en-US" w:eastAsia="zh-CN"/>
        </w:rPr>
        <w:t>2023</w:t>
      </w:r>
      <w:r>
        <w:rPr>
          <w:rFonts w:hint="eastAsia"/>
          <w:lang w:val="en-US" w:eastAsia="zh-CN"/>
        </w:rPr>
        <w:t>〕</w:t>
      </w:r>
      <w:r>
        <w:rPr>
          <w:rFonts w:hint="default"/>
          <w:lang w:val="en-US" w:eastAsia="zh-CN"/>
        </w:rPr>
        <w:t>127</w:t>
      </w:r>
      <w:r>
        <w:rPr>
          <w:rFonts w:hint="eastAsia"/>
          <w:lang w:val="en-US" w:eastAsia="zh-CN"/>
        </w:rPr>
        <w:t>号），按照生态区位、生态功能和生物多样性等重要程度，将昌吉回族自治州湿地划分为重要湿地和一般湿地，实行湿地分级管理制度。各县市应根据分级管理制度，推动重要湿地和一般湿地分级管理工作，建立湿地名录管理数据档案，规范湿地名录管理。</w:t>
      </w:r>
    </w:p>
    <w:p w14:paraId="433EF759">
      <w:pPr>
        <w:bidi w:val="0"/>
        <w:jc w:val="both"/>
        <w:rPr>
          <w:rFonts w:hint="eastAsia" w:cs="Times New Roman"/>
          <w:sz w:val="30"/>
          <w:szCs w:val="32"/>
          <w:lang w:val="en-US" w:eastAsia="zh-CN" w:bidi="ar-SA"/>
        </w:rPr>
      </w:pPr>
      <w:r>
        <w:rPr>
          <w:rFonts w:hint="eastAsia" w:cs="Times New Roman"/>
          <w:sz w:val="30"/>
          <w:szCs w:val="32"/>
          <w:lang w:val="en-US" w:eastAsia="zh-CN" w:bidi="ar-SA"/>
        </w:rPr>
        <w:t>通过自然保护区、湿地公园、风景名胜区等，结合林长制、河湖长制等工作机制，建立多类型多机制的湿地保护功能的综合保护形式，对自治区重要湿地、划入生态保护红线的湿地等湿地资源进行针对性保护，形成全州湿地资源保护体系，推动湿地保护事业高质量发展。</w:t>
      </w:r>
    </w:p>
    <w:p w14:paraId="1206D590">
      <w:pPr>
        <w:bidi w:val="0"/>
        <w:jc w:val="both"/>
        <w:rPr>
          <w:rFonts w:hint="eastAsia" w:cs="Times New Roman"/>
          <w:sz w:val="30"/>
          <w:szCs w:val="32"/>
          <w:lang w:val="en-US" w:eastAsia="zh-CN" w:bidi="ar-SA"/>
        </w:rPr>
      </w:pPr>
      <w:r>
        <w:rPr>
          <w:rFonts w:hint="eastAsia" w:cs="Times New Roman"/>
          <w:sz w:val="30"/>
          <w:szCs w:val="32"/>
          <w:lang w:val="en-US" w:eastAsia="zh-CN" w:bidi="ar-SA"/>
        </w:rPr>
        <w:t>鼓励各县市申报</w:t>
      </w:r>
      <w:r>
        <w:rPr>
          <w:rFonts w:hint="eastAsia" w:cs="Times New Roman"/>
          <w:strike w:val="0"/>
          <w:dstrike w:val="0"/>
          <w:sz w:val="30"/>
          <w:szCs w:val="32"/>
          <w:highlight w:val="none"/>
          <w:lang w:val="en-US" w:eastAsia="zh-CN" w:bidi="ar-SA"/>
        </w:rPr>
        <w:t>国家重要湿地、</w:t>
      </w:r>
      <w:r>
        <w:rPr>
          <w:rFonts w:hint="eastAsia" w:cs="Times New Roman"/>
          <w:sz w:val="30"/>
          <w:szCs w:val="32"/>
          <w:lang w:val="en-US" w:eastAsia="zh-CN" w:bidi="ar-SA"/>
        </w:rPr>
        <w:t>自治区重要湿地，提供湿地保护与修复示范，有效提高区域湿地保护面积，提升各类保护地的保护管理能力。</w:t>
      </w:r>
    </w:p>
    <w:p w14:paraId="5BB27511">
      <w:pPr>
        <w:bidi w:val="0"/>
        <w:jc w:val="both"/>
        <w:rPr>
          <w:rFonts w:hint="default" w:cs="Times New Roman"/>
          <w:sz w:val="30"/>
          <w:szCs w:val="32"/>
          <w:lang w:val="en-US" w:eastAsia="zh-CN" w:bidi="ar-SA"/>
        </w:rPr>
      </w:pPr>
      <w:r>
        <w:rPr>
          <w:rFonts w:hint="eastAsia" w:cs="Times New Roman"/>
          <w:sz w:val="30"/>
          <w:szCs w:val="32"/>
          <w:lang w:val="en-US" w:eastAsia="zh-CN" w:bidi="ar-SA"/>
        </w:rPr>
        <w:t>依据《新疆重要湿地认定和名录发布规定》，昌吉回族自治州现有自治区重要湿地1处，即新疆呼图壁县大海子自治区重要湿地。计划申报国家重要湿地2处，玛纳斯湿地及呼图壁县大海子湿地；申报自治区重要湿地3处，玛纳斯湿地、吉木萨尔北庭湿地及阜康特纳格尔湿地。各县市将湿地公园以外的具有显著生态功能的湿地纳入一般湿地名录，到2030年前，所有县市全部完成一般湿地名录发布，并严格依据《湿地保护法》《新疆维吾尔自治区湿地保护条例》要求，实施名录管理。</w:t>
      </w:r>
    </w:p>
    <w:bookmarkEnd w:id="333"/>
    <w:p w14:paraId="40D1B2A7">
      <w:pPr>
        <w:bidi w:val="0"/>
        <w:jc w:val="center"/>
        <w:rPr>
          <w:rFonts w:hint="eastAsia" w:cs="Times New Roman"/>
          <w:highlight w:val="none"/>
          <w:lang w:val="en-US" w:eastAsia="zh-CN"/>
        </w:rPr>
      </w:pPr>
      <w:r>
        <w:rPr>
          <w:rFonts w:hint="eastAsia" w:cs="Times New Roman"/>
          <w:sz w:val="30"/>
          <w:szCs w:val="32"/>
          <w:lang w:val="en-US" w:eastAsia="zh-CN" w:bidi="ar-SA"/>
        </w:rPr>
        <w:t>表4-</w:t>
      </w:r>
      <w:r>
        <w:rPr>
          <w:rFonts w:hint="eastAsia" w:cs="Times New Roman"/>
          <w:sz w:val="30"/>
          <w:szCs w:val="32"/>
          <w:highlight w:val="none"/>
          <w:lang w:val="en-US" w:eastAsia="zh-CN" w:bidi="ar-SA"/>
        </w:rPr>
        <w:t xml:space="preserve">2  </w:t>
      </w:r>
      <w:r>
        <w:rPr>
          <w:rFonts w:hint="eastAsia" w:cs="Times New Roman"/>
          <w:highlight w:val="none"/>
          <w:lang w:val="en-US" w:eastAsia="zh-CN"/>
        </w:rPr>
        <w:t>昌吉回族自治州重要湿地申报表</w:t>
      </w:r>
    </w:p>
    <w:tbl>
      <w:tblPr>
        <w:tblStyle w:val="17"/>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3169"/>
        <w:gridCol w:w="2750"/>
        <w:gridCol w:w="2603"/>
      </w:tblGrid>
      <w:tr w14:paraId="1B3F23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0" w:hRule="atLeast"/>
        </w:trPr>
        <w:tc>
          <w:tcPr>
            <w:tcW w:w="1859" w:type="pct"/>
            <w:tcBorders>
              <w:tl2br w:val="nil"/>
              <w:tr2bl w:val="nil"/>
            </w:tcBorders>
            <w:shd w:val="clear" w:color="auto" w:fill="auto"/>
            <w:noWrap/>
            <w:vAlign w:val="center"/>
          </w:tcPr>
          <w:p w14:paraId="504E1FC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现有自治区重要湿地（1）</w:t>
            </w:r>
          </w:p>
        </w:tc>
        <w:tc>
          <w:tcPr>
            <w:tcW w:w="1613" w:type="pct"/>
            <w:tcBorders>
              <w:tl2br w:val="nil"/>
              <w:tr2bl w:val="nil"/>
            </w:tcBorders>
            <w:shd w:val="clear" w:color="auto" w:fill="auto"/>
            <w:noWrap/>
            <w:vAlign w:val="center"/>
          </w:tcPr>
          <w:p w14:paraId="4EF8B9B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申报国家重要湿地（2）</w:t>
            </w:r>
          </w:p>
        </w:tc>
        <w:tc>
          <w:tcPr>
            <w:tcW w:w="1527" w:type="pct"/>
            <w:tcBorders>
              <w:tl2br w:val="nil"/>
              <w:tr2bl w:val="nil"/>
            </w:tcBorders>
            <w:shd w:val="clear" w:color="auto" w:fill="auto"/>
            <w:noWrap/>
            <w:vAlign w:val="center"/>
          </w:tcPr>
          <w:p w14:paraId="09CD4B0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申报自治区重要湿地（</w:t>
            </w:r>
            <w:r>
              <w:rPr>
                <w:rFonts w:hint="eastAsia" w:ascii="仿宋" w:hAnsi="仿宋" w:cs="仿宋"/>
                <w:b/>
                <w:bCs/>
                <w:i w:val="0"/>
                <w:iCs w:val="0"/>
                <w:color w:val="000000"/>
                <w:kern w:val="0"/>
                <w:sz w:val="28"/>
                <w:szCs w:val="28"/>
                <w:u w:val="none"/>
                <w:lang w:val="en-US" w:eastAsia="zh-CN" w:bidi="ar"/>
              </w:rPr>
              <w:t>3</w:t>
            </w:r>
            <w:r>
              <w:rPr>
                <w:rFonts w:hint="eastAsia" w:ascii="仿宋" w:hAnsi="仿宋" w:eastAsia="仿宋" w:cs="仿宋"/>
                <w:b/>
                <w:bCs/>
                <w:i w:val="0"/>
                <w:iCs w:val="0"/>
                <w:color w:val="000000"/>
                <w:kern w:val="0"/>
                <w:sz w:val="28"/>
                <w:szCs w:val="28"/>
                <w:u w:val="none"/>
                <w:lang w:val="en-US" w:eastAsia="zh-CN" w:bidi="ar"/>
              </w:rPr>
              <w:t>）</w:t>
            </w:r>
          </w:p>
        </w:tc>
      </w:tr>
      <w:tr w14:paraId="4B7383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1859" w:type="pct"/>
            <w:tcBorders>
              <w:tl2br w:val="nil"/>
              <w:tr2bl w:val="nil"/>
            </w:tcBorders>
            <w:shd w:val="clear" w:color="auto" w:fill="auto"/>
            <w:noWrap/>
            <w:vAlign w:val="center"/>
          </w:tcPr>
          <w:p w14:paraId="79DB460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新疆呼图壁县大海子自治区重要湿地</w:t>
            </w:r>
          </w:p>
        </w:tc>
        <w:tc>
          <w:tcPr>
            <w:tcW w:w="1613" w:type="pct"/>
            <w:tcBorders>
              <w:tl2br w:val="nil"/>
              <w:tr2bl w:val="nil"/>
            </w:tcBorders>
            <w:shd w:val="clear" w:color="auto" w:fill="auto"/>
            <w:noWrap/>
            <w:vAlign w:val="center"/>
          </w:tcPr>
          <w:p w14:paraId="5C875CB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玛纳斯</w:t>
            </w:r>
            <w:r>
              <w:rPr>
                <w:rFonts w:hint="eastAsia" w:ascii="仿宋" w:hAnsi="仿宋" w:cs="仿宋"/>
                <w:i w:val="0"/>
                <w:iCs w:val="0"/>
                <w:color w:val="000000"/>
                <w:kern w:val="0"/>
                <w:sz w:val="28"/>
                <w:szCs w:val="28"/>
                <w:u w:val="none"/>
                <w:lang w:val="en-US" w:eastAsia="zh-CN" w:bidi="ar"/>
              </w:rPr>
              <w:t>湿地</w:t>
            </w:r>
          </w:p>
        </w:tc>
        <w:tc>
          <w:tcPr>
            <w:tcW w:w="1527" w:type="pct"/>
            <w:tcBorders>
              <w:tl2br w:val="nil"/>
              <w:tr2bl w:val="nil"/>
            </w:tcBorders>
            <w:shd w:val="clear" w:color="auto" w:fill="auto"/>
            <w:noWrap/>
            <w:vAlign w:val="center"/>
          </w:tcPr>
          <w:p w14:paraId="05F8014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玛纳斯湿地</w:t>
            </w:r>
          </w:p>
        </w:tc>
      </w:tr>
      <w:tr w14:paraId="013E2D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1859" w:type="pct"/>
            <w:tcBorders>
              <w:tl2br w:val="nil"/>
              <w:tr2bl w:val="nil"/>
            </w:tcBorders>
            <w:shd w:val="clear" w:color="auto" w:fill="auto"/>
            <w:noWrap/>
            <w:vAlign w:val="center"/>
          </w:tcPr>
          <w:p w14:paraId="31DAF2F3">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8"/>
                <w:szCs w:val="28"/>
                <w:u w:val="none"/>
              </w:rPr>
            </w:pPr>
          </w:p>
        </w:tc>
        <w:tc>
          <w:tcPr>
            <w:tcW w:w="1613" w:type="pct"/>
            <w:tcBorders>
              <w:tl2br w:val="nil"/>
              <w:tr2bl w:val="nil"/>
            </w:tcBorders>
            <w:shd w:val="clear" w:color="auto" w:fill="auto"/>
            <w:noWrap/>
            <w:vAlign w:val="center"/>
          </w:tcPr>
          <w:p w14:paraId="65EE236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呼图壁县大海子湿地</w:t>
            </w:r>
          </w:p>
        </w:tc>
        <w:tc>
          <w:tcPr>
            <w:tcW w:w="1527" w:type="pct"/>
            <w:tcBorders>
              <w:tl2br w:val="nil"/>
              <w:tr2bl w:val="nil"/>
            </w:tcBorders>
            <w:shd w:val="clear" w:color="auto" w:fill="auto"/>
            <w:noWrap/>
            <w:vAlign w:val="center"/>
          </w:tcPr>
          <w:p w14:paraId="786F1ED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吉木萨尔</w:t>
            </w:r>
            <w:r>
              <w:rPr>
                <w:rFonts w:hint="eastAsia" w:ascii="仿宋" w:hAnsi="仿宋" w:cs="仿宋"/>
                <w:i w:val="0"/>
                <w:iCs w:val="0"/>
                <w:color w:val="000000"/>
                <w:kern w:val="0"/>
                <w:sz w:val="28"/>
                <w:szCs w:val="28"/>
                <w:u w:val="none"/>
                <w:lang w:val="en-US" w:eastAsia="zh-CN" w:bidi="ar"/>
              </w:rPr>
              <w:t>北庭</w:t>
            </w:r>
            <w:r>
              <w:rPr>
                <w:rFonts w:hint="eastAsia" w:ascii="仿宋" w:hAnsi="仿宋" w:eastAsia="仿宋" w:cs="仿宋"/>
                <w:i w:val="0"/>
                <w:iCs w:val="0"/>
                <w:color w:val="000000"/>
                <w:kern w:val="0"/>
                <w:sz w:val="28"/>
                <w:szCs w:val="28"/>
                <w:u w:val="none"/>
                <w:lang w:val="en-US" w:eastAsia="zh-CN" w:bidi="ar"/>
              </w:rPr>
              <w:t>湿地</w:t>
            </w:r>
          </w:p>
        </w:tc>
      </w:tr>
      <w:tr w14:paraId="2D5552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1859" w:type="pct"/>
            <w:tcBorders>
              <w:tl2br w:val="nil"/>
              <w:tr2bl w:val="nil"/>
            </w:tcBorders>
            <w:shd w:val="clear" w:color="auto" w:fill="auto"/>
            <w:noWrap/>
            <w:vAlign w:val="center"/>
          </w:tcPr>
          <w:p w14:paraId="309FC9C4">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8"/>
                <w:szCs w:val="28"/>
                <w:u w:val="none"/>
              </w:rPr>
            </w:pPr>
          </w:p>
        </w:tc>
        <w:tc>
          <w:tcPr>
            <w:tcW w:w="1613" w:type="pct"/>
            <w:tcBorders>
              <w:tl2br w:val="nil"/>
              <w:tr2bl w:val="nil"/>
            </w:tcBorders>
            <w:shd w:val="clear" w:color="auto" w:fill="auto"/>
            <w:noWrap/>
            <w:vAlign w:val="center"/>
          </w:tcPr>
          <w:p w14:paraId="6DB7EB9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p>
        </w:tc>
        <w:tc>
          <w:tcPr>
            <w:tcW w:w="1527" w:type="pct"/>
            <w:tcBorders>
              <w:tl2br w:val="nil"/>
              <w:tr2bl w:val="nil"/>
            </w:tcBorders>
            <w:shd w:val="clear" w:color="auto" w:fill="auto"/>
            <w:noWrap/>
            <w:vAlign w:val="center"/>
          </w:tcPr>
          <w:p w14:paraId="5A4571C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阜康特纳格尔湿地</w:t>
            </w:r>
          </w:p>
        </w:tc>
      </w:tr>
    </w:tbl>
    <w:p w14:paraId="4741F5F9">
      <w:pPr>
        <w:bidi w:val="0"/>
        <w:jc w:val="center"/>
        <w:rPr>
          <w:rFonts w:hint="default" w:cs="Times New Roman"/>
          <w:lang w:val="en-US" w:eastAsia="zh-CN"/>
        </w:rPr>
      </w:pPr>
    </w:p>
    <w:p w14:paraId="10D46F79">
      <w:pPr>
        <w:pStyle w:val="3"/>
        <w:bidi w:val="0"/>
        <w:rPr>
          <w:rFonts w:hint="default"/>
          <w:lang w:val="en-US" w:eastAsia="zh-CN"/>
        </w:rPr>
      </w:pPr>
      <w:bookmarkStart w:id="334" w:name="_Toc9508"/>
      <w:bookmarkStart w:id="335" w:name="_Toc6659"/>
      <w:bookmarkStart w:id="336" w:name="_Toc9075"/>
      <w:bookmarkStart w:id="337" w:name="_Toc224"/>
      <w:bookmarkStart w:id="338" w:name="_Toc18473"/>
      <w:bookmarkStart w:id="339" w:name="_Toc18017"/>
      <w:r>
        <w:rPr>
          <w:rFonts w:hint="eastAsia"/>
          <w:lang w:val="en-US" w:eastAsia="zh-CN"/>
        </w:rPr>
        <w:t xml:space="preserve">第三节  </w:t>
      </w:r>
      <w:r>
        <w:rPr>
          <w:rFonts w:hint="default"/>
          <w:lang w:val="en-US" w:eastAsia="zh-CN"/>
        </w:rPr>
        <w:t>完善湿地保护体系</w:t>
      </w:r>
      <w:bookmarkEnd w:id="334"/>
      <w:bookmarkEnd w:id="335"/>
      <w:bookmarkEnd w:id="336"/>
      <w:r>
        <w:rPr>
          <w:rFonts w:hint="eastAsia"/>
          <w:lang w:val="en-US" w:eastAsia="zh-CN"/>
        </w:rPr>
        <w:t>建设</w:t>
      </w:r>
      <w:bookmarkEnd w:id="337"/>
    </w:p>
    <w:p w14:paraId="108F326E">
      <w:pPr>
        <w:bidi w:val="0"/>
        <w:jc w:val="both"/>
        <w:rPr>
          <w:rFonts w:hint="default" w:ascii="Times New Roman" w:hAnsi="Times New Roman" w:cs="Times New Roman"/>
          <w:highlight w:val="none"/>
          <w:lang w:val="en-US" w:eastAsia="zh-CN"/>
        </w:rPr>
      </w:pPr>
      <w:bookmarkStart w:id="340" w:name="OLE_LINK21"/>
      <w:r>
        <w:rPr>
          <w:rFonts w:hint="default" w:ascii="Times New Roman" w:hAnsi="Times New Roman" w:cs="Times New Roman"/>
          <w:lang w:val="en-US" w:eastAsia="zh-CN"/>
        </w:rPr>
        <w:t>依托</w:t>
      </w:r>
      <w:r>
        <w:rPr>
          <w:rFonts w:hint="eastAsia" w:cs="Times New Roman"/>
          <w:lang w:val="en-US" w:eastAsia="zh-CN"/>
        </w:rPr>
        <w:t>昌吉回族自治州</w:t>
      </w:r>
      <w:r>
        <w:rPr>
          <w:rFonts w:hint="default" w:ascii="Times New Roman" w:hAnsi="Times New Roman" w:cs="Times New Roman"/>
          <w:lang w:val="en-US" w:eastAsia="zh-CN"/>
        </w:rPr>
        <w:t>现有湿地</w:t>
      </w:r>
      <w:r>
        <w:rPr>
          <w:rFonts w:hint="eastAsia" w:cs="Times New Roman"/>
          <w:lang w:val="en-US" w:eastAsia="zh-CN"/>
        </w:rPr>
        <w:t>公园</w:t>
      </w:r>
      <w:r>
        <w:rPr>
          <w:rFonts w:hint="default" w:ascii="Times New Roman" w:hAnsi="Times New Roman" w:cs="Times New Roman"/>
          <w:lang w:val="en-US" w:eastAsia="zh-CN"/>
        </w:rPr>
        <w:t>、饮用水源保护区等，构建以</w:t>
      </w:r>
      <w:r>
        <w:rPr>
          <w:rFonts w:hint="eastAsia" w:cs="Times New Roman"/>
          <w:lang w:val="en-US" w:eastAsia="zh-CN"/>
        </w:rPr>
        <w:t>湿地公园</w:t>
      </w:r>
      <w:r>
        <w:rPr>
          <w:rFonts w:hint="default" w:ascii="Times New Roman" w:hAnsi="Times New Roman" w:cs="Times New Roman"/>
          <w:lang w:val="en-US" w:eastAsia="zh-CN"/>
        </w:rPr>
        <w:t>为主体</w:t>
      </w:r>
      <w:r>
        <w:rPr>
          <w:rFonts w:hint="eastAsia" w:ascii="Times New Roman" w:hAnsi="Times New Roman" w:cs="Times New Roman"/>
          <w:lang w:val="en-US" w:eastAsia="zh-CN"/>
        </w:rPr>
        <w:t>、其他保护</w:t>
      </w:r>
      <w:r>
        <w:rPr>
          <w:rFonts w:hint="eastAsia" w:cs="Times New Roman"/>
          <w:lang w:val="en-US" w:eastAsia="zh-CN"/>
        </w:rPr>
        <w:t>地</w:t>
      </w:r>
      <w:r>
        <w:rPr>
          <w:rFonts w:hint="eastAsia" w:ascii="Times New Roman" w:hAnsi="Times New Roman" w:cs="Times New Roman"/>
          <w:lang w:val="en-US" w:eastAsia="zh-CN"/>
        </w:rPr>
        <w:t>为补充</w:t>
      </w:r>
      <w:r>
        <w:rPr>
          <w:rFonts w:hint="default" w:ascii="Times New Roman" w:hAnsi="Times New Roman" w:cs="Times New Roman"/>
          <w:lang w:val="en-US" w:eastAsia="zh-CN"/>
        </w:rPr>
        <w:t>的湿地保护体系。针对重要湿地生态系统及湿地野生动物栖息地、候鸟迁徙栖息地等重要生境，特别是生态地位重要或受到严重破坏的天然湿地，通过建设保护区</w:t>
      </w:r>
      <w:r>
        <w:rPr>
          <w:rFonts w:hint="eastAsia" w:cs="Times New Roman"/>
          <w:lang w:val="en-US" w:eastAsia="zh-CN"/>
        </w:rPr>
        <w:t>等</w:t>
      </w:r>
      <w:r>
        <w:rPr>
          <w:rFonts w:hint="default" w:ascii="Times New Roman" w:hAnsi="Times New Roman" w:cs="Times New Roman"/>
          <w:lang w:val="en-US" w:eastAsia="zh-CN"/>
        </w:rPr>
        <w:t>实施有效保护，不断扩充湿地保护体系，扩大湿地保护面积，逐步提高湿地保护率</w:t>
      </w:r>
      <w:r>
        <w:rPr>
          <w:rFonts w:hint="default" w:ascii="Times New Roman" w:hAnsi="Times New Roman" w:cs="Times New Roman"/>
          <w:highlight w:val="none"/>
          <w:lang w:val="en-US" w:eastAsia="zh-CN"/>
        </w:rPr>
        <w:t>，建立完善的湿地保护体系。</w:t>
      </w:r>
    </w:p>
    <w:p w14:paraId="083EF4EA">
      <w:pPr>
        <w:bidi w:val="0"/>
        <w:jc w:val="both"/>
      </w:pPr>
      <w:r>
        <w:rPr>
          <w:lang w:val="en-US" w:eastAsia="zh-CN"/>
        </w:rPr>
        <w:t>理顺湿地保护管理体制</w:t>
      </w:r>
      <w:r>
        <w:rPr>
          <w:rFonts w:hint="eastAsia"/>
          <w:lang w:val="en-US" w:eastAsia="zh-CN"/>
        </w:rPr>
        <w:t>。</w:t>
      </w:r>
      <w:r>
        <w:rPr>
          <w:lang w:val="en-US" w:eastAsia="zh-CN"/>
        </w:rPr>
        <w:t>健全完善湿地保护体系，加</w:t>
      </w:r>
      <w:r>
        <w:rPr>
          <w:rFonts w:hint="default"/>
          <w:lang w:val="en-US" w:eastAsia="zh-CN"/>
        </w:rPr>
        <w:t>大监管力度，加强各级湿地保护管理机构的能力建设。完善湿地保护管理的组织机构，明确湿地保护管理部门</w:t>
      </w:r>
      <w:r>
        <w:rPr>
          <w:rFonts w:hint="eastAsia"/>
          <w:lang w:val="en-US" w:eastAsia="zh-CN"/>
        </w:rPr>
        <w:t>的</w:t>
      </w:r>
      <w:r>
        <w:rPr>
          <w:rFonts w:hint="default"/>
          <w:lang w:val="en-US" w:eastAsia="zh-CN"/>
        </w:rPr>
        <w:t>职责和权力</w:t>
      </w:r>
      <w:r>
        <w:rPr>
          <w:rFonts w:hint="eastAsia"/>
          <w:lang w:val="en-US" w:eastAsia="zh-CN"/>
        </w:rPr>
        <w:t>。各</w:t>
      </w:r>
      <w:r>
        <w:rPr>
          <w:rFonts w:hint="default"/>
          <w:lang w:val="en-US" w:eastAsia="zh-CN"/>
        </w:rPr>
        <w:t>湿地主管部门具体负责指导本行政区域</w:t>
      </w:r>
      <w:r>
        <w:rPr>
          <w:rFonts w:hint="eastAsia"/>
          <w:lang w:val="en-US" w:eastAsia="zh-CN"/>
        </w:rPr>
        <w:t>内</w:t>
      </w:r>
      <w:r>
        <w:rPr>
          <w:rFonts w:hint="default"/>
          <w:lang w:val="en-US" w:eastAsia="zh-CN"/>
        </w:rPr>
        <w:t>湿地保护管理相关工作，各相关部门认真履行各自职责，形成工作合力，切实加强湿地保护管理工作。</w:t>
      </w:r>
    </w:p>
    <w:p w14:paraId="729468E1">
      <w:pPr>
        <w:bidi w:val="0"/>
        <w:jc w:val="both"/>
        <w:rPr>
          <w:rFonts w:hint="default"/>
          <w:lang w:val="en-US" w:eastAsia="zh-CN"/>
        </w:rPr>
      </w:pPr>
      <w:r>
        <w:rPr>
          <w:rFonts w:hint="default"/>
          <w:lang w:val="en-US" w:eastAsia="zh-CN"/>
        </w:rPr>
        <w:t>加强湿地保护管理的</w:t>
      </w:r>
      <w:r>
        <w:rPr>
          <w:rFonts w:hint="eastAsia"/>
          <w:lang w:val="en-US" w:eastAsia="zh-CN"/>
        </w:rPr>
        <w:t>制度保障。</w:t>
      </w:r>
      <w:r>
        <w:rPr>
          <w:rFonts w:hint="default"/>
          <w:lang w:val="en-US" w:eastAsia="zh-CN"/>
        </w:rPr>
        <w:t>通过规划与管理，制定科学的湿地保护管理方案。</w:t>
      </w:r>
      <w:r>
        <w:rPr>
          <w:rFonts w:hint="eastAsia"/>
          <w:lang w:val="en-US" w:eastAsia="zh-CN"/>
        </w:rPr>
        <w:t>规划制定湿地保护管理办法</w:t>
      </w:r>
      <w:r>
        <w:rPr>
          <w:rFonts w:hint="default"/>
          <w:lang w:val="en-US" w:eastAsia="zh-CN"/>
        </w:rPr>
        <w:t>，确保湿地保护工作的有序进行</w:t>
      </w:r>
      <w:r>
        <w:rPr>
          <w:rFonts w:hint="eastAsia"/>
          <w:lang w:val="en-US" w:eastAsia="zh-CN"/>
        </w:rPr>
        <w:t>。各县市</w:t>
      </w:r>
      <w:r>
        <w:rPr>
          <w:rFonts w:hint="default"/>
          <w:lang w:val="en-US" w:eastAsia="zh-CN"/>
        </w:rPr>
        <w:t>制定完善湿地公园相关规定、办法等，按照有关</w:t>
      </w:r>
      <w:r>
        <w:rPr>
          <w:rFonts w:hint="eastAsia"/>
          <w:lang w:val="en-US" w:eastAsia="zh-CN"/>
        </w:rPr>
        <w:t>法律法规</w:t>
      </w:r>
      <w:r>
        <w:rPr>
          <w:rFonts w:hint="default"/>
          <w:lang w:val="en-US" w:eastAsia="zh-CN"/>
        </w:rPr>
        <w:t>和相关规定确定湿地保护的目标、原则、管理措施、责任分工和操作规范等内容，为湿地保护管理提供明确的依据。</w:t>
      </w:r>
    </w:p>
    <w:p w14:paraId="6BF40D11">
      <w:pPr>
        <w:bidi w:val="0"/>
        <w:jc w:val="both"/>
        <w:rPr>
          <w:rFonts w:hint="default"/>
          <w:lang w:val="en-US" w:eastAsia="zh-CN"/>
        </w:rPr>
      </w:pPr>
      <w:r>
        <w:rPr>
          <w:rFonts w:hint="default"/>
          <w:lang w:val="en-US" w:eastAsia="zh-CN"/>
        </w:rPr>
        <w:t>开展示范性湿地公园建设。湿地公园是湿地保护体系重要组成部分，是湿地生态文明展示的重要窗口，是推进湿地生态产品价值实现的重要载体。</w:t>
      </w:r>
      <w:r>
        <w:rPr>
          <w:rFonts w:hint="eastAsia"/>
          <w:lang w:val="en-US" w:eastAsia="zh-CN"/>
        </w:rPr>
        <w:t>规划</w:t>
      </w:r>
      <w:r>
        <w:rPr>
          <w:rFonts w:hint="default"/>
          <w:lang w:val="en-US" w:eastAsia="zh-CN"/>
        </w:rPr>
        <w:t>打造在湿地保护修复、科研监测、科普宣教和可持续利用等方面具有突出成效的湿地公园，开展示范建设，科学保护主要保护对象的原真性、传承性和观赏性，提升保护对象自然、文化价值水平，完善湿地公园生态服务设施，提高优质生态产品供给水平和公众服务能力，最大限度满足广大人民群众对优质生态产品和生态服务的需求。到20</w:t>
      </w:r>
      <w:r>
        <w:rPr>
          <w:rFonts w:hint="eastAsia"/>
          <w:lang w:val="en-US" w:eastAsia="zh-CN"/>
        </w:rPr>
        <w:t>30</w:t>
      </w:r>
      <w:r>
        <w:rPr>
          <w:rFonts w:hint="default"/>
          <w:lang w:val="en-US" w:eastAsia="zh-CN"/>
        </w:rPr>
        <w:t>年，</w:t>
      </w:r>
      <w:r>
        <w:rPr>
          <w:rFonts w:hint="eastAsia"/>
          <w:lang w:val="en-US" w:eastAsia="zh-CN"/>
        </w:rPr>
        <w:t>规划</w:t>
      </w:r>
      <w:r>
        <w:rPr>
          <w:rFonts w:hint="default"/>
          <w:lang w:val="en-US" w:eastAsia="zh-CN"/>
        </w:rPr>
        <w:t>建成</w:t>
      </w:r>
      <w:r>
        <w:rPr>
          <w:rFonts w:hint="eastAsia"/>
          <w:lang w:val="en-US" w:eastAsia="zh-CN"/>
        </w:rPr>
        <w:t>1</w:t>
      </w:r>
      <w:r>
        <w:rPr>
          <w:rFonts w:hint="default"/>
          <w:lang w:val="en-US" w:eastAsia="zh-CN"/>
        </w:rPr>
        <w:t>处示范性湿地公园，充分发挥湿地公园示范引领作用，推进湿地公园建设高质量发展。</w:t>
      </w:r>
    </w:p>
    <w:p w14:paraId="23FABE9C">
      <w:pPr>
        <w:bidi w:val="0"/>
        <w:jc w:val="both"/>
        <w:rPr>
          <w:rFonts w:hint="default"/>
          <w:lang w:val="en-US" w:eastAsia="zh-CN"/>
        </w:rPr>
      </w:pPr>
    </w:p>
    <w:bookmarkEnd w:id="340"/>
    <w:p w14:paraId="288ED9FA">
      <w:pPr>
        <w:bidi w:val="0"/>
        <w:jc w:val="center"/>
        <w:rPr>
          <w:rFonts w:hint="default"/>
          <w:lang w:val="en-US" w:eastAsia="zh-CN"/>
        </w:rPr>
      </w:pPr>
      <w:r>
        <w:rPr>
          <w:rFonts w:hint="default"/>
          <w:lang w:val="en-US" w:eastAsia="zh-CN"/>
        </w:rPr>
        <w:t>表4-3  示范性湿地公园分区布局名录</w:t>
      </w:r>
    </w:p>
    <w:tbl>
      <w:tblPr>
        <w:tblStyle w:val="17"/>
        <w:tblW w:w="4999"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autofit"/>
        <w:tblCellMar>
          <w:top w:w="0" w:type="dxa"/>
          <w:left w:w="108" w:type="dxa"/>
          <w:bottom w:w="0" w:type="dxa"/>
          <w:right w:w="108" w:type="dxa"/>
        </w:tblCellMar>
      </w:tblPr>
      <w:tblGrid>
        <w:gridCol w:w="1364"/>
        <w:gridCol w:w="2347"/>
        <w:gridCol w:w="4809"/>
      </w:tblGrid>
      <w:tr w14:paraId="0689ED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0" w:hRule="atLeast"/>
        </w:trPr>
        <w:tc>
          <w:tcPr>
            <w:tcW w:w="800" w:type="pct"/>
            <w:tcBorders>
              <w:tl2br w:val="nil"/>
              <w:tr2bl w:val="nil"/>
            </w:tcBorders>
            <w:shd w:val="clear" w:color="auto" w:fill="auto"/>
            <w:noWrap/>
            <w:vAlign w:val="center"/>
          </w:tcPr>
          <w:p w14:paraId="382200B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377" w:type="pct"/>
            <w:tcBorders>
              <w:tl2br w:val="nil"/>
              <w:tr2bl w:val="nil"/>
            </w:tcBorders>
            <w:shd w:val="clear" w:color="auto" w:fill="auto"/>
            <w:noWrap/>
            <w:vAlign w:val="center"/>
          </w:tcPr>
          <w:p w14:paraId="16C7D36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地点</w:t>
            </w:r>
          </w:p>
        </w:tc>
        <w:tc>
          <w:tcPr>
            <w:tcW w:w="2821" w:type="pct"/>
            <w:tcBorders>
              <w:tl2br w:val="nil"/>
              <w:tr2bl w:val="nil"/>
            </w:tcBorders>
            <w:shd w:val="clear" w:color="auto" w:fill="auto"/>
            <w:noWrap/>
            <w:vAlign w:val="center"/>
          </w:tcPr>
          <w:p w14:paraId="28034D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示范性湿地公园</w:t>
            </w:r>
          </w:p>
        </w:tc>
      </w:tr>
      <w:tr w14:paraId="5368FB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800" w:type="pct"/>
            <w:tcBorders>
              <w:tl2br w:val="nil"/>
              <w:tr2bl w:val="nil"/>
            </w:tcBorders>
            <w:shd w:val="clear" w:color="auto" w:fill="auto"/>
            <w:noWrap/>
            <w:vAlign w:val="center"/>
          </w:tcPr>
          <w:p w14:paraId="3DDEE9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377" w:type="pct"/>
            <w:tcBorders>
              <w:tl2br w:val="nil"/>
              <w:tr2bl w:val="nil"/>
            </w:tcBorders>
            <w:shd w:val="clear" w:color="auto" w:fill="auto"/>
            <w:noWrap/>
            <w:vAlign w:val="center"/>
          </w:tcPr>
          <w:p w14:paraId="43A7D7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玛纳斯县</w:t>
            </w:r>
          </w:p>
        </w:tc>
        <w:tc>
          <w:tcPr>
            <w:tcW w:w="2821" w:type="pct"/>
            <w:tcBorders>
              <w:tl2br w:val="nil"/>
              <w:tr2bl w:val="nil"/>
            </w:tcBorders>
            <w:shd w:val="clear" w:color="auto" w:fill="auto"/>
            <w:noWrap/>
            <w:vAlign w:val="center"/>
          </w:tcPr>
          <w:p w14:paraId="6643ED6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玛纳斯国家湿地公园</w:t>
            </w:r>
          </w:p>
        </w:tc>
      </w:tr>
    </w:tbl>
    <w:p w14:paraId="364DE854">
      <w:pPr>
        <w:bidi w:val="0"/>
        <w:jc w:val="center"/>
        <w:rPr>
          <w:rFonts w:hint="default"/>
          <w:lang w:val="en-US" w:eastAsia="zh-CN"/>
        </w:rPr>
      </w:pPr>
    </w:p>
    <w:p w14:paraId="6E29DCF5">
      <w:pPr>
        <w:pStyle w:val="3"/>
        <w:numPr>
          <w:ilvl w:val="0"/>
          <w:numId w:val="0"/>
        </w:numPr>
        <w:bidi w:val="0"/>
        <w:ind w:leftChars="200"/>
        <w:rPr>
          <w:rFonts w:hint="default" w:ascii="Times New Roman" w:hAnsi="Times New Roman" w:eastAsia="黑体" w:cs="Times New Roman"/>
          <w:highlight w:val="none"/>
          <w:lang w:val="en-US" w:eastAsia="zh-CN"/>
        </w:rPr>
      </w:pPr>
      <w:bookmarkStart w:id="341" w:name="_Toc32181"/>
      <w:bookmarkStart w:id="342" w:name="_Toc11651"/>
      <w:bookmarkStart w:id="343" w:name="_Toc30489"/>
      <w:r>
        <w:rPr>
          <w:rFonts w:hint="eastAsia" w:ascii="Times New Roman" w:hAnsi="Times New Roman" w:cs="Times New Roman"/>
          <w:highlight w:val="none"/>
          <w:lang w:val="en-US" w:eastAsia="zh-CN"/>
        </w:rPr>
        <w:t>第</w:t>
      </w:r>
      <w:r>
        <w:rPr>
          <w:rFonts w:hint="eastAsia" w:cs="Times New Roman"/>
          <w:highlight w:val="none"/>
          <w:lang w:val="en-US" w:eastAsia="zh-CN"/>
        </w:rPr>
        <w:t>四</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加强区域湿地保护修复</w:t>
      </w:r>
      <w:bookmarkEnd w:id="341"/>
      <w:bookmarkEnd w:id="342"/>
      <w:bookmarkEnd w:id="343"/>
    </w:p>
    <w:p w14:paraId="4E4E85A6">
      <w:pPr>
        <w:bidi w:val="0"/>
        <w:jc w:val="both"/>
        <w:rPr>
          <w:rFonts w:hint="default"/>
          <w:lang w:val="en-US" w:eastAsia="zh-CN"/>
        </w:rPr>
      </w:pPr>
      <w:bookmarkStart w:id="344" w:name="_Toc16696"/>
      <w:bookmarkStart w:id="345" w:name="_Toc24956"/>
      <w:bookmarkStart w:id="346" w:name="_Toc78885656"/>
      <w:bookmarkStart w:id="347" w:name="_Toc25021"/>
      <w:r>
        <w:rPr>
          <w:rFonts w:hint="eastAsia"/>
          <w:highlight w:val="none"/>
          <w:lang w:val="en-US" w:eastAsia="zh-CN"/>
        </w:rPr>
        <w:t>积极响应国家、自治区经济社会发展和生态文明建设重大战略决策，以自然修复为主，人工修复为辅，对退化湿地和水鸟栖息地等开展生态修复工程，科学开展退牧还草、有序放牧利用、退化湿地恢复、外来入侵物种治理和植被恢复等，</w:t>
      </w:r>
      <w:r>
        <w:rPr>
          <w:rFonts w:hint="eastAsia"/>
          <w:lang w:val="en-US" w:eastAsia="zh-CN"/>
        </w:rPr>
        <w:t>以恢复退化湿地面积和湿地生态系统完整性、稳定性。对面积减少、生态功能退化，导致生物</w:t>
      </w:r>
      <w:r>
        <w:rPr>
          <w:rFonts w:hint="eastAsia"/>
          <w:highlight w:val="none"/>
          <w:lang w:val="en-US" w:eastAsia="zh-CN"/>
        </w:rPr>
        <w:t>多样性明显下降的湿地，通过湿地植被恢复、栖息地营造、生态廊道</w:t>
      </w:r>
      <w:r>
        <w:rPr>
          <w:rFonts w:hint="eastAsia"/>
          <w:lang w:val="en-US" w:eastAsia="zh-CN"/>
        </w:rPr>
        <w:t>建设等生态工程措施，恢复湿地生态系统的完整性，营造良好的自然湿地景观，改善湿地生境，提升湿地的生态功能。</w:t>
      </w:r>
    </w:p>
    <w:p w14:paraId="225523C1">
      <w:pPr>
        <w:pStyle w:val="4"/>
        <w:bidi w:val="0"/>
        <w:rPr>
          <w:rFonts w:hint="eastAsia"/>
          <w:lang w:val="en-US" w:eastAsia="zh-CN"/>
        </w:rPr>
      </w:pPr>
      <w:r>
        <w:rPr>
          <w:rFonts w:hint="eastAsia"/>
          <w:lang w:val="en-US" w:eastAsia="zh-CN"/>
        </w:rPr>
        <w:t>4</w:t>
      </w:r>
      <w:r>
        <w:rPr>
          <w:rFonts w:hint="default"/>
          <w:lang w:val="en-US" w:eastAsia="zh-CN"/>
        </w:rPr>
        <w:t>.1</w:t>
      </w:r>
      <w:bookmarkEnd w:id="344"/>
      <w:bookmarkEnd w:id="345"/>
      <w:bookmarkStart w:id="348" w:name="OLE_LINK22"/>
      <w:r>
        <w:rPr>
          <w:rFonts w:hint="eastAsia"/>
          <w:lang w:val="en-US" w:eastAsia="zh-CN"/>
        </w:rPr>
        <w:t>湿地植被修复</w:t>
      </w:r>
    </w:p>
    <w:p w14:paraId="78180186">
      <w:pPr>
        <w:bidi w:val="0"/>
        <w:jc w:val="both"/>
        <w:rPr>
          <w:rFonts w:hint="eastAsia"/>
          <w:lang w:val="en-US" w:eastAsia="zh-CN"/>
        </w:rPr>
      </w:pPr>
      <w:r>
        <w:rPr>
          <w:rFonts w:hint="eastAsia"/>
          <w:lang w:val="en-US" w:eastAsia="zh-CN"/>
        </w:rPr>
        <w:t>以现状植被调查为基础，按照自然规律因地制宜，促进湿地植被演替过程，修复乡土植被种类和植被群落，最终达到稳定的湿地植被生态系统。</w:t>
      </w:r>
    </w:p>
    <w:p w14:paraId="7812E5B6">
      <w:pPr>
        <w:bidi w:val="0"/>
        <w:jc w:val="both"/>
        <w:rPr>
          <w:rFonts w:hint="eastAsia"/>
          <w:lang w:val="en-US" w:eastAsia="zh-CN"/>
        </w:rPr>
      </w:pPr>
      <w:r>
        <w:rPr>
          <w:rFonts w:hint="eastAsia"/>
          <w:lang w:val="en-US" w:eastAsia="zh-CN"/>
        </w:rPr>
        <w:t>（1）水生植被修复</w:t>
      </w:r>
    </w:p>
    <w:p w14:paraId="6DACFE91">
      <w:pPr>
        <w:bidi w:val="0"/>
        <w:jc w:val="both"/>
        <w:rPr>
          <w:rFonts w:hint="eastAsia"/>
          <w:lang w:val="en-US" w:eastAsia="zh-CN"/>
        </w:rPr>
      </w:pPr>
      <w:r>
        <w:rPr>
          <w:rFonts w:hint="eastAsia"/>
          <w:lang w:val="en-US" w:eastAsia="zh-CN"/>
        </w:rPr>
        <w:t>采用本地乡土挺水、浮叶、沉水、漂浮水生植物进行水生植被修复，合理搭配生态浮床，灵活应用生物、植物镶嵌等技术，并更具河道特点选择先锋植物种类及品种。</w:t>
      </w:r>
    </w:p>
    <w:p w14:paraId="56DDC8DB">
      <w:pPr>
        <w:bidi w:val="0"/>
        <w:jc w:val="both"/>
        <w:rPr>
          <w:rFonts w:hint="eastAsia"/>
          <w:lang w:val="en-US" w:eastAsia="zh-CN"/>
        </w:rPr>
      </w:pPr>
      <w:r>
        <w:rPr>
          <w:rFonts w:hint="eastAsia"/>
          <w:lang w:val="en-US" w:eastAsia="zh-CN"/>
        </w:rPr>
        <w:t>（2）河岸带植被修复和滨水区建设</w:t>
      </w:r>
    </w:p>
    <w:p w14:paraId="11BB0EC3">
      <w:pPr>
        <w:bidi w:val="0"/>
        <w:jc w:val="both"/>
        <w:rPr>
          <w:rFonts w:hint="eastAsia"/>
          <w:lang w:val="en-US" w:eastAsia="zh-CN"/>
        </w:rPr>
      </w:pPr>
      <w:r>
        <w:rPr>
          <w:rFonts w:hint="eastAsia"/>
          <w:lang w:val="en-US" w:eastAsia="zh-CN"/>
        </w:rPr>
        <w:t>在进行河道水生植物的修复工作，完成水生植物的种植时，一般应同时完成生态护岸的建设和河道滨水区陆域植物的种植。首先在视觉效果上必须相互衬托，形成丰富而又错落有致的效果，其形态、叶色、花色等搭配协调，以取得优美的景观构图；其次根据水的深浅和流动性质，将挺水、浮水和沉水植物进行合理搭配，形成更加自然的多层次水生植物景观，这样既符合各种水生植物的特性，又满足审美的需要；第三，沿岸边缘带一般选用姿态优美的耐水湿植物，以低矮的灌木和高大的乔木相搭配，用美学原则组织其色彩、线条、姿态等，创造出丰富的水岸之立面景色和水体空间景观构图效果。</w:t>
      </w:r>
    </w:p>
    <w:p w14:paraId="64D8E94A">
      <w:pPr>
        <w:bidi w:val="0"/>
        <w:jc w:val="both"/>
        <w:rPr>
          <w:rFonts w:hint="eastAsia"/>
          <w:lang w:val="en-US" w:eastAsia="zh-CN"/>
        </w:rPr>
      </w:pPr>
      <w:r>
        <w:rPr>
          <w:rFonts w:hint="eastAsia"/>
          <w:lang w:val="en-US" w:eastAsia="zh-CN"/>
        </w:rPr>
        <w:t>（3）关键流域生态防护林建设</w:t>
      </w:r>
    </w:p>
    <w:p w14:paraId="63C441A4">
      <w:pPr>
        <w:bidi w:val="0"/>
        <w:jc w:val="both"/>
        <w:rPr>
          <w:rFonts w:hint="eastAsia"/>
          <w:lang w:val="en-US" w:eastAsia="zh-CN"/>
        </w:rPr>
      </w:pPr>
      <w:r>
        <w:rPr>
          <w:rFonts w:hint="eastAsia"/>
          <w:lang w:val="en-US" w:eastAsia="zh-CN"/>
        </w:rPr>
        <w:t>结合相关林草发展规划，在昌吉回族自治州主要河流源头和上游、周边草本沼泽和灌丛沼泽等，因地制宜营造乡土树种灌木林及草地，加强支流水系汇水区的生态防护林建设，以保持和提高源头径流调节能力与水源涵养能力，避免水土流失造成的湿地退化。</w:t>
      </w:r>
    </w:p>
    <w:p w14:paraId="3612F3A5">
      <w:pPr>
        <w:pStyle w:val="4"/>
        <w:bidi w:val="0"/>
        <w:rPr>
          <w:rFonts w:hint="eastAsia"/>
          <w:lang w:val="en-US" w:eastAsia="zh-CN"/>
        </w:rPr>
      </w:pPr>
      <w:r>
        <w:rPr>
          <w:rFonts w:hint="eastAsia"/>
          <w:lang w:val="en-US" w:eastAsia="zh-CN"/>
        </w:rPr>
        <w:t>4.2栖息地营造</w:t>
      </w:r>
    </w:p>
    <w:p w14:paraId="75E99A97">
      <w:pPr>
        <w:bidi w:val="0"/>
        <w:jc w:val="both"/>
        <w:rPr>
          <w:rFonts w:hint="eastAsia"/>
          <w:lang w:val="en-US" w:eastAsia="zh-CN"/>
        </w:rPr>
      </w:pPr>
      <w:r>
        <w:rPr>
          <w:rFonts w:hint="eastAsia"/>
          <w:lang w:val="en-US" w:eastAsia="zh-CN"/>
        </w:rPr>
        <w:t>根据现有重要水禽分布区、候鸟栖息地和迁徙停歇地、珍稀植物原生地、鱼类重要产卵区、洄游通道及重要水产种质资源保护区的现状和受威胁程度，对已遭到破坏的关键栖息地开展修复工作，通过消除胁迫因子构建完善的湿地生态系统，营造良好生境。</w:t>
      </w:r>
    </w:p>
    <w:p w14:paraId="1D092E8B">
      <w:pPr>
        <w:bidi w:val="0"/>
        <w:jc w:val="both"/>
        <w:rPr>
          <w:rFonts w:hint="eastAsia"/>
          <w:highlight w:val="none"/>
          <w:lang w:val="en-US" w:eastAsia="zh-CN"/>
        </w:rPr>
      </w:pPr>
      <w:r>
        <w:rPr>
          <w:rFonts w:hint="eastAsia"/>
          <w:lang w:val="en-US" w:eastAsia="zh-CN"/>
        </w:rPr>
        <w:t>规划借助各类自然保护地，开展湿地生物多样性保育和物种栖息地修复工程。通过人工鸟岛、人工鸟巢等生态工程建设，打造适合水禽类繁殖栖息的场所；通过河口水生生物增殖放流、鱼类洄游期禁渔等人为干预措施，保护并逐步提升湿地生物多样性；对生物多样性造成不</w:t>
      </w:r>
      <w:r>
        <w:rPr>
          <w:rFonts w:hint="eastAsia"/>
          <w:highlight w:val="none"/>
          <w:lang w:val="en-US" w:eastAsia="zh-CN"/>
        </w:rPr>
        <w:t>利影响的已建项目进行改造，以减轻不利影响；结合河流水质修复、水生植被构建、河（库）岸修复，开展湿地鱼类、两栖类、爬行类栖息地改善与生境营造工程，以促进湿地生物多样性的恢复。</w:t>
      </w:r>
    </w:p>
    <w:p w14:paraId="70C34EBE">
      <w:pPr>
        <w:pStyle w:val="4"/>
        <w:bidi w:val="0"/>
        <w:rPr>
          <w:rFonts w:hint="default"/>
          <w:lang w:val="en-US" w:eastAsia="zh-CN"/>
        </w:rPr>
      </w:pPr>
      <w:r>
        <w:rPr>
          <w:rFonts w:hint="eastAsia"/>
          <w:lang w:val="en-US" w:eastAsia="zh-CN"/>
        </w:rPr>
        <w:t>4.3</w:t>
      </w:r>
      <w:r>
        <w:rPr>
          <w:rFonts w:hint="default"/>
          <w:lang w:val="en-US" w:eastAsia="zh-CN"/>
        </w:rPr>
        <w:t>生态廊道建设</w:t>
      </w:r>
    </w:p>
    <w:p w14:paraId="454E7ACA">
      <w:pPr>
        <w:bidi w:val="0"/>
        <w:jc w:val="both"/>
        <w:rPr>
          <w:rFonts w:hint="default"/>
          <w:highlight w:val="none"/>
          <w:lang w:val="en-US" w:eastAsia="zh-CN"/>
        </w:rPr>
      </w:pPr>
      <w:r>
        <w:rPr>
          <w:rFonts w:hint="default"/>
          <w:highlight w:val="none"/>
          <w:lang w:val="en-US" w:eastAsia="zh-CN"/>
        </w:rPr>
        <w:t>对被破坏的重要候鸟栖息地和迁徙停歇地、珍稀鱼类重要产卵区洄游通道及重要渔业水域等生态敏感区域，采取生态修复和重建，主要对重要湿地生态敏感区域进行生态河流廊道系统建设，生态河流廊道以自然原型河流廊道为主，保留天然河岸带的原真性、完整性，形成生物多样性保护网络。在水库段建立鱼道，以减轻闸坝建设对江湖洄游性鱼类繁殖产卵的影响。</w:t>
      </w:r>
    </w:p>
    <w:bookmarkEnd w:id="348"/>
    <w:p w14:paraId="5099FC56">
      <w:pPr>
        <w:bidi w:val="0"/>
        <w:jc w:val="center"/>
        <w:rPr>
          <w:rFonts w:hint="eastAsia"/>
          <w:highlight w:val="none"/>
          <w:lang w:val="en-US" w:eastAsia="zh-CN"/>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3C6B3376">
      <w:pPr>
        <w:bidi w:val="0"/>
        <w:jc w:val="center"/>
        <w:rPr>
          <w:rFonts w:hint="eastAsia"/>
          <w:highlight w:val="none"/>
          <w:lang w:val="en-US" w:eastAsia="zh-CN"/>
        </w:rPr>
      </w:pPr>
      <w:r>
        <w:rPr>
          <w:rFonts w:hint="eastAsia"/>
          <w:highlight w:val="none"/>
          <w:lang w:val="en-US" w:eastAsia="zh-CN"/>
        </w:rPr>
        <w:t>表4-4  湿地保护修复治理工程表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9"/>
        <w:gridCol w:w="1847"/>
        <w:gridCol w:w="1350"/>
        <w:gridCol w:w="4646"/>
      </w:tblGrid>
      <w:tr w14:paraId="46A2C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4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b/>
                <w:bCs/>
                <w:sz w:val="28"/>
              </w:rPr>
            </w:pPr>
            <w:r>
              <w:rPr>
                <w:rFonts w:hint="eastAsia" w:eastAsia="仿宋"/>
                <w:b/>
                <w:bCs/>
                <w:sz w:val="28"/>
                <w:lang w:val="en-US" w:eastAsia="zh-CN"/>
              </w:rPr>
              <w:t>序号</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EB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b/>
                <w:bCs/>
                <w:sz w:val="28"/>
              </w:rPr>
            </w:pPr>
            <w:r>
              <w:rPr>
                <w:rFonts w:hint="eastAsia" w:eastAsia="仿宋"/>
                <w:b/>
                <w:bCs/>
                <w:sz w:val="28"/>
                <w:lang w:val="en-US" w:eastAsia="zh-CN"/>
              </w:rPr>
              <w:t>项目名称</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B8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b/>
                <w:bCs/>
                <w:sz w:val="28"/>
              </w:rPr>
            </w:pPr>
            <w:r>
              <w:rPr>
                <w:rFonts w:hint="eastAsia" w:eastAsia="仿宋"/>
                <w:b/>
                <w:bCs/>
                <w:sz w:val="28"/>
                <w:lang w:val="en-US" w:eastAsia="zh-CN"/>
              </w:rPr>
              <w:t>实施地点</w:t>
            </w:r>
          </w:p>
        </w:tc>
        <w:tc>
          <w:tcPr>
            <w:tcW w:w="2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B4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b/>
                <w:bCs/>
                <w:sz w:val="28"/>
              </w:rPr>
            </w:pPr>
            <w:r>
              <w:rPr>
                <w:rFonts w:hint="eastAsia" w:eastAsia="仿宋"/>
                <w:b/>
                <w:bCs/>
                <w:sz w:val="28"/>
                <w:lang w:val="en-US" w:eastAsia="zh-CN"/>
              </w:rPr>
              <w:t>建设内容</w:t>
            </w:r>
          </w:p>
        </w:tc>
      </w:tr>
      <w:tr w14:paraId="675A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C4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1</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CD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玛纳斯国家湿地公园湿地保护工程</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5F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玛纳斯县</w:t>
            </w:r>
          </w:p>
        </w:tc>
        <w:tc>
          <w:tcPr>
            <w:tcW w:w="2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74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实施植被恢复2000亩、河道疏浚2公里、生态补水、节水工程等</w:t>
            </w:r>
          </w:p>
        </w:tc>
      </w:tr>
      <w:tr w14:paraId="18B3E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09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2</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A8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新疆呼图壁大海子国家湿地公园湿地保护修复工程</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33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呼图壁县</w:t>
            </w:r>
          </w:p>
        </w:tc>
        <w:tc>
          <w:tcPr>
            <w:tcW w:w="2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781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进一步加强湿地修复进程，种植172亩树木。水鸟保护，对以灰鹤为主的水鸟进行保护，进行专业培训，包括种群监测、种群保护、科普活动、外出学习培训。架设鸟类活动设备，观测设备，制作科普宣教标识牌等。岸线维护建设，修建隔离保护围栏、岸线绿化3公里</w:t>
            </w:r>
          </w:p>
        </w:tc>
      </w:tr>
      <w:tr w14:paraId="60AFF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53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sz w:val="28"/>
                <w:lang w:val="en-US" w:eastAsia="zh-CN"/>
              </w:rPr>
              <w:t>3</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2E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新疆阜康特纳格尔国家湿地公园湿地保护工程</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7D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阜康市</w:t>
            </w:r>
          </w:p>
        </w:tc>
        <w:tc>
          <w:tcPr>
            <w:tcW w:w="2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930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围栏修建8公里，实施植被恢复100亩，生态补水、河流岸线修复、河道垃圾清理疏浚等，对河流沿线水源涵养林进行湿地有害生物防治</w:t>
            </w:r>
          </w:p>
        </w:tc>
      </w:tr>
      <w:tr w14:paraId="33207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3E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sz w:val="28"/>
                <w:lang w:val="en-US" w:eastAsia="zh-CN"/>
              </w:rPr>
              <w:t>4</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93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新疆吉木萨尔北庭国家湿地公园湿地保护修复工程</w:t>
            </w:r>
          </w:p>
        </w:tc>
        <w:tc>
          <w:tcPr>
            <w:tcW w:w="7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B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吉木萨尔县</w:t>
            </w:r>
          </w:p>
        </w:tc>
        <w:tc>
          <w:tcPr>
            <w:tcW w:w="2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C33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仿宋"/>
                <w:sz w:val="28"/>
              </w:rPr>
            </w:pPr>
            <w:r>
              <w:rPr>
                <w:rFonts w:hint="eastAsia" w:eastAsia="仿宋"/>
                <w:sz w:val="28"/>
                <w:lang w:val="en-US" w:eastAsia="zh-CN"/>
              </w:rPr>
              <w:t>实施植被恢复100亩、野生动物栖息地改善；加强二工河、水溪沟河等流域生态廊道保护与修复；保护水生动植物和鸟类的生存环境；对河流沿线水源涵养林进行湿地有害生物防治，湿地河岸线修复3公里</w:t>
            </w:r>
          </w:p>
        </w:tc>
      </w:tr>
    </w:tbl>
    <w:p w14:paraId="3CE2602B">
      <w:pPr>
        <w:bidi w:val="0"/>
        <w:ind w:left="0" w:leftChars="0" w:firstLine="0" w:firstLineChars="0"/>
        <w:rPr>
          <w:rFonts w:hint="default"/>
          <w:lang w:val="en-US" w:eastAsia="zh-CN"/>
        </w:rPr>
      </w:pPr>
    </w:p>
    <w:bookmarkEnd w:id="338"/>
    <w:bookmarkEnd w:id="339"/>
    <w:bookmarkEnd w:id="346"/>
    <w:bookmarkEnd w:id="347"/>
    <w:p w14:paraId="64A56336">
      <w:pPr>
        <w:pStyle w:val="3"/>
        <w:bidi w:val="0"/>
        <w:rPr>
          <w:rFonts w:hint="default" w:ascii="Times New Roman" w:hAnsi="Times New Roman" w:cs="Times New Roman"/>
          <w:highlight w:val="none"/>
          <w:lang w:val="en-US" w:eastAsia="zh-CN"/>
        </w:rPr>
      </w:pPr>
      <w:bookmarkStart w:id="349" w:name="_Toc11112"/>
      <w:bookmarkStart w:id="350" w:name="_Toc17573"/>
      <w:bookmarkStart w:id="351" w:name="_Toc21732"/>
      <w:bookmarkStart w:id="352" w:name="_Toc8898"/>
      <w:bookmarkStart w:id="353" w:name="_Toc78885657"/>
      <w:r>
        <w:rPr>
          <w:rFonts w:hint="eastAsia" w:ascii="Times New Roman" w:hAnsi="Times New Roman" w:cs="Times New Roman"/>
          <w:highlight w:val="none"/>
          <w:lang w:val="en-US" w:eastAsia="zh-CN"/>
        </w:rPr>
        <w:t>第</w:t>
      </w:r>
      <w:r>
        <w:rPr>
          <w:rFonts w:hint="eastAsia" w:cs="Times New Roman"/>
          <w:highlight w:val="none"/>
          <w:lang w:val="en-US" w:eastAsia="zh-CN"/>
        </w:rPr>
        <w:t>五</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提高湿地保护管理能力</w:t>
      </w:r>
      <w:bookmarkEnd w:id="349"/>
      <w:bookmarkEnd w:id="350"/>
      <w:bookmarkEnd w:id="351"/>
    </w:p>
    <w:p w14:paraId="17FC0C62">
      <w:pPr>
        <w:bidi w:val="0"/>
        <w:jc w:val="both"/>
      </w:pPr>
      <w:bookmarkStart w:id="354" w:name="OLE_LINK23"/>
      <w:r>
        <w:rPr>
          <w:lang w:val="en-US" w:eastAsia="zh-CN"/>
        </w:rPr>
        <w:t>推进智慧湿地管理体系建设。</w:t>
      </w:r>
      <w:r>
        <w:rPr>
          <w:rFonts w:hint="eastAsia"/>
          <w:lang w:val="en-US" w:eastAsia="zh-CN"/>
        </w:rPr>
        <w:t>提升全州湿地管理科学化、信息化水平，利用卫星、无人机、生态监测站点、视频监控、红外相机、地面巡护等设施设备，对湿地环境进行实时监测。</w:t>
      </w:r>
      <w:r>
        <w:rPr>
          <w:rFonts w:hint="eastAsia"/>
          <w:highlight w:val="none"/>
          <w:lang w:val="en-US" w:eastAsia="zh-CN"/>
        </w:rPr>
        <w:t>加强</w:t>
      </w:r>
      <w:r>
        <w:rPr>
          <w:rFonts w:hint="eastAsia"/>
          <w:lang w:val="en-US" w:eastAsia="zh-CN"/>
        </w:rPr>
        <w:t>湿地监测数据集成分析和综合应用，实现准确、及时的动态化管理，提高湿地资源管理的信息化、精细化、实时化、高效化水平。</w:t>
      </w:r>
    </w:p>
    <w:p w14:paraId="4480FF47">
      <w:pPr>
        <w:bidi w:val="0"/>
        <w:jc w:val="both"/>
      </w:pPr>
      <w:r>
        <w:rPr>
          <w:rFonts w:hint="eastAsia"/>
          <w:lang w:val="en-US" w:eastAsia="zh-CN"/>
        </w:rPr>
        <w:t>完善湿地保护管理设施。加强和</w:t>
      </w:r>
      <w:r>
        <w:rPr>
          <w:rFonts w:hint="eastAsia"/>
          <w:highlight w:val="none"/>
          <w:lang w:val="en-US" w:eastAsia="zh-CN"/>
        </w:rPr>
        <w:t>完善重要湿地、湿地公园基础设施建设，包括巡护管护设施设备、科研监测系统、管理标识设施等方面，</w:t>
      </w:r>
      <w:r>
        <w:rPr>
          <w:rFonts w:hint="eastAsia"/>
          <w:lang w:val="en-US" w:eastAsia="zh-CN"/>
        </w:rPr>
        <w:t>进一步完善管理基础设施。加强对湿地的巡护、防火、监测，完</w:t>
      </w:r>
      <w:r>
        <w:rPr>
          <w:rFonts w:hint="eastAsia"/>
          <w:highlight w:val="none"/>
          <w:lang w:val="en-US" w:eastAsia="zh-CN"/>
        </w:rPr>
        <w:t>善国家级陆生野生动物疫源疫病监测设施设备，提升候鸟保护</w:t>
      </w:r>
      <w:r>
        <w:rPr>
          <w:rFonts w:hint="eastAsia"/>
          <w:lang w:val="en-US" w:eastAsia="zh-CN"/>
        </w:rPr>
        <w:t>监测能力水平。充分利用高科技手段和现代化设备促进湿地保护、巡护和监测的全面信息化、智能化，形成机动巡护、定点管护相结合的基层快速反应管护体系，提升湿地保护管理能力。</w:t>
      </w:r>
    </w:p>
    <w:p w14:paraId="7B5B62C8">
      <w:pPr>
        <w:bidi w:val="0"/>
        <w:jc w:val="both"/>
        <w:rPr>
          <w:rFonts w:hint="eastAsia"/>
          <w:lang w:val="en-US" w:eastAsia="zh-CN"/>
        </w:rPr>
      </w:pPr>
      <w:r>
        <w:rPr>
          <w:rFonts w:hint="eastAsia"/>
          <w:lang w:val="en-US" w:eastAsia="zh-CN"/>
        </w:rPr>
        <w:t>加强管理人才队伍建</w:t>
      </w:r>
      <w:r>
        <w:rPr>
          <w:rFonts w:hint="eastAsia"/>
          <w:highlight w:val="none"/>
          <w:lang w:val="en-US" w:eastAsia="zh-CN"/>
        </w:rPr>
        <w:t>设。依托新疆林业规划院等科研机构，新疆大学、新疆农业大学、石河子大学等高校，组建由高素质、高水平、专业对口的科技人员构成的湿地技术顾问小组及专家咨询小组，培育一线创新人才和青年科技人才。加快湿地管理人才培养和队伍建设，完善人才引进机制，积极创造条件，吸引科技人员、专业技术人员参与湿地管理工作，提高管理人才队伍专业化水平。创新湿地保护管理形式，明确湿地管护员岗位设置及主要职责、考核管理等，稳定生态护林员队伍，实行网格化管理。强化湿地管理人才培养，结合湿地保护管理实际，制定湿地保护管理人员培训计划，就湿地</w:t>
      </w:r>
      <w:r>
        <w:rPr>
          <w:rFonts w:hint="eastAsia"/>
          <w:lang w:val="en-US" w:eastAsia="zh-CN"/>
        </w:rPr>
        <w:t>法规政策、保护恢复、湿地监测、科普宣教、信息化智能化建设等方面开展多层次、多形式培训，全面提升湿地保护管理人员能力素质。</w:t>
      </w:r>
      <w:bookmarkEnd w:id="354"/>
    </w:p>
    <w:p w14:paraId="4D9DA445">
      <w:pPr>
        <w:bidi w:val="0"/>
        <w:jc w:val="center"/>
        <w:rPr>
          <w:rFonts w:hint="eastAsia"/>
          <w:lang w:val="en-US" w:eastAsia="zh-CN"/>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7FB55FD9">
      <w:pPr>
        <w:bidi w:val="0"/>
        <w:jc w:val="center"/>
        <w:rPr>
          <w:rFonts w:hint="default"/>
          <w:lang w:val="en-US" w:eastAsia="zh-CN"/>
        </w:rPr>
      </w:pPr>
      <w:r>
        <w:rPr>
          <w:rFonts w:hint="eastAsia"/>
          <w:lang w:val="en-US" w:eastAsia="zh-CN"/>
        </w:rPr>
        <w:t>表4-5  湿地保护管理建设项目表</w:t>
      </w:r>
    </w:p>
    <w:tbl>
      <w:tblPr>
        <w:tblStyle w:val="17"/>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655"/>
        <w:gridCol w:w="2245"/>
        <w:gridCol w:w="1950"/>
        <w:gridCol w:w="3672"/>
      </w:tblGrid>
      <w:tr w14:paraId="13B627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384" w:type="pct"/>
            <w:tcBorders>
              <w:tl2br w:val="nil"/>
              <w:tr2bl w:val="nil"/>
            </w:tcBorders>
            <w:shd w:val="clear" w:color="auto" w:fill="auto"/>
            <w:noWrap/>
            <w:vAlign w:val="center"/>
          </w:tcPr>
          <w:p w14:paraId="7F00CE0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317" w:type="pct"/>
            <w:tcBorders>
              <w:tl2br w:val="nil"/>
              <w:tr2bl w:val="nil"/>
            </w:tcBorders>
            <w:shd w:val="clear" w:color="auto" w:fill="auto"/>
            <w:noWrap/>
            <w:vAlign w:val="center"/>
          </w:tcPr>
          <w:p w14:paraId="289BAB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1144" w:type="pct"/>
            <w:tcBorders>
              <w:tl2br w:val="nil"/>
              <w:tr2bl w:val="nil"/>
            </w:tcBorders>
            <w:shd w:val="clear" w:color="auto" w:fill="auto"/>
            <w:noWrap/>
            <w:vAlign w:val="center"/>
          </w:tcPr>
          <w:p w14:paraId="4A4C581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实施地点</w:t>
            </w:r>
          </w:p>
        </w:tc>
        <w:tc>
          <w:tcPr>
            <w:tcW w:w="2154" w:type="pct"/>
            <w:tcBorders>
              <w:tl2br w:val="nil"/>
              <w:tr2bl w:val="nil"/>
            </w:tcBorders>
            <w:shd w:val="clear" w:color="auto" w:fill="auto"/>
            <w:noWrap/>
            <w:vAlign w:val="center"/>
          </w:tcPr>
          <w:p w14:paraId="02EB57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建设内容</w:t>
            </w:r>
          </w:p>
        </w:tc>
      </w:tr>
      <w:tr w14:paraId="3B9E77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0" w:hRule="atLeast"/>
        </w:trPr>
        <w:tc>
          <w:tcPr>
            <w:tcW w:w="384" w:type="pct"/>
            <w:tcBorders>
              <w:tl2br w:val="nil"/>
              <w:tr2bl w:val="nil"/>
            </w:tcBorders>
            <w:shd w:val="clear" w:color="auto" w:fill="auto"/>
            <w:noWrap/>
            <w:vAlign w:val="center"/>
          </w:tcPr>
          <w:p w14:paraId="598FC2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1</w:t>
            </w:r>
          </w:p>
        </w:tc>
        <w:tc>
          <w:tcPr>
            <w:tcW w:w="1317" w:type="pct"/>
            <w:tcBorders>
              <w:tl2br w:val="nil"/>
              <w:tr2bl w:val="nil"/>
            </w:tcBorders>
            <w:shd w:val="clear" w:color="auto" w:fill="auto"/>
            <w:noWrap/>
            <w:vAlign w:val="center"/>
          </w:tcPr>
          <w:p w14:paraId="2A37E0F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湿地公园基础设施建设项目</w:t>
            </w:r>
          </w:p>
        </w:tc>
        <w:tc>
          <w:tcPr>
            <w:tcW w:w="1144" w:type="pct"/>
            <w:tcBorders>
              <w:tl2br w:val="nil"/>
              <w:tr2bl w:val="nil"/>
            </w:tcBorders>
            <w:shd w:val="clear" w:color="auto" w:fill="auto"/>
            <w:noWrap/>
            <w:vAlign w:val="center"/>
          </w:tcPr>
          <w:p w14:paraId="5308DEC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国家湿地公园</w:t>
            </w:r>
          </w:p>
        </w:tc>
        <w:tc>
          <w:tcPr>
            <w:tcW w:w="2154" w:type="pct"/>
            <w:tcBorders>
              <w:tl2br w:val="nil"/>
              <w:tr2bl w:val="nil"/>
            </w:tcBorders>
            <w:shd w:val="clear" w:color="auto" w:fill="auto"/>
            <w:vAlign w:val="center"/>
          </w:tcPr>
          <w:p w14:paraId="6E33F0A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改建管护站4处，配套基础设施，道路基础设施建设；各县市新建标牌共1500个；配备野生动物疫源疫病监测设施设备4套</w:t>
            </w:r>
          </w:p>
        </w:tc>
      </w:tr>
      <w:tr w14:paraId="0A749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40" w:hRule="atLeast"/>
        </w:trPr>
        <w:tc>
          <w:tcPr>
            <w:tcW w:w="384" w:type="pct"/>
            <w:tcBorders>
              <w:tl2br w:val="nil"/>
              <w:tr2bl w:val="nil"/>
            </w:tcBorders>
            <w:shd w:val="clear" w:color="auto" w:fill="auto"/>
            <w:noWrap/>
            <w:vAlign w:val="center"/>
          </w:tcPr>
          <w:p w14:paraId="73B7CE7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2</w:t>
            </w:r>
          </w:p>
        </w:tc>
        <w:tc>
          <w:tcPr>
            <w:tcW w:w="1317" w:type="pct"/>
            <w:tcBorders>
              <w:tl2br w:val="nil"/>
              <w:tr2bl w:val="nil"/>
            </w:tcBorders>
            <w:shd w:val="clear" w:color="auto" w:fill="auto"/>
            <w:noWrap/>
            <w:vAlign w:val="center"/>
          </w:tcPr>
          <w:p w14:paraId="6EBE874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湿地技术顾问队伍建设项目</w:t>
            </w:r>
          </w:p>
        </w:tc>
        <w:tc>
          <w:tcPr>
            <w:tcW w:w="1144" w:type="pct"/>
            <w:tcBorders>
              <w:tl2br w:val="nil"/>
              <w:tr2bl w:val="nil"/>
            </w:tcBorders>
            <w:shd w:val="clear" w:color="auto" w:fill="auto"/>
            <w:noWrap/>
            <w:vAlign w:val="center"/>
          </w:tcPr>
          <w:p w14:paraId="457F757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全州各县市</w:t>
            </w:r>
          </w:p>
        </w:tc>
        <w:tc>
          <w:tcPr>
            <w:tcW w:w="2154" w:type="pct"/>
            <w:tcBorders>
              <w:tl2br w:val="nil"/>
              <w:tr2bl w:val="nil"/>
            </w:tcBorders>
            <w:shd w:val="clear" w:color="auto" w:fill="auto"/>
            <w:vAlign w:val="center"/>
          </w:tcPr>
          <w:p w14:paraId="642B5E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组建州级湿地技术专家服务团；建设各县市湿地技术服务队，全州湿地技术服务人数达到21人</w:t>
            </w:r>
          </w:p>
        </w:tc>
      </w:tr>
      <w:tr w14:paraId="065622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40" w:hRule="atLeast"/>
        </w:trPr>
        <w:tc>
          <w:tcPr>
            <w:tcW w:w="384" w:type="pct"/>
            <w:tcBorders>
              <w:tl2br w:val="nil"/>
              <w:tr2bl w:val="nil"/>
            </w:tcBorders>
            <w:shd w:val="clear" w:color="auto" w:fill="auto"/>
            <w:noWrap/>
            <w:vAlign w:val="center"/>
          </w:tcPr>
          <w:p w14:paraId="2A6450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3</w:t>
            </w:r>
          </w:p>
        </w:tc>
        <w:tc>
          <w:tcPr>
            <w:tcW w:w="1317" w:type="pct"/>
            <w:tcBorders>
              <w:tl2br w:val="nil"/>
              <w:tr2bl w:val="nil"/>
            </w:tcBorders>
            <w:shd w:val="clear" w:color="auto" w:fill="auto"/>
            <w:noWrap/>
            <w:vAlign w:val="center"/>
          </w:tcPr>
          <w:p w14:paraId="3853A6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湿地保护管理人员培训项目</w:t>
            </w:r>
          </w:p>
        </w:tc>
        <w:tc>
          <w:tcPr>
            <w:tcW w:w="1144" w:type="pct"/>
            <w:tcBorders>
              <w:tl2br w:val="nil"/>
              <w:tr2bl w:val="nil"/>
            </w:tcBorders>
            <w:shd w:val="clear" w:color="auto" w:fill="auto"/>
            <w:noWrap/>
            <w:vAlign w:val="center"/>
          </w:tcPr>
          <w:p w14:paraId="64F6EC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全州各县市</w:t>
            </w:r>
          </w:p>
        </w:tc>
        <w:tc>
          <w:tcPr>
            <w:tcW w:w="2154" w:type="pct"/>
            <w:tcBorders>
              <w:tl2br w:val="nil"/>
              <w:tr2bl w:val="nil"/>
            </w:tcBorders>
            <w:shd w:val="clear" w:color="auto" w:fill="auto"/>
            <w:vAlign w:val="center"/>
          </w:tcPr>
          <w:p w14:paraId="136033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各县市每年举办湿地技术培训10场次，合计完成70场次培训；湿地类型自然保护区培训2000人次，湿地公园培训1800人次</w:t>
            </w:r>
          </w:p>
        </w:tc>
      </w:tr>
    </w:tbl>
    <w:p w14:paraId="722ABC80">
      <w:pPr>
        <w:bidi w:val="0"/>
        <w:rPr>
          <w:rFonts w:hint="default"/>
          <w:lang w:val="en-US" w:eastAsia="zh-CN"/>
        </w:rPr>
      </w:pPr>
    </w:p>
    <w:p w14:paraId="1E084F55">
      <w:pPr>
        <w:pStyle w:val="3"/>
        <w:bidi w:val="0"/>
        <w:rPr>
          <w:rFonts w:hint="default"/>
          <w:lang w:val="en-US" w:eastAsia="zh-CN"/>
        </w:rPr>
      </w:pPr>
      <w:bookmarkStart w:id="355" w:name="_Toc22540"/>
      <w:bookmarkStart w:id="356" w:name="_Toc20920"/>
      <w:bookmarkStart w:id="357" w:name="_Toc26454"/>
      <w:bookmarkStart w:id="358" w:name="_Toc19580"/>
      <w:r>
        <w:rPr>
          <w:rFonts w:hint="eastAsia"/>
          <w:lang w:val="en-US" w:eastAsia="zh-CN"/>
        </w:rPr>
        <w:t>第六节  强化湿地资源监测监管</w:t>
      </w:r>
      <w:bookmarkEnd w:id="355"/>
      <w:bookmarkEnd w:id="356"/>
      <w:bookmarkEnd w:id="357"/>
      <w:bookmarkEnd w:id="358"/>
    </w:p>
    <w:p w14:paraId="2153B4FD">
      <w:pPr>
        <w:bidi w:val="0"/>
        <w:jc w:val="both"/>
        <w:rPr>
          <w:rFonts w:hint="default" w:ascii="Times New Roman" w:hAnsi="Times New Roman" w:cs="Times New Roman"/>
          <w:highlight w:val="none"/>
        </w:rPr>
      </w:pPr>
      <w:bookmarkStart w:id="359" w:name="OLE_LINK24"/>
      <w:r>
        <w:rPr>
          <w:rFonts w:hint="default" w:ascii="Times New Roman" w:hAnsi="Times New Roman" w:cs="Times New Roman"/>
          <w:lang w:val="en-US" w:eastAsia="zh-CN"/>
        </w:rPr>
        <w:t>开</w:t>
      </w:r>
      <w:r>
        <w:rPr>
          <w:rFonts w:hint="default" w:ascii="Times New Roman" w:hAnsi="Times New Roman" w:cs="Times New Roman"/>
          <w:highlight w:val="none"/>
          <w:lang w:val="en-US" w:eastAsia="zh-CN"/>
        </w:rPr>
        <w:t>展湿地资源专项调查</w:t>
      </w:r>
      <w:r>
        <w:rPr>
          <w:rFonts w:hint="eastAsia" w:cs="Times New Roman"/>
          <w:highlight w:val="none"/>
          <w:lang w:val="en-US" w:eastAsia="zh-CN"/>
        </w:rPr>
        <w:t>，查明全州湿地分布的空间格局和各湿地的生态功能分区，揭示全州湿地资源和湿地生态系统的时空变化特征、演变规律和关键影响因素</w:t>
      </w:r>
      <w:r>
        <w:rPr>
          <w:rFonts w:hint="default" w:ascii="Times New Roman" w:hAnsi="Times New Roman" w:cs="Times New Roman"/>
          <w:highlight w:val="none"/>
          <w:lang w:val="en-US" w:eastAsia="zh-CN"/>
        </w:rPr>
        <w:t>。根据《自然资源调查监测体系构建总体方案》，</w:t>
      </w:r>
      <w:r>
        <w:rPr>
          <w:rFonts w:hint="eastAsia" w:cs="Times New Roman"/>
          <w:highlight w:val="none"/>
          <w:lang w:val="en-US" w:eastAsia="zh-CN"/>
        </w:rPr>
        <w:t>规划每五年开展一次全州范围内的湿地资源全面调查，采用3S技术调查</w:t>
      </w:r>
      <w:r>
        <w:rPr>
          <w:rFonts w:hint="eastAsia" w:cs="Times New Roman"/>
          <w:lang w:val="en-US" w:eastAsia="zh-CN"/>
        </w:rPr>
        <w:t>和地面调查相结合的方式，</w:t>
      </w:r>
      <w:r>
        <w:rPr>
          <w:rFonts w:hint="default" w:ascii="Times New Roman" w:hAnsi="Times New Roman" w:cs="Times New Roman"/>
          <w:lang w:val="en-US" w:eastAsia="zh-CN"/>
        </w:rPr>
        <w:t>查清湿地类型、分布、面积，湿地水环境、生物多样性、保护与利用、受威胁状况等，全面掌握湿地生态质量状况及湿地损毁等情况，形成湿地类型、面积、分布、湿地率、湿地保护率等数据</w:t>
      </w:r>
      <w:r>
        <w:rPr>
          <w:rFonts w:hint="eastAsia" w:cs="Times New Roman"/>
          <w:lang w:val="en-US" w:eastAsia="zh-CN"/>
        </w:rPr>
        <w:t>，摸清昌吉回族自治州湿地资源本底和动植物资源变化趋势。</w:t>
      </w:r>
      <w:r>
        <w:rPr>
          <w:rFonts w:hint="default" w:ascii="Times New Roman" w:hAnsi="Times New Roman" w:cs="Times New Roman"/>
          <w:lang w:val="en-US" w:eastAsia="zh-CN"/>
        </w:rPr>
        <w:t>将湿地调查监测成果融</w:t>
      </w:r>
      <w:r>
        <w:rPr>
          <w:rFonts w:hint="default" w:ascii="Times New Roman" w:hAnsi="Times New Roman" w:cs="Times New Roman"/>
          <w:highlight w:val="none"/>
          <w:lang w:val="en-US" w:eastAsia="zh-CN"/>
        </w:rPr>
        <w:t>入自然资源调查监测三维时空数据库，形成支撑自然资源统一管理的调查监测</w:t>
      </w:r>
      <w:r>
        <w:rPr>
          <w:rFonts w:hint="eastAsia" w:cs="Times New Roman"/>
          <w:highlight w:val="none"/>
          <w:lang w:val="en-US" w:eastAsia="zh-CN"/>
        </w:rPr>
        <w:t>“</w:t>
      </w:r>
      <w:r>
        <w:rPr>
          <w:rFonts w:hint="default" w:ascii="Times New Roman" w:hAnsi="Times New Roman" w:cs="Times New Roman"/>
          <w:highlight w:val="none"/>
          <w:lang w:val="en-US" w:eastAsia="zh-CN"/>
        </w:rPr>
        <w:t>一套数</w:t>
      </w:r>
      <w:r>
        <w:rPr>
          <w:rFonts w:hint="eastAsia" w:cs="Times New Roman"/>
          <w:highlight w:val="none"/>
          <w:lang w:val="en-US" w:eastAsia="zh-CN"/>
        </w:rPr>
        <w:t>”“</w:t>
      </w:r>
      <w:r>
        <w:rPr>
          <w:rFonts w:hint="default" w:ascii="Times New Roman" w:hAnsi="Times New Roman" w:cs="Times New Roman"/>
          <w:highlight w:val="none"/>
          <w:lang w:val="en-US" w:eastAsia="zh-CN"/>
        </w:rPr>
        <w:t>一张图</w:t>
      </w:r>
      <w:r>
        <w:rPr>
          <w:rFonts w:hint="eastAsia" w:cs="Times New Roman"/>
          <w:highlight w:val="none"/>
          <w:lang w:val="en-US" w:eastAsia="zh-CN"/>
        </w:rPr>
        <w:t>”</w:t>
      </w:r>
      <w:r>
        <w:rPr>
          <w:rFonts w:hint="default" w:ascii="Times New Roman" w:hAnsi="Times New Roman" w:cs="Times New Roman"/>
          <w:highlight w:val="none"/>
          <w:lang w:val="en-US" w:eastAsia="zh-CN"/>
        </w:rPr>
        <w:t>。</w:t>
      </w:r>
    </w:p>
    <w:p w14:paraId="10CFD1B9">
      <w:pPr>
        <w:bidi w:val="0"/>
        <w:jc w:val="both"/>
        <w:rPr>
          <w:rFonts w:hint="default" w:ascii="Times New Roman" w:hAnsi="Times New Roman" w:cs="Times New Roman"/>
          <w:lang w:val="en-US" w:eastAsia="zh-CN"/>
        </w:rPr>
      </w:pPr>
      <w:r>
        <w:rPr>
          <w:rFonts w:hint="default" w:ascii="Times New Roman" w:hAnsi="Times New Roman" w:cs="Times New Roman"/>
          <w:highlight w:val="none"/>
          <w:lang w:val="en-US" w:eastAsia="zh-CN"/>
        </w:rPr>
        <w:t>构建湿地生态监测网络。结合</w:t>
      </w:r>
      <w:r>
        <w:rPr>
          <w:rFonts w:hint="eastAsia" w:cs="Times New Roman"/>
          <w:highlight w:val="none"/>
          <w:lang w:val="en-US" w:eastAsia="zh-CN"/>
        </w:rPr>
        <w:t>全州</w:t>
      </w:r>
      <w:r>
        <w:rPr>
          <w:rFonts w:hint="default" w:ascii="Times New Roman" w:hAnsi="Times New Roman" w:cs="Times New Roman"/>
          <w:highlight w:val="none"/>
          <w:lang w:val="en-US" w:eastAsia="zh-CN"/>
        </w:rPr>
        <w:t>湿地保护格局，优先选择</w:t>
      </w:r>
      <w:r>
        <w:rPr>
          <w:rFonts w:hint="eastAsia" w:cs="Times New Roman"/>
          <w:highlight w:val="none"/>
          <w:lang w:val="en-US" w:eastAsia="zh-CN"/>
        </w:rPr>
        <w:t>沼泽</w:t>
      </w:r>
      <w:r>
        <w:rPr>
          <w:rFonts w:hint="default" w:ascii="Times New Roman" w:hAnsi="Times New Roman" w:cs="Times New Roman"/>
          <w:highlight w:val="none"/>
          <w:lang w:val="en-US" w:eastAsia="zh-CN"/>
        </w:rPr>
        <w:t>湿地、河流湿地和人工湿地等典型的湿地类型作为湿地生态监测建站区域，构建覆盖</w:t>
      </w:r>
      <w:r>
        <w:rPr>
          <w:rFonts w:hint="eastAsia" w:cs="Times New Roman"/>
          <w:highlight w:val="none"/>
          <w:lang w:val="en-US" w:eastAsia="zh-CN"/>
        </w:rPr>
        <w:t>全州</w:t>
      </w:r>
      <w:r>
        <w:rPr>
          <w:rFonts w:hint="default" w:ascii="Times New Roman" w:hAnsi="Times New Roman" w:cs="Times New Roman"/>
          <w:highlight w:val="none"/>
          <w:lang w:val="en-US" w:eastAsia="zh-CN"/>
        </w:rPr>
        <w:t>主要自然湿地类型和重要人工湿地类型的湿地生态监测网络。推进湿地生态监测平台建设，依托湿地公园等保护管理机构和科研单位，对重要湿地生态区域开展湿地生态监测及湿地保护恢复成效评价，为湿地保护管理科学决策提供可靠数据支持。至2025年，在</w:t>
      </w:r>
      <w:r>
        <w:rPr>
          <w:rFonts w:hint="eastAsia" w:cs="Times New Roman"/>
          <w:highlight w:val="none"/>
          <w:lang w:val="en-US" w:eastAsia="zh-CN"/>
        </w:rPr>
        <w:t>全州</w:t>
      </w:r>
      <w:r>
        <w:rPr>
          <w:rFonts w:hint="default" w:ascii="Times New Roman" w:hAnsi="Times New Roman" w:cs="Times New Roman"/>
          <w:highlight w:val="none"/>
          <w:lang w:val="en-US" w:eastAsia="zh-CN"/>
        </w:rPr>
        <w:t>布设湿地生态监测站点</w:t>
      </w:r>
      <w:r>
        <w:rPr>
          <w:rFonts w:hint="eastAsia" w:cs="Times New Roman"/>
          <w:highlight w:val="none"/>
          <w:lang w:val="en-US" w:eastAsia="zh-CN"/>
        </w:rPr>
        <w:t>2</w:t>
      </w:r>
      <w:r>
        <w:rPr>
          <w:rFonts w:hint="default" w:ascii="Times New Roman" w:hAnsi="Times New Roman" w:cs="Times New Roman"/>
          <w:highlight w:val="none"/>
          <w:lang w:val="en-US" w:eastAsia="zh-CN"/>
        </w:rPr>
        <w:t>处以上，同时支持推动地方建设湿地生态监测站（点），初步形成布局合理的湿地生态监测网络，重要区域湿地监测监管能力得到提升，基本满足</w:t>
      </w:r>
      <w:r>
        <w:rPr>
          <w:rFonts w:hint="eastAsia" w:cs="Times New Roman"/>
          <w:highlight w:val="none"/>
          <w:lang w:val="en-US" w:eastAsia="zh-CN"/>
        </w:rPr>
        <w:t>全州</w:t>
      </w:r>
      <w:r>
        <w:rPr>
          <w:rFonts w:hint="default" w:ascii="Times New Roman" w:hAnsi="Times New Roman" w:cs="Times New Roman"/>
          <w:highlight w:val="none"/>
          <w:lang w:val="en-US" w:eastAsia="zh-CN"/>
        </w:rPr>
        <w:t>生态建设成效评价和重要区域生态安全评估等宏观需求。至203</w:t>
      </w:r>
      <w:r>
        <w:rPr>
          <w:rFonts w:hint="eastAsia" w:cs="Times New Roman"/>
          <w:highlight w:val="none"/>
          <w:lang w:val="en-US" w:eastAsia="zh-CN"/>
        </w:rPr>
        <w:t>0</w:t>
      </w:r>
      <w:r>
        <w:rPr>
          <w:rFonts w:hint="default" w:ascii="Times New Roman" w:hAnsi="Times New Roman" w:cs="Times New Roman"/>
          <w:highlight w:val="none"/>
          <w:lang w:val="en-US" w:eastAsia="zh-CN"/>
        </w:rPr>
        <w:t>年，</w:t>
      </w:r>
      <w:r>
        <w:rPr>
          <w:rFonts w:hint="eastAsia" w:cs="Times New Roman"/>
          <w:highlight w:val="none"/>
          <w:lang w:val="en-US" w:eastAsia="zh-CN"/>
        </w:rPr>
        <w:t>全州</w:t>
      </w:r>
      <w:r>
        <w:rPr>
          <w:rFonts w:hint="default" w:ascii="Times New Roman" w:hAnsi="Times New Roman" w:cs="Times New Roman"/>
          <w:highlight w:val="none"/>
          <w:lang w:val="en-US" w:eastAsia="zh-CN"/>
        </w:rPr>
        <w:t>湿地生态监测站点数量达到</w:t>
      </w:r>
      <w:r>
        <w:rPr>
          <w:rFonts w:hint="eastAsia" w:cs="Times New Roman"/>
          <w:highlight w:val="none"/>
          <w:lang w:val="en-US" w:eastAsia="zh-CN"/>
        </w:rPr>
        <w:t>4</w:t>
      </w:r>
      <w:r>
        <w:rPr>
          <w:rFonts w:hint="default" w:ascii="Times New Roman" w:hAnsi="Times New Roman" w:cs="Times New Roman"/>
          <w:highlight w:val="none"/>
          <w:lang w:val="en-US" w:eastAsia="zh-CN"/>
        </w:rPr>
        <w:t>处以上，实现国家湿地公园和重要湿地生态监测站（点）布设全覆盖，形成布局合理、科学系统的湿地生态监测网络，</w:t>
      </w:r>
      <w:r>
        <w:rPr>
          <w:rFonts w:hint="eastAsia" w:cs="Times New Roman"/>
          <w:highlight w:val="none"/>
          <w:lang w:val="en-US" w:eastAsia="zh-CN"/>
        </w:rPr>
        <w:t>全州</w:t>
      </w:r>
      <w:r>
        <w:rPr>
          <w:rFonts w:hint="default" w:ascii="Times New Roman" w:hAnsi="Times New Roman" w:cs="Times New Roman"/>
          <w:highlight w:val="none"/>
          <w:lang w:val="en-US" w:eastAsia="zh-CN"/>
        </w:rPr>
        <w:t>湿地监测监管能力得到有</w:t>
      </w:r>
      <w:r>
        <w:rPr>
          <w:rFonts w:hint="default" w:ascii="Times New Roman" w:hAnsi="Times New Roman" w:cs="Times New Roman"/>
          <w:lang w:val="en-US" w:eastAsia="zh-CN"/>
        </w:rPr>
        <w:t>效提升，全面满足</w:t>
      </w:r>
      <w:r>
        <w:rPr>
          <w:rFonts w:hint="eastAsia" w:cs="Times New Roman"/>
          <w:lang w:val="en-US" w:eastAsia="zh-CN"/>
        </w:rPr>
        <w:t>全州</w:t>
      </w:r>
      <w:r>
        <w:rPr>
          <w:rFonts w:hint="default" w:ascii="Times New Roman" w:hAnsi="Times New Roman" w:cs="Times New Roman"/>
          <w:lang w:val="en-US" w:eastAsia="zh-CN"/>
        </w:rPr>
        <w:t>生态建设成效评价和生态安全评估等宏观需求，能够为</w:t>
      </w:r>
      <w:r>
        <w:rPr>
          <w:rFonts w:hint="eastAsia" w:cs="Times New Roman"/>
          <w:lang w:val="en-US" w:eastAsia="zh-CN"/>
        </w:rPr>
        <w:t>全州</w:t>
      </w:r>
      <w:r>
        <w:rPr>
          <w:rFonts w:hint="default" w:ascii="Times New Roman" w:hAnsi="Times New Roman" w:cs="Times New Roman"/>
          <w:lang w:val="en-US" w:eastAsia="zh-CN"/>
        </w:rPr>
        <w:t>湿地保护管理高质量发展提供有力支撑。</w:t>
      </w:r>
    </w:p>
    <w:p w14:paraId="74928F30">
      <w:pPr>
        <w:bidi w:val="0"/>
        <w:jc w:val="both"/>
        <w:rPr>
          <w:rFonts w:hint="default" w:ascii="Times New Roman" w:hAnsi="Times New Roman" w:cs="Times New Roman"/>
        </w:rPr>
      </w:pPr>
      <w:r>
        <w:rPr>
          <w:rFonts w:hint="default" w:ascii="Times New Roman" w:hAnsi="Times New Roman" w:cs="Times New Roman"/>
          <w:lang w:val="en-US" w:eastAsia="zh-CN"/>
        </w:rPr>
        <w:t>提升湿地生态监测能力。支持开发湿地监测数据智能采集系统，探索建立湿地自动化、智能化监测模式，提升</w:t>
      </w:r>
      <w:r>
        <w:rPr>
          <w:rFonts w:hint="eastAsia" w:cs="Times New Roman"/>
          <w:lang w:val="en-US" w:eastAsia="zh-CN"/>
        </w:rPr>
        <w:t>全州</w:t>
      </w:r>
      <w:r>
        <w:rPr>
          <w:rFonts w:hint="default" w:ascii="Times New Roman" w:hAnsi="Times New Roman" w:cs="Times New Roman"/>
          <w:lang w:val="en-US" w:eastAsia="zh-CN"/>
        </w:rPr>
        <w:t>湿地调查监测、分析评价及决策支持能力。探索利用</w:t>
      </w:r>
      <w:r>
        <w:rPr>
          <w:rFonts w:hint="eastAsia" w:cs="Times New Roman"/>
          <w:lang w:val="en-US" w:eastAsia="zh-CN"/>
        </w:rPr>
        <w:t>“</w:t>
      </w:r>
      <w:r>
        <w:rPr>
          <w:rFonts w:hint="default" w:ascii="Times New Roman" w:hAnsi="Times New Roman" w:cs="Times New Roman"/>
          <w:lang w:val="en-US" w:eastAsia="zh-CN"/>
        </w:rPr>
        <w:t>天空地</w:t>
      </w:r>
      <w:r>
        <w:rPr>
          <w:rFonts w:hint="eastAsia" w:cs="Times New Roman"/>
          <w:lang w:val="en-US" w:eastAsia="zh-CN"/>
        </w:rPr>
        <w:t>”</w:t>
      </w:r>
      <w:r>
        <w:rPr>
          <w:rFonts w:hint="default" w:ascii="Times New Roman" w:hAnsi="Times New Roman" w:cs="Times New Roman"/>
          <w:lang w:val="en-US" w:eastAsia="zh-CN"/>
        </w:rPr>
        <w:t>一体化湿地监测方式开展湿地保护利用状况及其管理属性等变化情况的调查分析，及时掌握湿地保护管理现状及其修复变化情况，保持湿地调查数据和湿地数据库的真实性、准确性和时效性，全面地反映湿地现状及发展趋势，为湿地管理、规划及评价提供科学依据，为湿地保护和生态修复建设提供有力支撑。</w:t>
      </w:r>
    </w:p>
    <w:p w14:paraId="7B88D77C">
      <w:pPr>
        <w:bidi w:val="0"/>
        <w:jc w:val="both"/>
        <w:rPr>
          <w:rFonts w:hint="default" w:ascii="Times New Roman" w:hAnsi="Times New Roman" w:cs="Times New Roman"/>
          <w:highlight w:val="none"/>
        </w:rPr>
      </w:pPr>
      <w:r>
        <w:rPr>
          <w:rFonts w:hint="default" w:ascii="Times New Roman" w:hAnsi="Times New Roman" w:cs="Times New Roman"/>
          <w:lang w:val="en-US" w:eastAsia="zh-CN"/>
        </w:rPr>
        <w:t>加强湿地资源动态监测。根据国家、</w:t>
      </w:r>
      <w:r>
        <w:rPr>
          <w:rFonts w:hint="eastAsia" w:cs="Times New Roman"/>
          <w:lang w:val="en-US" w:eastAsia="zh-CN"/>
        </w:rPr>
        <w:t>自治区</w:t>
      </w:r>
      <w:r>
        <w:rPr>
          <w:rFonts w:hint="default" w:ascii="Times New Roman" w:hAnsi="Times New Roman" w:cs="Times New Roman"/>
          <w:lang w:val="en-US" w:eastAsia="zh-CN"/>
        </w:rPr>
        <w:t>自然资源统一调查监测要求和管理需要，围绕湿地资源管理目标，对</w:t>
      </w:r>
      <w:r>
        <w:rPr>
          <w:rFonts w:hint="eastAsia" w:cs="Times New Roman"/>
          <w:lang w:val="en-US" w:eastAsia="zh-CN"/>
        </w:rPr>
        <w:t>昌吉回族自治州</w:t>
      </w:r>
      <w:r>
        <w:rPr>
          <w:rFonts w:hint="default" w:ascii="Times New Roman" w:hAnsi="Times New Roman" w:cs="Times New Roman"/>
          <w:lang w:val="en-US" w:eastAsia="zh-CN"/>
        </w:rPr>
        <w:t>范围内湿地资源的分布、范围、面积等定期开展全覆盖动态遥感监测，综合反映湿地资源变化情况，及时掌握湿地资源变化信息，支撑基础调查成果更新，服务湿地资源执法及各类考核评价工作。适时部署开展专题监测，对某一类型、某一区域湿地资源的特征指标进行动态跟踪，加强对鸟类特别是候鸟监测，及时掌握湿地资源数量、质量等变化</w:t>
      </w:r>
      <w:r>
        <w:rPr>
          <w:rFonts w:hint="default" w:ascii="Times New Roman" w:hAnsi="Times New Roman" w:cs="Times New Roman"/>
          <w:highlight w:val="none"/>
          <w:lang w:val="en-US" w:eastAsia="zh-CN"/>
        </w:rPr>
        <w:t>情况及重大战略实施、重大决策落实等情况。</w:t>
      </w:r>
    </w:p>
    <w:p w14:paraId="70397876">
      <w:pPr>
        <w:bidi w:val="0"/>
        <w:jc w:val="both"/>
        <w:rPr>
          <w:rFonts w:hint="default" w:ascii="Times New Roman" w:hAnsi="Times New Roman" w:cs="Times New Roman"/>
          <w:lang w:val="en-US" w:eastAsia="zh-CN"/>
        </w:rPr>
      </w:pPr>
      <w:r>
        <w:rPr>
          <w:rFonts w:hint="default" w:ascii="Times New Roman" w:hAnsi="Times New Roman" w:cs="Times New Roman"/>
          <w:highlight w:val="none"/>
          <w:lang w:val="en-US" w:eastAsia="zh-CN"/>
        </w:rPr>
        <w:t>探索湿地生态评价及服务价值评估。优先在</w:t>
      </w:r>
      <w:r>
        <w:rPr>
          <w:rFonts w:hint="eastAsia" w:cs="Times New Roman"/>
          <w:highlight w:val="none"/>
          <w:lang w:val="en-US" w:eastAsia="zh-CN"/>
        </w:rPr>
        <w:t>国家</w:t>
      </w:r>
      <w:r>
        <w:rPr>
          <w:rFonts w:hint="default" w:ascii="Times New Roman" w:hAnsi="Times New Roman" w:cs="Times New Roman"/>
          <w:highlight w:val="none"/>
          <w:lang w:val="en-US" w:eastAsia="zh-CN"/>
        </w:rPr>
        <w:t>湿地公园开展湿地监测试点及推广工作，支持开展重要湿地生态状况评价及湿地生态服务价值评估。研究构建</w:t>
      </w:r>
      <w:r>
        <w:rPr>
          <w:rFonts w:hint="eastAsia" w:cs="Times New Roman"/>
          <w:highlight w:val="none"/>
          <w:lang w:val="en-US" w:eastAsia="zh-CN"/>
        </w:rPr>
        <w:t>全州</w:t>
      </w:r>
      <w:r>
        <w:rPr>
          <w:rFonts w:hint="default" w:ascii="Times New Roman" w:hAnsi="Times New Roman" w:cs="Times New Roman"/>
          <w:highlight w:val="none"/>
          <w:lang w:val="en-US" w:eastAsia="zh-CN"/>
        </w:rPr>
        <w:t>湿地生态状况评价及湿地生态服务价值评估指标体系，明确湿地</w:t>
      </w:r>
      <w:r>
        <w:rPr>
          <w:rFonts w:hint="default" w:ascii="Times New Roman" w:hAnsi="Times New Roman" w:cs="Times New Roman"/>
          <w:lang w:val="en-US" w:eastAsia="zh-CN"/>
        </w:rPr>
        <w:t>生态评价指标、内容及方法，探索开展湿地生态状况评价和生态服务功能评估工作。</w:t>
      </w:r>
    </w:p>
    <w:bookmarkEnd w:id="359"/>
    <w:p w14:paraId="66D5EA16">
      <w:pPr>
        <w:bidi w:val="0"/>
        <w:jc w:val="center"/>
        <w:rPr>
          <w:rFonts w:hint="eastAsia"/>
          <w:highlight w:val="none"/>
          <w:lang w:val="en-US" w:eastAsia="zh-CN"/>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78765D1A">
      <w:pPr>
        <w:bidi w:val="0"/>
        <w:jc w:val="center"/>
        <w:rPr>
          <w:rFonts w:hint="default"/>
          <w:highlight w:val="none"/>
          <w:lang w:val="en-US" w:eastAsia="zh-CN"/>
        </w:rPr>
      </w:pPr>
      <w:r>
        <w:rPr>
          <w:rFonts w:hint="eastAsia"/>
          <w:highlight w:val="none"/>
          <w:lang w:val="en-US" w:eastAsia="zh-CN"/>
        </w:rPr>
        <w:t>表4-6  湿地资源监测监管建设项目表</w:t>
      </w:r>
    </w:p>
    <w:tbl>
      <w:tblPr>
        <w:tblStyle w:val="17"/>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872"/>
        <w:gridCol w:w="1950"/>
        <w:gridCol w:w="1583"/>
        <w:gridCol w:w="4117"/>
      </w:tblGrid>
      <w:tr w14:paraId="60B7B5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0" w:hRule="atLeast"/>
          <w:jc w:val="center"/>
        </w:trPr>
        <w:tc>
          <w:tcPr>
            <w:tcW w:w="511" w:type="pct"/>
            <w:tcBorders>
              <w:tl2br w:val="nil"/>
              <w:tr2bl w:val="nil"/>
            </w:tcBorders>
            <w:shd w:val="clear" w:color="auto" w:fill="auto"/>
            <w:noWrap/>
            <w:vAlign w:val="center"/>
          </w:tcPr>
          <w:p w14:paraId="777FB0B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144" w:type="pct"/>
            <w:tcBorders>
              <w:tl2br w:val="nil"/>
              <w:tr2bl w:val="nil"/>
            </w:tcBorders>
            <w:shd w:val="clear" w:color="auto" w:fill="auto"/>
            <w:noWrap/>
            <w:vAlign w:val="center"/>
          </w:tcPr>
          <w:p w14:paraId="2C104D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928" w:type="pct"/>
            <w:tcBorders>
              <w:tl2br w:val="nil"/>
              <w:tr2bl w:val="nil"/>
            </w:tcBorders>
            <w:shd w:val="clear" w:color="auto" w:fill="auto"/>
            <w:noWrap/>
            <w:vAlign w:val="center"/>
          </w:tcPr>
          <w:p w14:paraId="4DDA1E7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实施地点</w:t>
            </w:r>
          </w:p>
        </w:tc>
        <w:tc>
          <w:tcPr>
            <w:tcW w:w="2415" w:type="pct"/>
            <w:tcBorders>
              <w:tl2br w:val="nil"/>
              <w:tr2bl w:val="nil"/>
            </w:tcBorders>
            <w:shd w:val="clear" w:color="auto" w:fill="auto"/>
            <w:noWrap/>
            <w:vAlign w:val="center"/>
          </w:tcPr>
          <w:p w14:paraId="72E86F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建设内容</w:t>
            </w:r>
          </w:p>
        </w:tc>
      </w:tr>
      <w:tr w14:paraId="34B002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40" w:hRule="atLeast"/>
          <w:jc w:val="center"/>
        </w:trPr>
        <w:tc>
          <w:tcPr>
            <w:tcW w:w="511" w:type="pct"/>
            <w:tcBorders>
              <w:tl2br w:val="nil"/>
              <w:tr2bl w:val="nil"/>
            </w:tcBorders>
            <w:shd w:val="clear" w:color="auto" w:fill="auto"/>
            <w:noWrap/>
            <w:vAlign w:val="center"/>
          </w:tcPr>
          <w:p w14:paraId="53948DE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144" w:type="pct"/>
            <w:tcBorders>
              <w:tl2br w:val="nil"/>
              <w:tr2bl w:val="nil"/>
            </w:tcBorders>
            <w:shd w:val="clear" w:color="auto" w:fill="auto"/>
            <w:noWrap/>
            <w:vAlign w:val="center"/>
          </w:tcPr>
          <w:p w14:paraId="4545E6B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湿地资源本底调查建设项目</w:t>
            </w:r>
          </w:p>
        </w:tc>
        <w:tc>
          <w:tcPr>
            <w:tcW w:w="928" w:type="pct"/>
            <w:tcBorders>
              <w:tl2br w:val="nil"/>
              <w:tr2bl w:val="nil"/>
            </w:tcBorders>
            <w:shd w:val="clear" w:color="auto" w:fill="auto"/>
            <w:noWrap/>
            <w:vAlign w:val="center"/>
          </w:tcPr>
          <w:p w14:paraId="5D98C13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全州各县市</w:t>
            </w:r>
          </w:p>
        </w:tc>
        <w:tc>
          <w:tcPr>
            <w:tcW w:w="2415" w:type="pct"/>
            <w:tcBorders>
              <w:tl2br w:val="nil"/>
              <w:tr2bl w:val="nil"/>
            </w:tcBorders>
            <w:shd w:val="clear" w:color="auto" w:fill="auto"/>
            <w:vAlign w:val="center"/>
          </w:tcPr>
          <w:p w14:paraId="11B2DE4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规划每5年开展一次全州范围内本底资源调查，查明全州湿地分布的空间格局，全面掌握湿地生态质量状况及湿地损毁等情况，形成湿地类型、面积、分布、湿地率、湿地保护率等数据</w:t>
            </w:r>
          </w:p>
        </w:tc>
      </w:tr>
      <w:tr w14:paraId="5D4228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1080" w:hRule="atLeast"/>
          <w:jc w:val="center"/>
        </w:trPr>
        <w:tc>
          <w:tcPr>
            <w:tcW w:w="511" w:type="pct"/>
            <w:tcBorders>
              <w:tl2br w:val="nil"/>
              <w:tr2bl w:val="nil"/>
            </w:tcBorders>
            <w:shd w:val="clear" w:color="auto" w:fill="auto"/>
            <w:noWrap/>
            <w:vAlign w:val="center"/>
          </w:tcPr>
          <w:p w14:paraId="68E5168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144" w:type="pct"/>
            <w:tcBorders>
              <w:tl2br w:val="nil"/>
              <w:tr2bl w:val="nil"/>
            </w:tcBorders>
            <w:shd w:val="clear" w:color="auto" w:fill="auto"/>
            <w:noWrap/>
            <w:vAlign w:val="center"/>
          </w:tcPr>
          <w:p w14:paraId="08E4724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科研监测系统建设项目</w:t>
            </w:r>
          </w:p>
        </w:tc>
        <w:tc>
          <w:tcPr>
            <w:tcW w:w="928" w:type="pct"/>
            <w:tcBorders>
              <w:tl2br w:val="nil"/>
              <w:tr2bl w:val="nil"/>
            </w:tcBorders>
            <w:shd w:val="clear" w:color="auto" w:fill="auto"/>
            <w:noWrap/>
            <w:vAlign w:val="center"/>
          </w:tcPr>
          <w:p w14:paraId="3B1571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全州各县市</w:t>
            </w:r>
          </w:p>
        </w:tc>
        <w:tc>
          <w:tcPr>
            <w:tcW w:w="2415" w:type="pct"/>
            <w:tcBorders>
              <w:tl2br w:val="nil"/>
              <w:tr2bl w:val="nil"/>
            </w:tcBorders>
            <w:shd w:val="clear" w:color="auto" w:fill="auto"/>
            <w:vAlign w:val="center"/>
          </w:tcPr>
          <w:p w14:paraId="716DF29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布设科研监测样线300千米；至2025年，全州建设生态监测点2处、鸟类观测站点7处，配备科研监测仪器设备2套、鸟类观测设备7套；至2030年，全州建设生态监测点4处、鸟类观测站点14处，配备科研监测仪器设备4套、鸟类观测设备14套</w:t>
            </w:r>
          </w:p>
        </w:tc>
      </w:tr>
    </w:tbl>
    <w:p w14:paraId="06DC9D20">
      <w:pPr>
        <w:bidi w:val="0"/>
        <w:rPr>
          <w:rFonts w:hint="default" w:ascii="Times New Roman" w:hAnsi="Times New Roman" w:cs="Times New Roman"/>
          <w:lang w:val="en-US" w:eastAsia="zh-CN"/>
        </w:rPr>
      </w:pPr>
    </w:p>
    <w:bookmarkEnd w:id="352"/>
    <w:bookmarkEnd w:id="353"/>
    <w:p w14:paraId="7F84106D">
      <w:pPr>
        <w:pStyle w:val="3"/>
        <w:numPr>
          <w:ilvl w:val="0"/>
          <w:numId w:val="0"/>
        </w:numPr>
        <w:bidi w:val="0"/>
        <w:ind w:leftChars="200"/>
        <w:rPr>
          <w:rFonts w:hint="default" w:ascii="Times New Roman" w:hAnsi="Times New Roman" w:cs="Times New Roman"/>
          <w:highlight w:val="none"/>
          <w:lang w:val="en-US" w:eastAsia="zh-CN"/>
        </w:rPr>
      </w:pPr>
      <w:bookmarkStart w:id="360" w:name="_Toc30685"/>
      <w:bookmarkStart w:id="361" w:name="_Toc25406"/>
      <w:bookmarkStart w:id="362" w:name="_Toc17308"/>
      <w:r>
        <w:rPr>
          <w:rFonts w:hint="eastAsia" w:ascii="Times New Roman" w:hAnsi="Times New Roman" w:cs="Times New Roman"/>
          <w:highlight w:val="none"/>
          <w:lang w:val="en-US" w:eastAsia="zh-CN"/>
        </w:rPr>
        <w:t>第</w:t>
      </w:r>
      <w:r>
        <w:rPr>
          <w:rFonts w:hint="eastAsia" w:cs="Times New Roman"/>
          <w:highlight w:val="none"/>
          <w:lang w:val="en-US" w:eastAsia="zh-CN"/>
        </w:rPr>
        <w:t>七</w:t>
      </w:r>
      <w:r>
        <w:rPr>
          <w:rFonts w:hint="eastAsia" w:ascii="Times New Roman" w:hAnsi="Times New Roman" w:cs="Times New Roman"/>
          <w:highlight w:val="none"/>
          <w:lang w:val="en-US" w:eastAsia="zh-CN"/>
        </w:rPr>
        <w:t xml:space="preserve">节  </w:t>
      </w:r>
      <w:r>
        <w:rPr>
          <w:rFonts w:hint="default" w:ascii="Times New Roman" w:hAnsi="Times New Roman" w:cs="Times New Roman"/>
          <w:highlight w:val="none"/>
          <w:lang w:val="en-US" w:eastAsia="zh-CN"/>
        </w:rPr>
        <w:t>发挥湿地保护综合效益</w:t>
      </w:r>
      <w:bookmarkEnd w:id="360"/>
      <w:bookmarkEnd w:id="361"/>
      <w:bookmarkEnd w:id="362"/>
    </w:p>
    <w:p w14:paraId="4D531B42">
      <w:pPr>
        <w:bidi w:val="0"/>
        <w:jc w:val="both"/>
        <w:rPr>
          <w:rFonts w:hint="default" w:ascii="Times New Roman" w:hAnsi="Times New Roman" w:cs="Times New Roman"/>
          <w:lang w:val="en-US" w:eastAsia="zh-CN"/>
        </w:rPr>
      </w:pPr>
      <w:bookmarkStart w:id="363" w:name="OLE_LINK25"/>
      <w:r>
        <w:rPr>
          <w:rFonts w:hint="default" w:ascii="Times New Roman" w:hAnsi="Times New Roman" w:cs="Times New Roman"/>
          <w:lang w:val="en-US" w:eastAsia="zh-CN"/>
        </w:rPr>
        <w:t>围绕湿地生态系统功能及其服务价值的发挥，以绿水青山就是金山银山理念为引领，立足</w:t>
      </w:r>
      <w:r>
        <w:rPr>
          <w:rFonts w:hint="eastAsia" w:cs="Times New Roman"/>
          <w:lang w:val="en-US" w:eastAsia="zh-CN"/>
        </w:rPr>
        <w:t>昌吉回族自治州</w:t>
      </w:r>
      <w:r>
        <w:rPr>
          <w:rFonts w:hint="default" w:ascii="Times New Roman" w:hAnsi="Times New Roman" w:cs="Times New Roman"/>
          <w:lang w:val="en-US" w:eastAsia="zh-CN"/>
        </w:rPr>
        <w:t>湿地资源及湿地多重效益发挥良好的优势，结合绿美生态建设工作要求，进一步发挥湿地科普宣教优势，开展湿地可持续利用示范建设提升城乡湿地生态空间品质，健全</w:t>
      </w:r>
      <w:r>
        <w:rPr>
          <w:rFonts w:hint="eastAsia" w:cs="Times New Roman"/>
          <w:lang w:val="en-US" w:eastAsia="zh-CN"/>
        </w:rPr>
        <w:t>湿地</w:t>
      </w:r>
      <w:r>
        <w:rPr>
          <w:rFonts w:hint="default" w:ascii="Times New Roman" w:hAnsi="Times New Roman" w:cs="Times New Roman"/>
          <w:lang w:val="en-US" w:eastAsia="zh-CN"/>
        </w:rPr>
        <w:t>资源产权制度，探索建立湿地生态补偿机制，推动建立湿地生态产品价值实现推进机制。</w:t>
      </w:r>
    </w:p>
    <w:p w14:paraId="36AE6CFA">
      <w:pPr>
        <w:pStyle w:val="4"/>
        <w:bidi w:val="0"/>
        <w:jc w:val="both"/>
        <w:rPr>
          <w:rFonts w:hint="default" w:ascii="Times New Roman" w:hAnsi="Times New Roman" w:cs="Times New Roman"/>
          <w:lang w:val="en-US" w:eastAsia="zh-CN"/>
        </w:rPr>
      </w:pPr>
      <w:bookmarkStart w:id="364" w:name="_Toc9251"/>
      <w:bookmarkStart w:id="365" w:name="_Toc25405"/>
      <w:r>
        <w:rPr>
          <w:rFonts w:hint="eastAsia" w:cs="Times New Roman"/>
          <w:lang w:val="en-US" w:eastAsia="zh-CN"/>
        </w:rPr>
        <w:t>7</w:t>
      </w:r>
      <w:r>
        <w:rPr>
          <w:rFonts w:hint="default" w:ascii="Times New Roman" w:hAnsi="Times New Roman" w:cs="Times New Roman"/>
          <w:lang w:val="en-US" w:eastAsia="zh-CN"/>
        </w:rPr>
        <w:t>.1发挥湿地科普宣教优势</w:t>
      </w:r>
      <w:bookmarkEnd w:id="364"/>
      <w:bookmarkEnd w:id="365"/>
    </w:p>
    <w:p w14:paraId="6DB6BBE0">
      <w:pPr>
        <w:bidi w:val="0"/>
        <w:jc w:val="both"/>
        <w:rPr>
          <w:rFonts w:hint="default" w:ascii="Times New Roman" w:hAnsi="Times New Roman" w:cs="Times New Roman"/>
        </w:rPr>
      </w:pPr>
      <w:r>
        <w:rPr>
          <w:rFonts w:hint="default" w:ascii="Times New Roman" w:hAnsi="Times New Roman" w:cs="Times New Roman"/>
          <w:lang w:val="en-US" w:eastAsia="zh-CN"/>
        </w:rPr>
        <w:t>拓展</w:t>
      </w:r>
      <w:r>
        <w:rPr>
          <w:rFonts w:hint="default" w:ascii="Times New Roman" w:hAnsi="Times New Roman" w:cs="Times New Roman"/>
          <w:highlight w:val="none"/>
          <w:lang w:val="en-US" w:eastAsia="zh-CN"/>
        </w:rPr>
        <w:t>提升湿地科普宣教场馆设施。开展湿地科普教育示范基地建设，依托湿地公园及生态区位重要或代表性较强的区域建设湿地科普宣教基地</w:t>
      </w:r>
      <w:r>
        <w:rPr>
          <w:rFonts w:hint="eastAsia" w:cs="Times New Roman"/>
          <w:highlight w:val="none"/>
          <w:lang w:val="en-US" w:eastAsia="zh-CN"/>
        </w:rPr>
        <w:t>4</w:t>
      </w:r>
      <w:r>
        <w:rPr>
          <w:rFonts w:hint="default" w:ascii="Times New Roman" w:hAnsi="Times New Roman" w:cs="Times New Roman"/>
          <w:highlight w:val="none"/>
          <w:lang w:val="en-US" w:eastAsia="zh-CN"/>
        </w:rPr>
        <w:t>处以上。加强湿地科普宣教场馆设施建设投入力度，注重湿地科普内容提升，增强湿地</w:t>
      </w:r>
      <w:r>
        <w:rPr>
          <w:rFonts w:hint="default" w:ascii="Times New Roman" w:hAnsi="Times New Roman" w:cs="Times New Roman"/>
          <w:lang w:val="en-US" w:eastAsia="zh-CN"/>
        </w:rPr>
        <w:t>科普宣传的科学性、趣味性、互动性，</w:t>
      </w:r>
      <w:r>
        <w:rPr>
          <w:rFonts w:hint="default" w:ascii="Times New Roman" w:hAnsi="Times New Roman" w:cs="Times New Roman"/>
          <w:highlight w:val="none"/>
          <w:lang w:val="en-US" w:eastAsia="zh-CN"/>
        </w:rPr>
        <w:t>突出特色湿地及湿地文化挖掘。</w:t>
      </w:r>
    </w:p>
    <w:p w14:paraId="164D9500">
      <w:pPr>
        <w:bidi w:val="0"/>
        <w:jc w:val="both"/>
        <w:rPr>
          <w:rFonts w:hint="default" w:ascii="Times New Roman" w:hAnsi="Times New Roman" w:cs="Times New Roman"/>
          <w:highlight w:val="none"/>
        </w:rPr>
      </w:pPr>
      <w:r>
        <w:rPr>
          <w:rFonts w:hint="default" w:ascii="Times New Roman" w:hAnsi="Times New Roman" w:cs="Times New Roman"/>
          <w:lang w:val="en-US" w:eastAsia="zh-CN"/>
        </w:rPr>
        <w:t>提升湿地自然教育品质。深度挖掘地方湿地文化特色，提高自然教育活动的本土化、趣味性。</w:t>
      </w:r>
      <w:r>
        <w:rPr>
          <w:rFonts w:hint="default" w:ascii="Times New Roman" w:hAnsi="Times New Roman" w:cs="Times New Roman"/>
          <w:highlight w:val="none"/>
          <w:lang w:val="en-US" w:eastAsia="zh-CN"/>
        </w:rPr>
        <w:t>支持不同类型湿地开发特色湿地自然教育路线、产品和课程，定期举办湿地自然教育讲坛、自然观察等活动，</w:t>
      </w:r>
      <w:r>
        <w:rPr>
          <w:rFonts w:hint="default" w:ascii="Times New Roman" w:hAnsi="Times New Roman" w:cs="Times New Roman"/>
          <w:lang w:val="en-US" w:eastAsia="zh-CN"/>
        </w:rPr>
        <w:t>实现自然教育的知识性、文化性、趣味性和互动性，为公众提供更优质的生态文化产</w:t>
      </w:r>
      <w:r>
        <w:rPr>
          <w:rFonts w:hint="default" w:ascii="Times New Roman" w:hAnsi="Times New Roman" w:cs="Times New Roman"/>
          <w:highlight w:val="none"/>
          <w:lang w:val="en-US" w:eastAsia="zh-CN"/>
        </w:rPr>
        <w:t>品。</w:t>
      </w:r>
    </w:p>
    <w:p w14:paraId="4A11EB69">
      <w:pPr>
        <w:bidi w:val="0"/>
        <w:jc w:val="both"/>
        <w:rPr>
          <w:rFonts w:hint="default" w:ascii="Times New Roman" w:hAnsi="Times New Roman" w:cs="Times New Roman"/>
        </w:rPr>
      </w:pPr>
      <w:r>
        <w:rPr>
          <w:rFonts w:hint="default" w:ascii="Times New Roman" w:hAnsi="Times New Roman" w:cs="Times New Roman"/>
          <w:highlight w:val="none"/>
          <w:lang w:val="en-US" w:eastAsia="zh-CN"/>
        </w:rPr>
        <w:t>加强自然教育能力建设。加强湿地自然教育人才队伍建设，鼓励各地组建志愿者服务团队。探索多元化投融资机制，加强湿地自然教育软、硬件配套设施建设，完善湿地自然教育标识系统、解说系统</w:t>
      </w:r>
      <w:r>
        <w:rPr>
          <w:rFonts w:hint="eastAsia" w:cs="Times New Roman"/>
          <w:highlight w:val="none"/>
          <w:lang w:val="en-US" w:eastAsia="zh-CN"/>
        </w:rPr>
        <w:t>。</w:t>
      </w:r>
      <w:r>
        <w:rPr>
          <w:rFonts w:hint="default" w:ascii="Times New Roman" w:hAnsi="Times New Roman" w:cs="Times New Roman"/>
          <w:highlight w:val="none"/>
          <w:lang w:val="en-US" w:eastAsia="zh-CN"/>
        </w:rPr>
        <w:t>建立社会多元跨界合作平台，鼓励与周边政府、社区、中小学、科研院所、大专院校、社会机构、公益组织等合作开展自然教育活动，</w:t>
      </w:r>
      <w:r>
        <w:rPr>
          <w:rFonts w:hint="default" w:ascii="Times New Roman" w:hAnsi="Times New Roman" w:cs="Times New Roman"/>
          <w:lang w:val="en-US" w:eastAsia="zh-CN"/>
        </w:rPr>
        <w:t>形成湿地自然教育工作新亮点。</w:t>
      </w:r>
    </w:p>
    <w:p w14:paraId="1AB9393A">
      <w:pPr>
        <w:pStyle w:val="4"/>
        <w:bidi w:val="0"/>
        <w:jc w:val="both"/>
        <w:rPr>
          <w:rFonts w:hint="default" w:ascii="Times New Roman" w:hAnsi="Times New Roman" w:cs="Times New Roman"/>
          <w:highlight w:val="none"/>
          <w:lang w:val="en-US" w:eastAsia="zh-CN"/>
        </w:rPr>
      </w:pPr>
      <w:bookmarkStart w:id="366" w:name="_Toc22448"/>
      <w:bookmarkStart w:id="367" w:name="_Toc12347"/>
      <w:r>
        <w:rPr>
          <w:rFonts w:hint="eastAsia" w:cs="Times New Roman"/>
          <w:lang w:val="en-US" w:eastAsia="zh-CN"/>
        </w:rPr>
        <w:t>7</w:t>
      </w:r>
      <w:r>
        <w:rPr>
          <w:rFonts w:hint="default" w:ascii="Times New Roman" w:hAnsi="Times New Roman" w:cs="Times New Roman"/>
          <w:lang w:val="en-US" w:eastAsia="zh-CN"/>
        </w:rPr>
        <w:t>.2开展湿地可持</w:t>
      </w:r>
      <w:r>
        <w:rPr>
          <w:rFonts w:hint="default" w:ascii="Times New Roman" w:hAnsi="Times New Roman" w:cs="Times New Roman"/>
          <w:highlight w:val="none"/>
          <w:lang w:val="en-US" w:eastAsia="zh-CN"/>
        </w:rPr>
        <w:t>续利用示范</w:t>
      </w:r>
      <w:bookmarkEnd w:id="366"/>
      <w:bookmarkEnd w:id="367"/>
    </w:p>
    <w:p w14:paraId="00BD23BD">
      <w:pPr>
        <w:bidi w:val="0"/>
        <w:jc w:val="both"/>
        <w:rPr>
          <w:rFonts w:hint="default" w:ascii="Times New Roman" w:hAnsi="Times New Roman" w:cs="Times New Roman"/>
          <w:highlight w:val="none"/>
        </w:rPr>
      </w:pPr>
      <w:r>
        <w:rPr>
          <w:rFonts w:hint="default" w:ascii="Times New Roman" w:hAnsi="Times New Roman" w:cs="Times New Roman"/>
          <w:highlight w:val="none"/>
          <w:lang w:val="en-US" w:eastAsia="zh-CN"/>
        </w:rPr>
        <w:t>开展湿地生态旅游示范。充分利用具有湿地特色的生态景观，以可持续发展为理念，以保护湿地生态环境为前提，开展生态体验、生态教育、生态认知等旅游活动。实现在生态旅游供给中对湿地资源的修复和保护，在生态旅游消费中加强对湿地保护意识的传播和引导，在生态旅游再生产中为湿地保护提供更多资金，从而形成</w:t>
      </w:r>
      <w:r>
        <w:rPr>
          <w:rFonts w:hint="eastAsia" w:cs="Times New Roman"/>
          <w:highlight w:val="none"/>
          <w:lang w:val="en-US" w:eastAsia="zh-CN"/>
        </w:rPr>
        <w:t>“</w:t>
      </w:r>
      <w:r>
        <w:rPr>
          <w:rFonts w:hint="default" w:ascii="Times New Roman" w:hAnsi="Times New Roman" w:cs="Times New Roman"/>
          <w:highlight w:val="none"/>
          <w:lang w:val="en-US" w:eastAsia="zh-CN"/>
        </w:rPr>
        <w:t>生产—消费—再生产</w:t>
      </w:r>
      <w:r>
        <w:rPr>
          <w:rFonts w:hint="eastAsia" w:cs="Times New Roman"/>
          <w:highlight w:val="none"/>
          <w:lang w:val="en-US" w:eastAsia="zh-CN"/>
        </w:rPr>
        <w:t>”</w:t>
      </w:r>
      <w:r>
        <w:rPr>
          <w:rFonts w:hint="default" w:ascii="Times New Roman" w:hAnsi="Times New Roman" w:cs="Times New Roman"/>
          <w:highlight w:val="none"/>
          <w:lang w:val="en-US" w:eastAsia="zh-CN"/>
        </w:rPr>
        <w:t>的良性循环。充分带动周边社区参与，推动当地经济社会发展。以湿地公园为依托，支持推进建设湿地生态旅游可持续利用示范基地。</w:t>
      </w:r>
    </w:p>
    <w:p w14:paraId="55CAABB9">
      <w:pPr>
        <w:pStyle w:val="4"/>
        <w:bidi w:val="0"/>
        <w:jc w:val="both"/>
        <w:rPr>
          <w:rFonts w:hint="default" w:ascii="Times New Roman" w:hAnsi="Times New Roman" w:cs="Times New Roman"/>
          <w:lang w:val="en-US" w:eastAsia="zh-CN"/>
        </w:rPr>
      </w:pPr>
      <w:bookmarkStart w:id="368" w:name="_Toc22452"/>
      <w:bookmarkStart w:id="369" w:name="_Toc23833"/>
      <w:r>
        <w:rPr>
          <w:rFonts w:hint="eastAsia" w:cs="Times New Roman"/>
          <w:lang w:val="en-US" w:eastAsia="zh-CN"/>
        </w:rPr>
        <w:t>7</w:t>
      </w:r>
      <w:r>
        <w:rPr>
          <w:rFonts w:hint="default" w:ascii="Times New Roman" w:hAnsi="Times New Roman" w:cs="Times New Roman"/>
          <w:lang w:val="en-US" w:eastAsia="zh-CN"/>
        </w:rPr>
        <w:t>.3</w:t>
      </w:r>
      <w:bookmarkEnd w:id="368"/>
      <w:bookmarkEnd w:id="369"/>
      <w:bookmarkStart w:id="370" w:name="_Toc20772"/>
      <w:bookmarkStart w:id="371" w:name="_Toc859"/>
      <w:r>
        <w:rPr>
          <w:rFonts w:hint="default" w:ascii="Times New Roman" w:hAnsi="Times New Roman" w:cs="Times New Roman"/>
          <w:lang w:val="en-US" w:eastAsia="zh-CN"/>
        </w:rPr>
        <w:t>探索湿地生态价值实现路径与机制</w:t>
      </w:r>
      <w:bookmarkEnd w:id="370"/>
      <w:bookmarkEnd w:id="371"/>
    </w:p>
    <w:p w14:paraId="6A5569A7">
      <w:pPr>
        <w:bidi w:val="0"/>
        <w:jc w:val="both"/>
        <w:rPr>
          <w:rFonts w:hint="default" w:ascii="Times New Roman" w:hAnsi="Times New Roman" w:cs="Times New Roman"/>
        </w:rPr>
      </w:pPr>
      <w:r>
        <w:rPr>
          <w:rFonts w:hint="default" w:ascii="Times New Roman" w:hAnsi="Times New Roman" w:cs="Times New Roman"/>
          <w:lang w:val="en-US" w:eastAsia="zh-CN"/>
        </w:rPr>
        <w:t>建立和完善湿地生态补偿机制。坚持“谁受益、谁补偿”的原则，充分利用好财政、金融等政策，协调湿地保护的利益关系，实现经济社会与湿地保护和谐发展。</w:t>
      </w:r>
    </w:p>
    <w:p w14:paraId="033CC542">
      <w:pPr>
        <w:bidi w:val="0"/>
        <w:jc w:val="both"/>
        <w:rPr>
          <w:rFonts w:hint="default" w:ascii="Times New Roman" w:hAnsi="Times New Roman" w:cs="Times New Roman"/>
        </w:rPr>
      </w:pPr>
      <w:r>
        <w:rPr>
          <w:rFonts w:hint="default" w:ascii="Times New Roman" w:hAnsi="Times New Roman" w:cs="Times New Roman"/>
          <w:lang w:val="en-US" w:eastAsia="zh-CN"/>
        </w:rPr>
        <w:t>围绕湿地生态安全重点，探索构建多元化湿地生态保护补偿机制，坚持生态保护补偿力度与财政能力相匹配，逐步开展重要湿地生态保护补偿，充分发挥市场机制作用，切实加强湿地保护修复工作。坚持先易后难、先重点区域后普及实施的思路，循序渐进推进湿地补偿工作。优先在</w:t>
      </w:r>
      <w:r>
        <w:rPr>
          <w:rFonts w:hint="eastAsia" w:cs="Times New Roman"/>
          <w:lang w:val="en-US" w:eastAsia="zh-CN"/>
        </w:rPr>
        <w:t>自治区</w:t>
      </w:r>
      <w:r>
        <w:rPr>
          <w:rFonts w:hint="default" w:ascii="Times New Roman" w:hAnsi="Times New Roman" w:cs="Times New Roman"/>
          <w:lang w:val="en-US" w:eastAsia="zh-CN"/>
        </w:rPr>
        <w:t>级以上重要湿地开展湿地生态效益补偿试点。争取到20</w:t>
      </w:r>
      <w:r>
        <w:rPr>
          <w:rFonts w:hint="eastAsia" w:cs="Times New Roman"/>
          <w:lang w:val="en-US" w:eastAsia="zh-CN"/>
        </w:rPr>
        <w:t>30</w:t>
      </w:r>
      <w:r>
        <w:rPr>
          <w:rFonts w:hint="default" w:ascii="Times New Roman" w:hAnsi="Times New Roman" w:cs="Times New Roman"/>
          <w:lang w:val="en-US" w:eastAsia="zh-CN"/>
        </w:rPr>
        <w:t>年，探索一套适用于</w:t>
      </w:r>
      <w:r>
        <w:rPr>
          <w:rFonts w:hint="eastAsia" w:cs="Times New Roman"/>
          <w:lang w:val="en-US" w:eastAsia="zh-CN"/>
        </w:rPr>
        <w:t>全州</w:t>
      </w:r>
      <w:r>
        <w:rPr>
          <w:rFonts w:hint="default" w:ascii="Times New Roman" w:hAnsi="Times New Roman" w:cs="Times New Roman"/>
          <w:lang w:val="en-US" w:eastAsia="zh-CN"/>
        </w:rPr>
        <w:t>重要湿地、湿地公园的生态补偿机制。</w:t>
      </w:r>
    </w:p>
    <w:bookmarkEnd w:id="363"/>
    <w:p w14:paraId="67F0EF9B">
      <w:pPr>
        <w:bidi w:val="0"/>
        <w:jc w:val="center"/>
        <w:rPr>
          <w:rFonts w:hint="eastAsia"/>
          <w:lang w:val="en-US" w:eastAsia="zh-CN"/>
        </w:rPr>
      </w:pPr>
      <w:bookmarkStart w:id="372" w:name="_Toc30392"/>
      <w:bookmarkStart w:id="373" w:name="_Toc31459"/>
      <w:bookmarkStart w:id="374" w:name="_Toc78885662"/>
      <w:bookmarkStart w:id="375" w:name="_Toc16971"/>
      <w:r>
        <w:rPr>
          <w:rFonts w:hint="eastAsia"/>
          <w:lang w:val="en-US" w:eastAsia="zh-CN"/>
        </w:rPr>
        <w:t>表4-7  湿地保护综合效益项目表</w:t>
      </w:r>
    </w:p>
    <w:tbl>
      <w:tblPr>
        <w:tblStyle w:val="17"/>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561"/>
        <w:gridCol w:w="2189"/>
        <w:gridCol w:w="1700"/>
        <w:gridCol w:w="4072"/>
      </w:tblGrid>
      <w:tr w14:paraId="7860C3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blHeader/>
        </w:trPr>
        <w:tc>
          <w:tcPr>
            <w:tcW w:w="329" w:type="pct"/>
            <w:tcBorders>
              <w:tl2br w:val="nil"/>
              <w:tr2bl w:val="nil"/>
            </w:tcBorders>
            <w:shd w:val="clear" w:color="auto" w:fill="auto"/>
            <w:noWrap/>
            <w:vAlign w:val="center"/>
          </w:tcPr>
          <w:p w14:paraId="4806452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284" w:type="pct"/>
            <w:tcBorders>
              <w:tl2br w:val="nil"/>
              <w:tr2bl w:val="nil"/>
            </w:tcBorders>
            <w:shd w:val="clear" w:color="auto" w:fill="auto"/>
            <w:noWrap/>
            <w:vAlign w:val="center"/>
          </w:tcPr>
          <w:p w14:paraId="6D0A2F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项目名称</w:t>
            </w:r>
          </w:p>
        </w:tc>
        <w:tc>
          <w:tcPr>
            <w:tcW w:w="997" w:type="pct"/>
            <w:tcBorders>
              <w:tl2br w:val="nil"/>
              <w:tr2bl w:val="nil"/>
            </w:tcBorders>
            <w:shd w:val="clear" w:color="auto" w:fill="auto"/>
            <w:noWrap/>
            <w:vAlign w:val="center"/>
          </w:tcPr>
          <w:p w14:paraId="1D818BD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实施地点</w:t>
            </w:r>
          </w:p>
        </w:tc>
        <w:tc>
          <w:tcPr>
            <w:tcW w:w="2389" w:type="pct"/>
            <w:tcBorders>
              <w:tl2br w:val="nil"/>
              <w:tr2bl w:val="nil"/>
            </w:tcBorders>
            <w:shd w:val="clear" w:color="auto" w:fill="auto"/>
            <w:noWrap/>
            <w:vAlign w:val="center"/>
          </w:tcPr>
          <w:p w14:paraId="3F5CF66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建设内容</w:t>
            </w:r>
          </w:p>
        </w:tc>
      </w:tr>
      <w:tr w14:paraId="1DA90B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40" w:hRule="atLeast"/>
        </w:trPr>
        <w:tc>
          <w:tcPr>
            <w:tcW w:w="329" w:type="pct"/>
            <w:tcBorders>
              <w:tl2br w:val="nil"/>
              <w:tr2bl w:val="nil"/>
            </w:tcBorders>
            <w:shd w:val="clear" w:color="auto" w:fill="auto"/>
            <w:noWrap/>
            <w:vAlign w:val="center"/>
          </w:tcPr>
          <w:p w14:paraId="040C4F7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189" w:type="dxa"/>
            <w:tcBorders>
              <w:tl2br w:val="nil"/>
              <w:tr2bl w:val="nil"/>
            </w:tcBorders>
            <w:shd w:val="clear" w:color="auto" w:fill="auto"/>
            <w:noWrap/>
            <w:vAlign w:val="center"/>
          </w:tcPr>
          <w:p w14:paraId="7B06A61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新疆吉木萨尔北庭湿地科普宣教基地建设项目</w:t>
            </w:r>
          </w:p>
        </w:tc>
        <w:tc>
          <w:tcPr>
            <w:tcW w:w="1700" w:type="dxa"/>
            <w:tcBorders>
              <w:tl2br w:val="nil"/>
              <w:tr2bl w:val="nil"/>
            </w:tcBorders>
            <w:shd w:val="clear" w:color="auto" w:fill="auto"/>
            <w:noWrap/>
            <w:vAlign w:val="center"/>
          </w:tcPr>
          <w:p w14:paraId="09A1F68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吉木萨尔北庭国家湿地公园</w:t>
            </w:r>
          </w:p>
        </w:tc>
        <w:tc>
          <w:tcPr>
            <w:tcW w:w="4072" w:type="dxa"/>
            <w:tcBorders>
              <w:tl2br w:val="nil"/>
              <w:tr2bl w:val="nil"/>
            </w:tcBorders>
            <w:shd w:val="clear" w:color="auto" w:fill="auto"/>
            <w:vAlign w:val="center"/>
          </w:tcPr>
          <w:p w14:paraId="04825A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建设动植物模型展览1处、湿地科普宣教中心2处、电子沙盘1个、科教教育解说系统2套、宣传牌50块、户外LED显示屏2块、自然解说步道20千米</w:t>
            </w:r>
          </w:p>
        </w:tc>
      </w:tr>
      <w:tr w14:paraId="4F445A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40" w:hRule="atLeast"/>
        </w:trPr>
        <w:tc>
          <w:tcPr>
            <w:tcW w:w="329" w:type="pct"/>
            <w:tcBorders>
              <w:tl2br w:val="nil"/>
              <w:tr2bl w:val="nil"/>
            </w:tcBorders>
            <w:shd w:val="clear" w:color="auto" w:fill="auto"/>
            <w:noWrap/>
            <w:vAlign w:val="center"/>
          </w:tcPr>
          <w:p w14:paraId="649CC5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189" w:type="dxa"/>
            <w:tcBorders>
              <w:tl2br w:val="nil"/>
              <w:tr2bl w:val="nil"/>
            </w:tcBorders>
            <w:shd w:val="clear" w:color="auto" w:fill="auto"/>
            <w:noWrap/>
            <w:vAlign w:val="center"/>
          </w:tcPr>
          <w:p w14:paraId="76D63F1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sz w:val="28"/>
                <w:szCs w:val="28"/>
                <w:u w:val="none"/>
              </w:rPr>
              <w:t>阜康特纳格尔湿地公园科普宣教提升项目</w:t>
            </w:r>
          </w:p>
        </w:tc>
        <w:tc>
          <w:tcPr>
            <w:tcW w:w="1700" w:type="dxa"/>
            <w:tcBorders>
              <w:tl2br w:val="nil"/>
              <w:tr2bl w:val="nil"/>
            </w:tcBorders>
            <w:shd w:val="clear" w:color="auto" w:fill="auto"/>
            <w:noWrap/>
            <w:vAlign w:val="center"/>
          </w:tcPr>
          <w:p w14:paraId="06C7A3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阜康特纳格尔国家湿地公园</w:t>
            </w:r>
          </w:p>
        </w:tc>
        <w:tc>
          <w:tcPr>
            <w:tcW w:w="4072" w:type="dxa"/>
            <w:tcBorders>
              <w:tl2br w:val="nil"/>
              <w:tr2bl w:val="nil"/>
            </w:tcBorders>
            <w:shd w:val="clear" w:color="auto" w:fill="auto"/>
            <w:vAlign w:val="center"/>
          </w:tcPr>
          <w:p w14:paraId="5627E7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多媒体系统、电子互动设备、标本展示、宣教观测廊道、生物监测系统平台</w:t>
            </w:r>
            <w:r>
              <w:rPr>
                <w:rFonts w:hint="eastAsia" w:ascii="仿宋" w:hAnsi="仿宋" w:cs="仿宋"/>
                <w:i w:val="0"/>
                <w:iCs w:val="0"/>
                <w:color w:val="000000"/>
                <w:kern w:val="0"/>
                <w:sz w:val="28"/>
                <w:szCs w:val="28"/>
                <w:u w:val="none"/>
                <w:lang w:val="en-US" w:eastAsia="zh-CN" w:bidi="ar"/>
              </w:rPr>
              <w:t>等基础设施建设</w:t>
            </w:r>
          </w:p>
        </w:tc>
      </w:tr>
      <w:tr w14:paraId="5261C7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70" w:hRule="atLeast"/>
        </w:trPr>
        <w:tc>
          <w:tcPr>
            <w:tcW w:w="329" w:type="pct"/>
            <w:tcBorders>
              <w:tl2br w:val="nil"/>
              <w:tr2bl w:val="nil"/>
            </w:tcBorders>
            <w:shd w:val="clear" w:color="auto" w:fill="auto"/>
            <w:noWrap/>
            <w:vAlign w:val="center"/>
          </w:tcPr>
          <w:p w14:paraId="424DBF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3</w:t>
            </w:r>
          </w:p>
        </w:tc>
        <w:tc>
          <w:tcPr>
            <w:tcW w:w="2189" w:type="dxa"/>
            <w:tcBorders>
              <w:tl2br w:val="nil"/>
              <w:tr2bl w:val="nil"/>
            </w:tcBorders>
            <w:shd w:val="clear" w:color="auto" w:fill="auto"/>
            <w:noWrap/>
            <w:vAlign w:val="center"/>
          </w:tcPr>
          <w:p w14:paraId="6FE7EFD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玛纳斯湿地生态经济示范点</w:t>
            </w:r>
          </w:p>
        </w:tc>
        <w:tc>
          <w:tcPr>
            <w:tcW w:w="1700" w:type="dxa"/>
            <w:tcBorders>
              <w:tl2br w:val="nil"/>
              <w:tr2bl w:val="nil"/>
            </w:tcBorders>
            <w:shd w:val="clear" w:color="auto" w:fill="auto"/>
            <w:noWrap/>
            <w:vAlign w:val="center"/>
          </w:tcPr>
          <w:p w14:paraId="7685FA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玛纳斯国家湿地公园</w:t>
            </w:r>
          </w:p>
        </w:tc>
        <w:tc>
          <w:tcPr>
            <w:tcW w:w="4072" w:type="dxa"/>
            <w:tcBorders>
              <w:tl2br w:val="nil"/>
              <w:tr2bl w:val="nil"/>
            </w:tcBorders>
            <w:shd w:val="clear" w:color="auto" w:fill="auto"/>
            <w:vAlign w:val="center"/>
          </w:tcPr>
          <w:p w14:paraId="4ECDA2E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在退化湿地恢复典型区域开展退化湿地可持续利用示范</w:t>
            </w:r>
          </w:p>
        </w:tc>
      </w:tr>
      <w:tr w14:paraId="120712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40" w:hRule="atLeast"/>
        </w:trPr>
        <w:tc>
          <w:tcPr>
            <w:tcW w:w="329" w:type="pct"/>
            <w:tcBorders>
              <w:tl2br w:val="nil"/>
              <w:tr2bl w:val="nil"/>
            </w:tcBorders>
            <w:shd w:val="clear" w:color="auto" w:fill="auto"/>
            <w:noWrap/>
            <w:vAlign w:val="center"/>
          </w:tcPr>
          <w:p w14:paraId="2A6E4F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lang w:val="en-US" w:eastAsia="zh-CN"/>
              </w:rPr>
            </w:pPr>
            <w:r>
              <w:rPr>
                <w:rFonts w:hint="eastAsia" w:ascii="仿宋" w:hAnsi="仿宋" w:cs="仿宋"/>
                <w:i w:val="0"/>
                <w:iCs w:val="0"/>
                <w:color w:val="000000"/>
                <w:sz w:val="28"/>
                <w:szCs w:val="28"/>
                <w:u w:val="none"/>
                <w:lang w:val="en-US" w:eastAsia="zh-CN"/>
              </w:rPr>
              <w:t>4</w:t>
            </w:r>
          </w:p>
        </w:tc>
        <w:tc>
          <w:tcPr>
            <w:tcW w:w="2189" w:type="dxa"/>
            <w:tcBorders>
              <w:tl2br w:val="nil"/>
              <w:tr2bl w:val="nil"/>
            </w:tcBorders>
            <w:shd w:val="clear" w:color="auto" w:fill="auto"/>
            <w:noWrap/>
            <w:vAlign w:val="center"/>
          </w:tcPr>
          <w:p w14:paraId="5D199EE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湿地生态旅游可持续利用示范基地建设项目</w:t>
            </w:r>
          </w:p>
        </w:tc>
        <w:tc>
          <w:tcPr>
            <w:tcW w:w="1700" w:type="dxa"/>
            <w:tcBorders>
              <w:tl2br w:val="nil"/>
              <w:tr2bl w:val="nil"/>
            </w:tcBorders>
            <w:shd w:val="clear" w:color="auto" w:fill="auto"/>
            <w:noWrap/>
            <w:vAlign w:val="center"/>
          </w:tcPr>
          <w:p w14:paraId="454462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呼图壁县大海子国家湿地公园</w:t>
            </w:r>
          </w:p>
        </w:tc>
        <w:tc>
          <w:tcPr>
            <w:tcW w:w="4072" w:type="dxa"/>
            <w:tcBorders>
              <w:tl2br w:val="nil"/>
              <w:tr2bl w:val="nil"/>
            </w:tcBorders>
            <w:shd w:val="clear" w:color="auto" w:fill="auto"/>
            <w:vAlign w:val="center"/>
          </w:tcPr>
          <w:p w14:paraId="4E43B35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打造湿地公园中心站，修建一座300平方米的湿地公园中心管护站。修建木栈道1.5公里，同步配套修建观景平台5处，凉亭2座。修建巡护路线16公里</w:t>
            </w:r>
          </w:p>
        </w:tc>
      </w:tr>
    </w:tbl>
    <w:p w14:paraId="7A293D0E">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br w:type="page"/>
      </w:r>
    </w:p>
    <w:bookmarkEnd w:id="372"/>
    <w:bookmarkEnd w:id="373"/>
    <w:p w14:paraId="6D2A0101">
      <w:pPr>
        <w:pStyle w:val="2"/>
        <w:bidi w:val="0"/>
        <w:rPr>
          <w:rFonts w:hint="default" w:ascii="Times New Roman" w:hAnsi="Times New Roman" w:cs="Times New Roman"/>
        </w:rPr>
      </w:pPr>
      <w:bookmarkStart w:id="376" w:name="_Toc16141"/>
      <w:bookmarkStart w:id="377" w:name="_Toc9456"/>
      <w:bookmarkStart w:id="378" w:name="_Toc10589"/>
      <w:bookmarkStart w:id="379" w:name="_Toc23585"/>
      <w:bookmarkStart w:id="380" w:name="_Toc32463"/>
      <w:r>
        <w:rPr>
          <w:rFonts w:hint="default" w:ascii="Times New Roman" w:hAnsi="Times New Roman" w:cs="Times New Roman"/>
          <w:lang w:val="en-US" w:eastAsia="zh-CN"/>
        </w:rPr>
        <w:t>第</w:t>
      </w:r>
      <w:r>
        <w:rPr>
          <w:rFonts w:hint="eastAsia" w:cs="Times New Roman"/>
          <w:lang w:val="en-US" w:eastAsia="zh-CN"/>
        </w:rPr>
        <w:t>五</w:t>
      </w:r>
      <w:r>
        <w:rPr>
          <w:rFonts w:hint="default" w:ascii="Times New Roman" w:hAnsi="Times New Roman" w:cs="Times New Roman"/>
          <w:lang w:val="en-US" w:eastAsia="zh-CN"/>
        </w:rPr>
        <w:t xml:space="preserve">章  </w:t>
      </w:r>
      <w:r>
        <w:rPr>
          <w:rFonts w:hint="default" w:ascii="Times New Roman" w:hAnsi="Times New Roman" w:cs="Times New Roman"/>
        </w:rPr>
        <w:t>保障措施</w:t>
      </w:r>
      <w:bookmarkEnd w:id="376"/>
      <w:bookmarkEnd w:id="377"/>
      <w:bookmarkEnd w:id="378"/>
      <w:bookmarkEnd w:id="379"/>
      <w:bookmarkEnd w:id="380"/>
    </w:p>
    <w:p w14:paraId="3F5815C6">
      <w:pPr>
        <w:pStyle w:val="3"/>
        <w:bidi w:val="0"/>
        <w:rPr>
          <w:rFonts w:hint="default" w:ascii="Times New Roman" w:hAnsi="Times New Roman" w:cs="Times New Roman"/>
          <w:lang w:val="en-US" w:eastAsia="zh-CN"/>
        </w:rPr>
      </w:pPr>
      <w:bookmarkStart w:id="381" w:name="_Toc24975"/>
      <w:bookmarkStart w:id="382" w:name="_Toc8688"/>
      <w:bookmarkStart w:id="383" w:name="_Toc17416"/>
      <w:bookmarkStart w:id="384" w:name="_Toc32761"/>
      <w:bookmarkStart w:id="385" w:name="_Toc3855"/>
      <w:r>
        <w:rPr>
          <w:rFonts w:hint="eastAsia" w:ascii="Times New Roman" w:hAnsi="Times New Roman" w:cs="Times New Roman"/>
          <w:lang w:val="en-US" w:eastAsia="zh-CN"/>
        </w:rPr>
        <w:t xml:space="preserve">第一节  </w:t>
      </w:r>
      <w:r>
        <w:rPr>
          <w:rFonts w:hint="default" w:ascii="Times New Roman" w:hAnsi="Times New Roman" w:cs="Times New Roman"/>
          <w:lang w:val="en-US" w:eastAsia="zh-CN"/>
        </w:rPr>
        <w:t>加强组织领导</w:t>
      </w:r>
      <w:bookmarkEnd w:id="381"/>
      <w:bookmarkEnd w:id="382"/>
      <w:bookmarkEnd w:id="383"/>
      <w:bookmarkEnd w:id="384"/>
      <w:bookmarkEnd w:id="385"/>
      <w:bookmarkStart w:id="386" w:name="_Toc18327"/>
    </w:p>
    <w:p w14:paraId="2BB364C9">
      <w:pPr>
        <w:bidi w:val="0"/>
        <w:jc w:val="both"/>
        <w:rPr>
          <w:rFonts w:hint="default" w:ascii="Times New Roman" w:hAnsi="Times New Roman" w:cs="Times New Roman"/>
          <w:lang w:val="en-US" w:eastAsia="zh-CN"/>
        </w:rPr>
      </w:pPr>
      <w:bookmarkStart w:id="387" w:name="OLE_LINK28"/>
      <w:r>
        <w:rPr>
          <w:rFonts w:hint="default" w:ascii="Times New Roman" w:hAnsi="Times New Roman" w:cs="Times New Roman"/>
          <w:lang w:val="en-US" w:eastAsia="zh-CN"/>
        </w:rPr>
        <w:t>坚持党的领导，落实中央统筹、</w:t>
      </w:r>
      <w:r>
        <w:rPr>
          <w:rFonts w:hint="eastAsia" w:cs="Times New Roman"/>
          <w:lang w:val="en-US" w:eastAsia="zh-CN"/>
        </w:rPr>
        <w:t>自治区</w:t>
      </w:r>
      <w:r>
        <w:rPr>
          <w:rFonts w:hint="default" w:ascii="Times New Roman" w:hAnsi="Times New Roman" w:cs="Times New Roman"/>
          <w:lang w:val="en-US" w:eastAsia="zh-CN"/>
        </w:rPr>
        <w:t>负总责、各</w:t>
      </w:r>
      <w:r>
        <w:rPr>
          <w:rFonts w:hint="eastAsia" w:cs="Times New Roman"/>
          <w:lang w:val="en-US" w:eastAsia="zh-CN"/>
        </w:rPr>
        <w:t>地州</w:t>
      </w:r>
      <w:r>
        <w:rPr>
          <w:rFonts w:hint="default" w:ascii="Times New Roman" w:hAnsi="Times New Roman" w:cs="Times New Roman"/>
          <w:lang w:val="en-US" w:eastAsia="zh-CN"/>
        </w:rPr>
        <w:t>组织协调指导和监督</w:t>
      </w:r>
      <w:r>
        <w:rPr>
          <w:rFonts w:hint="eastAsia" w:cs="Times New Roman"/>
          <w:lang w:val="en-US" w:eastAsia="zh-CN"/>
        </w:rPr>
        <w:t>、各县市具体实施</w:t>
      </w:r>
      <w:r>
        <w:rPr>
          <w:rFonts w:hint="default" w:ascii="Times New Roman" w:hAnsi="Times New Roman" w:cs="Times New Roman"/>
          <w:lang w:val="en-US" w:eastAsia="zh-CN"/>
        </w:rPr>
        <w:t>的湿地保护工作机制。各级政府要将湿地保护作为推进生态文明、维护国家生态安全的基础性任务和重要抓手，摆到突出位置，切实加强组织领导和基础保障，建立有力地工作体系和实施机制，确保人员与设施配备到位，国家湿地公园人员编制与特种车辆编制保障到位，制定监督管理办法，严格控制占用湿地，加强日常监督指导，定期开展监测评价。</w:t>
      </w:r>
    </w:p>
    <w:p w14:paraId="4A284072">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严格执行《</w:t>
      </w:r>
      <w:r>
        <w:rPr>
          <w:rFonts w:hint="eastAsia" w:cs="Times New Roman"/>
          <w:lang w:val="en-US" w:eastAsia="zh-CN"/>
        </w:rPr>
        <w:t>中华人民共和国湿地保护法</w:t>
      </w:r>
      <w:r>
        <w:rPr>
          <w:rFonts w:hint="default" w:ascii="Times New Roman" w:hAnsi="Times New Roman" w:cs="Times New Roman"/>
          <w:lang w:val="en-US" w:eastAsia="zh-CN"/>
        </w:rPr>
        <w:t>》，各县市人民政府对本行政区域内的湿地保护负责，采取措施保持湿地面积稳定，提升湿地生态功能。完善管理体制和工作机制。各县市林业主管部门做好湿地保护工作的组织、协调、指导和监督等工作，加强湿地保护管理部门协调，形成合力，协同推进湿地保护。发展改革、财政、自然资源、生态环境、住房城乡建设、水利、农业农村等有关部门按照职责分工，研究出台配套政策和改革措施，分解落实重点任务，形成规划实施合力。</w:t>
      </w:r>
    </w:p>
    <w:p w14:paraId="04220905">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各县市要依据本规划，结合实际制定湿地保护规划，科学编制湿地保护年度计划，细化湿地管控措施，确保规划确定的湿地保护面积等各项指标和重点任务落实落地。推深做实林长制、河长制，协同加强湿地保护监管。</w:t>
      </w:r>
    </w:p>
    <w:p w14:paraId="5EB1FDC1">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合理安排各年度建设任务，以保证建设任务的按期完成。加强工程实施的组织领导，建立部门间协调合作机制。在实施过程中的重大问题，各有关部门要加强沟通，及时研究、解决。项目的组织实施，凡属各部门职能范围内的项目，以相应部门为主组织实施；对涉及两个以上部门的项目，由主要部门（提报项目的部门）会同相关部门共同组织实施。</w:t>
      </w:r>
    </w:p>
    <w:p w14:paraId="29BE0AAC">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成立专职湿地管理和科研机构，强化管理运行机制方面的保障措施，切实解决运行管理和维护经费。依托现有职能部门，与相关科研院所、高校结合，成立专职的湿地管理和科研机构，制定湿地管理法规，开展相关科研研究，对相关人员进行培训。</w:t>
      </w:r>
      <w:bookmarkEnd w:id="387"/>
    </w:p>
    <w:p w14:paraId="005E68C7">
      <w:pPr>
        <w:pStyle w:val="3"/>
        <w:bidi w:val="0"/>
        <w:rPr>
          <w:rFonts w:hint="default" w:ascii="Times New Roman" w:hAnsi="Times New Roman" w:cs="Times New Roman"/>
          <w:lang w:val="en-US" w:eastAsia="zh-CN"/>
        </w:rPr>
      </w:pPr>
      <w:bookmarkStart w:id="388" w:name="_Toc22275"/>
      <w:bookmarkStart w:id="389" w:name="_Toc11885"/>
      <w:bookmarkStart w:id="390" w:name="_Toc528"/>
      <w:bookmarkStart w:id="391" w:name="_Toc31262"/>
      <w:r>
        <w:rPr>
          <w:rFonts w:hint="eastAsia" w:ascii="Times New Roman" w:hAnsi="Times New Roman" w:cs="Times New Roman"/>
          <w:lang w:val="en-US" w:eastAsia="zh-CN"/>
        </w:rPr>
        <w:t xml:space="preserve">第二节  </w:t>
      </w:r>
      <w:r>
        <w:rPr>
          <w:rFonts w:hint="default" w:ascii="Times New Roman" w:hAnsi="Times New Roman" w:cs="Times New Roman"/>
          <w:lang w:val="en-US" w:eastAsia="zh-CN"/>
        </w:rPr>
        <w:t>坚持规划引领</w:t>
      </w:r>
      <w:bookmarkEnd w:id="386"/>
      <w:bookmarkEnd w:id="388"/>
      <w:bookmarkEnd w:id="389"/>
      <w:bookmarkEnd w:id="390"/>
      <w:bookmarkEnd w:id="391"/>
      <w:bookmarkStart w:id="392" w:name="_Toc12931"/>
    </w:p>
    <w:p w14:paraId="25BFCDA6">
      <w:pPr>
        <w:bidi w:val="0"/>
        <w:jc w:val="both"/>
        <w:rPr>
          <w:rFonts w:hint="default" w:ascii="Times New Roman" w:hAnsi="Times New Roman" w:cs="Times New Roman"/>
          <w:lang w:val="en-US" w:eastAsia="zh-CN"/>
        </w:rPr>
      </w:pPr>
      <w:bookmarkStart w:id="393" w:name="OLE_LINK29"/>
      <w:r>
        <w:rPr>
          <w:rFonts w:hint="default" w:ascii="Times New Roman" w:hAnsi="Times New Roman" w:cs="Times New Roman"/>
          <w:lang w:val="en-US" w:eastAsia="zh-CN"/>
        </w:rPr>
        <w:t>依据《新疆维吾尔自治区林业草原保护发展“十四五”规划》《新疆维吾尔自治区湿地保护规划</w:t>
      </w:r>
      <w:r>
        <w:rPr>
          <w:rFonts w:hint="eastAsia" w:cs="Times New Roman"/>
          <w:lang w:val="en-US" w:eastAsia="zh-CN"/>
        </w:rPr>
        <w:t>（2024-2030年）</w:t>
      </w:r>
      <w:r>
        <w:rPr>
          <w:rFonts w:hint="default" w:ascii="Times New Roman" w:hAnsi="Times New Roman" w:cs="Times New Roman"/>
          <w:lang w:val="en-US" w:eastAsia="zh-CN"/>
        </w:rPr>
        <w:t>》等上位规划，制定《昌吉回族自治州湿地保护规划</w:t>
      </w:r>
      <w:r>
        <w:rPr>
          <w:rFonts w:hint="eastAsia" w:cs="Times New Roman"/>
          <w:lang w:val="en-US" w:eastAsia="zh-CN"/>
        </w:rPr>
        <w:t>（2024-2030年）</w:t>
      </w:r>
      <w:r>
        <w:rPr>
          <w:rFonts w:hint="default" w:ascii="Times New Roman" w:hAnsi="Times New Roman" w:cs="Times New Roman"/>
          <w:lang w:val="en-US" w:eastAsia="zh-CN"/>
        </w:rPr>
        <w:t>》，建立有利于恢复、发展、保护与管理湿地资源的法规体系，加强与环境保护规划、水资源规划等部门专项规划的衔接。县市级湿地保护规划，应根据湿地类型、保护范围、生态功能和水资源、野生动植物资源状况等科学编制。湿地保护工作应当纳入当地国民经济和社会发展规划。湿地保护规划确需调整或者修改的，应经原审批程序批准。</w:t>
      </w:r>
    </w:p>
    <w:bookmarkEnd w:id="393"/>
    <w:p w14:paraId="7E5C9339">
      <w:pPr>
        <w:pStyle w:val="3"/>
        <w:bidi w:val="0"/>
        <w:rPr>
          <w:rFonts w:hint="default" w:ascii="Times New Roman" w:hAnsi="Times New Roman" w:cs="Times New Roman"/>
          <w:lang w:val="en-US" w:eastAsia="zh-CN"/>
        </w:rPr>
      </w:pPr>
      <w:bookmarkStart w:id="394" w:name="_Toc18425"/>
      <w:bookmarkStart w:id="395" w:name="_Toc8086"/>
      <w:bookmarkStart w:id="396" w:name="_Toc2334"/>
      <w:bookmarkStart w:id="397" w:name="_Toc26726"/>
      <w:r>
        <w:rPr>
          <w:rFonts w:hint="eastAsia" w:ascii="Times New Roman" w:hAnsi="Times New Roman" w:cs="Times New Roman"/>
          <w:lang w:val="en-US" w:eastAsia="zh-CN"/>
        </w:rPr>
        <w:t xml:space="preserve">第三节  </w:t>
      </w:r>
      <w:r>
        <w:rPr>
          <w:rFonts w:hint="default" w:ascii="Times New Roman" w:hAnsi="Times New Roman" w:cs="Times New Roman"/>
          <w:lang w:val="en-US" w:eastAsia="zh-CN"/>
        </w:rPr>
        <w:t>增强法治保障</w:t>
      </w:r>
      <w:bookmarkEnd w:id="392"/>
      <w:bookmarkEnd w:id="394"/>
      <w:bookmarkEnd w:id="395"/>
      <w:bookmarkEnd w:id="396"/>
      <w:bookmarkEnd w:id="397"/>
      <w:bookmarkStart w:id="398" w:name="_Toc2214"/>
    </w:p>
    <w:p w14:paraId="751FD10B">
      <w:pPr>
        <w:bidi w:val="0"/>
        <w:jc w:val="both"/>
        <w:rPr>
          <w:rFonts w:hint="default" w:ascii="Times New Roman" w:hAnsi="Times New Roman" w:cs="Times New Roman"/>
          <w:lang w:val="en-US" w:eastAsia="zh-CN"/>
        </w:rPr>
      </w:pPr>
      <w:bookmarkStart w:id="399" w:name="OLE_LINK31"/>
      <w:r>
        <w:rPr>
          <w:rFonts w:hint="default" w:ascii="Times New Roman" w:hAnsi="Times New Roman" w:cs="Times New Roman"/>
          <w:lang w:val="en-US" w:eastAsia="zh-CN"/>
        </w:rPr>
        <w:t>严</w:t>
      </w:r>
      <w:bookmarkStart w:id="400" w:name="OLE_LINK30"/>
      <w:r>
        <w:rPr>
          <w:rFonts w:hint="default" w:ascii="Times New Roman" w:hAnsi="Times New Roman" w:cs="Times New Roman"/>
          <w:lang w:val="en-US" w:eastAsia="zh-CN"/>
        </w:rPr>
        <w:t>格执行《</w:t>
      </w:r>
      <w:r>
        <w:rPr>
          <w:rFonts w:hint="eastAsia" w:cs="Times New Roman"/>
          <w:lang w:val="en-US" w:eastAsia="zh-CN"/>
        </w:rPr>
        <w:t>中华人民共和国湿地保护法</w:t>
      </w:r>
      <w:r>
        <w:rPr>
          <w:rFonts w:hint="default" w:ascii="Times New Roman" w:hAnsi="Times New Roman" w:cs="Times New Roman"/>
          <w:lang w:val="en-US" w:eastAsia="zh-CN"/>
        </w:rPr>
        <w:t>》，加大执法司法工作力度，让严格的法律责任落到实处。广泛运用线上线下多种途径开展宣传解读和培训，增强全民湿地保护法律意识，形成知法守法、依法保护的湿地保护新局面。衔接相关法律，立足湿地保护工作需求，实施湿地调查评价、总量管控、分级管理、规划编制、名录制度、确权登记、占用管理、监测与预警等保护措施。吸纳国内外先进实践经验，有序完善湿地面积总量管控、湿地保护规划、湿地监测评估、信息发布和共享、湿地破坏责任人约谈等法规制度和标准。积极推进重要湿地、国家湿地公园针对性立法建设，实行</w:t>
      </w:r>
      <w:r>
        <w:rPr>
          <w:rFonts w:hint="eastAsia" w:cs="Times New Roman"/>
          <w:lang w:val="en-US" w:eastAsia="zh-CN"/>
        </w:rPr>
        <w:t>“</w:t>
      </w:r>
      <w:r>
        <w:rPr>
          <w:rFonts w:hint="default" w:ascii="Times New Roman" w:hAnsi="Times New Roman" w:cs="Times New Roman"/>
          <w:lang w:val="en-US" w:eastAsia="zh-CN"/>
        </w:rPr>
        <w:t>一园一法</w:t>
      </w:r>
      <w:r>
        <w:rPr>
          <w:rFonts w:hint="eastAsia" w:cs="Times New Roman"/>
          <w:lang w:val="en-US" w:eastAsia="zh-CN"/>
        </w:rPr>
        <w:t>”</w:t>
      </w:r>
      <w:r>
        <w:rPr>
          <w:rFonts w:hint="default" w:ascii="Times New Roman" w:hAnsi="Times New Roman" w:cs="Times New Roman"/>
          <w:lang w:val="en-US" w:eastAsia="zh-CN"/>
        </w:rPr>
        <w:t>。依法制定完善湿地公园等建设管理配套规章制度。各县市要加强湿地保护法规制度建设，规范、保障和引导湿地保护健康发展。</w:t>
      </w:r>
    </w:p>
    <w:bookmarkEnd w:id="399"/>
    <w:bookmarkEnd w:id="400"/>
    <w:p w14:paraId="6571FBCF">
      <w:pPr>
        <w:pStyle w:val="3"/>
        <w:bidi w:val="0"/>
        <w:rPr>
          <w:rFonts w:hint="default" w:ascii="Times New Roman" w:hAnsi="Times New Roman" w:cs="Times New Roman"/>
          <w:lang w:val="en-US" w:eastAsia="zh-CN"/>
        </w:rPr>
      </w:pPr>
      <w:bookmarkStart w:id="401" w:name="_Toc4182"/>
      <w:bookmarkStart w:id="402" w:name="_Toc32262"/>
      <w:bookmarkStart w:id="403" w:name="_Toc4223"/>
      <w:bookmarkStart w:id="404" w:name="_Toc5614"/>
      <w:r>
        <w:rPr>
          <w:rFonts w:hint="eastAsia" w:ascii="Times New Roman" w:hAnsi="Times New Roman" w:cs="Times New Roman"/>
          <w:lang w:val="en-US" w:eastAsia="zh-CN"/>
        </w:rPr>
        <w:t xml:space="preserve">第四节  </w:t>
      </w:r>
      <w:r>
        <w:rPr>
          <w:rFonts w:hint="default" w:ascii="Times New Roman" w:hAnsi="Times New Roman" w:cs="Times New Roman"/>
          <w:lang w:val="en-US" w:eastAsia="zh-CN"/>
        </w:rPr>
        <w:t>健全保护体系</w:t>
      </w:r>
      <w:bookmarkEnd w:id="398"/>
      <w:bookmarkEnd w:id="401"/>
      <w:bookmarkEnd w:id="402"/>
      <w:bookmarkEnd w:id="403"/>
      <w:bookmarkEnd w:id="404"/>
      <w:bookmarkStart w:id="405" w:name="_Toc14261"/>
    </w:p>
    <w:p w14:paraId="22976BAE">
      <w:pPr>
        <w:bidi w:val="0"/>
        <w:jc w:val="both"/>
        <w:rPr>
          <w:rFonts w:hint="default" w:ascii="Times New Roman" w:hAnsi="Times New Roman" w:cs="Times New Roman"/>
          <w:lang w:val="en-US" w:eastAsia="zh-CN"/>
        </w:rPr>
      </w:pPr>
      <w:bookmarkStart w:id="406" w:name="OLE_LINK32"/>
      <w:r>
        <w:rPr>
          <w:rFonts w:hint="default" w:ascii="Times New Roman" w:hAnsi="Times New Roman" w:cs="Times New Roman"/>
          <w:lang w:val="en-US" w:eastAsia="zh-CN"/>
        </w:rPr>
        <w:t>深化自然保护地整合优化，推动湿地保护体系构建，健全湿地名录管理制度。对湿地</w:t>
      </w:r>
      <w:r>
        <w:rPr>
          <w:rFonts w:hint="eastAsia" w:cs="Times New Roman"/>
          <w:lang w:val="en-US" w:eastAsia="zh-CN"/>
        </w:rPr>
        <w:t>公园</w:t>
      </w:r>
      <w:r>
        <w:rPr>
          <w:rFonts w:hint="default" w:ascii="Times New Roman" w:hAnsi="Times New Roman" w:cs="Times New Roman"/>
          <w:lang w:val="en-US" w:eastAsia="zh-CN"/>
        </w:rPr>
        <w:t>按照相关规定进行管控，与生态保护红线管控规则充分衔接，对全州湿地实施分级分类重点管控。依据建设项目占用湿地管理工作各类政策，规范建设项目占用湿地或者改变其用途的审核工作，完善湿地用途管控机制，实施负面清单管理，禁止擅自征收、占用各</w:t>
      </w:r>
      <w:r>
        <w:rPr>
          <w:rFonts w:hint="eastAsia" w:cs="Times New Roman"/>
          <w:lang w:val="en-US" w:eastAsia="zh-CN"/>
        </w:rPr>
        <w:t>类</w:t>
      </w:r>
      <w:r>
        <w:rPr>
          <w:rFonts w:hint="default" w:ascii="Times New Roman" w:hAnsi="Times New Roman" w:cs="Times New Roman"/>
          <w:lang w:val="en-US" w:eastAsia="zh-CN"/>
        </w:rPr>
        <w:t>湿地。</w:t>
      </w:r>
    </w:p>
    <w:bookmarkEnd w:id="406"/>
    <w:p w14:paraId="7E7B2A64">
      <w:pPr>
        <w:pStyle w:val="3"/>
        <w:bidi w:val="0"/>
        <w:rPr>
          <w:rFonts w:hint="default" w:ascii="Times New Roman" w:hAnsi="Times New Roman" w:cs="Times New Roman"/>
          <w:lang w:val="en-US" w:eastAsia="zh-CN"/>
        </w:rPr>
      </w:pPr>
      <w:bookmarkStart w:id="407" w:name="_Toc14506"/>
      <w:bookmarkStart w:id="408" w:name="_Toc11164"/>
      <w:bookmarkStart w:id="409" w:name="_Toc22874"/>
      <w:bookmarkStart w:id="410" w:name="_Toc12231"/>
      <w:r>
        <w:rPr>
          <w:rFonts w:hint="eastAsia" w:ascii="Times New Roman" w:hAnsi="Times New Roman" w:cs="Times New Roman"/>
          <w:lang w:val="en-US" w:eastAsia="zh-CN"/>
        </w:rPr>
        <w:t xml:space="preserve">第五节  </w:t>
      </w:r>
      <w:r>
        <w:rPr>
          <w:rFonts w:hint="default" w:ascii="Times New Roman" w:hAnsi="Times New Roman" w:cs="Times New Roman"/>
          <w:lang w:val="en-US" w:eastAsia="zh-CN"/>
        </w:rPr>
        <w:t>强化政策支持</w:t>
      </w:r>
      <w:bookmarkEnd w:id="405"/>
      <w:bookmarkEnd w:id="407"/>
      <w:bookmarkEnd w:id="408"/>
      <w:bookmarkEnd w:id="409"/>
      <w:bookmarkEnd w:id="410"/>
      <w:bookmarkStart w:id="411" w:name="_Toc29584"/>
    </w:p>
    <w:p w14:paraId="48BC9FF0">
      <w:pPr>
        <w:bidi w:val="0"/>
        <w:jc w:val="both"/>
        <w:rPr>
          <w:rFonts w:hint="default" w:ascii="Times New Roman" w:hAnsi="Times New Roman" w:cs="Times New Roman"/>
          <w:lang w:val="en-US" w:eastAsia="zh-CN"/>
        </w:rPr>
      </w:pPr>
      <w:r>
        <w:rPr>
          <w:rFonts w:hint="default" w:ascii="Times New Roman" w:hAnsi="Times New Roman" w:cs="Times New Roman"/>
          <w:lang w:val="en-US" w:eastAsia="zh-CN"/>
        </w:rPr>
        <w:t>建立健全湿地生态保护补偿制度。按照事权划分原则，积极争取中央林业草原生态保护恢复资金，统筹地方财政生态保护修复等资金，加大对湿地保护的支持力度。引导和带动社会资本参与，充分发挥各项政策措施合力，大力支持湿地保护。防范各县市政府债务风险，防止各县市政府以项目建设名义盲目举债，坚决遏制各县市政府新增隐性债务。鼓励</w:t>
      </w:r>
      <w:r>
        <w:rPr>
          <w:rFonts w:hint="eastAsia" w:cs="Times New Roman"/>
          <w:lang w:val="en-US" w:eastAsia="zh-CN"/>
        </w:rPr>
        <w:t>各县市</w:t>
      </w:r>
      <w:r>
        <w:rPr>
          <w:rFonts w:hint="default" w:ascii="Times New Roman" w:hAnsi="Times New Roman" w:cs="Times New Roman"/>
          <w:lang w:val="en-US" w:eastAsia="zh-CN"/>
        </w:rPr>
        <w:t>人民政府通过协商或者市场机制进行生态保护补偿。明确资金使用责任主体，严格执行相关资金管理规定，加强全过程绩效管理，充分发挥资金使用效益。</w:t>
      </w:r>
    </w:p>
    <w:p w14:paraId="1EE470CB">
      <w:pPr>
        <w:pStyle w:val="3"/>
        <w:bidi w:val="0"/>
        <w:rPr>
          <w:rFonts w:hint="default" w:ascii="Times New Roman" w:hAnsi="Times New Roman" w:cs="Times New Roman"/>
          <w:lang w:val="en-US" w:eastAsia="zh-CN"/>
        </w:rPr>
      </w:pPr>
      <w:bookmarkStart w:id="412" w:name="_Toc15955"/>
      <w:bookmarkStart w:id="413" w:name="_Toc18714"/>
      <w:bookmarkStart w:id="414" w:name="_Toc21864"/>
      <w:bookmarkStart w:id="415" w:name="_Toc11635"/>
      <w:r>
        <w:rPr>
          <w:rFonts w:hint="eastAsia" w:ascii="Times New Roman" w:hAnsi="Times New Roman" w:cs="Times New Roman"/>
          <w:lang w:val="en-US" w:eastAsia="zh-CN"/>
        </w:rPr>
        <w:t xml:space="preserve">第六节  </w:t>
      </w:r>
      <w:r>
        <w:rPr>
          <w:rFonts w:hint="default" w:ascii="Times New Roman" w:hAnsi="Times New Roman" w:cs="Times New Roman"/>
          <w:lang w:val="en-US" w:eastAsia="zh-CN"/>
        </w:rPr>
        <w:t>注重宣传引导</w:t>
      </w:r>
      <w:bookmarkEnd w:id="411"/>
      <w:bookmarkEnd w:id="412"/>
      <w:bookmarkEnd w:id="413"/>
      <w:bookmarkEnd w:id="414"/>
      <w:bookmarkEnd w:id="415"/>
    </w:p>
    <w:p w14:paraId="63586080">
      <w:pPr>
        <w:bidi w:val="0"/>
        <w:jc w:val="both"/>
        <w:rPr>
          <w:rFonts w:hint="default" w:ascii="Times New Roman" w:hAnsi="Times New Roman" w:cs="Times New Roman"/>
          <w:lang w:val="en-US" w:eastAsia="zh-CN"/>
        </w:rPr>
      </w:pPr>
      <w:bookmarkStart w:id="416" w:name="OLE_LINK33"/>
      <w:r>
        <w:rPr>
          <w:rFonts w:hint="default" w:ascii="Times New Roman" w:hAnsi="Times New Roman" w:cs="Times New Roman"/>
          <w:lang w:val="en-US" w:eastAsia="zh-CN"/>
        </w:rPr>
        <w:t>围绕湿地保护主题，丰富宣传教育和知识普及内容，拓宽宣教途径。积极运用多种形式与手段，加强全民对保护湿地环境的教育，积极宣传建立湿地保护体系的重要意义。加强信息公开、新闻发布、政策解读、舆论引导工作。结合实际情况，充分利用多种媒体手段，大力宣传湿地保护法律法规，弘扬湿地生态文化，普及湿地科普知识，提高公众对湿地的认识，形成有利于湿地保护的社会氛围。加大对各县市相关管理人员的教育培训，将湿地环境教育纳入生态文明教育内容，使有关部门熟悉湿地保护方面的政策法规，形成有利于湿地保护的良好管理氛围。建立自然资源、林</w:t>
      </w:r>
      <w:r>
        <w:rPr>
          <w:rFonts w:hint="eastAsia" w:cs="Times New Roman"/>
          <w:lang w:val="en-US" w:eastAsia="zh-CN"/>
        </w:rPr>
        <w:t>草</w:t>
      </w:r>
      <w:r>
        <w:rPr>
          <w:rFonts w:hint="default" w:ascii="Times New Roman" w:hAnsi="Times New Roman" w:cs="Times New Roman"/>
          <w:lang w:val="en-US" w:eastAsia="zh-CN"/>
        </w:rPr>
        <w:t>、水利等部门湿地保护协作和信息通报共享机制。</w:t>
      </w:r>
      <w:bookmarkEnd w:id="374"/>
      <w:bookmarkEnd w:id="375"/>
      <w:bookmarkEnd w:id="416"/>
    </w:p>
    <w:p w14:paraId="116909B9">
      <w:pPr>
        <w:pStyle w:val="3"/>
        <w:bidi w:val="0"/>
        <w:rPr>
          <w:rFonts w:hint="eastAsia"/>
          <w:lang w:val="en-US" w:eastAsia="zh-CN"/>
        </w:rPr>
      </w:pPr>
      <w:bookmarkStart w:id="417" w:name="_Toc9052"/>
      <w:r>
        <w:rPr>
          <w:rFonts w:hint="eastAsia"/>
          <w:lang w:val="en-US" w:eastAsia="zh-CN"/>
        </w:rPr>
        <w:t>第七节  深化科技支撑</w:t>
      </w:r>
      <w:bookmarkEnd w:id="417"/>
    </w:p>
    <w:p w14:paraId="17FBDF44">
      <w:pPr>
        <w:rPr>
          <w:rFonts w:hint="default"/>
          <w:lang w:val="en-US" w:eastAsia="zh-CN"/>
        </w:rPr>
      </w:pPr>
      <w:r>
        <w:rPr>
          <w:rFonts w:hint="default"/>
          <w:lang w:val="en-US" w:eastAsia="zh-CN"/>
        </w:rPr>
        <w:t>动员和吸引各方面的力量，从事湿地研究工作。聘请国内外高等院校、科研院所以及规划与设计单位的相关学科优秀人才作为湿地监测中心兼职研究人员。各</w:t>
      </w:r>
      <w:r>
        <w:rPr>
          <w:rFonts w:hint="eastAsia"/>
          <w:lang w:val="en-US" w:eastAsia="zh-CN"/>
        </w:rPr>
        <w:t>县市</w:t>
      </w:r>
      <w:r>
        <w:rPr>
          <w:rFonts w:hint="default"/>
          <w:lang w:val="en-US" w:eastAsia="zh-CN"/>
        </w:rPr>
        <w:t>政府部门中的湿地保护工作领导小组要充分发挥湿地专家组的作用，尊重专家的意见。在制定政策、执行法规、实施工作计划、可行性研究等方面，结合具体实际和湿地保护工作的需要，加强与高等院校、科研院所以及规划与设计单位的协作，征求专家小组意见，坚持科学民主决策。专家组努力把最新科研成果应用于保护管理和规划实践中。</w:t>
      </w:r>
    </w:p>
    <w:p w14:paraId="5796E69E">
      <w:pPr>
        <w:rPr>
          <w:rFonts w:hint="default"/>
          <w:lang w:val="en-US" w:eastAsia="zh-CN"/>
        </w:rPr>
      </w:pPr>
      <w:r>
        <w:rPr>
          <w:rFonts w:hint="default"/>
          <w:lang w:val="en-US" w:eastAsia="zh-CN"/>
        </w:rPr>
        <w:t>湿地监测中心人员积极开展生态系统结构、生态过程、保护措施、湿地生态工程与生态经济研究，为</w:t>
      </w:r>
      <w:r>
        <w:rPr>
          <w:rFonts w:hint="eastAsia"/>
          <w:lang w:val="en-US" w:eastAsia="zh-CN"/>
        </w:rPr>
        <w:t>昌吉回族自治州</w:t>
      </w:r>
      <w:r>
        <w:rPr>
          <w:rFonts w:hint="default"/>
          <w:lang w:val="en-US" w:eastAsia="zh-CN"/>
        </w:rPr>
        <w:t>湿地保护规划的顺利实施提供科技支撑。加强湿地基础和应用科学研究，突出湿地与气候变化、生物多样性、水资源安全等关系研究。开展湿地保护与修复技术示范，在湿地修复关键技术上取得突破。</w:t>
      </w:r>
    </w:p>
    <w:p w14:paraId="6BCBD56D">
      <w:pPr>
        <w:pStyle w:val="3"/>
        <w:bidi w:val="0"/>
        <w:rPr>
          <w:rFonts w:hint="eastAsia"/>
          <w:lang w:val="en-US" w:eastAsia="zh-CN"/>
        </w:rPr>
      </w:pPr>
      <w:bookmarkStart w:id="418" w:name="_Toc12407"/>
      <w:r>
        <w:rPr>
          <w:rFonts w:hint="eastAsia"/>
          <w:lang w:val="en-US" w:eastAsia="zh-CN"/>
        </w:rPr>
        <w:t>第八节  加大资金保障</w:t>
      </w:r>
      <w:bookmarkEnd w:id="418"/>
    </w:p>
    <w:p w14:paraId="3FBB4C26">
      <w:pPr>
        <w:rPr>
          <w:rFonts w:hint="default"/>
          <w:lang w:val="en-US" w:eastAsia="zh-CN"/>
        </w:rPr>
      </w:pPr>
      <w:r>
        <w:rPr>
          <w:rFonts w:hint="default"/>
          <w:lang w:val="en-US" w:eastAsia="zh-CN"/>
        </w:rPr>
        <w:t>加大各级财政资金及社会资本对湿地资源的保护力度，促进湿地保护事业的高质量发展。湿地保护修复工作需要发挥政府投资的主导作用，把湿地保护修复列入各级政府社会发展规划，按规定将湿地保护修复相关经费列入各级政府财政预算。同时，仅由政府出资压力较大，</w:t>
      </w:r>
      <w:r>
        <w:rPr>
          <w:rFonts w:hint="eastAsia"/>
          <w:lang w:val="en-US" w:eastAsia="zh-CN"/>
        </w:rPr>
        <w:t>昌吉回族自治州</w:t>
      </w:r>
      <w:r>
        <w:rPr>
          <w:rFonts w:hint="default"/>
          <w:lang w:val="en-US" w:eastAsia="zh-CN"/>
        </w:rPr>
        <w:t>应全面推动湿地保护和合理利用的社会化进程，广开募资渠道，鼓励与引导社会资本参与，形成政府投资、社会融资、个人投入等多渠道投入机制，使全</w:t>
      </w:r>
      <w:r>
        <w:rPr>
          <w:rFonts w:hint="eastAsia"/>
          <w:lang w:val="en-US" w:eastAsia="zh-CN"/>
        </w:rPr>
        <w:t>州</w:t>
      </w:r>
      <w:r>
        <w:rPr>
          <w:rFonts w:hint="default"/>
          <w:lang w:val="en-US" w:eastAsia="zh-CN"/>
        </w:rPr>
        <w:t>湿地保护工作有较完善的资金渠道来源。</w:t>
      </w:r>
    </w:p>
    <w:p w14:paraId="52E0030B">
      <w:pPr>
        <w:bidi w:val="0"/>
        <w:jc w:val="both"/>
        <w:rPr>
          <w:rFonts w:hint="default" w:ascii="Times New Roman" w:hAnsi="Times New Roman" w:cs="Times New Roman"/>
          <w:lang w:val="en-US" w:eastAsia="zh-CN"/>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23605EEC">
      <w:pPr>
        <w:bidi w:val="0"/>
        <w:ind w:left="0" w:leftChars="0" w:firstLine="0" w:firstLineChars="0"/>
        <w:jc w:val="center"/>
        <w:rPr>
          <w:rFonts w:hint="eastAsia" w:cs="Times New Roman"/>
          <w:b/>
          <w:bCs/>
          <w:lang w:val="en-US" w:eastAsia="zh-CN"/>
        </w:rPr>
      </w:pPr>
    </w:p>
    <w:p w14:paraId="67BEC300">
      <w:pPr>
        <w:bidi w:val="0"/>
        <w:ind w:left="0" w:leftChars="0" w:firstLine="0" w:firstLineChars="0"/>
        <w:jc w:val="center"/>
        <w:rPr>
          <w:rFonts w:hint="eastAsia" w:cs="Times New Roman"/>
          <w:b/>
          <w:bCs/>
          <w:lang w:val="en-US" w:eastAsia="zh-CN"/>
        </w:rPr>
      </w:pPr>
      <w:r>
        <w:rPr>
          <w:rFonts w:hint="eastAsia" w:cs="Times New Roman"/>
          <w:b/>
          <w:bCs/>
          <w:lang w:val="en-US" w:eastAsia="zh-CN"/>
        </w:rPr>
        <w:t>附表1：昌吉回族自治州重要湿地名录</w:t>
      </w:r>
    </w:p>
    <w:tbl>
      <w:tblPr>
        <w:tblStyle w:val="17"/>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728"/>
        <w:gridCol w:w="3638"/>
        <w:gridCol w:w="1893"/>
        <w:gridCol w:w="2263"/>
      </w:tblGrid>
      <w:tr w14:paraId="76E1C5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719" w:hRule="atLeast"/>
        </w:trPr>
        <w:tc>
          <w:tcPr>
            <w:tcW w:w="427" w:type="pct"/>
            <w:tcBorders>
              <w:tl2br w:val="nil"/>
              <w:tr2bl w:val="nil"/>
            </w:tcBorders>
            <w:shd w:val="clear" w:color="auto" w:fill="auto"/>
            <w:noWrap/>
            <w:vAlign w:val="center"/>
          </w:tcPr>
          <w:p w14:paraId="12EDCCE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2134" w:type="pct"/>
            <w:tcBorders>
              <w:tl2br w:val="nil"/>
              <w:tr2bl w:val="nil"/>
            </w:tcBorders>
            <w:shd w:val="clear" w:color="auto" w:fill="auto"/>
            <w:noWrap/>
            <w:vAlign w:val="center"/>
          </w:tcPr>
          <w:p w14:paraId="62EF5C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名称</w:t>
            </w:r>
          </w:p>
        </w:tc>
        <w:tc>
          <w:tcPr>
            <w:tcW w:w="1110" w:type="pct"/>
            <w:tcBorders>
              <w:tl2br w:val="nil"/>
              <w:tr2bl w:val="nil"/>
            </w:tcBorders>
            <w:shd w:val="clear" w:color="auto" w:fill="auto"/>
            <w:noWrap/>
            <w:vAlign w:val="center"/>
          </w:tcPr>
          <w:p w14:paraId="465B5AC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级别</w:t>
            </w:r>
          </w:p>
        </w:tc>
        <w:tc>
          <w:tcPr>
            <w:tcW w:w="1327" w:type="pct"/>
            <w:tcBorders>
              <w:tl2br w:val="nil"/>
              <w:tr2bl w:val="nil"/>
            </w:tcBorders>
            <w:shd w:val="clear" w:color="auto" w:fill="auto"/>
            <w:noWrap/>
            <w:vAlign w:val="center"/>
          </w:tcPr>
          <w:p w14:paraId="6CC88A4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湿地面积（公顷）</w:t>
            </w:r>
          </w:p>
        </w:tc>
      </w:tr>
      <w:tr w14:paraId="598D00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427" w:type="pct"/>
            <w:tcBorders>
              <w:tl2br w:val="nil"/>
              <w:tr2bl w:val="nil"/>
            </w:tcBorders>
            <w:shd w:val="clear" w:color="auto" w:fill="auto"/>
            <w:noWrap/>
            <w:vAlign w:val="center"/>
          </w:tcPr>
          <w:p w14:paraId="0BADBF6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134" w:type="pct"/>
            <w:tcBorders>
              <w:tl2br w:val="nil"/>
              <w:tr2bl w:val="nil"/>
            </w:tcBorders>
            <w:shd w:val="clear" w:color="auto" w:fill="auto"/>
            <w:noWrap/>
            <w:vAlign w:val="center"/>
          </w:tcPr>
          <w:p w14:paraId="4F6DE9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新疆呼图壁县大海子自治区重要湿地</w:t>
            </w:r>
          </w:p>
        </w:tc>
        <w:tc>
          <w:tcPr>
            <w:tcW w:w="1110" w:type="pct"/>
            <w:tcBorders>
              <w:tl2br w:val="nil"/>
              <w:tr2bl w:val="nil"/>
            </w:tcBorders>
            <w:shd w:val="clear" w:color="auto" w:fill="auto"/>
            <w:noWrap/>
            <w:vAlign w:val="center"/>
          </w:tcPr>
          <w:p w14:paraId="6979121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自治区级</w:t>
            </w:r>
          </w:p>
        </w:tc>
        <w:tc>
          <w:tcPr>
            <w:tcW w:w="1327" w:type="pct"/>
            <w:tcBorders>
              <w:tl2br w:val="nil"/>
              <w:tr2bl w:val="nil"/>
            </w:tcBorders>
            <w:shd w:val="clear" w:color="auto" w:fill="auto"/>
            <w:noWrap/>
            <w:vAlign w:val="center"/>
          </w:tcPr>
          <w:p w14:paraId="7C5231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1250.67</w:t>
            </w:r>
          </w:p>
        </w:tc>
      </w:tr>
    </w:tbl>
    <w:p w14:paraId="2EDA077D">
      <w:pPr>
        <w:bidi w:val="0"/>
        <w:ind w:left="0" w:leftChars="0" w:firstLine="0" w:firstLineChars="0"/>
        <w:jc w:val="center"/>
        <w:rPr>
          <w:rFonts w:hint="default" w:cs="Times New Roman"/>
          <w:b/>
          <w:bCs/>
          <w:lang w:val="en-US" w:eastAsia="zh-CN"/>
        </w:rPr>
        <w:sectPr>
          <w:footerReference r:id="rId9" w:type="default"/>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7A2483DE">
      <w:pPr>
        <w:bidi w:val="0"/>
        <w:ind w:left="0" w:leftChars="0" w:firstLine="0" w:firstLineChars="0"/>
        <w:jc w:val="center"/>
        <w:rPr>
          <w:rFonts w:hint="default" w:cs="Times New Roman"/>
          <w:b/>
          <w:bCs/>
          <w:lang w:val="en-US" w:eastAsia="zh-CN"/>
        </w:rPr>
      </w:pPr>
    </w:p>
    <w:p w14:paraId="2CCA5DB5">
      <w:pPr>
        <w:bidi w:val="0"/>
        <w:ind w:left="0" w:leftChars="0" w:firstLine="0" w:firstLineChars="0"/>
        <w:jc w:val="center"/>
        <w:rPr>
          <w:rFonts w:hint="eastAsia" w:cs="Times New Roman"/>
          <w:b/>
          <w:bCs/>
          <w:lang w:val="en-US" w:eastAsia="zh-CN"/>
        </w:rPr>
      </w:pPr>
      <w:r>
        <w:rPr>
          <w:rFonts w:hint="eastAsia" w:cs="Times New Roman"/>
          <w:b/>
          <w:bCs/>
          <w:lang w:val="en-US" w:eastAsia="zh-CN"/>
        </w:rPr>
        <w:t>附表2：昌吉回族自治州国家湿地公园统计表</w:t>
      </w:r>
    </w:p>
    <w:p w14:paraId="15BA9104">
      <w:pPr>
        <w:bidi w:val="0"/>
        <w:ind w:left="0" w:leftChars="0" w:firstLine="0" w:firstLineChars="0"/>
        <w:jc w:val="center"/>
        <w:rPr>
          <w:rFonts w:hint="eastAsia" w:cs="Times New Roman"/>
          <w:b/>
          <w:bCs/>
          <w:lang w:val="en-US" w:eastAsia="zh-CN"/>
        </w:rPr>
      </w:pPr>
      <w:r>
        <w:rPr>
          <w:rFonts w:hint="eastAsia" w:cs="Times New Roman"/>
          <w:b/>
          <w:bCs/>
          <w:lang w:val="en-US" w:eastAsia="zh-CN"/>
        </w:rPr>
        <w:t>（自然保护地整合优化前）</w:t>
      </w:r>
    </w:p>
    <w:tbl>
      <w:tblPr>
        <w:tblStyle w:val="17"/>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544"/>
        <w:gridCol w:w="2512"/>
        <w:gridCol w:w="1132"/>
        <w:gridCol w:w="938"/>
        <w:gridCol w:w="1862"/>
        <w:gridCol w:w="1534"/>
      </w:tblGrid>
      <w:tr w14:paraId="6F6E4B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noWrap/>
            <w:vAlign w:val="center"/>
          </w:tcPr>
          <w:p w14:paraId="2DBA671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472" w:type="pct"/>
            <w:tcBorders>
              <w:tl2br w:val="nil"/>
              <w:tr2bl w:val="nil"/>
            </w:tcBorders>
            <w:shd w:val="clear" w:color="auto" w:fill="auto"/>
            <w:noWrap/>
            <w:vAlign w:val="center"/>
          </w:tcPr>
          <w:p w14:paraId="104204D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名称</w:t>
            </w:r>
          </w:p>
        </w:tc>
        <w:tc>
          <w:tcPr>
            <w:tcW w:w="664" w:type="pct"/>
            <w:tcBorders>
              <w:tl2br w:val="nil"/>
              <w:tr2bl w:val="nil"/>
            </w:tcBorders>
            <w:shd w:val="clear" w:color="auto" w:fill="auto"/>
            <w:noWrap/>
            <w:vAlign w:val="center"/>
          </w:tcPr>
          <w:p w14:paraId="42FA55E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县市</w:t>
            </w:r>
          </w:p>
        </w:tc>
        <w:tc>
          <w:tcPr>
            <w:tcW w:w="550" w:type="pct"/>
            <w:tcBorders>
              <w:tl2br w:val="nil"/>
              <w:tr2bl w:val="nil"/>
            </w:tcBorders>
            <w:shd w:val="clear" w:color="auto" w:fill="auto"/>
            <w:noWrap/>
            <w:vAlign w:val="center"/>
          </w:tcPr>
          <w:p w14:paraId="2033809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类型</w:t>
            </w:r>
          </w:p>
        </w:tc>
        <w:tc>
          <w:tcPr>
            <w:tcW w:w="1092" w:type="pct"/>
            <w:tcBorders>
              <w:tl2br w:val="nil"/>
              <w:tr2bl w:val="nil"/>
            </w:tcBorders>
            <w:shd w:val="clear" w:color="auto" w:fill="auto"/>
            <w:noWrap/>
            <w:vAlign w:val="center"/>
          </w:tcPr>
          <w:p w14:paraId="07EDC96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湿地公园面积（公顷）</w:t>
            </w:r>
          </w:p>
        </w:tc>
        <w:tc>
          <w:tcPr>
            <w:tcW w:w="899" w:type="pct"/>
            <w:tcBorders>
              <w:tl2br w:val="nil"/>
              <w:tr2bl w:val="nil"/>
            </w:tcBorders>
            <w:shd w:val="clear" w:color="auto" w:fill="auto"/>
            <w:noWrap/>
            <w:vAlign w:val="center"/>
          </w:tcPr>
          <w:p w14:paraId="7562357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湿地面积（公顷）</w:t>
            </w:r>
          </w:p>
        </w:tc>
      </w:tr>
      <w:tr w14:paraId="77682F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noWrap/>
            <w:vAlign w:val="center"/>
          </w:tcPr>
          <w:p w14:paraId="7E1B381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472" w:type="pct"/>
            <w:tcBorders>
              <w:tl2br w:val="nil"/>
              <w:tr2bl w:val="nil"/>
            </w:tcBorders>
            <w:shd w:val="clear" w:color="auto" w:fill="auto"/>
            <w:noWrap/>
            <w:vAlign w:val="center"/>
          </w:tcPr>
          <w:p w14:paraId="231C63B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新疆玛纳斯国家湿地公园</w:t>
            </w:r>
          </w:p>
        </w:tc>
        <w:tc>
          <w:tcPr>
            <w:tcW w:w="664" w:type="pct"/>
            <w:tcBorders>
              <w:tl2br w:val="nil"/>
              <w:tr2bl w:val="nil"/>
            </w:tcBorders>
            <w:shd w:val="clear" w:color="auto" w:fill="auto"/>
            <w:noWrap/>
            <w:vAlign w:val="center"/>
          </w:tcPr>
          <w:p w14:paraId="746EE26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玛纳斯县</w:t>
            </w:r>
          </w:p>
        </w:tc>
        <w:tc>
          <w:tcPr>
            <w:tcW w:w="550" w:type="pct"/>
            <w:tcBorders>
              <w:tl2br w:val="nil"/>
              <w:tr2bl w:val="nil"/>
            </w:tcBorders>
            <w:shd w:val="clear" w:color="auto" w:fill="auto"/>
            <w:noWrap/>
            <w:vAlign w:val="center"/>
          </w:tcPr>
          <w:p w14:paraId="04A2B17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河流</w:t>
            </w:r>
          </w:p>
        </w:tc>
        <w:tc>
          <w:tcPr>
            <w:tcW w:w="1092" w:type="pct"/>
            <w:tcBorders>
              <w:tl2br w:val="nil"/>
              <w:tr2bl w:val="nil"/>
            </w:tcBorders>
            <w:shd w:val="clear" w:color="auto" w:fill="auto"/>
            <w:noWrap/>
            <w:vAlign w:val="center"/>
          </w:tcPr>
          <w:p w14:paraId="1DF87A1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4702.00</w:t>
            </w:r>
          </w:p>
        </w:tc>
        <w:tc>
          <w:tcPr>
            <w:tcW w:w="899" w:type="pct"/>
            <w:tcBorders>
              <w:tl2br w:val="nil"/>
              <w:tr2bl w:val="nil"/>
            </w:tcBorders>
            <w:shd w:val="clear" w:color="auto" w:fill="auto"/>
            <w:noWrap/>
            <w:vAlign w:val="center"/>
          </w:tcPr>
          <w:p w14:paraId="15F5678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2806.00</w:t>
            </w:r>
          </w:p>
        </w:tc>
      </w:tr>
      <w:tr w14:paraId="16C26D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noWrap/>
            <w:vAlign w:val="center"/>
          </w:tcPr>
          <w:p w14:paraId="0194EDA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472" w:type="pct"/>
            <w:tcBorders>
              <w:tl2br w:val="nil"/>
              <w:tr2bl w:val="nil"/>
            </w:tcBorders>
            <w:shd w:val="clear" w:color="auto" w:fill="auto"/>
            <w:noWrap/>
            <w:vAlign w:val="center"/>
          </w:tcPr>
          <w:p w14:paraId="05C741F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新疆吉木萨尔北庭国家湿地公园</w:t>
            </w:r>
          </w:p>
        </w:tc>
        <w:tc>
          <w:tcPr>
            <w:tcW w:w="664" w:type="pct"/>
            <w:tcBorders>
              <w:tl2br w:val="nil"/>
              <w:tr2bl w:val="nil"/>
            </w:tcBorders>
            <w:shd w:val="clear" w:color="auto" w:fill="auto"/>
            <w:noWrap/>
            <w:vAlign w:val="center"/>
          </w:tcPr>
          <w:p w14:paraId="5FD9A21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吉木萨尔县</w:t>
            </w:r>
          </w:p>
        </w:tc>
        <w:tc>
          <w:tcPr>
            <w:tcW w:w="550" w:type="pct"/>
            <w:tcBorders>
              <w:tl2br w:val="nil"/>
              <w:tr2bl w:val="nil"/>
            </w:tcBorders>
            <w:shd w:val="clear" w:color="auto" w:fill="auto"/>
            <w:noWrap/>
            <w:vAlign w:val="center"/>
          </w:tcPr>
          <w:p w14:paraId="652C399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河流</w:t>
            </w:r>
          </w:p>
        </w:tc>
        <w:tc>
          <w:tcPr>
            <w:tcW w:w="1092" w:type="pct"/>
            <w:tcBorders>
              <w:tl2br w:val="nil"/>
              <w:tr2bl w:val="nil"/>
            </w:tcBorders>
            <w:shd w:val="clear" w:color="auto" w:fill="auto"/>
            <w:noWrap/>
            <w:vAlign w:val="center"/>
          </w:tcPr>
          <w:p w14:paraId="696AEB6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1492.00</w:t>
            </w:r>
          </w:p>
        </w:tc>
        <w:tc>
          <w:tcPr>
            <w:tcW w:w="899" w:type="pct"/>
            <w:tcBorders>
              <w:tl2br w:val="nil"/>
              <w:tr2bl w:val="nil"/>
            </w:tcBorders>
            <w:shd w:val="clear" w:color="auto" w:fill="auto"/>
            <w:noWrap/>
            <w:vAlign w:val="center"/>
          </w:tcPr>
          <w:p w14:paraId="34FCF11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842.50</w:t>
            </w:r>
          </w:p>
        </w:tc>
      </w:tr>
      <w:tr w14:paraId="655A72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noWrap/>
            <w:vAlign w:val="center"/>
          </w:tcPr>
          <w:p w14:paraId="7248D07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472" w:type="pct"/>
            <w:tcBorders>
              <w:tl2br w:val="nil"/>
              <w:tr2bl w:val="nil"/>
            </w:tcBorders>
            <w:shd w:val="clear" w:color="auto" w:fill="auto"/>
            <w:noWrap/>
            <w:vAlign w:val="center"/>
          </w:tcPr>
          <w:p w14:paraId="6C50C34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新疆呼图壁大海子国家湿地公园</w:t>
            </w:r>
          </w:p>
        </w:tc>
        <w:tc>
          <w:tcPr>
            <w:tcW w:w="664" w:type="pct"/>
            <w:tcBorders>
              <w:tl2br w:val="nil"/>
              <w:tr2bl w:val="nil"/>
            </w:tcBorders>
            <w:shd w:val="clear" w:color="auto" w:fill="auto"/>
            <w:noWrap/>
            <w:vAlign w:val="center"/>
          </w:tcPr>
          <w:p w14:paraId="42BC8E8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呼图壁县</w:t>
            </w:r>
          </w:p>
        </w:tc>
        <w:tc>
          <w:tcPr>
            <w:tcW w:w="550" w:type="pct"/>
            <w:tcBorders>
              <w:tl2br w:val="nil"/>
              <w:tr2bl w:val="nil"/>
            </w:tcBorders>
            <w:shd w:val="clear" w:color="auto" w:fill="auto"/>
            <w:noWrap/>
            <w:vAlign w:val="center"/>
          </w:tcPr>
          <w:p w14:paraId="4361E66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人工、河流</w:t>
            </w:r>
          </w:p>
        </w:tc>
        <w:tc>
          <w:tcPr>
            <w:tcW w:w="1092" w:type="pct"/>
            <w:tcBorders>
              <w:tl2br w:val="nil"/>
              <w:tr2bl w:val="nil"/>
            </w:tcBorders>
            <w:shd w:val="clear" w:color="auto" w:fill="auto"/>
            <w:noWrap/>
            <w:vAlign w:val="center"/>
          </w:tcPr>
          <w:p w14:paraId="22DA0A8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1960.06</w:t>
            </w:r>
          </w:p>
        </w:tc>
        <w:tc>
          <w:tcPr>
            <w:tcW w:w="899" w:type="pct"/>
            <w:tcBorders>
              <w:tl2br w:val="nil"/>
              <w:tr2bl w:val="nil"/>
            </w:tcBorders>
            <w:shd w:val="clear" w:color="auto" w:fill="auto"/>
            <w:noWrap/>
            <w:vAlign w:val="center"/>
          </w:tcPr>
          <w:p w14:paraId="48A3E66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cs="仿宋"/>
                <w:i w:val="0"/>
                <w:iCs w:val="0"/>
                <w:color w:val="000000"/>
                <w:kern w:val="0"/>
                <w:sz w:val="28"/>
                <w:szCs w:val="28"/>
                <w:highlight w:val="none"/>
                <w:u w:val="none"/>
                <w:lang w:val="en-US" w:eastAsia="zh-CN" w:bidi="ar"/>
              </w:rPr>
            </w:pPr>
            <w:r>
              <w:rPr>
                <w:rFonts w:hint="eastAsia" w:ascii="仿宋" w:hAnsi="仿宋" w:cs="仿宋"/>
                <w:i w:val="0"/>
                <w:iCs w:val="0"/>
                <w:color w:val="000000"/>
                <w:kern w:val="0"/>
                <w:sz w:val="28"/>
                <w:szCs w:val="28"/>
                <w:highlight w:val="none"/>
                <w:u w:val="none"/>
                <w:lang w:val="en-US" w:eastAsia="zh-CN" w:bidi="ar"/>
              </w:rPr>
              <w:t>1250.67</w:t>
            </w:r>
          </w:p>
        </w:tc>
      </w:tr>
      <w:tr w14:paraId="04F0A8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319" w:type="pct"/>
            <w:tcBorders>
              <w:tl2br w:val="nil"/>
              <w:tr2bl w:val="nil"/>
            </w:tcBorders>
            <w:shd w:val="clear" w:color="auto" w:fill="auto"/>
            <w:noWrap/>
            <w:vAlign w:val="center"/>
          </w:tcPr>
          <w:p w14:paraId="7DC1169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472" w:type="pct"/>
            <w:tcBorders>
              <w:tl2br w:val="nil"/>
              <w:tr2bl w:val="nil"/>
            </w:tcBorders>
            <w:shd w:val="clear" w:color="auto" w:fill="auto"/>
            <w:noWrap/>
            <w:vAlign w:val="center"/>
          </w:tcPr>
          <w:p w14:paraId="3AEACBB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新疆阜康特纳格尔国家湿地公园</w:t>
            </w:r>
          </w:p>
        </w:tc>
        <w:tc>
          <w:tcPr>
            <w:tcW w:w="664" w:type="pct"/>
            <w:tcBorders>
              <w:tl2br w:val="nil"/>
              <w:tr2bl w:val="nil"/>
            </w:tcBorders>
            <w:shd w:val="clear" w:color="auto" w:fill="auto"/>
            <w:noWrap/>
            <w:vAlign w:val="center"/>
          </w:tcPr>
          <w:p w14:paraId="4176D3A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阜康市</w:t>
            </w:r>
          </w:p>
        </w:tc>
        <w:tc>
          <w:tcPr>
            <w:tcW w:w="550" w:type="pct"/>
            <w:tcBorders>
              <w:tl2br w:val="nil"/>
              <w:tr2bl w:val="nil"/>
            </w:tcBorders>
            <w:shd w:val="clear" w:color="auto" w:fill="auto"/>
            <w:noWrap/>
            <w:vAlign w:val="center"/>
          </w:tcPr>
          <w:p w14:paraId="7185117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河流</w:t>
            </w:r>
          </w:p>
        </w:tc>
        <w:tc>
          <w:tcPr>
            <w:tcW w:w="1092" w:type="pct"/>
            <w:tcBorders>
              <w:tl2br w:val="nil"/>
              <w:tr2bl w:val="nil"/>
            </w:tcBorders>
            <w:shd w:val="clear" w:color="auto" w:fill="auto"/>
            <w:noWrap/>
            <w:vAlign w:val="center"/>
          </w:tcPr>
          <w:p w14:paraId="64E6D3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1075.00</w:t>
            </w:r>
          </w:p>
        </w:tc>
        <w:tc>
          <w:tcPr>
            <w:tcW w:w="899" w:type="pct"/>
            <w:tcBorders>
              <w:tl2br w:val="nil"/>
              <w:tr2bl w:val="nil"/>
            </w:tcBorders>
            <w:shd w:val="clear" w:color="auto" w:fill="auto"/>
            <w:noWrap/>
            <w:vAlign w:val="center"/>
          </w:tcPr>
          <w:p w14:paraId="2B4F306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470.91</w:t>
            </w:r>
          </w:p>
        </w:tc>
      </w:tr>
      <w:tr w14:paraId="28C1BB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75" w:hRule="atLeast"/>
        </w:trPr>
        <w:tc>
          <w:tcPr>
            <w:tcW w:w="1792" w:type="pct"/>
            <w:gridSpan w:val="2"/>
            <w:tcBorders>
              <w:tl2br w:val="nil"/>
              <w:tr2bl w:val="nil"/>
            </w:tcBorders>
            <w:shd w:val="clear" w:color="auto" w:fill="auto"/>
            <w:noWrap/>
            <w:vAlign w:val="center"/>
          </w:tcPr>
          <w:p w14:paraId="5ACDA13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合计</w:t>
            </w:r>
          </w:p>
        </w:tc>
        <w:tc>
          <w:tcPr>
            <w:tcW w:w="664" w:type="pct"/>
            <w:tcBorders>
              <w:tl2br w:val="nil"/>
              <w:tr2bl w:val="nil"/>
            </w:tcBorders>
            <w:shd w:val="clear" w:color="auto" w:fill="auto"/>
            <w:noWrap/>
            <w:vAlign w:val="center"/>
          </w:tcPr>
          <w:p w14:paraId="5C7EB17E">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8"/>
                <w:szCs w:val="28"/>
                <w:u w:val="none"/>
              </w:rPr>
            </w:pPr>
          </w:p>
        </w:tc>
        <w:tc>
          <w:tcPr>
            <w:tcW w:w="550" w:type="pct"/>
            <w:tcBorders>
              <w:tl2br w:val="nil"/>
              <w:tr2bl w:val="nil"/>
            </w:tcBorders>
            <w:shd w:val="clear" w:color="auto" w:fill="auto"/>
            <w:noWrap/>
            <w:vAlign w:val="center"/>
          </w:tcPr>
          <w:p w14:paraId="0ACEC9F5">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8"/>
                <w:szCs w:val="28"/>
                <w:u w:val="none"/>
              </w:rPr>
            </w:pPr>
          </w:p>
        </w:tc>
        <w:tc>
          <w:tcPr>
            <w:tcW w:w="1092" w:type="pct"/>
            <w:tcBorders>
              <w:tl2br w:val="nil"/>
              <w:tr2bl w:val="nil"/>
            </w:tcBorders>
            <w:shd w:val="clear" w:color="auto" w:fill="auto"/>
            <w:noWrap/>
            <w:vAlign w:val="center"/>
          </w:tcPr>
          <w:p w14:paraId="4D985CC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9229.06</w:t>
            </w:r>
          </w:p>
        </w:tc>
        <w:tc>
          <w:tcPr>
            <w:tcW w:w="899" w:type="pct"/>
            <w:tcBorders>
              <w:tl2br w:val="nil"/>
              <w:tr2bl w:val="nil"/>
            </w:tcBorders>
            <w:shd w:val="clear" w:color="auto" w:fill="auto"/>
            <w:noWrap/>
            <w:vAlign w:val="center"/>
          </w:tcPr>
          <w:p w14:paraId="12EE9AD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i w:val="0"/>
                <w:iCs w:val="0"/>
                <w:color w:val="000000"/>
                <w:sz w:val="28"/>
                <w:szCs w:val="28"/>
                <w:u w:val="none"/>
                <w:lang w:val="en-US"/>
              </w:rPr>
            </w:pPr>
            <w:r>
              <w:rPr>
                <w:rFonts w:hint="eastAsia" w:ascii="仿宋" w:hAnsi="仿宋" w:cs="仿宋"/>
                <w:i w:val="0"/>
                <w:iCs w:val="0"/>
                <w:color w:val="000000"/>
                <w:kern w:val="0"/>
                <w:sz w:val="28"/>
                <w:szCs w:val="28"/>
                <w:u w:val="none"/>
                <w:lang w:val="en-US" w:eastAsia="zh-CN" w:bidi="ar"/>
              </w:rPr>
              <w:t>5370.08</w:t>
            </w:r>
          </w:p>
        </w:tc>
      </w:tr>
    </w:tbl>
    <w:p w14:paraId="4309A1F9">
      <w:pPr>
        <w:bidi w:val="0"/>
        <w:ind w:left="0" w:leftChars="0" w:firstLine="0" w:firstLineChars="0"/>
        <w:jc w:val="center"/>
        <w:rPr>
          <w:rFonts w:hint="default" w:cs="Times New Roman"/>
          <w:b/>
          <w:bCs/>
          <w:lang w:val="en-US" w:eastAsia="zh-CN"/>
        </w:rPr>
        <w:sectPr>
          <w:pgSz w:w="11906" w:h="16838"/>
          <w:pgMar w:top="1440" w:right="1800" w:bottom="1440" w:left="180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0AA7C628">
      <w:pPr>
        <w:bidi w:val="0"/>
        <w:ind w:left="0" w:leftChars="0" w:firstLine="0" w:firstLineChars="0"/>
        <w:jc w:val="center"/>
        <w:rPr>
          <w:rFonts w:hint="eastAsia" w:cs="Times New Roman"/>
          <w:b/>
          <w:bCs/>
          <w:lang w:val="en-US" w:eastAsia="zh-CN"/>
        </w:rPr>
      </w:pPr>
      <w:r>
        <w:rPr>
          <w:rFonts w:hint="eastAsia" w:cs="Times New Roman"/>
          <w:b/>
          <w:bCs/>
          <w:lang w:val="en-US" w:eastAsia="zh-CN"/>
        </w:rPr>
        <w:t>附表3：昌吉回族自治州湿地资源现状表</w:t>
      </w:r>
    </w:p>
    <w:tbl>
      <w:tblPr>
        <w:tblStyle w:val="17"/>
        <w:tblW w:w="5173" w:type="pct"/>
        <w:tblInd w:w="-2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5"/>
        <w:gridCol w:w="1455"/>
        <w:gridCol w:w="1200"/>
        <w:gridCol w:w="1215"/>
        <w:gridCol w:w="1455"/>
        <w:gridCol w:w="1230"/>
        <w:gridCol w:w="1425"/>
        <w:gridCol w:w="1185"/>
        <w:gridCol w:w="1440"/>
        <w:gridCol w:w="1320"/>
        <w:gridCol w:w="1467"/>
      </w:tblGrid>
      <w:tr w14:paraId="51ECB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0A8F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行政区名称</w:t>
            </w:r>
          </w:p>
        </w:tc>
        <w:tc>
          <w:tcPr>
            <w:tcW w:w="4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7F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合计</w:t>
            </w:r>
          </w:p>
        </w:tc>
        <w:tc>
          <w:tcPr>
            <w:tcW w:w="1738"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1F4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天然湿地</w:t>
            </w:r>
          </w:p>
        </w:tc>
        <w:tc>
          <w:tcPr>
            <w:tcW w:w="233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417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人工湿地</w:t>
            </w:r>
          </w:p>
        </w:tc>
      </w:tr>
      <w:tr w14:paraId="6F8E5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497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4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DFA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A55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灌丛沼泽</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531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沼泽草地</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13A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内陆滩涂</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361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沼泽地</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829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河流水面</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6ED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湖泊水面</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C4C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水库水面</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B73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坑塘水面</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3DD0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沟渠</w:t>
            </w:r>
          </w:p>
        </w:tc>
      </w:tr>
      <w:tr w14:paraId="1A129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4AD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昌吉回族自治州</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043F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81286.3143</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0FAC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446.6878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242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911.9147</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907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14438.2027</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A68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536.3031</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D1F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25363.6000</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BD9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567.0036</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DFD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16395.6130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D0D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5363.8858</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827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17263.1036</w:t>
            </w:r>
          </w:p>
        </w:tc>
      </w:tr>
      <w:tr w14:paraId="4EFE9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037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昌吉市</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0F8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12046.7952</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BCC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02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6985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3074.2516</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83E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252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4612.6138</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8224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2.9595</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CD8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1718.2553</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429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594.9503</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AE7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2043.7647</w:t>
            </w:r>
          </w:p>
        </w:tc>
      </w:tr>
      <w:tr w14:paraId="54A6B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DB9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阜康市</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A62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10092.3662</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126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525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69.0936</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AFB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1771.7062</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EE4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157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2138.6120</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8390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324.9002</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BF0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3239.4303</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ED5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366.4384</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0C92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2182.1855</w:t>
            </w:r>
          </w:p>
        </w:tc>
      </w:tr>
      <w:tr w14:paraId="28886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9EE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呼图壁县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131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13121.8251</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A2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446.6878</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424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442.3367</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176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1784.9344</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947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2B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3244.2257</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DF9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E2E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3136.8110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5D4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903.6786</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1BC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3163.1509</w:t>
            </w:r>
          </w:p>
        </w:tc>
      </w:tr>
      <w:tr w14:paraId="64C3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4C7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玛纳斯县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EBA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18091.3425</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93C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878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276.4263</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4A09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1612.6818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3AA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7E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4696.6822</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4D0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0E4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5809.7622</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441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2053.0290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AF73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3642.7610</w:t>
            </w:r>
          </w:p>
        </w:tc>
      </w:tr>
      <w:tr w14:paraId="53912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4B0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奇台县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EB03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8737.4703</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E9D7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0D4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6.5652</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B11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1166.4078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A66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2346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3285.8628</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16E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923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608.8041</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B766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913.0025</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801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2756.8279</w:t>
            </w:r>
          </w:p>
        </w:tc>
      </w:tr>
      <w:tr w14:paraId="215CB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216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吉木萨尔县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5CC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9849.3580</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581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D8C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117.4929</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021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1564.0231</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319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536.3031</w:t>
            </w: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B71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2873.0921</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F57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239.1439</w:t>
            </w: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9D8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1544.7523</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663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325.6660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D0E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2648.8846</w:t>
            </w:r>
          </w:p>
        </w:tc>
      </w:tr>
      <w:tr w14:paraId="4CDC4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111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木垒哈萨克自治县</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543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9347.1570</w:t>
            </w:r>
          </w:p>
        </w:tc>
        <w:tc>
          <w:tcPr>
            <w:tcW w:w="4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050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32D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9BCA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3464.1978</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D72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6EC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4512.5114</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A03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p>
        </w:tc>
        <w:tc>
          <w:tcPr>
            <w:tcW w:w="4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97E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337.7978</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042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207.1210</w:t>
            </w:r>
          </w:p>
        </w:tc>
        <w:tc>
          <w:tcPr>
            <w:tcW w:w="5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FB67">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default" w:ascii="仿宋" w:hAnsi="仿宋" w:eastAsia="仿宋" w:cs="仿宋"/>
                <w:b w:val="0"/>
                <w:bCs w:val="0"/>
                <w:i w:val="0"/>
                <w:iCs w:val="0"/>
                <w:color w:val="000000"/>
                <w:kern w:val="0"/>
                <w:sz w:val="24"/>
                <w:szCs w:val="24"/>
                <w:u w:val="none"/>
                <w:lang w:val="en-US" w:eastAsia="zh-CN" w:bidi="ar"/>
              </w:rPr>
            </w:pPr>
            <w:r>
              <w:rPr>
                <w:rFonts w:hint="default" w:ascii="仿宋" w:hAnsi="仿宋" w:eastAsia="仿宋" w:cs="仿宋"/>
                <w:b w:val="0"/>
                <w:bCs w:val="0"/>
                <w:i w:val="0"/>
                <w:iCs w:val="0"/>
                <w:color w:val="000000"/>
                <w:kern w:val="0"/>
                <w:sz w:val="24"/>
                <w:szCs w:val="24"/>
                <w:u w:val="none"/>
                <w:lang w:val="en-US" w:eastAsia="zh-CN" w:bidi="ar"/>
              </w:rPr>
              <w:t>825.5290</w:t>
            </w:r>
          </w:p>
        </w:tc>
      </w:tr>
    </w:tbl>
    <w:p w14:paraId="2AAB3174">
      <w:pPr>
        <w:bidi w:val="0"/>
        <w:ind w:left="0" w:leftChars="0" w:firstLine="0" w:firstLineChars="0"/>
        <w:jc w:val="center"/>
        <w:rPr>
          <w:rFonts w:hint="eastAsia" w:cs="Times New Roman"/>
          <w:b/>
          <w:bCs/>
          <w:lang w:val="en-US" w:eastAsia="zh-CN"/>
        </w:rPr>
      </w:pPr>
    </w:p>
    <w:p w14:paraId="42168FF3">
      <w:pPr>
        <w:bidi w:val="0"/>
        <w:ind w:left="0" w:leftChars="0" w:firstLine="0" w:firstLineChars="0"/>
        <w:jc w:val="center"/>
        <w:rPr>
          <w:rFonts w:hint="eastAsia" w:cs="Times New Roman"/>
          <w:b/>
          <w:bCs/>
          <w:lang w:val="en-US" w:eastAsia="zh-CN"/>
        </w:rPr>
        <w:sectPr>
          <w:pgSz w:w="16838" w:h="11906" w:orient="landscape"/>
          <w:pgMar w:top="1800" w:right="1440" w:bottom="1800" w:left="144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pPr>
    </w:p>
    <w:p w14:paraId="7EC27141">
      <w:pPr>
        <w:bidi w:val="0"/>
        <w:ind w:left="0" w:leftChars="0" w:firstLine="0" w:firstLineChars="0"/>
        <w:jc w:val="center"/>
        <w:rPr>
          <w:rFonts w:hint="eastAsia" w:cs="Times New Roman"/>
          <w:b/>
          <w:bCs/>
          <w:lang w:val="en-US" w:eastAsia="zh-CN"/>
        </w:rPr>
      </w:pPr>
      <w:r>
        <w:rPr>
          <w:rFonts w:hint="eastAsia" w:cs="Times New Roman"/>
          <w:b/>
          <w:bCs/>
          <w:lang w:val="en-US" w:eastAsia="zh-CN"/>
        </w:rPr>
        <w:t>附表4：昌吉回族自治州湿地规划重点任务统计表</w:t>
      </w:r>
    </w:p>
    <w:tbl>
      <w:tblPr>
        <w:tblStyle w:val="17"/>
        <w:tblW w:w="5169" w:type="pct"/>
        <w:tblInd w:w="-2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519"/>
        <w:gridCol w:w="1721"/>
        <w:gridCol w:w="3530"/>
        <w:gridCol w:w="2172"/>
        <w:gridCol w:w="6711"/>
      </w:tblGrid>
      <w:tr w14:paraId="27902F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blHeader/>
        </w:trPr>
        <w:tc>
          <w:tcPr>
            <w:tcW w:w="177" w:type="pct"/>
            <w:tcBorders>
              <w:tl2br w:val="nil"/>
              <w:tr2bl w:val="nil"/>
            </w:tcBorders>
            <w:shd w:val="clear" w:color="auto" w:fill="auto"/>
            <w:noWrap/>
            <w:vAlign w:val="center"/>
          </w:tcPr>
          <w:p w14:paraId="209E5F8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587" w:type="pct"/>
            <w:tcBorders>
              <w:tl2br w:val="nil"/>
              <w:tr2bl w:val="nil"/>
            </w:tcBorders>
            <w:shd w:val="clear" w:color="auto" w:fill="auto"/>
            <w:noWrap/>
            <w:vAlign w:val="center"/>
          </w:tcPr>
          <w:p w14:paraId="78DC53B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类型</w:t>
            </w:r>
          </w:p>
        </w:tc>
        <w:tc>
          <w:tcPr>
            <w:tcW w:w="1204" w:type="pct"/>
            <w:tcBorders>
              <w:tl2br w:val="nil"/>
              <w:tr2bl w:val="nil"/>
            </w:tcBorders>
            <w:shd w:val="clear" w:color="auto" w:fill="auto"/>
            <w:noWrap/>
            <w:vAlign w:val="center"/>
          </w:tcPr>
          <w:p w14:paraId="3D63BA3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项目名称</w:t>
            </w:r>
          </w:p>
        </w:tc>
        <w:tc>
          <w:tcPr>
            <w:tcW w:w="741" w:type="pct"/>
            <w:tcBorders>
              <w:tl2br w:val="nil"/>
              <w:tr2bl w:val="nil"/>
            </w:tcBorders>
            <w:shd w:val="clear" w:color="auto" w:fill="auto"/>
            <w:noWrap/>
            <w:vAlign w:val="center"/>
          </w:tcPr>
          <w:p w14:paraId="5119543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实施地点</w:t>
            </w:r>
          </w:p>
        </w:tc>
        <w:tc>
          <w:tcPr>
            <w:tcW w:w="2289" w:type="pct"/>
            <w:tcBorders>
              <w:tl2br w:val="nil"/>
              <w:tr2bl w:val="nil"/>
            </w:tcBorders>
            <w:shd w:val="clear" w:color="auto" w:fill="auto"/>
            <w:noWrap/>
            <w:vAlign w:val="center"/>
          </w:tcPr>
          <w:p w14:paraId="16BA8BD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建设内容</w:t>
            </w:r>
          </w:p>
        </w:tc>
      </w:tr>
      <w:tr w14:paraId="2DA6E3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3A4ADD2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587" w:type="pct"/>
            <w:vMerge w:val="restart"/>
            <w:tcBorders>
              <w:tl2br w:val="nil"/>
              <w:tr2bl w:val="nil"/>
            </w:tcBorders>
            <w:shd w:val="clear" w:color="auto" w:fill="auto"/>
            <w:noWrap/>
            <w:vAlign w:val="center"/>
          </w:tcPr>
          <w:p w14:paraId="7EE371C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湿地保护修复治理工程</w:t>
            </w:r>
          </w:p>
        </w:tc>
        <w:tc>
          <w:tcPr>
            <w:tcW w:w="1204" w:type="pct"/>
            <w:tcBorders>
              <w:tl2br w:val="nil"/>
              <w:tr2bl w:val="nil"/>
            </w:tcBorders>
            <w:shd w:val="clear" w:color="auto" w:fill="auto"/>
            <w:noWrap/>
            <w:vAlign w:val="center"/>
          </w:tcPr>
          <w:p w14:paraId="4428AE5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玛纳斯国家湿地公园湿地保护工程</w:t>
            </w:r>
          </w:p>
        </w:tc>
        <w:tc>
          <w:tcPr>
            <w:tcW w:w="741" w:type="pct"/>
            <w:tcBorders>
              <w:tl2br w:val="nil"/>
              <w:tr2bl w:val="nil"/>
            </w:tcBorders>
            <w:shd w:val="clear" w:color="auto" w:fill="auto"/>
            <w:noWrap/>
            <w:vAlign w:val="center"/>
          </w:tcPr>
          <w:p w14:paraId="1D3AFB1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玛纳斯县</w:t>
            </w:r>
          </w:p>
        </w:tc>
        <w:tc>
          <w:tcPr>
            <w:tcW w:w="2289" w:type="pct"/>
            <w:tcBorders>
              <w:tl2br w:val="nil"/>
              <w:tr2bl w:val="nil"/>
            </w:tcBorders>
            <w:shd w:val="clear" w:color="auto" w:fill="auto"/>
            <w:vAlign w:val="center"/>
          </w:tcPr>
          <w:p w14:paraId="5222155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实施植被恢复2000亩、河道疏浚2公里、生态补水、节水工程等</w:t>
            </w:r>
          </w:p>
        </w:tc>
      </w:tr>
      <w:tr w14:paraId="023E65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77" w:type="pct"/>
            <w:tcBorders>
              <w:tl2br w:val="nil"/>
              <w:tr2bl w:val="nil"/>
            </w:tcBorders>
            <w:shd w:val="clear" w:color="auto" w:fill="auto"/>
            <w:noWrap/>
            <w:vAlign w:val="center"/>
          </w:tcPr>
          <w:p w14:paraId="67783D6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587" w:type="pct"/>
            <w:vMerge w:val="continue"/>
            <w:tcBorders>
              <w:tl2br w:val="nil"/>
              <w:tr2bl w:val="nil"/>
            </w:tcBorders>
            <w:shd w:val="clear" w:color="auto" w:fill="auto"/>
            <w:noWrap/>
            <w:vAlign w:val="center"/>
          </w:tcPr>
          <w:p w14:paraId="3CCC9D4F">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6703838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新疆呼图壁大海子国家湿地公园湿地保护修复工程</w:t>
            </w:r>
          </w:p>
        </w:tc>
        <w:tc>
          <w:tcPr>
            <w:tcW w:w="741" w:type="pct"/>
            <w:tcBorders>
              <w:tl2br w:val="nil"/>
              <w:tr2bl w:val="nil"/>
            </w:tcBorders>
            <w:shd w:val="clear" w:color="auto" w:fill="auto"/>
            <w:noWrap/>
            <w:vAlign w:val="center"/>
          </w:tcPr>
          <w:p w14:paraId="1103E2C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呼图壁县</w:t>
            </w:r>
          </w:p>
        </w:tc>
        <w:tc>
          <w:tcPr>
            <w:tcW w:w="2289" w:type="pct"/>
            <w:tcBorders>
              <w:tl2br w:val="nil"/>
              <w:tr2bl w:val="nil"/>
            </w:tcBorders>
            <w:shd w:val="clear" w:color="auto" w:fill="auto"/>
            <w:vAlign w:val="center"/>
          </w:tcPr>
          <w:p w14:paraId="607438A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一步加强湿地修复进程，种植172亩树木。水鸟保护，对以灰鹤为主的水鸟进行保护，进行专业培训，包括种群监测、种群保护、科普活动、外出学习培训。架设鸟类活动设备，观测设备，制作科普宣教标识牌等。岸线维护建设，修建隔离保护围栏、岸线绿化3公里</w:t>
            </w:r>
          </w:p>
        </w:tc>
      </w:tr>
      <w:tr w14:paraId="68417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67776D5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587" w:type="pct"/>
            <w:vMerge w:val="continue"/>
            <w:tcBorders>
              <w:tl2br w:val="nil"/>
              <w:tr2bl w:val="nil"/>
            </w:tcBorders>
            <w:shd w:val="clear" w:color="auto" w:fill="auto"/>
            <w:noWrap/>
            <w:vAlign w:val="center"/>
          </w:tcPr>
          <w:p w14:paraId="1B565627">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3560E91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新疆阜康特纳格尔国家湿地公园湿地保护工程</w:t>
            </w:r>
          </w:p>
        </w:tc>
        <w:tc>
          <w:tcPr>
            <w:tcW w:w="741" w:type="pct"/>
            <w:tcBorders>
              <w:tl2br w:val="nil"/>
              <w:tr2bl w:val="nil"/>
            </w:tcBorders>
            <w:shd w:val="clear" w:color="auto" w:fill="auto"/>
            <w:noWrap/>
            <w:vAlign w:val="center"/>
          </w:tcPr>
          <w:p w14:paraId="3BC2BD6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阜康市</w:t>
            </w:r>
          </w:p>
        </w:tc>
        <w:tc>
          <w:tcPr>
            <w:tcW w:w="2289" w:type="pct"/>
            <w:tcBorders>
              <w:tl2br w:val="nil"/>
              <w:tr2bl w:val="nil"/>
            </w:tcBorders>
            <w:shd w:val="clear" w:color="auto" w:fill="auto"/>
            <w:vAlign w:val="center"/>
          </w:tcPr>
          <w:p w14:paraId="38C8E8C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围栏修建8公里，实施植被恢复100亩，生态补水、河流岸线修复、河道垃圾清理疏浚等，对河流沿线水源涵养林进行湿地有害生物防治</w:t>
            </w:r>
          </w:p>
        </w:tc>
      </w:tr>
      <w:tr w14:paraId="410A18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70" w:hRule="atLeast"/>
        </w:trPr>
        <w:tc>
          <w:tcPr>
            <w:tcW w:w="177" w:type="pct"/>
            <w:tcBorders>
              <w:tl2br w:val="nil"/>
              <w:tr2bl w:val="nil"/>
            </w:tcBorders>
            <w:shd w:val="clear" w:color="auto" w:fill="auto"/>
            <w:noWrap/>
            <w:vAlign w:val="center"/>
          </w:tcPr>
          <w:p w14:paraId="2D1F9A7C">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587" w:type="pct"/>
            <w:vMerge w:val="continue"/>
            <w:tcBorders>
              <w:tl2br w:val="nil"/>
              <w:tr2bl w:val="nil"/>
            </w:tcBorders>
            <w:shd w:val="clear" w:color="auto" w:fill="auto"/>
            <w:noWrap/>
            <w:vAlign w:val="center"/>
          </w:tcPr>
          <w:p w14:paraId="31DA53D6">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765B92A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新疆吉木萨尔北庭国家湿地公园湿地保护修复工程</w:t>
            </w:r>
          </w:p>
        </w:tc>
        <w:tc>
          <w:tcPr>
            <w:tcW w:w="741" w:type="pct"/>
            <w:tcBorders>
              <w:tl2br w:val="nil"/>
              <w:tr2bl w:val="nil"/>
            </w:tcBorders>
            <w:shd w:val="clear" w:color="auto" w:fill="auto"/>
            <w:noWrap/>
            <w:vAlign w:val="center"/>
          </w:tcPr>
          <w:p w14:paraId="176A3B4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吉木萨尔县</w:t>
            </w:r>
          </w:p>
        </w:tc>
        <w:tc>
          <w:tcPr>
            <w:tcW w:w="2289" w:type="pct"/>
            <w:tcBorders>
              <w:tl2br w:val="nil"/>
              <w:tr2bl w:val="nil"/>
            </w:tcBorders>
            <w:shd w:val="clear" w:color="auto" w:fill="auto"/>
            <w:vAlign w:val="center"/>
          </w:tcPr>
          <w:p w14:paraId="2E9BBC6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实施植被恢复100亩、野生动物栖息地改善；加强二工河、水溪沟河等流域生态廊道保护与修复；保护水生动植物和鸟类的生存环境；对河流沿线水源涵养林进行湿地有害生物防治，湿地河岸线修复3公里</w:t>
            </w:r>
          </w:p>
        </w:tc>
      </w:tr>
      <w:tr w14:paraId="75B120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23FBFCD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587" w:type="pct"/>
            <w:vMerge w:val="restart"/>
            <w:tcBorders>
              <w:tl2br w:val="nil"/>
              <w:tr2bl w:val="nil"/>
            </w:tcBorders>
            <w:shd w:val="clear" w:color="auto" w:fill="auto"/>
            <w:noWrap/>
            <w:vAlign w:val="center"/>
          </w:tcPr>
          <w:p w14:paraId="36E0F38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湿地保护管理建设</w:t>
            </w:r>
          </w:p>
        </w:tc>
        <w:tc>
          <w:tcPr>
            <w:tcW w:w="1204" w:type="pct"/>
            <w:tcBorders>
              <w:tl2br w:val="nil"/>
              <w:tr2bl w:val="nil"/>
            </w:tcBorders>
            <w:shd w:val="clear" w:color="auto" w:fill="auto"/>
            <w:noWrap/>
            <w:vAlign w:val="center"/>
          </w:tcPr>
          <w:p w14:paraId="30F98A0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湿地公园基础设施建设项目</w:t>
            </w:r>
          </w:p>
        </w:tc>
        <w:tc>
          <w:tcPr>
            <w:tcW w:w="741" w:type="pct"/>
            <w:tcBorders>
              <w:tl2br w:val="nil"/>
              <w:tr2bl w:val="nil"/>
            </w:tcBorders>
            <w:shd w:val="clear" w:color="auto" w:fill="auto"/>
            <w:noWrap/>
            <w:vAlign w:val="center"/>
          </w:tcPr>
          <w:p w14:paraId="5BD8E1E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国家湿地公园</w:t>
            </w:r>
          </w:p>
        </w:tc>
        <w:tc>
          <w:tcPr>
            <w:tcW w:w="2289" w:type="pct"/>
            <w:tcBorders>
              <w:tl2br w:val="nil"/>
              <w:tr2bl w:val="nil"/>
            </w:tcBorders>
            <w:shd w:val="clear" w:color="auto" w:fill="auto"/>
            <w:vAlign w:val="center"/>
          </w:tcPr>
          <w:p w14:paraId="5645864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改建管护站4处，配套基础设施，道路基础设施建设；各县市新建标牌共1500个；配备野生动物疫源疫病监测设施设备4套</w:t>
            </w:r>
          </w:p>
        </w:tc>
      </w:tr>
      <w:tr w14:paraId="14796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01AF64D8">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587" w:type="pct"/>
            <w:vMerge w:val="continue"/>
            <w:tcBorders>
              <w:tl2br w:val="nil"/>
              <w:tr2bl w:val="nil"/>
            </w:tcBorders>
            <w:shd w:val="clear" w:color="auto" w:fill="auto"/>
            <w:noWrap/>
            <w:vAlign w:val="center"/>
          </w:tcPr>
          <w:p w14:paraId="6E3B7646">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74E86AF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湿地技术顾问队伍建设项目</w:t>
            </w:r>
          </w:p>
        </w:tc>
        <w:tc>
          <w:tcPr>
            <w:tcW w:w="741" w:type="pct"/>
            <w:tcBorders>
              <w:tl2br w:val="nil"/>
              <w:tr2bl w:val="nil"/>
            </w:tcBorders>
            <w:shd w:val="clear" w:color="auto" w:fill="auto"/>
            <w:noWrap/>
            <w:vAlign w:val="center"/>
          </w:tcPr>
          <w:p w14:paraId="54FFC82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全州各县市</w:t>
            </w:r>
          </w:p>
        </w:tc>
        <w:tc>
          <w:tcPr>
            <w:tcW w:w="2289" w:type="pct"/>
            <w:tcBorders>
              <w:tl2br w:val="nil"/>
              <w:tr2bl w:val="nil"/>
            </w:tcBorders>
            <w:shd w:val="clear" w:color="auto" w:fill="auto"/>
            <w:noWrap/>
            <w:vAlign w:val="center"/>
          </w:tcPr>
          <w:p w14:paraId="25E8888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组建州级湿地技术专家服务团；建设各县市湿地技术服务队，全州湿地技术服务人数达到21人</w:t>
            </w:r>
          </w:p>
        </w:tc>
      </w:tr>
      <w:tr w14:paraId="31FECB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2E9687A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587" w:type="pct"/>
            <w:vMerge w:val="continue"/>
            <w:tcBorders>
              <w:tl2br w:val="nil"/>
              <w:tr2bl w:val="nil"/>
            </w:tcBorders>
            <w:shd w:val="clear" w:color="auto" w:fill="auto"/>
            <w:noWrap/>
            <w:vAlign w:val="center"/>
          </w:tcPr>
          <w:p w14:paraId="173222DD">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178919C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湿地保护管理人员培训项目</w:t>
            </w:r>
          </w:p>
        </w:tc>
        <w:tc>
          <w:tcPr>
            <w:tcW w:w="741" w:type="pct"/>
            <w:tcBorders>
              <w:tl2br w:val="nil"/>
              <w:tr2bl w:val="nil"/>
            </w:tcBorders>
            <w:shd w:val="clear" w:color="auto" w:fill="auto"/>
            <w:noWrap/>
            <w:vAlign w:val="center"/>
          </w:tcPr>
          <w:p w14:paraId="1F153FD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全州各县市</w:t>
            </w:r>
          </w:p>
        </w:tc>
        <w:tc>
          <w:tcPr>
            <w:tcW w:w="2289" w:type="pct"/>
            <w:tcBorders>
              <w:tl2br w:val="nil"/>
              <w:tr2bl w:val="nil"/>
            </w:tcBorders>
            <w:shd w:val="clear" w:color="auto" w:fill="auto"/>
            <w:vAlign w:val="center"/>
          </w:tcPr>
          <w:p w14:paraId="4F89D70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各县市每年举办湿地技术培训10场次，合计完成70场次培训；湿地类型自然保护区培训2000人次，湿地公园培训1800人次</w:t>
            </w:r>
          </w:p>
        </w:tc>
      </w:tr>
      <w:tr w14:paraId="7A4E05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70" w:hRule="atLeast"/>
        </w:trPr>
        <w:tc>
          <w:tcPr>
            <w:tcW w:w="177" w:type="pct"/>
            <w:tcBorders>
              <w:tl2br w:val="nil"/>
              <w:tr2bl w:val="nil"/>
            </w:tcBorders>
            <w:shd w:val="clear" w:color="auto" w:fill="auto"/>
            <w:noWrap/>
            <w:vAlign w:val="center"/>
          </w:tcPr>
          <w:p w14:paraId="73B2EF8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587" w:type="pct"/>
            <w:vMerge w:val="restart"/>
            <w:tcBorders>
              <w:tl2br w:val="nil"/>
              <w:tr2bl w:val="nil"/>
            </w:tcBorders>
            <w:shd w:val="clear" w:color="auto" w:fill="auto"/>
            <w:noWrap/>
            <w:vAlign w:val="center"/>
          </w:tcPr>
          <w:p w14:paraId="1A69CC3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湿地资源监测监管建设</w:t>
            </w:r>
          </w:p>
        </w:tc>
        <w:tc>
          <w:tcPr>
            <w:tcW w:w="1204" w:type="pct"/>
            <w:tcBorders>
              <w:tl2br w:val="nil"/>
              <w:tr2bl w:val="nil"/>
            </w:tcBorders>
            <w:shd w:val="clear" w:color="auto" w:fill="auto"/>
            <w:noWrap/>
            <w:vAlign w:val="center"/>
          </w:tcPr>
          <w:p w14:paraId="2F993A5D">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湿地资源本底调查建设项目</w:t>
            </w:r>
          </w:p>
        </w:tc>
        <w:tc>
          <w:tcPr>
            <w:tcW w:w="741" w:type="pct"/>
            <w:tcBorders>
              <w:tl2br w:val="nil"/>
              <w:tr2bl w:val="nil"/>
            </w:tcBorders>
            <w:shd w:val="clear" w:color="auto" w:fill="auto"/>
            <w:noWrap/>
            <w:vAlign w:val="center"/>
          </w:tcPr>
          <w:p w14:paraId="406D4F2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全州各县市</w:t>
            </w:r>
          </w:p>
        </w:tc>
        <w:tc>
          <w:tcPr>
            <w:tcW w:w="2289" w:type="pct"/>
            <w:tcBorders>
              <w:tl2br w:val="nil"/>
              <w:tr2bl w:val="nil"/>
            </w:tcBorders>
            <w:shd w:val="clear" w:color="auto" w:fill="auto"/>
            <w:vAlign w:val="center"/>
          </w:tcPr>
          <w:p w14:paraId="27FB76C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规划每5年开展一次全州范围内本底资源调查，查明全州湿地分布的空间格局，全面掌握湿地生态质量状况及湿地损毁等情况，形成湿地类型、面积、分布、湿地率、湿地保护率等数据</w:t>
            </w:r>
          </w:p>
        </w:tc>
      </w:tr>
      <w:tr w14:paraId="2D9DDF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70" w:hRule="atLeast"/>
        </w:trPr>
        <w:tc>
          <w:tcPr>
            <w:tcW w:w="177" w:type="pct"/>
            <w:tcBorders>
              <w:tl2br w:val="nil"/>
              <w:tr2bl w:val="nil"/>
            </w:tcBorders>
            <w:shd w:val="clear" w:color="auto" w:fill="auto"/>
            <w:noWrap/>
            <w:vAlign w:val="center"/>
          </w:tcPr>
          <w:p w14:paraId="58184DF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587" w:type="pct"/>
            <w:vMerge w:val="continue"/>
            <w:tcBorders>
              <w:tl2br w:val="nil"/>
              <w:tr2bl w:val="nil"/>
            </w:tcBorders>
            <w:shd w:val="clear" w:color="auto" w:fill="auto"/>
            <w:noWrap/>
            <w:vAlign w:val="center"/>
          </w:tcPr>
          <w:p w14:paraId="7B4646C6">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657B305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科研监测系统建设项目</w:t>
            </w:r>
          </w:p>
        </w:tc>
        <w:tc>
          <w:tcPr>
            <w:tcW w:w="741" w:type="pct"/>
            <w:tcBorders>
              <w:tl2br w:val="nil"/>
              <w:tr2bl w:val="nil"/>
            </w:tcBorders>
            <w:shd w:val="clear" w:color="auto" w:fill="auto"/>
            <w:noWrap/>
            <w:vAlign w:val="center"/>
          </w:tcPr>
          <w:p w14:paraId="60CADC7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全州各县市</w:t>
            </w:r>
          </w:p>
        </w:tc>
        <w:tc>
          <w:tcPr>
            <w:tcW w:w="2289" w:type="pct"/>
            <w:tcBorders>
              <w:tl2br w:val="nil"/>
              <w:tr2bl w:val="nil"/>
            </w:tcBorders>
            <w:shd w:val="clear" w:color="auto" w:fill="auto"/>
            <w:vAlign w:val="center"/>
          </w:tcPr>
          <w:p w14:paraId="3ECC04F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布设科研监测样线300千米；至2025年，全州建设生态监测点2处、鸟类观测站点7处，配备科研监测仪器设备2套、鸟类观测设备7套；至2030年，全州建设生态监测点4处、鸟类观测站点14处，配备科研监测仪器设备4套、鸟类观测设备14套</w:t>
            </w:r>
          </w:p>
        </w:tc>
      </w:tr>
      <w:tr w14:paraId="44B175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570" w:hRule="atLeast"/>
        </w:trPr>
        <w:tc>
          <w:tcPr>
            <w:tcW w:w="177" w:type="pct"/>
            <w:tcBorders>
              <w:tl2br w:val="nil"/>
              <w:tr2bl w:val="nil"/>
            </w:tcBorders>
            <w:shd w:val="clear" w:color="auto" w:fill="auto"/>
            <w:noWrap/>
            <w:vAlign w:val="center"/>
          </w:tcPr>
          <w:p w14:paraId="104B215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587" w:type="pct"/>
            <w:vMerge w:val="restart"/>
            <w:tcBorders>
              <w:tl2br w:val="nil"/>
              <w:tr2bl w:val="nil"/>
            </w:tcBorders>
            <w:shd w:val="clear" w:color="auto" w:fill="auto"/>
            <w:noWrap/>
            <w:vAlign w:val="center"/>
          </w:tcPr>
          <w:p w14:paraId="5C7B83B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湿地保护综合效益项目</w:t>
            </w:r>
          </w:p>
        </w:tc>
        <w:tc>
          <w:tcPr>
            <w:tcW w:w="1204" w:type="pct"/>
            <w:tcBorders>
              <w:tl2br w:val="nil"/>
              <w:tr2bl w:val="nil"/>
            </w:tcBorders>
            <w:shd w:val="clear" w:color="auto" w:fill="auto"/>
            <w:noWrap/>
            <w:vAlign w:val="center"/>
          </w:tcPr>
          <w:p w14:paraId="40579C85">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新疆吉木萨尔北庭湿地科普宣教基地建设项目</w:t>
            </w:r>
          </w:p>
        </w:tc>
        <w:tc>
          <w:tcPr>
            <w:tcW w:w="741" w:type="pct"/>
            <w:tcBorders>
              <w:tl2br w:val="nil"/>
              <w:tr2bl w:val="nil"/>
            </w:tcBorders>
            <w:shd w:val="clear" w:color="auto" w:fill="auto"/>
            <w:noWrap/>
            <w:vAlign w:val="center"/>
          </w:tcPr>
          <w:p w14:paraId="60830614">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吉木萨尔北庭国家湿地公园</w:t>
            </w:r>
          </w:p>
        </w:tc>
        <w:tc>
          <w:tcPr>
            <w:tcW w:w="2289" w:type="pct"/>
            <w:tcBorders>
              <w:tl2br w:val="nil"/>
              <w:tr2bl w:val="nil"/>
            </w:tcBorders>
            <w:shd w:val="clear" w:color="auto" w:fill="auto"/>
            <w:vAlign w:val="center"/>
          </w:tcPr>
          <w:p w14:paraId="5E128EB9">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建设动植物模型展览1处、湿地科普宣教中心2处、电子沙盘1个、科教教育解说系统2套、宣传牌50块、户外LED显示屏2块、自然解说步道20千米</w:t>
            </w:r>
          </w:p>
        </w:tc>
      </w:tr>
      <w:tr w14:paraId="0852BD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020DD22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587" w:type="pct"/>
            <w:vMerge w:val="continue"/>
            <w:tcBorders>
              <w:tl2br w:val="nil"/>
              <w:tr2bl w:val="nil"/>
            </w:tcBorders>
            <w:shd w:val="clear" w:color="auto" w:fill="auto"/>
            <w:noWrap/>
            <w:vAlign w:val="center"/>
          </w:tcPr>
          <w:p w14:paraId="0C401F5E">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75054B2B">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阜康特纳格尔湿地公园科普宣教提升项目</w:t>
            </w:r>
          </w:p>
        </w:tc>
        <w:tc>
          <w:tcPr>
            <w:tcW w:w="741" w:type="pct"/>
            <w:tcBorders>
              <w:tl2br w:val="nil"/>
              <w:tr2bl w:val="nil"/>
            </w:tcBorders>
            <w:shd w:val="clear" w:color="auto" w:fill="auto"/>
            <w:noWrap/>
            <w:vAlign w:val="center"/>
          </w:tcPr>
          <w:p w14:paraId="6496C44E">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阜康特纳格尔国家湿地公园</w:t>
            </w:r>
          </w:p>
        </w:tc>
        <w:tc>
          <w:tcPr>
            <w:tcW w:w="2289" w:type="pct"/>
            <w:tcBorders>
              <w:tl2br w:val="nil"/>
              <w:tr2bl w:val="nil"/>
            </w:tcBorders>
            <w:shd w:val="clear" w:color="auto" w:fill="auto"/>
            <w:vAlign w:val="center"/>
          </w:tcPr>
          <w:p w14:paraId="7B650203">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多媒体系统、电子互动设备、标本展示、宣教观测廊道、生物监测系统平台等基础设施建设</w:t>
            </w:r>
          </w:p>
        </w:tc>
      </w:tr>
      <w:tr w14:paraId="2BA523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10AB01F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587" w:type="pct"/>
            <w:vMerge w:val="continue"/>
            <w:tcBorders>
              <w:tl2br w:val="nil"/>
              <w:tr2bl w:val="nil"/>
            </w:tcBorders>
            <w:shd w:val="clear" w:color="auto" w:fill="auto"/>
            <w:noWrap/>
            <w:vAlign w:val="center"/>
          </w:tcPr>
          <w:p w14:paraId="03ACB529">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5348779A">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玛纳斯湿地生态经济示范点</w:t>
            </w:r>
          </w:p>
        </w:tc>
        <w:tc>
          <w:tcPr>
            <w:tcW w:w="741" w:type="pct"/>
            <w:tcBorders>
              <w:tl2br w:val="nil"/>
              <w:tr2bl w:val="nil"/>
            </w:tcBorders>
            <w:shd w:val="clear" w:color="auto" w:fill="auto"/>
            <w:noWrap/>
            <w:vAlign w:val="center"/>
          </w:tcPr>
          <w:p w14:paraId="64216BA0">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玛纳斯国家湿地公园</w:t>
            </w:r>
          </w:p>
        </w:tc>
        <w:tc>
          <w:tcPr>
            <w:tcW w:w="2289" w:type="pct"/>
            <w:tcBorders>
              <w:tl2br w:val="nil"/>
              <w:tr2bl w:val="nil"/>
            </w:tcBorders>
            <w:shd w:val="clear" w:color="auto" w:fill="auto"/>
            <w:vAlign w:val="center"/>
          </w:tcPr>
          <w:p w14:paraId="07B5CDA6">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在退化湿地恢复典型区域开展退化湿地可持续利用示范</w:t>
            </w:r>
          </w:p>
        </w:tc>
      </w:tr>
      <w:tr w14:paraId="2DA659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285" w:hRule="atLeast"/>
        </w:trPr>
        <w:tc>
          <w:tcPr>
            <w:tcW w:w="177" w:type="pct"/>
            <w:tcBorders>
              <w:tl2br w:val="nil"/>
              <w:tr2bl w:val="nil"/>
            </w:tcBorders>
            <w:shd w:val="clear" w:color="auto" w:fill="auto"/>
            <w:noWrap/>
            <w:vAlign w:val="center"/>
          </w:tcPr>
          <w:p w14:paraId="25C5ADD1">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587" w:type="pct"/>
            <w:vMerge w:val="continue"/>
            <w:tcBorders>
              <w:tl2br w:val="nil"/>
              <w:tr2bl w:val="nil"/>
            </w:tcBorders>
            <w:shd w:val="clear" w:color="auto" w:fill="auto"/>
            <w:noWrap/>
            <w:vAlign w:val="center"/>
          </w:tcPr>
          <w:p w14:paraId="19537FC3">
            <w:pPr>
              <w:keepNext w:val="0"/>
              <w:keepLines w:val="0"/>
              <w:pageBreakBefore w:val="0"/>
              <w:widowControl/>
              <w:kinsoku/>
              <w:wordWrap/>
              <w:overflowPunct/>
              <w:topLinePunct w:val="0"/>
              <w:autoSpaceDE/>
              <w:autoSpaceDN/>
              <w:bidi w:val="0"/>
              <w:spacing w:line="240" w:lineRule="auto"/>
              <w:ind w:firstLine="0" w:firstLineChars="0"/>
              <w:jc w:val="center"/>
              <w:rPr>
                <w:rFonts w:hint="eastAsia" w:ascii="仿宋" w:hAnsi="仿宋" w:eastAsia="仿宋" w:cs="仿宋"/>
                <w:i w:val="0"/>
                <w:iCs w:val="0"/>
                <w:color w:val="000000"/>
                <w:sz w:val="24"/>
                <w:szCs w:val="24"/>
                <w:u w:val="none"/>
              </w:rPr>
            </w:pPr>
          </w:p>
        </w:tc>
        <w:tc>
          <w:tcPr>
            <w:tcW w:w="1204" w:type="pct"/>
            <w:tcBorders>
              <w:tl2br w:val="nil"/>
              <w:tr2bl w:val="nil"/>
            </w:tcBorders>
            <w:shd w:val="clear" w:color="auto" w:fill="auto"/>
            <w:noWrap/>
            <w:vAlign w:val="center"/>
          </w:tcPr>
          <w:p w14:paraId="69BD452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湿地生态旅游可持续利用示范基地建设项目</w:t>
            </w:r>
          </w:p>
        </w:tc>
        <w:tc>
          <w:tcPr>
            <w:tcW w:w="741" w:type="pct"/>
            <w:tcBorders>
              <w:tl2br w:val="nil"/>
              <w:tr2bl w:val="nil"/>
            </w:tcBorders>
            <w:shd w:val="clear" w:color="auto" w:fill="auto"/>
            <w:noWrap/>
            <w:vAlign w:val="center"/>
          </w:tcPr>
          <w:p w14:paraId="0F167002">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呼图壁县大海子国家湿地公园</w:t>
            </w:r>
          </w:p>
        </w:tc>
        <w:tc>
          <w:tcPr>
            <w:tcW w:w="2289" w:type="pct"/>
            <w:tcBorders>
              <w:tl2br w:val="nil"/>
              <w:tr2bl w:val="nil"/>
            </w:tcBorders>
            <w:shd w:val="clear" w:color="auto" w:fill="auto"/>
            <w:vAlign w:val="center"/>
          </w:tcPr>
          <w:p w14:paraId="7ADC96EF">
            <w:pPr>
              <w:keepNext w:val="0"/>
              <w:keepLines w:val="0"/>
              <w:pageBreakBefore w:val="0"/>
              <w:widowControl/>
              <w:suppressLineNumbers w:val="0"/>
              <w:kinsoku/>
              <w:wordWrap/>
              <w:overflowPunct/>
              <w:topLinePunct w:val="0"/>
              <w:autoSpaceDE/>
              <w:autoSpaceDN/>
              <w:bidi w:val="0"/>
              <w:spacing w:line="240" w:lineRule="auto"/>
              <w:ind w:firstLine="0" w:firstLine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rPr>
              <w:t>打造湿地公园中心站，修建一座300平方米的湿地公园中心管护站。修建木栈道1.5公里，同步配套修建观景平台5处，凉亭2座。修建巡护路线16公里</w:t>
            </w:r>
          </w:p>
        </w:tc>
      </w:tr>
    </w:tbl>
    <w:p w14:paraId="2C197BF7">
      <w:pPr>
        <w:tabs>
          <w:tab w:val="left" w:pos="694"/>
        </w:tabs>
        <w:bidi w:val="0"/>
        <w:spacing w:line="240" w:lineRule="auto"/>
        <w:ind w:left="0" w:leftChars="0" w:firstLine="0" w:firstLineChars="0"/>
        <w:jc w:val="left"/>
        <w:rPr>
          <w:rFonts w:hint="default"/>
          <w:lang w:val="en-US" w:eastAsia="zh-CN"/>
        </w:rPr>
      </w:pPr>
    </w:p>
    <w:sectPr>
      <w:pgSz w:w="16838" w:h="11906" w:orient="landscape"/>
      <w:pgMar w:top="1800" w:right="1440" w:bottom="1800" w:left="1440" w:header="992" w:footer="992" w:gutter="0"/>
      <w:pgBorders>
        <w:top w:val="none" w:sz="0" w:space="0"/>
        <w:left w:val="none" w:sz="0" w:space="0"/>
        <w:bottom w:val="none" w:sz="0" w:space="0"/>
        <w:right w:val="none" w:sz="0" w:space="0"/>
      </w:pgBorders>
      <w:pgNumType w:fmt="decimal"/>
      <w:cols w:space="0" w:num="1"/>
      <w:rtlGutter w:val="0"/>
      <w:docGrid w:type="lines" w:linePitch="44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572B8">
    <w:pPr>
      <w:pStyle w:val="12"/>
      <w:tabs>
        <w:tab w:val="center" w:pos="4602"/>
        <w:tab w:val="right" w:pos="8844"/>
      </w:tabs>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16045">
    <w:pPr>
      <w:pStyle w:val="12"/>
      <w:tabs>
        <w:tab w:val="center" w:pos="4602"/>
        <w:tab w:val="right" w:pos="8844"/>
      </w:tabs>
      <w:ind w:firstLine="0" w:firstLineChars="0"/>
    </w:pPr>
    <w:r>
      <mc:AlternateContent>
        <mc:Choice Requires="wps">
          <w:drawing>
            <wp:anchor distT="0" distB="0" distL="114300" distR="114300" simplePos="0" relativeHeight="251660288" behindDoc="0" locked="0" layoutInCell="1" allowOverlap="1">
              <wp:simplePos x="0" y="0"/>
              <wp:positionH relativeFrom="margin">
                <wp:posOffset>2644775</wp:posOffset>
              </wp:positionH>
              <wp:positionV relativeFrom="paragraph">
                <wp:posOffset>0</wp:posOffset>
              </wp:positionV>
              <wp:extent cx="588010" cy="184150"/>
              <wp:effectExtent l="0" t="0" r="0" b="0"/>
              <wp:wrapNone/>
              <wp:docPr id="7" name="4099"/>
              <wp:cNvGraphicFramePr/>
              <a:graphic xmlns:a="http://schemas.openxmlformats.org/drawingml/2006/main">
                <a:graphicData uri="http://schemas.microsoft.com/office/word/2010/wordprocessingShape">
                  <wps:wsp>
                    <wps:cNvSpPr txBox="1"/>
                    <wps:spPr>
                      <a:xfrm>
                        <a:off x="0" y="0"/>
                        <a:ext cx="588010" cy="184150"/>
                      </a:xfrm>
                      <a:prstGeom prst="rect">
                        <a:avLst/>
                      </a:prstGeom>
                      <a:noFill/>
                      <a:ln>
                        <a:noFill/>
                      </a:ln>
                    </wps:spPr>
                    <wps:txbx>
                      <w:txbxContent>
                        <w:p w14:paraId="5822F27C">
                          <w:pPr>
                            <w:pStyle w:val="12"/>
                            <w:ind w:firstLine="44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lang w:val="zh-CN"/>
                            </w:rPr>
                            <w:t>-</w:t>
                          </w:r>
                          <w:r>
                            <w:rPr>
                              <w:sz w:val="22"/>
                              <w:szCs w:val="22"/>
                            </w:rPr>
                            <w:t xml:space="preserve"> 31 -</w:t>
                          </w:r>
                          <w:r>
                            <w:rPr>
                              <w:sz w:val="22"/>
                              <w:szCs w:val="22"/>
                            </w:rPr>
                            <w:fldChar w:fldCharType="end"/>
                          </w:r>
                        </w:p>
                      </w:txbxContent>
                    </wps:txbx>
                    <wps:bodyPr wrap="square" lIns="0" tIns="0" rIns="0" bIns="0" upright="1">
                      <a:noAutofit/>
                    </wps:bodyPr>
                  </wps:wsp>
                </a:graphicData>
              </a:graphic>
            </wp:anchor>
          </w:drawing>
        </mc:Choice>
        <mc:Fallback>
          <w:pict>
            <v:shape id="4099" o:spid="_x0000_s1026" o:spt="202" type="#_x0000_t202" style="position:absolute;left:0pt;margin-left:208.25pt;margin-top:0pt;height:14.5pt;width:46.3pt;mso-position-horizontal-relative:margin;z-index:251660288;mso-width-relative:page;mso-height-relative:page;" filled="f" stroked="f" coordsize="21600,21600" o:gfxdata="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q8MQdYAAAAHAQAADwAAAAAAAAABACAAAAAiAAAAZHJzL2Rvd25yZXYueG1sUEsB&#10;AhQAFAAAAAgAh07iQNjI4+O+AQAAkgMAAA4AAAAAAAAAAQAgAAAAJQEAAGRycy9lMm9Eb2MueG1s&#10;UEsFBgAAAAAGAAYAWQEAAFUFAAAAAA==&#10;">
              <v:fill on="f" focussize="0,0"/>
              <v:stroke on="f"/>
              <v:imagedata o:title=""/>
              <o:lock v:ext="edit" aspectratio="f"/>
              <v:textbox inset="0mm,0mm,0mm,0mm">
                <w:txbxContent>
                  <w:p w14:paraId="5822F27C">
                    <w:pPr>
                      <w:pStyle w:val="12"/>
                      <w:ind w:firstLine="440"/>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lang w:val="zh-CN"/>
                      </w:rPr>
                      <w:t>-</w:t>
                    </w:r>
                    <w:r>
                      <w:rPr>
                        <w:sz w:val="22"/>
                        <w:szCs w:val="22"/>
                      </w:rPr>
                      <w:t xml:space="preserve"> 31 -</w:t>
                    </w:r>
                    <w:r>
                      <w:rPr>
                        <w:sz w:val="22"/>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3D58B">
    <w:pPr>
      <w:pStyle w:val="12"/>
      <w:tabs>
        <w:tab w:val="center" w:pos="4602"/>
        <w:tab w:val="right" w:pos="8844"/>
      </w:tabs>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51180" cy="194945"/>
              <wp:effectExtent l="0" t="0" r="0" b="0"/>
              <wp:wrapNone/>
              <wp:docPr id="6" name="4099"/>
              <wp:cNvGraphicFramePr/>
              <a:graphic xmlns:a="http://schemas.openxmlformats.org/drawingml/2006/main">
                <a:graphicData uri="http://schemas.microsoft.com/office/word/2010/wordprocessingShape">
                  <wps:wsp>
                    <wps:cNvSpPr txBox="1"/>
                    <wps:spPr>
                      <a:xfrm>
                        <a:off x="0" y="0"/>
                        <a:ext cx="551180" cy="194945"/>
                      </a:xfrm>
                      <a:prstGeom prst="rect">
                        <a:avLst/>
                      </a:prstGeom>
                      <a:noFill/>
                      <a:ln>
                        <a:noFill/>
                      </a:ln>
                    </wps:spPr>
                    <wps:txbx>
                      <w:txbxContent>
                        <w:p w14:paraId="478600EB">
                          <w:pPr>
                            <w:pStyle w:val="12"/>
                            <w:ind w:firstLine="44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lang w:val="zh-CN"/>
                            </w:rPr>
                            <w:t>-</w:t>
                          </w:r>
                          <w:r>
                            <w:rPr>
                              <w:sz w:val="20"/>
                              <w:szCs w:val="20"/>
                            </w:rPr>
                            <w:t xml:space="preserve"> 31 -</w:t>
                          </w:r>
                          <w:r>
                            <w:rPr>
                              <w:sz w:val="20"/>
                              <w:szCs w:val="20"/>
                            </w:rPr>
                            <w:fldChar w:fldCharType="end"/>
                          </w:r>
                        </w:p>
                      </w:txbxContent>
                    </wps:txbx>
                    <wps:bodyPr wrap="square" lIns="0" tIns="0" rIns="0" bIns="0" upright="1">
                      <a:noAutofit/>
                    </wps:bodyPr>
                  </wps:wsp>
                </a:graphicData>
              </a:graphic>
            </wp:anchor>
          </w:drawing>
        </mc:Choice>
        <mc:Fallback>
          <w:pict>
            <v:shape id="4099" o:spid="_x0000_s1026" o:spt="202" type="#_x0000_t202" style="position:absolute;left:0pt;margin-top:0pt;height:15.35pt;width:43.4pt;mso-position-horizontal:center;mso-position-horizontal-relative:margin;z-index:251659264;mso-width-relative:page;mso-height-relative:page;" filled="f" stroked="f" coordsize="21600,21600" o:gfxdata="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cO9Bu0wAAAAMBAAAPAAAAAAAAAAEAIAAAACIAAABkcnMvZG93bnJldi54bWxQSwECFAAU&#10;AAAACACHTuJAaQ7rq70BAACSAwAADgAAAAAAAAABACAAAAAiAQAAZHJzL2Uyb0RvYy54bWxQSwUG&#10;AAAAAAYABgBZAQAAUQUAAAAA&#10;">
              <v:fill on="f" focussize="0,0"/>
              <v:stroke on="f"/>
              <v:imagedata o:title=""/>
              <o:lock v:ext="edit" aspectratio="f"/>
              <v:textbox inset="0mm,0mm,0mm,0mm">
                <w:txbxContent>
                  <w:p w14:paraId="478600EB">
                    <w:pPr>
                      <w:pStyle w:val="12"/>
                      <w:ind w:firstLine="440"/>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sz w:val="20"/>
                        <w:szCs w:val="20"/>
                        <w:lang w:val="zh-CN"/>
                      </w:rPr>
                      <w:t>-</w:t>
                    </w:r>
                    <w:r>
                      <w:rPr>
                        <w:sz w:val="20"/>
                        <w:szCs w:val="20"/>
                      </w:rPr>
                      <w:t xml:space="preserve"> 31 -</w:t>
                    </w:r>
                    <w:r>
                      <w:rPr>
                        <w:sz w:val="20"/>
                        <w:szCs w:val="2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E387C">
    <w:pPr>
      <w:pStyle w:val="12"/>
      <w:tabs>
        <w:tab w:val="center" w:pos="4602"/>
        <w:tab w:val="right" w:pos="8844"/>
      </w:tabs>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C3CA4">
    <w:pPr>
      <w:ind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40"/>
  <w:drawingGridVerticalSpacing w:val="22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ZTQ2ZDBhNTBhYzNhZTY3YTk5Njg5Y2E4M2UxYmEifQ=="/>
    <w:docVar w:name="KSO_WPS_MARK_KEY" w:val="82b54f22-33ce-4094-b419-db66c4374d82"/>
  </w:docVars>
  <w:rsids>
    <w:rsidRoot w:val="005B679E"/>
    <w:rsid w:val="00014C05"/>
    <w:rsid w:val="00034B9A"/>
    <w:rsid w:val="0006178D"/>
    <w:rsid w:val="000621C4"/>
    <w:rsid w:val="0007355B"/>
    <w:rsid w:val="000B4A60"/>
    <w:rsid w:val="000C04E4"/>
    <w:rsid w:val="000C725F"/>
    <w:rsid w:val="000F3587"/>
    <w:rsid w:val="00100AEE"/>
    <w:rsid w:val="00147053"/>
    <w:rsid w:val="00182EC3"/>
    <w:rsid w:val="001C5DC9"/>
    <w:rsid w:val="001E04B7"/>
    <w:rsid w:val="00200D55"/>
    <w:rsid w:val="0020312E"/>
    <w:rsid w:val="0022310B"/>
    <w:rsid w:val="0022746B"/>
    <w:rsid w:val="00243157"/>
    <w:rsid w:val="00250C70"/>
    <w:rsid w:val="00275A56"/>
    <w:rsid w:val="0029209B"/>
    <w:rsid w:val="00293251"/>
    <w:rsid w:val="002B2EB7"/>
    <w:rsid w:val="002B5B4E"/>
    <w:rsid w:val="002C28F4"/>
    <w:rsid w:val="002D32EB"/>
    <w:rsid w:val="002F13B9"/>
    <w:rsid w:val="00300390"/>
    <w:rsid w:val="00316326"/>
    <w:rsid w:val="00353E3C"/>
    <w:rsid w:val="00354C3A"/>
    <w:rsid w:val="00373554"/>
    <w:rsid w:val="003A40D5"/>
    <w:rsid w:val="003A5975"/>
    <w:rsid w:val="003B1DC0"/>
    <w:rsid w:val="003C418D"/>
    <w:rsid w:val="003C536D"/>
    <w:rsid w:val="003C5F7A"/>
    <w:rsid w:val="003E6905"/>
    <w:rsid w:val="00406A5B"/>
    <w:rsid w:val="0041520D"/>
    <w:rsid w:val="004B770C"/>
    <w:rsid w:val="004D0032"/>
    <w:rsid w:val="004E195B"/>
    <w:rsid w:val="00507F0E"/>
    <w:rsid w:val="005112C9"/>
    <w:rsid w:val="005313AC"/>
    <w:rsid w:val="00537DAA"/>
    <w:rsid w:val="005513DF"/>
    <w:rsid w:val="00557009"/>
    <w:rsid w:val="00595768"/>
    <w:rsid w:val="00597DD7"/>
    <w:rsid w:val="005B679E"/>
    <w:rsid w:val="005C789A"/>
    <w:rsid w:val="005D795A"/>
    <w:rsid w:val="00625EC9"/>
    <w:rsid w:val="006801CB"/>
    <w:rsid w:val="006A0DBD"/>
    <w:rsid w:val="006D007B"/>
    <w:rsid w:val="006D592F"/>
    <w:rsid w:val="006D6F3B"/>
    <w:rsid w:val="006E3D9D"/>
    <w:rsid w:val="007523B1"/>
    <w:rsid w:val="00794AA0"/>
    <w:rsid w:val="007B4720"/>
    <w:rsid w:val="007C1636"/>
    <w:rsid w:val="007E5B87"/>
    <w:rsid w:val="007E6622"/>
    <w:rsid w:val="00820E03"/>
    <w:rsid w:val="00822BE1"/>
    <w:rsid w:val="00837188"/>
    <w:rsid w:val="00841E1D"/>
    <w:rsid w:val="008850A1"/>
    <w:rsid w:val="00896889"/>
    <w:rsid w:val="008B5614"/>
    <w:rsid w:val="008B7425"/>
    <w:rsid w:val="0090233B"/>
    <w:rsid w:val="009211FC"/>
    <w:rsid w:val="00921D71"/>
    <w:rsid w:val="009375F1"/>
    <w:rsid w:val="00955D33"/>
    <w:rsid w:val="00991B5F"/>
    <w:rsid w:val="009B274B"/>
    <w:rsid w:val="009E13F7"/>
    <w:rsid w:val="00A049DA"/>
    <w:rsid w:val="00A40028"/>
    <w:rsid w:val="00A80A9D"/>
    <w:rsid w:val="00AB2963"/>
    <w:rsid w:val="00AB4986"/>
    <w:rsid w:val="00AB4E87"/>
    <w:rsid w:val="00AE191D"/>
    <w:rsid w:val="00B842EF"/>
    <w:rsid w:val="00BA035B"/>
    <w:rsid w:val="00BB4367"/>
    <w:rsid w:val="00BC146C"/>
    <w:rsid w:val="00BD6D4E"/>
    <w:rsid w:val="00C12BD9"/>
    <w:rsid w:val="00C13021"/>
    <w:rsid w:val="00C16129"/>
    <w:rsid w:val="00C2484F"/>
    <w:rsid w:val="00C35835"/>
    <w:rsid w:val="00C86728"/>
    <w:rsid w:val="00CD40D3"/>
    <w:rsid w:val="00CE7D62"/>
    <w:rsid w:val="00D028E5"/>
    <w:rsid w:val="00D07028"/>
    <w:rsid w:val="00D352E8"/>
    <w:rsid w:val="00D354FB"/>
    <w:rsid w:val="00D42396"/>
    <w:rsid w:val="00D60066"/>
    <w:rsid w:val="00D64F7D"/>
    <w:rsid w:val="00D716CC"/>
    <w:rsid w:val="00E06FC7"/>
    <w:rsid w:val="00E2029E"/>
    <w:rsid w:val="00E51BE8"/>
    <w:rsid w:val="00E8019B"/>
    <w:rsid w:val="00E96989"/>
    <w:rsid w:val="00EC44B1"/>
    <w:rsid w:val="00EC5862"/>
    <w:rsid w:val="00EC76A5"/>
    <w:rsid w:val="00F03D3B"/>
    <w:rsid w:val="00F22AF4"/>
    <w:rsid w:val="00F436A2"/>
    <w:rsid w:val="00F73BBA"/>
    <w:rsid w:val="00F76FBA"/>
    <w:rsid w:val="00F949AB"/>
    <w:rsid w:val="00F95256"/>
    <w:rsid w:val="00FA5B29"/>
    <w:rsid w:val="00FC2580"/>
    <w:rsid w:val="00FD1871"/>
    <w:rsid w:val="01491FB6"/>
    <w:rsid w:val="014E4831"/>
    <w:rsid w:val="015B7F0D"/>
    <w:rsid w:val="016B3EEB"/>
    <w:rsid w:val="01916C5A"/>
    <w:rsid w:val="01D37A83"/>
    <w:rsid w:val="01FB712C"/>
    <w:rsid w:val="02032DA7"/>
    <w:rsid w:val="03131809"/>
    <w:rsid w:val="035C15E5"/>
    <w:rsid w:val="03C207CC"/>
    <w:rsid w:val="03E15E07"/>
    <w:rsid w:val="04301368"/>
    <w:rsid w:val="04370EB4"/>
    <w:rsid w:val="043B1A01"/>
    <w:rsid w:val="04587472"/>
    <w:rsid w:val="049201AF"/>
    <w:rsid w:val="04DE21B6"/>
    <w:rsid w:val="057C19CF"/>
    <w:rsid w:val="059B0611"/>
    <w:rsid w:val="05A14F91"/>
    <w:rsid w:val="05CE7A55"/>
    <w:rsid w:val="0639195A"/>
    <w:rsid w:val="06503D03"/>
    <w:rsid w:val="06744454"/>
    <w:rsid w:val="06952D48"/>
    <w:rsid w:val="069635CD"/>
    <w:rsid w:val="06AA6C2D"/>
    <w:rsid w:val="06B55198"/>
    <w:rsid w:val="06BD0A14"/>
    <w:rsid w:val="06CE201A"/>
    <w:rsid w:val="06D74C69"/>
    <w:rsid w:val="06F3380D"/>
    <w:rsid w:val="07395993"/>
    <w:rsid w:val="07C551A2"/>
    <w:rsid w:val="07F86F81"/>
    <w:rsid w:val="082D0D5E"/>
    <w:rsid w:val="086D6F27"/>
    <w:rsid w:val="08A30F16"/>
    <w:rsid w:val="08DE13B9"/>
    <w:rsid w:val="092E36A1"/>
    <w:rsid w:val="0A3A4127"/>
    <w:rsid w:val="0A7F70B2"/>
    <w:rsid w:val="0B061D68"/>
    <w:rsid w:val="0B8610B6"/>
    <w:rsid w:val="0B873146"/>
    <w:rsid w:val="0BBA1221"/>
    <w:rsid w:val="0BEE39A1"/>
    <w:rsid w:val="0C231BB3"/>
    <w:rsid w:val="0C5E336B"/>
    <w:rsid w:val="0CE44695"/>
    <w:rsid w:val="0D5459C5"/>
    <w:rsid w:val="0DB422CC"/>
    <w:rsid w:val="0DB8795E"/>
    <w:rsid w:val="0E7117D9"/>
    <w:rsid w:val="0EA01B08"/>
    <w:rsid w:val="0EAA469B"/>
    <w:rsid w:val="0F024CF3"/>
    <w:rsid w:val="0F6473BA"/>
    <w:rsid w:val="0F900C4F"/>
    <w:rsid w:val="0FAB061C"/>
    <w:rsid w:val="0FAB7138"/>
    <w:rsid w:val="0FD95B82"/>
    <w:rsid w:val="103E61FE"/>
    <w:rsid w:val="10881228"/>
    <w:rsid w:val="10F33D8C"/>
    <w:rsid w:val="111D777C"/>
    <w:rsid w:val="11406595"/>
    <w:rsid w:val="115E1F7D"/>
    <w:rsid w:val="11A31AF5"/>
    <w:rsid w:val="11B31E55"/>
    <w:rsid w:val="11C548CB"/>
    <w:rsid w:val="129A00D3"/>
    <w:rsid w:val="12F72695"/>
    <w:rsid w:val="131B45D5"/>
    <w:rsid w:val="1339353E"/>
    <w:rsid w:val="13C20EF5"/>
    <w:rsid w:val="14490B4A"/>
    <w:rsid w:val="14771FA2"/>
    <w:rsid w:val="148A5C0A"/>
    <w:rsid w:val="15145780"/>
    <w:rsid w:val="159706F0"/>
    <w:rsid w:val="15AE7844"/>
    <w:rsid w:val="161517B0"/>
    <w:rsid w:val="17354990"/>
    <w:rsid w:val="17B0552F"/>
    <w:rsid w:val="17F26078"/>
    <w:rsid w:val="183F5D56"/>
    <w:rsid w:val="1874146C"/>
    <w:rsid w:val="18780D42"/>
    <w:rsid w:val="18BB7122"/>
    <w:rsid w:val="18D8578B"/>
    <w:rsid w:val="19510D51"/>
    <w:rsid w:val="19F670C2"/>
    <w:rsid w:val="1A003F36"/>
    <w:rsid w:val="1A11576B"/>
    <w:rsid w:val="1A2A182D"/>
    <w:rsid w:val="1A403A05"/>
    <w:rsid w:val="1A9609E5"/>
    <w:rsid w:val="1A9A10E1"/>
    <w:rsid w:val="1AC91C85"/>
    <w:rsid w:val="1B2331C0"/>
    <w:rsid w:val="1B866CAC"/>
    <w:rsid w:val="1C1D316C"/>
    <w:rsid w:val="1C2F2EB7"/>
    <w:rsid w:val="1C44642E"/>
    <w:rsid w:val="1C8A3166"/>
    <w:rsid w:val="1C8A490D"/>
    <w:rsid w:val="1CEC2380"/>
    <w:rsid w:val="1CFC16A6"/>
    <w:rsid w:val="1D127C6C"/>
    <w:rsid w:val="1D7644E2"/>
    <w:rsid w:val="1D8C36CE"/>
    <w:rsid w:val="1DF1354E"/>
    <w:rsid w:val="1E2B22A9"/>
    <w:rsid w:val="1E7A2AF8"/>
    <w:rsid w:val="1ED523C8"/>
    <w:rsid w:val="1F070103"/>
    <w:rsid w:val="1FF808DF"/>
    <w:rsid w:val="206A01FC"/>
    <w:rsid w:val="20765BCD"/>
    <w:rsid w:val="20E91F6B"/>
    <w:rsid w:val="21EC3CF0"/>
    <w:rsid w:val="22EB66BE"/>
    <w:rsid w:val="233E12C9"/>
    <w:rsid w:val="2375388E"/>
    <w:rsid w:val="23A2730E"/>
    <w:rsid w:val="23C54E6A"/>
    <w:rsid w:val="24424F22"/>
    <w:rsid w:val="24A51084"/>
    <w:rsid w:val="24ED177D"/>
    <w:rsid w:val="25210954"/>
    <w:rsid w:val="2534556E"/>
    <w:rsid w:val="25496D80"/>
    <w:rsid w:val="2555454A"/>
    <w:rsid w:val="26002886"/>
    <w:rsid w:val="26357304"/>
    <w:rsid w:val="266C2BDB"/>
    <w:rsid w:val="270229DD"/>
    <w:rsid w:val="27106725"/>
    <w:rsid w:val="27F76F67"/>
    <w:rsid w:val="282B4E63"/>
    <w:rsid w:val="28520495"/>
    <w:rsid w:val="288A7DDB"/>
    <w:rsid w:val="29037B8D"/>
    <w:rsid w:val="29B21477"/>
    <w:rsid w:val="2A1F3380"/>
    <w:rsid w:val="2A313680"/>
    <w:rsid w:val="2AE5754B"/>
    <w:rsid w:val="2B1B11BE"/>
    <w:rsid w:val="2B1F62AD"/>
    <w:rsid w:val="2B3744AA"/>
    <w:rsid w:val="2B58553E"/>
    <w:rsid w:val="2B8D0D7F"/>
    <w:rsid w:val="2C002162"/>
    <w:rsid w:val="2C1625AB"/>
    <w:rsid w:val="2C71516A"/>
    <w:rsid w:val="2CA732B3"/>
    <w:rsid w:val="2CBB47C9"/>
    <w:rsid w:val="2D6B7AAF"/>
    <w:rsid w:val="2DB70B94"/>
    <w:rsid w:val="2E1233FB"/>
    <w:rsid w:val="2E403BDB"/>
    <w:rsid w:val="2EF35FAE"/>
    <w:rsid w:val="2F216CD6"/>
    <w:rsid w:val="2F9A7576"/>
    <w:rsid w:val="2FE758B8"/>
    <w:rsid w:val="30307FEA"/>
    <w:rsid w:val="303E0AB7"/>
    <w:rsid w:val="30FD4EC2"/>
    <w:rsid w:val="30FF5086"/>
    <w:rsid w:val="3105267B"/>
    <w:rsid w:val="31810B0B"/>
    <w:rsid w:val="31F80577"/>
    <w:rsid w:val="31FB7654"/>
    <w:rsid w:val="323D2D1E"/>
    <w:rsid w:val="325C0D35"/>
    <w:rsid w:val="32BA404E"/>
    <w:rsid w:val="32E11CF6"/>
    <w:rsid w:val="32EC0515"/>
    <w:rsid w:val="330763E7"/>
    <w:rsid w:val="331D35FA"/>
    <w:rsid w:val="336631F3"/>
    <w:rsid w:val="33F22CD8"/>
    <w:rsid w:val="34482CD6"/>
    <w:rsid w:val="347E3499"/>
    <w:rsid w:val="34985537"/>
    <w:rsid w:val="34A53C2B"/>
    <w:rsid w:val="35215F46"/>
    <w:rsid w:val="35611EC4"/>
    <w:rsid w:val="357221C6"/>
    <w:rsid w:val="357833F8"/>
    <w:rsid w:val="35964398"/>
    <w:rsid w:val="366003CD"/>
    <w:rsid w:val="36885448"/>
    <w:rsid w:val="36ED13A3"/>
    <w:rsid w:val="37094CDE"/>
    <w:rsid w:val="3757357E"/>
    <w:rsid w:val="378620B5"/>
    <w:rsid w:val="37E522D3"/>
    <w:rsid w:val="38D14341"/>
    <w:rsid w:val="39933D48"/>
    <w:rsid w:val="39B6586F"/>
    <w:rsid w:val="3A1678A6"/>
    <w:rsid w:val="3A294E15"/>
    <w:rsid w:val="3A961727"/>
    <w:rsid w:val="3AF62E8C"/>
    <w:rsid w:val="3B49543A"/>
    <w:rsid w:val="3B9D0D85"/>
    <w:rsid w:val="3C826855"/>
    <w:rsid w:val="3CB52527"/>
    <w:rsid w:val="3D18457A"/>
    <w:rsid w:val="3D2B303A"/>
    <w:rsid w:val="3D2D0F9B"/>
    <w:rsid w:val="3DDC5795"/>
    <w:rsid w:val="3DDD398C"/>
    <w:rsid w:val="3E962952"/>
    <w:rsid w:val="3ED00102"/>
    <w:rsid w:val="3EDA520F"/>
    <w:rsid w:val="3F1F2D15"/>
    <w:rsid w:val="3FC10E8F"/>
    <w:rsid w:val="3FC9700E"/>
    <w:rsid w:val="3FE61BE0"/>
    <w:rsid w:val="401D7EDC"/>
    <w:rsid w:val="407E5CAF"/>
    <w:rsid w:val="409F1591"/>
    <w:rsid w:val="40A2587D"/>
    <w:rsid w:val="40D65444"/>
    <w:rsid w:val="411936F5"/>
    <w:rsid w:val="4138036C"/>
    <w:rsid w:val="416C3EA6"/>
    <w:rsid w:val="41942915"/>
    <w:rsid w:val="41B628C6"/>
    <w:rsid w:val="41C276F1"/>
    <w:rsid w:val="423F533B"/>
    <w:rsid w:val="425B45FC"/>
    <w:rsid w:val="425D1C65"/>
    <w:rsid w:val="42B905F6"/>
    <w:rsid w:val="42CC6763"/>
    <w:rsid w:val="42D624E2"/>
    <w:rsid w:val="42FB0757"/>
    <w:rsid w:val="43A64F34"/>
    <w:rsid w:val="43C90A35"/>
    <w:rsid w:val="44582E6B"/>
    <w:rsid w:val="44641806"/>
    <w:rsid w:val="44F5658A"/>
    <w:rsid w:val="450A62A7"/>
    <w:rsid w:val="45CD7101"/>
    <w:rsid w:val="46494635"/>
    <w:rsid w:val="466E1B16"/>
    <w:rsid w:val="46816695"/>
    <w:rsid w:val="46E25A45"/>
    <w:rsid w:val="479B1265"/>
    <w:rsid w:val="47A21F96"/>
    <w:rsid w:val="47BE31A6"/>
    <w:rsid w:val="48226922"/>
    <w:rsid w:val="49673D06"/>
    <w:rsid w:val="498E6BA8"/>
    <w:rsid w:val="49942182"/>
    <w:rsid w:val="499E503D"/>
    <w:rsid w:val="49B10775"/>
    <w:rsid w:val="49BB0D85"/>
    <w:rsid w:val="4A0330F2"/>
    <w:rsid w:val="4A140F99"/>
    <w:rsid w:val="4A1626C6"/>
    <w:rsid w:val="4A921245"/>
    <w:rsid w:val="4B083B33"/>
    <w:rsid w:val="4B2C7CC0"/>
    <w:rsid w:val="4B520450"/>
    <w:rsid w:val="4B6E3EB8"/>
    <w:rsid w:val="4B871B00"/>
    <w:rsid w:val="4BA601D9"/>
    <w:rsid w:val="4CE03BBE"/>
    <w:rsid w:val="4D5F075E"/>
    <w:rsid w:val="4E1F47F4"/>
    <w:rsid w:val="4E5E123E"/>
    <w:rsid w:val="4F22401A"/>
    <w:rsid w:val="4F8371CF"/>
    <w:rsid w:val="50016200"/>
    <w:rsid w:val="50B55CF4"/>
    <w:rsid w:val="51131CFA"/>
    <w:rsid w:val="51A60F32"/>
    <w:rsid w:val="51B26705"/>
    <w:rsid w:val="52562275"/>
    <w:rsid w:val="52AF02BB"/>
    <w:rsid w:val="53086EA6"/>
    <w:rsid w:val="530C3017"/>
    <w:rsid w:val="53254E0D"/>
    <w:rsid w:val="53561242"/>
    <w:rsid w:val="53D93BFB"/>
    <w:rsid w:val="53F82422"/>
    <w:rsid w:val="54A379AB"/>
    <w:rsid w:val="54BA7C21"/>
    <w:rsid w:val="54BD2297"/>
    <w:rsid w:val="54E30F05"/>
    <w:rsid w:val="550C4890"/>
    <w:rsid w:val="5519070D"/>
    <w:rsid w:val="551F77E8"/>
    <w:rsid w:val="5591253F"/>
    <w:rsid w:val="55E77D6B"/>
    <w:rsid w:val="55F76859"/>
    <w:rsid w:val="566125F8"/>
    <w:rsid w:val="56B14ACC"/>
    <w:rsid w:val="56C8194B"/>
    <w:rsid w:val="573F2B0A"/>
    <w:rsid w:val="578F4217"/>
    <w:rsid w:val="57C55E8A"/>
    <w:rsid w:val="57D769C1"/>
    <w:rsid w:val="582114D6"/>
    <w:rsid w:val="5846521D"/>
    <w:rsid w:val="58830EF3"/>
    <w:rsid w:val="58AA4E28"/>
    <w:rsid w:val="59B67640"/>
    <w:rsid w:val="59DB7BE7"/>
    <w:rsid w:val="5A354E0A"/>
    <w:rsid w:val="5A710050"/>
    <w:rsid w:val="5B44071E"/>
    <w:rsid w:val="5B565675"/>
    <w:rsid w:val="5B5F7687"/>
    <w:rsid w:val="5C7B120D"/>
    <w:rsid w:val="5C7E0525"/>
    <w:rsid w:val="5CAC7619"/>
    <w:rsid w:val="5CAD4798"/>
    <w:rsid w:val="5CB56452"/>
    <w:rsid w:val="5CCB0B1D"/>
    <w:rsid w:val="5CD03D82"/>
    <w:rsid w:val="5CF60894"/>
    <w:rsid w:val="5D7F1D13"/>
    <w:rsid w:val="5D8E2F86"/>
    <w:rsid w:val="5E8E347A"/>
    <w:rsid w:val="5EA7100D"/>
    <w:rsid w:val="5EBD3D5F"/>
    <w:rsid w:val="5EC706DA"/>
    <w:rsid w:val="5F596F01"/>
    <w:rsid w:val="5F780D53"/>
    <w:rsid w:val="5F95052E"/>
    <w:rsid w:val="5F9A5E4E"/>
    <w:rsid w:val="5FBA2CB5"/>
    <w:rsid w:val="5FBD3F1E"/>
    <w:rsid w:val="5FBE37AC"/>
    <w:rsid w:val="604D4C6F"/>
    <w:rsid w:val="60600B6F"/>
    <w:rsid w:val="60A92B2C"/>
    <w:rsid w:val="610537C5"/>
    <w:rsid w:val="61053F4F"/>
    <w:rsid w:val="617A7BFF"/>
    <w:rsid w:val="618741B1"/>
    <w:rsid w:val="61F75992"/>
    <w:rsid w:val="622E1107"/>
    <w:rsid w:val="624749B5"/>
    <w:rsid w:val="62812AF9"/>
    <w:rsid w:val="6288529C"/>
    <w:rsid w:val="62AA7AC3"/>
    <w:rsid w:val="64262677"/>
    <w:rsid w:val="64911F38"/>
    <w:rsid w:val="65A75204"/>
    <w:rsid w:val="65F8601D"/>
    <w:rsid w:val="66BA78E1"/>
    <w:rsid w:val="66F072E0"/>
    <w:rsid w:val="670C73AA"/>
    <w:rsid w:val="671870D1"/>
    <w:rsid w:val="6787757C"/>
    <w:rsid w:val="681D1056"/>
    <w:rsid w:val="681E14C9"/>
    <w:rsid w:val="68235B93"/>
    <w:rsid w:val="6831647E"/>
    <w:rsid w:val="68364C15"/>
    <w:rsid w:val="68B27CED"/>
    <w:rsid w:val="68E41BF5"/>
    <w:rsid w:val="68EF720B"/>
    <w:rsid w:val="69087F65"/>
    <w:rsid w:val="692405B6"/>
    <w:rsid w:val="696F5C56"/>
    <w:rsid w:val="696F6E8C"/>
    <w:rsid w:val="69AC2A06"/>
    <w:rsid w:val="69AE3125"/>
    <w:rsid w:val="6A2A1882"/>
    <w:rsid w:val="6A41167C"/>
    <w:rsid w:val="6B2C3C40"/>
    <w:rsid w:val="6B6E0A8B"/>
    <w:rsid w:val="6BD15146"/>
    <w:rsid w:val="6C1B511A"/>
    <w:rsid w:val="6C1F49D2"/>
    <w:rsid w:val="6C2A06A1"/>
    <w:rsid w:val="6C4C04D0"/>
    <w:rsid w:val="6CC20A1C"/>
    <w:rsid w:val="6CDE78D8"/>
    <w:rsid w:val="6D655508"/>
    <w:rsid w:val="6DAF0D17"/>
    <w:rsid w:val="6E110DB5"/>
    <w:rsid w:val="6E7A4B52"/>
    <w:rsid w:val="6E8B52E0"/>
    <w:rsid w:val="6E9028F6"/>
    <w:rsid w:val="6ECD74C1"/>
    <w:rsid w:val="6EE41EA3"/>
    <w:rsid w:val="6EE63CA2"/>
    <w:rsid w:val="6F34704B"/>
    <w:rsid w:val="6F4478D5"/>
    <w:rsid w:val="6FE20D50"/>
    <w:rsid w:val="70452BBF"/>
    <w:rsid w:val="707335C7"/>
    <w:rsid w:val="70A321CC"/>
    <w:rsid w:val="70A94143"/>
    <w:rsid w:val="70BD6DA9"/>
    <w:rsid w:val="70F73101"/>
    <w:rsid w:val="71231DCC"/>
    <w:rsid w:val="71260211"/>
    <w:rsid w:val="717A5198"/>
    <w:rsid w:val="718524BB"/>
    <w:rsid w:val="71F66795"/>
    <w:rsid w:val="72113D4E"/>
    <w:rsid w:val="724759C2"/>
    <w:rsid w:val="7287285A"/>
    <w:rsid w:val="72A47606"/>
    <w:rsid w:val="73217FC1"/>
    <w:rsid w:val="7334624A"/>
    <w:rsid w:val="734874FC"/>
    <w:rsid w:val="734C0695"/>
    <w:rsid w:val="73612AB3"/>
    <w:rsid w:val="737B6CEF"/>
    <w:rsid w:val="73C53042"/>
    <w:rsid w:val="73CF43DF"/>
    <w:rsid w:val="74375DA0"/>
    <w:rsid w:val="74B3733F"/>
    <w:rsid w:val="74D70776"/>
    <w:rsid w:val="74F8799D"/>
    <w:rsid w:val="757545F4"/>
    <w:rsid w:val="75A33311"/>
    <w:rsid w:val="75C95194"/>
    <w:rsid w:val="76200A04"/>
    <w:rsid w:val="76A24662"/>
    <w:rsid w:val="774D0E49"/>
    <w:rsid w:val="776937ED"/>
    <w:rsid w:val="77814417"/>
    <w:rsid w:val="78912DCB"/>
    <w:rsid w:val="78FE3495"/>
    <w:rsid w:val="796B6C88"/>
    <w:rsid w:val="799150F8"/>
    <w:rsid w:val="79CC7E44"/>
    <w:rsid w:val="7A8C3A10"/>
    <w:rsid w:val="7A91387B"/>
    <w:rsid w:val="7AA5597C"/>
    <w:rsid w:val="7B0A57DF"/>
    <w:rsid w:val="7B272287"/>
    <w:rsid w:val="7B390FC8"/>
    <w:rsid w:val="7BA52478"/>
    <w:rsid w:val="7BB34051"/>
    <w:rsid w:val="7BED0BE6"/>
    <w:rsid w:val="7C7D509A"/>
    <w:rsid w:val="7CAC0DE4"/>
    <w:rsid w:val="7CB207F7"/>
    <w:rsid w:val="7D2A1BE2"/>
    <w:rsid w:val="7D5B58C9"/>
    <w:rsid w:val="7E555C3A"/>
    <w:rsid w:val="7E5B7A0D"/>
    <w:rsid w:val="7E775EA5"/>
    <w:rsid w:val="7EB919F5"/>
    <w:rsid w:val="7ECB7F0A"/>
    <w:rsid w:val="7F5E259D"/>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200" w:firstLineChars="200"/>
    </w:pPr>
    <w:rPr>
      <w:rFonts w:ascii="Times New Roman" w:hAnsi="Times New Roman" w:eastAsia="仿宋" w:cs="Times New Roman"/>
      <w:sz w:val="30"/>
      <w:szCs w:val="32"/>
      <w:lang w:val="en-US" w:eastAsia="zh-CN" w:bidi="ar-SA"/>
    </w:rPr>
  </w:style>
  <w:style w:type="paragraph" w:styleId="2">
    <w:name w:val="heading 1"/>
    <w:basedOn w:val="1"/>
    <w:next w:val="1"/>
    <w:link w:val="25"/>
    <w:qFormat/>
    <w:uiPriority w:val="99"/>
    <w:pPr>
      <w:keepNext/>
      <w:keepLines/>
      <w:spacing w:before="50" w:beforeLines="50" w:after="50" w:afterLines="50" w:line="360" w:lineRule="auto"/>
      <w:ind w:firstLine="0" w:firstLineChars="0"/>
      <w:jc w:val="center"/>
      <w:outlineLvl w:val="0"/>
    </w:pPr>
    <w:rPr>
      <w:rFonts w:eastAsia="黑体"/>
      <w:b/>
      <w:bCs/>
      <w:kern w:val="44"/>
      <w:sz w:val="36"/>
      <w:szCs w:val="44"/>
    </w:rPr>
  </w:style>
  <w:style w:type="paragraph" w:styleId="3">
    <w:name w:val="heading 2"/>
    <w:basedOn w:val="1"/>
    <w:next w:val="1"/>
    <w:link w:val="26"/>
    <w:qFormat/>
    <w:uiPriority w:val="99"/>
    <w:pPr>
      <w:keepNext/>
      <w:keepLines/>
      <w:spacing w:before="120" w:after="120" w:line="360" w:lineRule="auto"/>
      <w:ind w:firstLine="0" w:firstLineChars="0"/>
      <w:jc w:val="center"/>
      <w:outlineLvl w:val="1"/>
    </w:pPr>
    <w:rPr>
      <w:rFonts w:ascii="Times New Roman" w:hAnsi="Times New Roman" w:eastAsia="黑体" w:cs="宋体"/>
      <w:b/>
      <w:bCs/>
      <w:sz w:val="32"/>
    </w:rPr>
  </w:style>
  <w:style w:type="paragraph" w:styleId="4">
    <w:name w:val="heading 3"/>
    <w:basedOn w:val="1"/>
    <w:next w:val="1"/>
    <w:link w:val="27"/>
    <w:autoRedefine/>
    <w:qFormat/>
    <w:uiPriority w:val="99"/>
    <w:pPr>
      <w:keepNext/>
      <w:keepLines/>
      <w:spacing w:before="60" w:after="60" w:line="360" w:lineRule="auto"/>
      <w:outlineLvl w:val="2"/>
    </w:pPr>
    <w:rPr>
      <w:rFonts w:eastAsia="黑体"/>
      <w:b/>
      <w:bCs/>
      <w:szCs w:val="32"/>
    </w:rPr>
  </w:style>
  <w:style w:type="paragraph" w:styleId="5">
    <w:name w:val="heading 4"/>
    <w:basedOn w:val="1"/>
    <w:next w:val="1"/>
    <w:link w:val="28"/>
    <w:autoRedefine/>
    <w:qFormat/>
    <w:uiPriority w:val="99"/>
    <w:pPr>
      <w:keepNext/>
      <w:keepLines/>
      <w:spacing w:before="280" w:after="290" w:line="376" w:lineRule="atLeast"/>
      <w:outlineLvl w:val="3"/>
    </w:pPr>
    <w:rPr>
      <w:rFonts w:ascii="Times New Roman" w:hAnsi="Times New Roman" w:cs="宋体"/>
      <w:b/>
      <w:bCs/>
      <w:sz w:val="32"/>
    </w:rPr>
  </w:style>
  <w:style w:type="paragraph" w:styleId="6">
    <w:name w:val="heading 5"/>
    <w:basedOn w:val="1"/>
    <w:next w:val="1"/>
    <w:link w:val="55"/>
    <w:autoRedefine/>
    <w:semiHidden/>
    <w:unhideWhenUsed/>
    <w:qFormat/>
    <w:locked/>
    <w:uiPriority w:val="9"/>
    <w:pPr>
      <w:keepNext/>
      <w:keepLines/>
      <w:spacing w:before="280" w:beforeLines="0" w:beforeAutospacing="0" w:after="290" w:afterLines="0" w:afterAutospacing="0" w:line="372" w:lineRule="auto"/>
      <w:outlineLvl w:val="4"/>
    </w:pPr>
    <w:rPr>
      <w:b/>
      <w:sz w:val="28"/>
    </w:rPr>
  </w:style>
  <w:style w:type="character" w:default="1" w:styleId="19">
    <w:name w:val="Default Paragraph Font"/>
    <w:autoRedefine/>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semiHidden/>
    <w:unhideWhenUsed/>
    <w:qFormat/>
    <w:locked/>
    <w:uiPriority w:val="99"/>
    <w:pPr>
      <w:jc w:val="left"/>
    </w:pPr>
  </w:style>
  <w:style w:type="paragraph" w:styleId="8">
    <w:name w:val="Body Text"/>
    <w:basedOn w:val="1"/>
    <w:link w:val="56"/>
    <w:autoRedefine/>
    <w:qFormat/>
    <w:locked/>
    <w:uiPriority w:val="1"/>
    <w:pPr>
      <w:ind w:left="120"/>
    </w:pPr>
    <w:rPr>
      <w:rFonts w:ascii="仿宋" w:hAnsi="仿宋" w:eastAsia="仿宋" w:cs="仿宋"/>
      <w:sz w:val="30"/>
      <w:szCs w:val="30"/>
      <w:lang w:val="zh-CN" w:bidi="zh-CN"/>
    </w:rPr>
  </w:style>
  <w:style w:type="paragraph" w:styleId="9">
    <w:name w:val="toc 3"/>
    <w:basedOn w:val="1"/>
    <w:next w:val="1"/>
    <w:link w:val="57"/>
    <w:autoRedefine/>
    <w:semiHidden/>
    <w:unhideWhenUsed/>
    <w:qFormat/>
    <w:locked/>
    <w:uiPriority w:val="39"/>
    <w:pPr>
      <w:ind w:left="0" w:leftChars="0" w:firstLine="1320" w:firstLineChars="300"/>
    </w:pPr>
    <w:rPr>
      <w:rFonts w:ascii="Times New Roman" w:hAnsi="Times New Roman"/>
      <w:sz w:val="30"/>
    </w:rPr>
  </w:style>
  <w:style w:type="paragraph" w:styleId="10">
    <w:name w:val="Date"/>
    <w:basedOn w:val="1"/>
    <w:next w:val="1"/>
    <w:link w:val="29"/>
    <w:qFormat/>
    <w:uiPriority w:val="99"/>
    <w:pPr>
      <w:ind w:left="100" w:leftChars="2500"/>
    </w:pPr>
  </w:style>
  <w:style w:type="paragraph" w:styleId="11">
    <w:name w:val="Balloon Text"/>
    <w:basedOn w:val="1"/>
    <w:link w:val="30"/>
    <w:autoRedefine/>
    <w:qFormat/>
    <w:uiPriority w:val="99"/>
    <w:pPr>
      <w:spacing w:line="240" w:lineRule="auto"/>
    </w:pPr>
    <w:rPr>
      <w:sz w:val="18"/>
      <w:szCs w:val="18"/>
    </w:rPr>
  </w:style>
  <w:style w:type="paragraph" w:styleId="12">
    <w:name w:val="footer"/>
    <w:basedOn w:val="1"/>
    <w:link w:val="31"/>
    <w:autoRedefine/>
    <w:qFormat/>
    <w:uiPriority w:val="99"/>
    <w:pPr>
      <w:tabs>
        <w:tab w:val="center" w:pos="4153"/>
        <w:tab w:val="right" w:pos="8306"/>
      </w:tabs>
      <w:spacing w:line="240" w:lineRule="atLeast"/>
    </w:pPr>
    <w:rPr>
      <w:sz w:val="18"/>
      <w:szCs w:val="18"/>
    </w:rPr>
  </w:style>
  <w:style w:type="paragraph" w:styleId="13">
    <w:name w:val="header"/>
    <w:basedOn w:val="1"/>
    <w:link w:val="32"/>
    <w:autoRedefine/>
    <w:qFormat/>
    <w:uiPriority w:val="99"/>
    <w:pPr>
      <w:pBdr>
        <w:bottom w:val="single" w:color="auto" w:sz="6" w:space="1"/>
      </w:pBdr>
      <w:tabs>
        <w:tab w:val="center" w:pos="4153"/>
        <w:tab w:val="right" w:pos="8306"/>
      </w:tabs>
      <w:spacing w:line="240" w:lineRule="atLeast"/>
      <w:jc w:val="center"/>
    </w:pPr>
    <w:rPr>
      <w:sz w:val="18"/>
      <w:szCs w:val="18"/>
    </w:rPr>
  </w:style>
  <w:style w:type="paragraph" w:styleId="14">
    <w:name w:val="toc 1"/>
    <w:basedOn w:val="1"/>
    <w:next w:val="1"/>
    <w:link w:val="62"/>
    <w:autoRedefine/>
    <w:qFormat/>
    <w:uiPriority w:val="99"/>
    <w:pPr>
      <w:tabs>
        <w:tab w:val="right" w:leader="dot" w:pos="8296"/>
      </w:tabs>
      <w:ind w:firstLine="0" w:firstLineChars="0"/>
      <w:jc w:val="both"/>
    </w:pPr>
    <w:rPr>
      <w:rFonts w:ascii="Times New Roman" w:hAnsi="Times New Roman" w:eastAsia="黑体"/>
      <w:b/>
    </w:rPr>
  </w:style>
  <w:style w:type="paragraph" w:styleId="15">
    <w:name w:val="toc 2"/>
    <w:basedOn w:val="1"/>
    <w:next w:val="1"/>
    <w:qFormat/>
    <w:uiPriority w:val="99"/>
    <w:pPr>
      <w:tabs>
        <w:tab w:val="left" w:pos="1701"/>
        <w:tab w:val="right" w:leader="dot" w:pos="8302"/>
      </w:tabs>
      <w:spacing w:line="360" w:lineRule="auto"/>
      <w:ind w:left="0" w:leftChars="0" w:firstLine="880" w:firstLineChars="200"/>
      <w:jc w:val="both"/>
    </w:pPr>
    <w:rPr>
      <w:rFonts w:ascii="Times New Roman" w:hAnsi="Times New Roman"/>
      <w:sz w:val="30"/>
    </w:rPr>
  </w:style>
  <w:style w:type="paragraph" w:styleId="16">
    <w:name w:val="Normal (Web)"/>
    <w:basedOn w:val="1"/>
    <w:qFormat/>
    <w:uiPriority w:val="99"/>
    <w:pPr>
      <w:widowControl/>
      <w:adjustRightInd/>
      <w:snapToGrid/>
      <w:spacing w:line="240" w:lineRule="auto"/>
      <w:ind w:firstLine="0" w:firstLineChars="0"/>
    </w:pPr>
    <w:rPr>
      <w:rFonts w:ascii="宋体" w:hAnsi="宋体" w:cs="宋体"/>
      <w:sz w:val="24"/>
      <w:szCs w:val="24"/>
    </w:rPr>
  </w:style>
  <w:style w:type="table" w:styleId="18">
    <w:name w:val="Table Grid"/>
    <w:basedOn w:val="17"/>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autoRedefine/>
    <w:qFormat/>
    <w:uiPriority w:val="99"/>
    <w:rPr>
      <w:rFonts w:cs="Times New Roman"/>
      <w:b/>
      <w:bCs/>
    </w:rPr>
  </w:style>
  <w:style w:type="character" w:styleId="21">
    <w:name w:val="Emphasis"/>
    <w:basedOn w:val="19"/>
    <w:autoRedefine/>
    <w:qFormat/>
    <w:uiPriority w:val="99"/>
    <w:rPr>
      <w:rFonts w:cs="Times New Roman"/>
      <w:color w:val="CC0000"/>
    </w:rPr>
  </w:style>
  <w:style w:type="character" w:styleId="22">
    <w:name w:val="Hyperlink"/>
    <w:basedOn w:val="19"/>
    <w:autoRedefine/>
    <w:qFormat/>
    <w:uiPriority w:val="99"/>
    <w:rPr>
      <w:rFonts w:cs="Times New Roman"/>
      <w:color w:val="0000FF"/>
      <w:u w:val="single"/>
    </w:rPr>
  </w:style>
  <w:style w:type="paragraph" w:customStyle="1" w:styleId="23">
    <w:name w:val="样式1"/>
    <w:basedOn w:val="1"/>
    <w:next w:val="24"/>
    <w:autoRedefine/>
    <w:qFormat/>
    <w:uiPriority w:val="99"/>
  </w:style>
  <w:style w:type="paragraph" w:customStyle="1" w:styleId="24">
    <w:name w:val="样式2"/>
    <w:basedOn w:val="4"/>
    <w:autoRedefine/>
    <w:qFormat/>
    <w:uiPriority w:val="99"/>
    <w:pPr>
      <w:spacing w:before="120" w:after="120" w:line="180" w:lineRule="exact"/>
    </w:pPr>
  </w:style>
  <w:style w:type="character" w:customStyle="1" w:styleId="25">
    <w:name w:val="标题 1 Char"/>
    <w:basedOn w:val="19"/>
    <w:link w:val="2"/>
    <w:autoRedefine/>
    <w:qFormat/>
    <w:locked/>
    <w:uiPriority w:val="99"/>
    <w:rPr>
      <w:rFonts w:ascii="Times New Roman" w:hAnsi="Times New Roman" w:eastAsia="黑体" w:cs="Times New Roman"/>
      <w:b/>
      <w:bCs/>
      <w:kern w:val="44"/>
      <w:sz w:val="36"/>
      <w:szCs w:val="44"/>
    </w:rPr>
  </w:style>
  <w:style w:type="character" w:customStyle="1" w:styleId="26">
    <w:name w:val="标题 2 Char"/>
    <w:basedOn w:val="19"/>
    <w:link w:val="3"/>
    <w:autoRedefine/>
    <w:qFormat/>
    <w:locked/>
    <w:uiPriority w:val="99"/>
    <w:rPr>
      <w:rFonts w:ascii="Times New Roman" w:hAnsi="Times New Roman" w:eastAsia="黑体" w:cs="宋体"/>
      <w:b/>
      <w:bCs/>
      <w:kern w:val="0"/>
      <w:sz w:val="32"/>
      <w:szCs w:val="32"/>
    </w:rPr>
  </w:style>
  <w:style w:type="character" w:customStyle="1" w:styleId="27">
    <w:name w:val="标题 3 Char"/>
    <w:basedOn w:val="19"/>
    <w:link w:val="4"/>
    <w:autoRedefine/>
    <w:qFormat/>
    <w:locked/>
    <w:uiPriority w:val="99"/>
    <w:rPr>
      <w:rFonts w:ascii="Times New Roman" w:hAnsi="Times New Roman" w:eastAsia="黑体" w:cs="Times New Roman"/>
      <w:b/>
      <w:bCs/>
      <w:kern w:val="0"/>
      <w:sz w:val="32"/>
      <w:szCs w:val="32"/>
    </w:rPr>
  </w:style>
  <w:style w:type="character" w:customStyle="1" w:styleId="28">
    <w:name w:val="标题 4 Char"/>
    <w:basedOn w:val="19"/>
    <w:link w:val="5"/>
    <w:autoRedefine/>
    <w:qFormat/>
    <w:locked/>
    <w:uiPriority w:val="99"/>
    <w:rPr>
      <w:rFonts w:ascii="Times New Roman" w:hAnsi="Times New Roman" w:eastAsia="仿宋_GB2312" w:cs="宋体"/>
      <w:b/>
      <w:bCs/>
      <w:kern w:val="0"/>
      <w:sz w:val="32"/>
      <w:szCs w:val="28"/>
    </w:rPr>
  </w:style>
  <w:style w:type="character" w:customStyle="1" w:styleId="29">
    <w:name w:val="日期 Char"/>
    <w:basedOn w:val="19"/>
    <w:link w:val="10"/>
    <w:autoRedefine/>
    <w:qFormat/>
    <w:locked/>
    <w:uiPriority w:val="99"/>
    <w:rPr>
      <w:rFonts w:ascii="Times New Roman" w:hAnsi="Times New Roman" w:eastAsia="宋体" w:cs="Times New Roman"/>
      <w:kern w:val="0"/>
      <w:sz w:val="28"/>
      <w:szCs w:val="28"/>
    </w:rPr>
  </w:style>
  <w:style w:type="character" w:customStyle="1" w:styleId="30">
    <w:name w:val="批注框文本 Char"/>
    <w:basedOn w:val="19"/>
    <w:link w:val="11"/>
    <w:autoRedefine/>
    <w:qFormat/>
    <w:locked/>
    <w:uiPriority w:val="99"/>
    <w:rPr>
      <w:rFonts w:ascii="Times New Roman" w:hAnsi="Times New Roman" w:eastAsia="宋体" w:cs="Times New Roman"/>
      <w:kern w:val="0"/>
      <w:sz w:val="18"/>
      <w:szCs w:val="18"/>
    </w:rPr>
  </w:style>
  <w:style w:type="character" w:customStyle="1" w:styleId="31">
    <w:name w:val="页脚 Char"/>
    <w:basedOn w:val="19"/>
    <w:link w:val="12"/>
    <w:autoRedefine/>
    <w:qFormat/>
    <w:locked/>
    <w:uiPriority w:val="99"/>
    <w:rPr>
      <w:rFonts w:ascii="Times New Roman" w:hAnsi="Times New Roman" w:eastAsia="宋体" w:cs="Times New Roman"/>
      <w:kern w:val="0"/>
      <w:sz w:val="18"/>
      <w:szCs w:val="18"/>
    </w:rPr>
  </w:style>
  <w:style w:type="character" w:customStyle="1" w:styleId="32">
    <w:name w:val="页眉 Char"/>
    <w:basedOn w:val="19"/>
    <w:link w:val="13"/>
    <w:autoRedefine/>
    <w:qFormat/>
    <w:locked/>
    <w:uiPriority w:val="99"/>
    <w:rPr>
      <w:rFonts w:ascii="Times New Roman" w:hAnsi="Times New Roman" w:eastAsia="宋体" w:cs="Times New Roman"/>
      <w:kern w:val="0"/>
      <w:sz w:val="18"/>
      <w:szCs w:val="18"/>
    </w:rPr>
  </w:style>
  <w:style w:type="paragraph" w:customStyle="1" w:styleId="33">
    <w:name w:val="p0"/>
    <w:basedOn w:val="1"/>
    <w:autoRedefine/>
    <w:qFormat/>
    <w:uiPriority w:val="99"/>
    <w:pPr>
      <w:widowControl/>
      <w:adjustRightInd/>
      <w:snapToGrid/>
      <w:spacing w:line="240" w:lineRule="auto"/>
      <w:ind w:firstLine="0" w:firstLineChars="0"/>
      <w:jc w:val="both"/>
    </w:pPr>
    <w:rPr>
      <w:sz w:val="21"/>
      <w:szCs w:val="21"/>
    </w:rPr>
  </w:style>
  <w:style w:type="paragraph" w:customStyle="1" w:styleId="34">
    <w:name w:val="列出段落1"/>
    <w:basedOn w:val="1"/>
    <w:autoRedefine/>
    <w:qFormat/>
    <w:uiPriority w:val="99"/>
    <w:pPr>
      <w:adjustRightInd/>
      <w:snapToGrid/>
      <w:spacing w:line="240" w:lineRule="auto"/>
      <w:ind w:firstLine="420"/>
      <w:jc w:val="both"/>
    </w:pPr>
    <w:rPr>
      <w:kern w:val="2"/>
      <w:sz w:val="21"/>
      <w:szCs w:val="24"/>
    </w:rPr>
  </w:style>
  <w:style w:type="paragraph" w:customStyle="1" w:styleId="35">
    <w:name w:val="ztext-empty-paragraph"/>
    <w:basedOn w:val="1"/>
    <w:autoRedefine/>
    <w:qFormat/>
    <w:uiPriority w:val="99"/>
    <w:pPr>
      <w:widowControl/>
      <w:adjustRightInd/>
      <w:snapToGrid/>
      <w:spacing w:before="100" w:beforeAutospacing="1" w:after="100" w:afterAutospacing="1" w:line="240" w:lineRule="auto"/>
      <w:ind w:firstLine="0" w:firstLineChars="0"/>
    </w:pPr>
    <w:rPr>
      <w:rFonts w:ascii="宋体" w:hAnsi="宋体" w:cs="宋体"/>
      <w:sz w:val="24"/>
      <w:szCs w:val="24"/>
    </w:rPr>
  </w:style>
  <w:style w:type="paragraph" w:customStyle="1" w:styleId="36">
    <w:name w:val="msonormal11"/>
    <w:basedOn w:val="1"/>
    <w:autoRedefine/>
    <w:qFormat/>
    <w:uiPriority w:val="99"/>
    <w:pPr>
      <w:widowControl/>
      <w:adjustRightInd/>
      <w:snapToGrid/>
      <w:spacing w:after="222" w:line="332" w:lineRule="atLeast"/>
      <w:ind w:firstLine="420" w:firstLineChars="0"/>
    </w:pPr>
    <w:rPr>
      <w:rFonts w:ascii="宋体" w:hAnsi="宋体" w:cs="宋体"/>
      <w:sz w:val="24"/>
      <w:szCs w:val="24"/>
    </w:rPr>
  </w:style>
  <w:style w:type="paragraph" w:customStyle="1" w:styleId="37">
    <w:name w:val="ql-align-justify"/>
    <w:basedOn w:val="1"/>
    <w:autoRedefine/>
    <w:qFormat/>
    <w:uiPriority w:val="99"/>
    <w:pPr>
      <w:widowControl/>
      <w:adjustRightInd/>
      <w:snapToGrid/>
      <w:spacing w:before="100" w:beforeAutospacing="1" w:after="100" w:afterAutospacing="1" w:line="240" w:lineRule="auto"/>
      <w:ind w:firstLine="0" w:firstLineChars="0"/>
    </w:pPr>
    <w:rPr>
      <w:rFonts w:ascii="宋体" w:hAnsi="宋体" w:cs="宋体"/>
      <w:sz w:val="24"/>
      <w:szCs w:val="24"/>
    </w:rPr>
  </w:style>
  <w:style w:type="character" w:customStyle="1" w:styleId="38">
    <w:name w:val="bjh-p"/>
    <w:basedOn w:val="19"/>
    <w:autoRedefine/>
    <w:qFormat/>
    <w:uiPriority w:val="99"/>
    <w:rPr>
      <w:rFonts w:cs="Times New Roman"/>
    </w:rPr>
  </w:style>
  <w:style w:type="paragraph" w:customStyle="1" w:styleId="39">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40">
    <w:name w:val="表头1 Char"/>
    <w:link w:val="41"/>
    <w:autoRedefine/>
    <w:qFormat/>
    <w:locked/>
    <w:uiPriority w:val="99"/>
    <w:rPr>
      <w:rFonts w:eastAsia="黑体"/>
      <w:b/>
      <w:sz w:val="24"/>
    </w:rPr>
  </w:style>
  <w:style w:type="paragraph" w:customStyle="1" w:styleId="41">
    <w:name w:val="表头1"/>
    <w:basedOn w:val="42"/>
    <w:link w:val="40"/>
    <w:autoRedefine/>
    <w:qFormat/>
    <w:uiPriority w:val="99"/>
    <w:pPr>
      <w:spacing w:beforeLines="50" w:line="360" w:lineRule="exact"/>
    </w:pPr>
    <w:rPr>
      <w:rFonts w:eastAsia="黑体"/>
      <w:b/>
      <w:spacing w:val="0"/>
      <w:kern w:val="0"/>
      <w:sz w:val="24"/>
      <w:szCs w:val="20"/>
    </w:rPr>
  </w:style>
  <w:style w:type="paragraph" w:customStyle="1" w:styleId="42">
    <w:name w:val="表格"/>
    <w:basedOn w:val="1"/>
    <w:autoRedefine/>
    <w:qFormat/>
    <w:uiPriority w:val="99"/>
    <w:pPr>
      <w:wordWrap w:val="0"/>
      <w:autoSpaceDE w:val="0"/>
      <w:autoSpaceDN w:val="0"/>
      <w:snapToGrid/>
      <w:spacing w:line="300" w:lineRule="exact"/>
      <w:ind w:firstLine="0" w:firstLineChars="0"/>
      <w:jc w:val="center"/>
    </w:pPr>
    <w:rPr>
      <w:rFonts w:eastAsia="仿宋_GB2312"/>
      <w:spacing w:val="-10"/>
      <w:kern w:val="2"/>
      <w:sz w:val="21"/>
    </w:rPr>
  </w:style>
  <w:style w:type="paragraph" w:styleId="43">
    <w:name w:val="List Paragraph"/>
    <w:basedOn w:val="1"/>
    <w:autoRedefine/>
    <w:qFormat/>
    <w:uiPriority w:val="99"/>
    <w:pPr>
      <w:ind w:firstLine="420"/>
    </w:pPr>
  </w:style>
  <w:style w:type="paragraph" w:customStyle="1" w:styleId="44">
    <w:name w:val="Char Char Char Char Char Char Char Char2"/>
    <w:basedOn w:val="1"/>
    <w:autoRedefine/>
    <w:qFormat/>
    <w:uiPriority w:val="99"/>
    <w:pPr>
      <w:adjustRightInd/>
      <w:ind w:firstLine="560"/>
      <w:jc w:val="both"/>
    </w:pPr>
    <w:rPr>
      <w:rFonts w:ascii="宋体"/>
      <w:color w:val="FF0000"/>
      <w:kern w:val="2"/>
      <w:lang w:val="en-GB"/>
    </w:rPr>
  </w:style>
  <w:style w:type="character" w:customStyle="1" w:styleId="45">
    <w:name w:val="font51"/>
    <w:basedOn w:val="19"/>
    <w:qFormat/>
    <w:uiPriority w:val="99"/>
    <w:rPr>
      <w:rFonts w:ascii="宋体" w:hAnsi="宋体" w:eastAsia="宋体" w:cs="宋体"/>
      <w:b/>
      <w:color w:val="000000"/>
      <w:sz w:val="22"/>
      <w:szCs w:val="22"/>
      <w:u w:val="none"/>
    </w:rPr>
  </w:style>
  <w:style w:type="character" w:customStyle="1" w:styleId="46">
    <w:name w:val="font41"/>
    <w:basedOn w:val="19"/>
    <w:autoRedefine/>
    <w:qFormat/>
    <w:uiPriority w:val="99"/>
    <w:rPr>
      <w:rFonts w:ascii="宋体" w:hAnsi="宋体" w:eastAsia="宋体" w:cs="宋体"/>
      <w:b/>
      <w:color w:val="000000"/>
      <w:sz w:val="40"/>
      <w:szCs w:val="40"/>
      <w:u w:val="none"/>
    </w:rPr>
  </w:style>
  <w:style w:type="paragraph" w:customStyle="1" w:styleId="47">
    <w:name w:val="样式 4 10 磅"/>
    <w:qFormat/>
    <w:uiPriority w:val="99"/>
    <w:pPr>
      <w:widowControl w:val="0"/>
      <w:jc w:val="both"/>
    </w:pPr>
    <w:rPr>
      <w:rFonts w:ascii="Times New Roman" w:hAnsi="Times New Roman" w:eastAsia="方正仿宋_GBK" w:cs="Times New Roman"/>
      <w:kern w:val="2"/>
      <w:sz w:val="21"/>
      <w:szCs w:val="22"/>
      <w:lang w:val="en-US" w:eastAsia="zh-CN" w:bidi="ar-SA"/>
    </w:rPr>
  </w:style>
  <w:style w:type="paragraph" w:customStyle="1" w:styleId="48">
    <w:name w:val="样式 1 10 磅"/>
    <w:autoRedefine/>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9">
    <w:name w:val="样式 13 10 磅"/>
    <w:autoRedefine/>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50">
    <w:name w:val="WPSOffice手动目录 1"/>
    <w:qFormat/>
    <w:uiPriority w:val="0"/>
    <w:pPr>
      <w:ind w:leftChars="0"/>
    </w:pPr>
    <w:rPr>
      <w:rFonts w:ascii="Times New Roman" w:hAnsi="Times New Roman" w:eastAsia="宋体" w:cs="Times New Roman"/>
      <w:sz w:val="20"/>
      <w:szCs w:val="20"/>
    </w:rPr>
  </w:style>
  <w:style w:type="paragraph" w:customStyle="1" w:styleId="51">
    <w:name w:val="WPSOffice手动目录 2"/>
    <w:autoRedefine/>
    <w:qFormat/>
    <w:uiPriority w:val="0"/>
    <w:pPr>
      <w:ind w:leftChars="200"/>
    </w:pPr>
    <w:rPr>
      <w:rFonts w:ascii="Times New Roman" w:hAnsi="Times New Roman" w:eastAsia="宋体" w:cs="Times New Roman"/>
      <w:sz w:val="20"/>
      <w:szCs w:val="20"/>
    </w:rPr>
  </w:style>
  <w:style w:type="paragraph" w:customStyle="1" w:styleId="52">
    <w:name w:val="WPSOffice手动目录 3"/>
    <w:autoRedefine/>
    <w:qFormat/>
    <w:uiPriority w:val="0"/>
    <w:pPr>
      <w:ind w:leftChars="400"/>
    </w:pPr>
    <w:rPr>
      <w:rFonts w:ascii="Times New Roman" w:hAnsi="Times New Roman" w:eastAsia="宋体" w:cs="Times New Roman"/>
      <w:sz w:val="20"/>
      <w:szCs w:val="20"/>
    </w:rPr>
  </w:style>
  <w:style w:type="character" w:customStyle="1" w:styleId="53">
    <w:name w:val="font11"/>
    <w:basedOn w:val="19"/>
    <w:autoRedefine/>
    <w:qFormat/>
    <w:uiPriority w:val="0"/>
    <w:rPr>
      <w:rFonts w:hint="eastAsia" w:ascii="微软雅黑" w:hAnsi="微软雅黑" w:eastAsia="微软雅黑" w:cs="微软雅黑"/>
      <w:color w:val="000000"/>
      <w:sz w:val="24"/>
      <w:szCs w:val="24"/>
      <w:u w:val="none"/>
    </w:rPr>
  </w:style>
  <w:style w:type="character" w:customStyle="1" w:styleId="54">
    <w:name w:val="font21"/>
    <w:basedOn w:val="19"/>
    <w:autoRedefine/>
    <w:qFormat/>
    <w:uiPriority w:val="0"/>
    <w:rPr>
      <w:rFonts w:hint="eastAsia" w:ascii="微软雅黑" w:hAnsi="微软雅黑" w:eastAsia="微软雅黑" w:cs="微软雅黑"/>
      <w:color w:val="FF0000"/>
      <w:sz w:val="24"/>
      <w:szCs w:val="24"/>
      <w:u w:val="none"/>
    </w:rPr>
  </w:style>
  <w:style w:type="character" w:customStyle="1" w:styleId="55">
    <w:name w:val="标题 5 Char"/>
    <w:link w:val="6"/>
    <w:qFormat/>
    <w:uiPriority w:val="0"/>
    <w:rPr>
      <w:b/>
      <w:sz w:val="28"/>
    </w:rPr>
  </w:style>
  <w:style w:type="character" w:customStyle="1" w:styleId="56">
    <w:name w:val="正文文本 Char"/>
    <w:link w:val="8"/>
    <w:autoRedefine/>
    <w:qFormat/>
    <w:uiPriority w:val="1"/>
    <w:rPr>
      <w:rFonts w:ascii="仿宋" w:hAnsi="仿宋" w:eastAsia="仿宋" w:cs="仿宋"/>
      <w:sz w:val="30"/>
      <w:szCs w:val="30"/>
      <w:lang w:val="zh-CN" w:bidi="zh-CN"/>
    </w:rPr>
  </w:style>
  <w:style w:type="character" w:customStyle="1" w:styleId="57">
    <w:name w:val="目录 3 Char"/>
    <w:link w:val="9"/>
    <w:autoRedefine/>
    <w:qFormat/>
    <w:uiPriority w:val="39"/>
    <w:rPr>
      <w:rFonts w:ascii="Times New Roman" w:hAnsi="Times New Roman" w:eastAsia="仿宋"/>
      <w:sz w:val="30"/>
    </w:rPr>
  </w:style>
  <w:style w:type="character" w:customStyle="1" w:styleId="58">
    <w:name w:val="font71"/>
    <w:basedOn w:val="19"/>
    <w:qFormat/>
    <w:uiPriority w:val="0"/>
    <w:rPr>
      <w:rFonts w:ascii="黑体" w:hAnsi="宋体" w:eastAsia="黑体" w:cs="黑体"/>
      <w:b/>
      <w:bCs/>
      <w:color w:val="000000"/>
      <w:sz w:val="24"/>
      <w:szCs w:val="24"/>
      <w:u w:val="none"/>
    </w:rPr>
  </w:style>
  <w:style w:type="character" w:customStyle="1" w:styleId="59">
    <w:name w:val="font31"/>
    <w:basedOn w:val="19"/>
    <w:autoRedefine/>
    <w:qFormat/>
    <w:uiPriority w:val="0"/>
    <w:rPr>
      <w:rFonts w:hint="eastAsia" w:ascii="宋体" w:hAnsi="宋体" w:eastAsia="宋体" w:cs="宋体"/>
      <w:b/>
      <w:bCs/>
      <w:color w:val="000000"/>
      <w:sz w:val="20"/>
      <w:szCs w:val="20"/>
      <w:u w:val="none"/>
    </w:rPr>
  </w:style>
  <w:style w:type="character" w:customStyle="1" w:styleId="60">
    <w:name w:val="font61"/>
    <w:basedOn w:val="19"/>
    <w:autoRedefine/>
    <w:qFormat/>
    <w:uiPriority w:val="0"/>
    <w:rPr>
      <w:rFonts w:hint="eastAsia" w:ascii="宋体" w:hAnsi="宋体" w:eastAsia="宋体" w:cs="宋体"/>
      <w:b/>
      <w:bCs/>
      <w:color w:val="000000"/>
      <w:sz w:val="28"/>
      <w:szCs w:val="28"/>
      <w:u w:val="none"/>
    </w:rPr>
  </w:style>
  <w:style w:type="character" w:customStyle="1" w:styleId="61">
    <w:name w:val="font01"/>
    <w:basedOn w:val="19"/>
    <w:autoRedefine/>
    <w:qFormat/>
    <w:uiPriority w:val="0"/>
    <w:rPr>
      <w:rFonts w:hint="eastAsia" w:ascii="宋体" w:hAnsi="宋体" w:eastAsia="宋体" w:cs="宋体"/>
      <w:b/>
      <w:bCs/>
      <w:color w:val="000000"/>
      <w:sz w:val="22"/>
      <w:szCs w:val="22"/>
      <w:u w:val="none"/>
    </w:rPr>
  </w:style>
  <w:style w:type="character" w:customStyle="1" w:styleId="62">
    <w:name w:val="目录 1 Char"/>
    <w:link w:val="14"/>
    <w:autoRedefine/>
    <w:qFormat/>
    <w:uiPriority w:val="99"/>
    <w:rPr>
      <w:rFonts w:ascii="Times New Roman" w:hAnsi="Times New Roman" w:eastAsia="黑体"/>
      <w:b/>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19956</Words>
  <Characters>20808</Characters>
  <Lines>5</Lines>
  <Paragraphs>33</Paragraphs>
  <TotalTime>0</TotalTime>
  <ScaleCrop>false</ScaleCrop>
  <LinksUpToDate>false</LinksUpToDate>
  <CharactersWithSpaces>21043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2021-11-15T03:58:00Z</dcterms:created>
  <dc:creator>zq</dc:creator>
  <cp:lastModifiedBy>WPS_1512658532</cp:lastModifiedBy>
  <cp:lastPrinted>2024-11-07T07:09:00Z</cp:lastPrinted>
  <dcterms:modified xsi:type="dcterms:W3CDTF">2025-06-26T03:00:12Z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12018A9BA7A548BAB4580BA27DF6C4A5_13</vt:lpwstr>
  </property>
  <property fmtid="{D5CDD505-2E9C-101B-9397-08002B2CF9AE}" pid="4" name="KSOTemplateDocerSaveRecord">
    <vt:lpwstr>eyJoZGlkIjoiODhlNzY1YWE2Nzc3Yzc4Y2JkNTJhMTQzYTUwZTgzMTQiLCJ1c2VySWQiOiIzMjk4MzkyNjQifQ==</vt:lpwstr>
  </property>
</Properties>
</file>