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BA1D3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黑体" w:hAnsi="黑体" w:eastAsia="黑体" w:cs="黑体"/>
          <w:i w:val="0"/>
          <w:iCs w:val="0"/>
          <w:caps w:val="0"/>
          <w:color w:val="474747"/>
          <w:spacing w:val="0"/>
          <w:sz w:val="32"/>
          <w:szCs w:val="32"/>
          <w:shd w:val="clear" w:fill="FFFFFF"/>
          <w:lang w:val="en-US" w:eastAsia="zh-CN"/>
        </w:rPr>
      </w:pPr>
      <w:r>
        <w:rPr>
          <w:rFonts w:hint="eastAsia" w:ascii="黑体" w:hAnsi="黑体" w:eastAsia="黑体" w:cs="黑体"/>
          <w:i w:val="0"/>
          <w:iCs w:val="0"/>
          <w:caps w:val="0"/>
          <w:color w:val="474747"/>
          <w:spacing w:val="0"/>
          <w:sz w:val="32"/>
          <w:szCs w:val="32"/>
          <w:shd w:val="clear" w:fill="FFFFFF"/>
          <w:lang w:val="en-US" w:eastAsia="zh-CN"/>
        </w:rPr>
        <w:t>附件1</w:t>
      </w:r>
    </w:p>
    <w:p w14:paraId="40F7E750">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方正小标宋_GBK" w:cs="Times New Roman"/>
          <w:sz w:val="44"/>
          <w:szCs w:val="44"/>
          <w:highlight w:val="none"/>
          <w:lang w:val="en-US" w:eastAsia="zh-CN"/>
        </w:rPr>
      </w:pPr>
    </w:p>
    <w:p w14:paraId="5892A924">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昌吉州补充工伤保险办法（试行）</w:t>
      </w:r>
    </w:p>
    <w:p w14:paraId="7E8C2165">
      <w:pPr>
        <w:pStyle w:val="10"/>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firstLine="0"/>
        <w:jc w:val="both"/>
        <w:textAlignment w:val="auto"/>
        <w:rPr>
          <w:rFonts w:hint="eastAsia" w:ascii="楷体_GB2312" w:hAnsi="楷体_GB2312" w:eastAsia="楷体_GB2312" w:cs="楷体_GB2312"/>
          <w:color w:val="000000"/>
          <w:sz w:val="32"/>
          <w:szCs w:val="32"/>
          <w:u w:val="none"/>
          <w:lang w:eastAsia="zh-CN"/>
        </w:rPr>
      </w:pPr>
    </w:p>
    <w:p w14:paraId="60DB362B">
      <w:pPr>
        <w:pStyle w:val="10"/>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firstLine="0"/>
        <w:jc w:val="center"/>
        <w:textAlignment w:val="auto"/>
        <w:rPr>
          <w:rStyle w:val="14"/>
          <w:rFonts w:hint="eastAsia" w:ascii="楷体_GB2312" w:hAnsi="楷体_GB2312" w:eastAsia="楷体_GB2312" w:cs="楷体_GB2312"/>
          <w:color w:val="auto"/>
          <w:spacing w:val="30"/>
          <w:sz w:val="32"/>
          <w:szCs w:val="32"/>
        </w:rPr>
      </w:pPr>
      <w:r>
        <w:rPr>
          <w:rFonts w:hint="eastAsia" w:ascii="楷体_GB2312" w:hAnsi="楷体_GB2312" w:eastAsia="楷体_GB2312" w:cs="楷体_GB2312"/>
          <w:color w:val="000000"/>
          <w:sz w:val="32"/>
          <w:szCs w:val="32"/>
          <w:u w:val="none"/>
          <w:lang w:eastAsia="zh-CN"/>
        </w:rPr>
        <w:t>（</w:t>
      </w:r>
      <w:r>
        <w:rPr>
          <w:rFonts w:hint="eastAsia" w:ascii="楷体_GB2312" w:hAnsi="楷体_GB2312" w:eastAsia="楷体_GB2312" w:cs="楷体_GB2312"/>
          <w:color w:val="000000"/>
          <w:sz w:val="32"/>
          <w:szCs w:val="32"/>
          <w:u w:val="none"/>
          <w:lang w:val="en-US" w:eastAsia="zh-CN"/>
        </w:rPr>
        <w:t>征求意见稿</w:t>
      </w:r>
      <w:r>
        <w:rPr>
          <w:rFonts w:hint="eastAsia" w:ascii="楷体_GB2312" w:hAnsi="楷体_GB2312" w:eastAsia="楷体_GB2312" w:cs="楷体_GB2312"/>
          <w:color w:val="000000"/>
          <w:sz w:val="32"/>
          <w:szCs w:val="32"/>
          <w:u w:val="none"/>
          <w:lang w:eastAsia="zh-CN"/>
        </w:rPr>
        <w:t>）</w:t>
      </w:r>
    </w:p>
    <w:p w14:paraId="75903E4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rPr>
      </w:pPr>
    </w:p>
    <w:p w14:paraId="21CDDE5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第一章  总则</w:t>
      </w:r>
    </w:p>
    <w:p w14:paraId="6243EEF7">
      <w:pPr>
        <w:pStyle w:val="10"/>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firstLine="615"/>
        <w:jc w:val="left"/>
        <w:textAlignment w:val="auto"/>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b/>
          <w:bCs/>
          <w:kern w:val="2"/>
          <w:sz w:val="32"/>
          <w:szCs w:val="32"/>
          <w:lang w:val="en-US" w:eastAsia="zh-CN" w:bidi="ar-SA"/>
        </w:rPr>
        <w:t xml:space="preserve">第一条  </w:t>
      </w:r>
      <w:r>
        <w:rPr>
          <w:rFonts w:hint="eastAsia" w:ascii="Times New Roman" w:hAnsi="Times New Roman" w:eastAsia="仿宋_GB2312" w:cs="Times New Roman"/>
          <w:kern w:val="2"/>
          <w:sz w:val="32"/>
          <w:szCs w:val="32"/>
          <w:lang w:val="en-US" w:eastAsia="zh-CN" w:bidi="ar-SA"/>
        </w:rPr>
        <w:t>为健全我州多层次工伤保险制度体系，减轻用人单位风险负担，解决新就业形态从业人员、灵活就业人员等群体职业伤害保障难题，更好地维护劳动者工伤保障权益，根据《中华人民共和国社会保险法》《工伤保险条例》（国务院令第586号）、《新疆维吾尔自治区实施〈工伤保险条例〉办法》</w:t>
      </w:r>
      <w:r>
        <w:rPr>
          <w:rFonts w:hint="eastAsia" w:ascii="仿宋_GB2312" w:hAnsi="仿宋_GB2312" w:eastAsia="仿宋_GB2312" w:cs="仿宋_GB2312"/>
          <w:color w:val="auto"/>
          <w:kern w:val="2"/>
          <w:sz w:val="32"/>
          <w:szCs w:val="32"/>
          <w:lang w:val="en-US" w:eastAsia="zh-CN" w:bidi="ar-SA"/>
        </w:rPr>
        <w:t>(新人社发</w:t>
      </w:r>
      <w:r>
        <w:rPr>
          <w:rFonts w:hint="eastAsia" w:ascii="仿宋_GB2312" w:hAnsi="仿宋_GB2312" w:eastAsia="仿宋_GB2312" w:cs="仿宋_GB2312"/>
          <w:color w:val="auto"/>
          <w:kern w:val="2"/>
          <w:sz w:val="32"/>
          <w:szCs w:val="32"/>
          <w:lang w:val="zh-CN" w:eastAsia="zh-CN" w:bidi="ar-SA"/>
        </w:rPr>
        <w:t>〔201</w:t>
      </w:r>
      <w:r>
        <w:rPr>
          <w:rFonts w:hint="eastAsia" w:ascii="仿宋_GB2312" w:hAnsi="仿宋_GB2312" w:eastAsia="仿宋_GB2312" w:cs="仿宋_GB2312"/>
          <w:color w:val="auto"/>
          <w:kern w:val="2"/>
          <w:sz w:val="32"/>
          <w:szCs w:val="32"/>
          <w:lang w:val="en-US" w:eastAsia="zh-CN" w:bidi="ar-SA"/>
        </w:rPr>
        <w:t>3</w:t>
      </w:r>
      <w:r>
        <w:rPr>
          <w:rFonts w:hint="eastAsia" w:ascii="仿宋_GB2312" w:hAnsi="仿宋_GB2312" w:eastAsia="仿宋_GB2312" w:cs="仿宋_GB2312"/>
          <w:color w:val="auto"/>
          <w:kern w:val="2"/>
          <w:sz w:val="32"/>
          <w:szCs w:val="32"/>
          <w:lang w:val="zh-CN" w:eastAsia="zh-CN" w:bidi="ar-SA"/>
        </w:rPr>
        <w:t>〕</w:t>
      </w:r>
      <w:r>
        <w:rPr>
          <w:rFonts w:hint="eastAsia" w:ascii="仿宋_GB2312" w:hAnsi="仿宋_GB2312" w:eastAsia="仿宋_GB2312" w:cs="仿宋_GB2312"/>
          <w:color w:val="auto"/>
          <w:kern w:val="2"/>
          <w:sz w:val="32"/>
          <w:szCs w:val="32"/>
          <w:lang w:val="en-US" w:eastAsia="zh-CN" w:bidi="ar-SA"/>
        </w:rPr>
        <w:t>79号)</w:t>
      </w:r>
      <w:r>
        <w:rPr>
          <w:rFonts w:hint="eastAsia" w:ascii="Times New Roman" w:hAnsi="Times New Roman" w:eastAsia="仿宋_GB2312" w:cs="Times New Roman"/>
          <w:color w:val="auto"/>
          <w:kern w:val="2"/>
          <w:sz w:val="32"/>
          <w:szCs w:val="32"/>
          <w:lang w:val="en-US" w:eastAsia="zh-CN" w:bidi="ar-SA"/>
        </w:rPr>
        <w:t>等规定，结合我州实际，制定本办法。</w:t>
      </w:r>
    </w:p>
    <w:p w14:paraId="469CDD39">
      <w:pPr>
        <w:pStyle w:val="10"/>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firstLine="615"/>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b/>
          <w:bCs/>
          <w:kern w:val="2"/>
          <w:sz w:val="32"/>
          <w:szCs w:val="32"/>
          <w:lang w:val="en-US" w:eastAsia="zh-CN" w:bidi="ar-SA"/>
        </w:rPr>
        <w:t>第二条</w:t>
      </w:r>
      <w:r>
        <w:rPr>
          <w:rFonts w:hint="eastAsia" w:ascii="Times New Roman" w:hAnsi="Times New Roman" w:eastAsia="仿宋_GB2312" w:cs="Times New Roman"/>
          <w:kern w:val="2"/>
          <w:sz w:val="32"/>
          <w:szCs w:val="32"/>
          <w:lang w:val="en-US" w:eastAsia="zh-CN" w:bidi="ar-SA"/>
        </w:rPr>
        <w:t>　补充工伤保险</w:t>
      </w:r>
      <w:r>
        <w:rPr>
          <w:rFonts w:hint="eastAsia" w:ascii="Times New Roman" w:hAnsi="Times New Roman" w:eastAsia="仿宋_GB2312" w:cs="Times New Roman"/>
          <w:kern w:val="2"/>
          <w:sz w:val="32"/>
          <w:szCs w:val="32"/>
          <w:highlight w:val="none"/>
          <w:lang w:val="en-US" w:eastAsia="zh-CN" w:bidi="ar-SA"/>
        </w:rPr>
        <w:t>由工伤补充保险和特定人员补充工伤保险组成，是政府引导、用人单位自愿投保、商业保险公司具体承办的补偿性商业保险，</w:t>
      </w:r>
      <w:r>
        <w:rPr>
          <w:rFonts w:hint="eastAsia" w:ascii="Times New Roman" w:hAnsi="Times New Roman" w:eastAsia="仿宋_GB2312" w:cs="Times New Roman"/>
          <w:kern w:val="2"/>
          <w:sz w:val="32"/>
          <w:szCs w:val="32"/>
          <w:lang w:val="en-US" w:eastAsia="zh-CN" w:bidi="ar-SA"/>
        </w:rPr>
        <w:t>是对因工作遭受事故伤害的劳动者获得医疗救治和经济补偿给予更充分更全面保障的制度体系，是现行工伤保险制度的拓展和延伸。</w:t>
      </w:r>
    </w:p>
    <w:p w14:paraId="5D6258B4">
      <w:pPr>
        <w:pStyle w:val="10"/>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firstLine="612"/>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b/>
          <w:bCs/>
          <w:kern w:val="2"/>
          <w:sz w:val="32"/>
          <w:szCs w:val="32"/>
          <w:lang w:val="en-US" w:eastAsia="zh-CN" w:bidi="ar-SA"/>
        </w:rPr>
        <w:t>第三条</w:t>
      </w:r>
      <w:r>
        <w:rPr>
          <w:rFonts w:hint="eastAsia" w:ascii="Times New Roman" w:hAnsi="Times New Roman" w:eastAsia="仿宋_GB2312" w:cs="Times New Roman"/>
          <w:kern w:val="2"/>
          <w:sz w:val="32"/>
          <w:szCs w:val="32"/>
          <w:lang w:val="en-US" w:eastAsia="zh-CN" w:bidi="ar-SA"/>
        </w:rPr>
        <w:t>　补充工伤保险坚持“收支平衡、保本微利、自负盈亏”的原则。</w:t>
      </w:r>
    </w:p>
    <w:p w14:paraId="28D0BE2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lang w:val="en-US" w:eastAsia="zh-CN"/>
        </w:rPr>
      </w:pPr>
    </w:p>
    <w:p w14:paraId="7AB9E09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b/>
          <w:bCs/>
          <w:kern w:val="2"/>
          <w:sz w:val="32"/>
          <w:szCs w:val="32"/>
          <w:lang w:val="en-US" w:eastAsia="zh-CN" w:bidi="ar-SA"/>
        </w:rPr>
      </w:pPr>
      <w:r>
        <w:rPr>
          <w:rFonts w:hint="eastAsia" w:ascii="黑体" w:hAnsi="黑体" w:eastAsia="黑体" w:cs="黑体"/>
          <w:sz w:val="32"/>
          <w:szCs w:val="32"/>
          <w:lang w:val="en-US" w:eastAsia="zh-CN"/>
        </w:rPr>
        <w:t>第二章  承办机构条件和程序</w:t>
      </w:r>
    </w:p>
    <w:p w14:paraId="5A36471A">
      <w:pPr>
        <w:pStyle w:val="10"/>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firstLine="615"/>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b/>
          <w:bCs/>
          <w:kern w:val="2"/>
          <w:sz w:val="32"/>
          <w:szCs w:val="32"/>
          <w:lang w:val="en-US" w:eastAsia="zh-CN" w:bidi="ar-SA"/>
        </w:rPr>
        <w:t>第四条</w:t>
      </w:r>
      <w:r>
        <w:rPr>
          <w:rFonts w:hint="eastAsia" w:ascii="Times New Roman" w:hAnsi="Times New Roman" w:eastAsia="仿宋_GB2312" w:cs="Times New Roman"/>
          <w:kern w:val="2"/>
          <w:sz w:val="32"/>
          <w:szCs w:val="32"/>
          <w:lang w:val="en-US" w:eastAsia="zh-CN" w:bidi="ar-SA"/>
        </w:rPr>
        <w:t>　申请承办补充工伤保险业务的商业保险公司（以下称“承办机构”），应具备以下条件：</w:t>
      </w:r>
    </w:p>
    <w:p w14:paraId="2E35318C">
      <w:pPr>
        <w:pStyle w:val="10"/>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firstLine="615"/>
        <w:jc w:val="left"/>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（一）在我州行政区域内且具备商业健康保险业务经营资质；</w:t>
      </w:r>
    </w:p>
    <w:p w14:paraId="79F07185">
      <w:pPr>
        <w:pStyle w:val="10"/>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firstLine="615"/>
        <w:jc w:val="left"/>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（二）公司所属法人机构上一年度末和最近月度末综合偿付能力充足率不低于150</w:t>
      </w:r>
      <w:r>
        <w:rPr>
          <w:rFonts w:hint="eastAsia" w:ascii="宋体" w:hAnsi="宋体" w:eastAsia="宋体" w:cs="宋体"/>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，（要有依据）风险综合评级结果B级以上；</w:t>
      </w:r>
    </w:p>
    <w:p w14:paraId="7DFD5B02">
      <w:pPr>
        <w:pStyle w:val="10"/>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firstLine="615"/>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（三）经营健康保险业务连续三年以上且近三年内无重大违法违规行为；</w:t>
      </w:r>
    </w:p>
    <w:p w14:paraId="0902B652">
      <w:pPr>
        <w:pStyle w:val="10"/>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firstLine="615"/>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（四）具备承办相关业务需要的信息管理系统，并确保信息安全；</w:t>
      </w:r>
    </w:p>
    <w:p w14:paraId="2659E5D4">
      <w:pPr>
        <w:pStyle w:val="10"/>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firstLine="615"/>
        <w:jc w:val="left"/>
        <w:textAlignment w:val="auto"/>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（五）具备承办同类保险的管理服务制度、队伍及能力等。</w:t>
      </w:r>
    </w:p>
    <w:p w14:paraId="6D0B00A4">
      <w:pPr>
        <w:pStyle w:val="10"/>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firstLine="615"/>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b/>
          <w:bCs/>
          <w:kern w:val="2"/>
          <w:sz w:val="32"/>
          <w:szCs w:val="32"/>
          <w:lang w:val="en-US" w:eastAsia="zh-CN" w:bidi="ar-SA"/>
        </w:rPr>
        <w:t>第五条</w:t>
      </w:r>
      <w:r>
        <w:rPr>
          <w:rFonts w:hint="eastAsia" w:ascii="Times New Roman" w:hAnsi="Times New Roman" w:eastAsia="仿宋_GB2312" w:cs="Times New Roman"/>
          <w:kern w:val="2"/>
          <w:sz w:val="32"/>
          <w:szCs w:val="32"/>
          <w:lang w:val="en-US" w:eastAsia="zh-CN" w:bidi="ar-SA"/>
        </w:rPr>
        <w:t>　</w:t>
      </w:r>
      <w:r>
        <w:rPr>
          <w:rFonts w:hint="eastAsia" w:ascii="Times New Roman" w:hAnsi="Times New Roman" w:eastAsia="仿宋_GB2312" w:cs="Times New Roman"/>
          <w:kern w:val="2"/>
          <w:sz w:val="32"/>
          <w:szCs w:val="32"/>
          <w:highlight w:val="none"/>
          <w:lang w:val="en-US" w:eastAsia="zh-CN" w:bidi="ar-SA"/>
        </w:rPr>
        <w:t>承办机构由州人力资源和社会保障局通过公开遴选方式择优与其签订《昌吉州补充工伤保险合作协议》</w:t>
      </w:r>
      <w:r>
        <w:rPr>
          <w:rFonts w:hint="eastAsia" w:ascii="Times New Roman" w:hAnsi="Times New Roman" w:eastAsia="仿宋_GB2312" w:cs="Times New Roman"/>
          <w:kern w:val="2"/>
          <w:sz w:val="32"/>
          <w:szCs w:val="32"/>
          <w:lang w:val="en-US" w:eastAsia="zh-CN" w:bidi="ar-SA"/>
        </w:rPr>
        <w:t>（以下称《合作协议》），约定服务内容，明确各方权利义务和责任，确保投保单位和被保险人</w:t>
      </w:r>
      <w:r>
        <w:rPr>
          <w:rFonts w:hint="eastAsia" w:ascii="Times New Roman" w:hAnsi="Times New Roman" w:eastAsia="仿宋_GB2312" w:cs="Times New Roman"/>
          <w:color w:val="auto"/>
          <w:kern w:val="2"/>
          <w:sz w:val="32"/>
          <w:szCs w:val="32"/>
          <w:lang w:val="en-US" w:eastAsia="zh-CN" w:bidi="ar-SA"/>
        </w:rPr>
        <w:t>的</w:t>
      </w:r>
      <w:r>
        <w:rPr>
          <w:rFonts w:hint="eastAsia" w:ascii="Times New Roman" w:hAnsi="Times New Roman" w:eastAsia="仿宋_GB2312" w:cs="Times New Roman"/>
          <w:kern w:val="2"/>
          <w:sz w:val="32"/>
          <w:szCs w:val="32"/>
          <w:lang w:val="en-US" w:eastAsia="zh-CN" w:bidi="ar-SA"/>
        </w:rPr>
        <w:t>权益。州本级统一与承办机构签订补充工伤保险承办协议，各县（市）不再签订协议。</w:t>
      </w:r>
    </w:p>
    <w:p w14:paraId="75FC933C">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lang w:val="en-US" w:eastAsia="zh-CN"/>
        </w:rPr>
      </w:pPr>
    </w:p>
    <w:p w14:paraId="4489711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第三章  参保范围</w:t>
      </w:r>
    </w:p>
    <w:p w14:paraId="7791824B">
      <w:pPr>
        <w:pStyle w:val="10"/>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firstLine="615"/>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b/>
          <w:bCs/>
          <w:kern w:val="2"/>
          <w:sz w:val="32"/>
          <w:szCs w:val="32"/>
          <w:lang w:val="en-US" w:eastAsia="zh-CN" w:bidi="ar-SA"/>
        </w:rPr>
        <w:t>第六条</w:t>
      </w:r>
      <w:r>
        <w:rPr>
          <w:rFonts w:hint="eastAsia" w:ascii="Times New Roman" w:hAnsi="Times New Roman" w:eastAsia="仿宋_GB2312" w:cs="Times New Roman"/>
          <w:kern w:val="2"/>
          <w:sz w:val="32"/>
          <w:szCs w:val="32"/>
          <w:lang w:val="en-US" w:eastAsia="zh-CN" w:bidi="ar-SA"/>
        </w:rPr>
        <w:t>　本州统筹区域内符合以下条件的人员可根据本办法参加补充工伤保险。</w:t>
      </w:r>
    </w:p>
    <w:p w14:paraId="4DE082CA">
      <w:pPr>
        <w:pStyle w:val="10"/>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firstLine="615"/>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（一）已经参加工伤保险的用人单位（含建设工程项目）的所有参保人员；</w:t>
      </w:r>
    </w:p>
    <w:p w14:paraId="692F7C80">
      <w:pPr>
        <w:pStyle w:val="10"/>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0" w:firstLine="615"/>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（二）未纳入《工伤保险条例》实施范围的特定人员（以下简称“特定人员”）：</w:t>
      </w:r>
    </w:p>
    <w:p w14:paraId="396C63EC">
      <w:pPr>
        <w:pStyle w:val="10"/>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firstLine="640" w:firstLineChars="20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1.已经参加工伤保险的用人单位招用的超过法定退休年龄且年龄在70周岁（含）以下的劳动者；</w:t>
      </w:r>
    </w:p>
    <w:p w14:paraId="4944B3D6">
      <w:pPr>
        <w:pStyle w:val="10"/>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firstLine="640" w:firstLineChars="20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2.已经参加工伤保险的用人单位中16周岁（含）以上在校实习生、见习生；</w:t>
      </w:r>
    </w:p>
    <w:p w14:paraId="6055BB3E">
      <w:pPr>
        <w:pStyle w:val="10"/>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firstLine="640" w:firstLineChars="20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3.村（社区）党组织委员会和村（居）民委员会成员、大学生基层专干等；</w:t>
      </w:r>
    </w:p>
    <w:p w14:paraId="5784286F">
      <w:pPr>
        <w:pStyle w:val="10"/>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firstLine="640" w:firstLineChars="20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4.本州行政区域内通过平台注册并接单，以平台企业名义提供出行、外卖、即时配送、同城货运和家政服务并获得报酬或收入的新就业形态从业人员；</w:t>
      </w:r>
    </w:p>
    <w:p w14:paraId="19D1385E">
      <w:pPr>
        <w:pStyle w:val="10"/>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firstLine="640" w:firstLineChars="20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5.国家机关、事业单位、人民团体等依法组建的志愿服务组织，已按规定注册并提供志愿服务的志愿者；</w:t>
      </w:r>
    </w:p>
    <w:p w14:paraId="3A11466D">
      <w:pPr>
        <w:pStyle w:val="10"/>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firstLine="640" w:firstLineChars="20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6.本州行政区域内领取农民专业合作社薪酬的工作人员及农民专业合作社聘用的劳务人员；</w:t>
      </w:r>
    </w:p>
    <w:p w14:paraId="0FC12CF8">
      <w:pPr>
        <w:pStyle w:val="10"/>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firstLine="640" w:firstLineChars="20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7.已在本州行政区域内从业且参加企业职工养老保险或城乡居民养老保险并缴费的灵活就业人员。</w:t>
      </w:r>
    </w:p>
    <w:p w14:paraId="143370EA">
      <w:pPr>
        <w:pStyle w:val="10"/>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firstLine="615"/>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8.经确认的其他人员。</w:t>
      </w:r>
    </w:p>
    <w:p w14:paraId="379C110A">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lang w:val="en-US" w:eastAsia="zh-CN"/>
        </w:rPr>
      </w:pPr>
    </w:p>
    <w:p w14:paraId="79C75F6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第四章　缴费标准</w:t>
      </w:r>
    </w:p>
    <w:p w14:paraId="1877C3FC">
      <w:pPr>
        <w:pStyle w:val="10"/>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firstLine="615"/>
        <w:jc w:val="left"/>
        <w:textAlignment w:val="auto"/>
        <w:rPr>
          <w:rFonts w:hint="eastAsia" w:ascii="Times New Roman" w:hAnsi="Times New Roman" w:eastAsia="仿宋_GB2312" w:cs="Times New Roman"/>
          <w:kern w:val="2"/>
          <w:sz w:val="32"/>
          <w:szCs w:val="32"/>
          <w:highlight w:val="none"/>
          <w:lang w:val="en-US" w:eastAsia="zh-CN" w:bidi="ar-SA"/>
        </w:rPr>
      </w:pPr>
      <w:r>
        <w:rPr>
          <w:rFonts w:hint="eastAsia" w:ascii="Times New Roman" w:hAnsi="Times New Roman" w:eastAsia="仿宋_GB2312" w:cs="Times New Roman"/>
          <w:b/>
          <w:bCs/>
          <w:kern w:val="2"/>
          <w:sz w:val="32"/>
          <w:szCs w:val="32"/>
          <w:highlight w:val="none"/>
          <w:lang w:val="en-US" w:eastAsia="zh-CN" w:bidi="ar-SA"/>
        </w:rPr>
        <w:t>第七条</w:t>
      </w:r>
      <w:r>
        <w:rPr>
          <w:rFonts w:hint="eastAsia" w:ascii="Times New Roman" w:hAnsi="Times New Roman" w:eastAsia="仿宋_GB2312" w:cs="Times New Roman"/>
          <w:kern w:val="2"/>
          <w:sz w:val="32"/>
          <w:szCs w:val="32"/>
          <w:highlight w:val="none"/>
          <w:lang w:val="en-US" w:eastAsia="zh-CN" w:bidi="ar-SA"/>
        </w:rPr>
        <w:t>　补充工伤保险费率按照以支定收、收支平衡的原则确定。</w:t>
      </w:r>
    </w:p>
    <w:p w14:paraId="0ED0B37A">
      <w:pPr>
        <w:pStyle w:val="10"/>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firstLine="615"/>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 xml:space="preserve"> 本州统筹区域内已经参加工伤保险的用人单位（含建设工程项目）可自愿为全部参保人员缴纳补充工伤保险费，标准见《昌吉州单位及建设项目补充工伤保险缴费及赔付项目标准》（附件1）。</w:t>
      </w:r>
    </w:p>
    <w:p w14:paraId="5FA9D986">
      <w:pPr>
        <w:pStyle w:val="10"/>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firstLine="615"/>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特定人员缴纳补充工伤保险费，根据情况可选择不同缴费标准，缴费标准见《昌吉州特定人员补充工伤保险缴费及赔付项目标准》（附件2、3、4）。</w:t>
      </w:r>
    </w:p>
    <w:p w14:paraId="0AC88176">
      <w:pPr>
        <w:pStyle w:val="10"/>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firstLine="615"/>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b/>
          <w:bCs/>
          <w:kern w:val="2"/>
          <w:sz w:val="32"/>
          <w:szCs w:val="32"/>
          <w:lang w:val="en-US" w:eastAsia="zh-CN" w:bidi="ar-SA"/>
        </w:rPr>
        <w:t>第八条</w:t>
      </w:r>
      <w:r>
        <w:rPr>
          <w:rFonts w:hint="eastAsia" w:ascii="Times New Roman" w:hAnsi="Times New Roman" w:eastAsia="仿宋_GB2312" w:cs="Times New Roman"/>
          <w:kern w:val="2"/>
          <w:sz w:val="32"/>
          <w:szCs w:val="32"/>
          <w:lang w:val="en-US" w:eastAsia="zh-CN" w:bidi="ar-SA"/>
        </w:rPr>
        <w:t xml:space="preserve"> 补充工伤保险的投保人为用人单位，被保险人为用人单位的雇员（职工）。无法明确用工主体的新就业形态从业人员和灵活就业人员，可由互联网平台、行业协会、志愿服务组织等统一参加补充工伤保险。</w:t>
      </w:r>
    </w:p>
    <w:p w14:paraId="66FF9001">
      <w:pPr>
        <w:pStyle w:val="10"/>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firstLine="615"/>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b/>
          <w:bCs/>
          <w:kern w:val="2"/>
          <w:sz w:val="32"/>
          <w:szCs w:val="32"/>
          <w:lang w:val="en-US" w:eastAsia="zh-CN" w:bidi="ar-SA"/>
        </w:rPr>
        <w:t>第九条</w:t>
      </w:r>
      <w:r>
        <w:rPr>
          <w:rFonts w:hint="eastAsia" w:ascii="Times New Roman" w:hAnsi="Times New Roman" w:eastAsia="仿宋_GB2312" w:cs="Times New Roman"/>
          <w:kern w:val="2"/>
          <w:sz w:val="32"/>
          <w:szCs w:val="32"/>
          <w:lang w:val="en-US" w:eastAsia="zh-CN" w:bidi="ar-SA"/>
        </w:rPr>
        <w:t>　已纳入工伤保险的用人单位按月办理缴纳工伤保险费的同时，可选择办理缴纳补充工伤保险费，由用人单位按月缴纳，职工个人不缴纳。</w:t>
      </w:r>
    </w:p>
    <w:p w14:paraId="2234FE9C">
      <w:pPr>
        <w:pStyle w:val="10"/>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firstLine="615"/>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行业协会可按本办法规定组织行业内灵活就业人员单项参加补充工伤保险，由灵活就业人员个人缴纳补充工伤保险费。特定人员（不含灵活就业人员）由其所在用人单位（平台）、组织按本办法规定单项参加补充工伤保险并办理缴费。职工个人不缴纳。</w:t>
      </w:r>
    </w:p>
    <w:p w14:paraId="2B59D6A0">
      <w:pPr>
        <w:pStyle w:val="10"/>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firstLine="615"/>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按规定缴纳的补充工伤保险费，一经缴纳不予退还。</w:t>
      </w:r>
    </w:p>
    <w:p w14:paraId="656E43C9">
      <w:pPr>
        <w:pStyle w:val="10"/>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firstLine="612"/>
        <w:jc w:val="left"/>
        <w:textAlignment w:val="auto"/>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b/>
          <w:bCs/>
          <w:kern w:val="2"/>
          <w:sz w:val="32"/>
          <w:szCs w:val="32"/>
          <w:lang w:val="en-US" w:eastAsia="zh-CN" w:bidi="ar-SA"/>
        </w:rPr>
        <w:t>第十条</w:t>
      </w:r>
      <w:r>
        <w:rPr>
          <w:rFonts w:hint="eastAsia" w:ascii="Times New Roman" w:hAnsi="Times New Roman" w:eastAsia="仿宋_GB2312" w:cs="Times New Roman"/>
          <w:kern w:val="2"/>
          <w:sz w:val="32"/>
          <w:szCs w:val="32"/>
          <w:lang w:val="en-US" w:eastAsia="zh-CN" w:bidi="ar-SA"/>
        </w:rPr>
        <w:t>　补充工伤保险费按月由承办机构统一收缴，补充工伤保险责任生效期为补充工伤保险费到账次日，中断缴费则补充工伤保险责任终止。</w:t>
      </w:r>
    </w:p>
    <w:p w14:paraId="6D76CB84">
      <w:pPr>
        <w:pStyle w:val="10"/>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firstLine="612"/>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b/>
          <w:bCs/>
          <w:kern w:val="2"/>
          <w:sz w:val="32"/>
          <w:szCs w:val="32"/>
          <w:lang w:val="en-US" w:eastAsia="zh-CN" w:bidi="ar-SA"/>
        </w:rPr>
        <w:t>第十一条</w:t>
      </w:r>
      <w:r>
        <w:rPr>
          <w:rFonts w:hint="eastAsia" w:ascii="Times New Roman" w:hAnsi="Times New Roman" w:eastAsia="仿宋_GB2312" w:cs="Times New Roman"/>
          <w:kern w:val="2"/>
          <w:sz w:val="32"/>
          <w:szCs w:val="32"/>
          <w:lang w:val="en-US" w:eastAsia="zh-CN" w:bidi="ar-SA"/>
        </w:rPr>
        <w:t>　补充工伤保险实行实名制管理，已经参加工伤保险的用人单位参加补充工伤保险的职工应与参加工伤保险的职工一致（特定人员除外）。按规定应参加而没有参加工伤保险的用人单位及职工不能单项参加补充工伤保险。</w:t>
      </w:r>
    </w:p>
    <w:p w14:paraId="08A05891">
      <w:pPr>
        <w:pStyle w:val="10"/>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firstLine="612"/>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b/>
          <w:bCs/>
          <w:kern w:val="2"/>
          <w:sz w:val="32"/>
          <w:szCs w:val="32"/>
          <w:lang w:val="en-US" w:eastAsia="zh-CN" w:bidi="ar-SA"/>
        </w:rPr>
        <w:t>第十二条</w:t>
      </w:r>
      <w:r>
        <w:rPr>
          <w:rFonts w:hint="eastAsia" w:ascii="Times New Roman" w:hAnsi="Times New Roman" w:eastAsia="仿宋_GB2312" w:cs="Times New Roman"/>
          <w:kern w:val="2"/>
          <w:sz w:val="32"/>
          <w:szCs w:val="32"/>
          <w:lang w:val="en-US" w:eastAsia="zh-CN" w:bidi="ar-SA"/>
        </w:rPr>
        <w:t>　从业人员在两个或者两个以上用人单位同时工作，各用人单位可分别为其参加补充工伤保险并缴费。从业人员与两个或两个以上单位建立劳动关系或劳务关系，发生工伤事故或职业伤害时，由从业人员受到伤害时其工作的单位确定补充工伤保险责任。</w:t>
      </w:r>
    </w:p>
    <w:p w14:paraId="62439241">
      <w:pPr>
        <w:pStyle w:val="10"/>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firstLine="615"/>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b/>
          <w:bCs/>
          <w:kern w:val="2"/>
          <w:sz w:val="32"/>
          <w:szCs w:val="32"/>
          <w:lang w:val="en-US" w:eastAsia="zh-CN" w:bidi="ar-SA"/>
        </w:rPr>
        <w:t>第十三条</w:t>
      </w:r>
      <w:r>
        <w:rPr>
          <w:rFonts w:hint="eastAsia" w:ascii="Times New Roman" w:hAnsi="Times New Roman" w:eastAsia="仿宋_GB2312" w:cs="Times New Roman"/>
          <w:kern w:val="2"/>
          <w:sz w:val="32"/>
          <w:szCs w:val="32"/>
          <w:lang w:val="en-US" w:eastAsia="zh-CN" w:bidi="ar-SA"/>
        </w:rPr>
        <w:t xml:space="preserve"> 补充工伤保险有效期内，当月参保人员发生变化的，用人单位应按照规定办理人员增减手续。</w:t>
      </w:r>
    </w:p>
    <w:p w14:paraId="7F1CA9CD">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lang w:val="en-US" w:eastAsia="zh-CN"/>
        </w:rPr>
      </w:pPr>
    </w:p>
    <w:p w14:paraId="253CCED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第五章　认定、鉴定标准和程序</w:t>
      </w:r>
    </w:p>
    <w:p w14:paraId="5122C852">
      <w:pPr>
        <w:pStyle w:val="10"/>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firstLine="615"/>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b/>
          <w:bCs/>
          <w:kern w:val="2"/>
          <w:sz w:val="32"/>
          <w:szCs w:val="32"/>
          <w:lang w:val="en-US" w:eastAsia="zh-CN" w:bidi="ar-SA"/>
        </w:rPr>
        <w:t>第十四条</w:t>
      </w:r>
      <w:r>
        <w:rPr>
          <w:rFonts w:hint="eastAsia" w:ascii="Times New Roman" w:hAnsi="Times New Roman" w:eastAsia="仿宋_GB2312" w:cs="Times New Roman"/>
          <w:kern w:val="2"/>
          <w:sz w:val="32"/>
          <w:szCs w:val="32"/>
          <w:lang w:val="en-US" w:eastAsia="zh-CN" w:bidi="ar-SA"/>
        </w:rPr>
        <w:t>　已经参加工伤保险的职工参加补充工伤保险后，在保险有效期内发生工伤事故，承办机构依据工伤认定部门出具的工伤认定决定书和劳动能力鉴定部门出具的《工伤职工劳动能力鉴定结论书》，直接给予赔付，承办机构不再进行认定和鉴定。</w:t>
      </w:r>
    </w:p>
    <w:p w14:paraId="688B8ACD">
      <w:pPr>
        <w:pStyle w:val="10"/>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firstLine="615"/>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b/>
          <w:bCs/>
          <w:kern w:val="2"/>
          <w:sz w:val="32"/>
          <w:szCs w:val="32"/>
          <w:lang w:val="en-US" w:eastAsia="zh-CN" w:bidi="ar-SA"/>
        </w:rPr>
        <w:t>第十五条</w:t>
      </w:r>
      <w:r>
        <w:rPr>
          <w:rFonts w:hint="eastAsia" w:ascii="Times New Roman" w:hAnsi="Times New Roman" w:eastAsia="仿宋_GB2312" w:cs="Times New Roman"/>
          <w:kern w:val="2"/>
          <w:sz w:val="32"/>
          <w:szCs w:val="32"/>
          <w:lang w:val="en-US" w:eastAsia="zh-CN" w:bidi="ar-SA"/>
        </w:rPr>
        <w:t>　用人单位未按照《工伤保险条例》规定的时限提出认定申请的，从事故伤害发生之日起至向承办机构提出认定申请之日，此期间发生的符合规定的补充工伤保险待遇等有关费用由该用人单位承担。</w:t>
      </w:r>
    </w:p>
    <w:p w14:paraId="2D8E39ED">
      <w:pPr>
        <w:pStyle w:val="10"/>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firstLine="615"/>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b/>
          <w:bCs/>
          <w:kern w:val="2"/>
          <w:sz w:val="32"/>
          <w:szCs w:val="32"/>
          <w:lang w:val="en-US" w:eastAsia="zh-CN" w:bidi="ar-SA"/>
        </w:rPr>
        <w:t>第十六条</w:t>
      </w:r>
      <w:r>
        <w:rPr>
          <w:rFonts w:hint="eastAsia" w:ascii="Times New Roman" w:hAnsi="Times New Roman" w:eastAsia="仿宋_GB2312" w:cs="Times New Roman"/>
          <w:kern w:val="2"/>
          <w:sz w:val="32"/>
          <w:szCs w:val="32"/>
          <w:lang w:val="en-US" w:eastAsia="zh-CN" w:bidi="ar-SA"/>
        </w:rPr>
        <w:t xml:space="preserve"> 特定人员参加补充工伤保险后，在保险有效期内有以下情形之一的，认定为补充工伤保险赔付情形：</w:t>
      </w:r>
    </w:p>
    <w:p w14:paraId="2EC512C1">
      <w:pPr>
        <w:pStyle w:val="10"/>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firstLine="615"/>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（一）在工作时间和工作场所内，因工作原因受到事故伤害的；</w:t>
      </w:r>
    </w:p>
    <w:p w14:paraId="35B958C8">
      <w:pPr>
        <w:pStyle w:val="10"/>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firstLine="615"/>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（二）工作时间前后在工作场所内，从事与工作有关的预备性或收尾性工作受到事故伤害的；</w:t>
      </w:r>
    </w:p>
    <w:p w14:paraId="74A10B68">
      <w:pPr>
        <w:pStyle w:val="10"/>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firstLine="615"/>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（三）在工作时间和工作场所内，因履行工作职责受到暴力等意外伤害的；</w:t>
      </w:r>
    </w:p>
    <w:p w14:paraId="3596E94E">
      <w:pPr>
        <w:pStyle w:val="10"/>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firstLine="615"/>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（四）因工外出期间，由于工作原因受到伤害或者发生事故下落不明的；</w:t>
      </w:r>
    </w:p>
    <w:p w14:paraId="500A48D8">
      <w:pPr>
        <w:pStyle w:val="10"/>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firstLine="615"/>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（五）在上下班途中，受到非本人主要责任的交通事故或者城市轨道交通、客运轮渡、火车事故伤害的；</w:t>
      </w:r>
    </w:p>
    <w:p w14:paraId="4079E50E">
      <w:pPr>
        <w:pStyle w:val="10"/>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firstLine="615"/>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（六）在抢险救灾等维护国家利益、公共利益活动中受到事故伤害的。</w:t>
      </w:r>
    </w:p>
    <w:p w14:paraId="64086B47">
      <w:pPr>
        <w:pStyle w:val="10"/>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firstLine="615"/>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b/>
          <w:bCs/>
          <w:kern w:val="2"/>
          <w:sz w:val="32"/>
          <w:szCs w:val="32"/>
          <w:lang w:val="en-US" w:eastAsia="zh-CN" w:bidi="ar-SA"/>
        </w:rPr>
        <w:t>第十七条</w:t>
      </w:r>
      <w:r>
        <w:rPr>
          <w:rFonts w:hint="eastAsia" w:ascii="Times New Roman" w:hAnsi="Times New Roman" w:eastAsia="仿宋_GB2312" w:cs="Times New Roman"/>
          <w:kern w:val="2"/>
          <w:sz w:val="32"/>
          <w:szCs w:val="32"/>
          <w:lang w:val="en-US" w:eastAsia="zh-CN" w:bidi="ar-SA"/>
        </w:rPr>
        <w:t xml:space="preserve"> 符合第十六条情形，但参保人员有下列情形之一的，不得认定为赔付情形：</w:t>
      </w:r>
    </w:p>
    <w:p w14:paraId="4A33864D">
      <w:pPr>
        <w:pStyle w:val="10"/>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firstLine="615"/>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（一）故意犯罪的；</w:t>
      </w:r>
    </w:p>
    <w:p w14:paraId="7476E49E">
      <w:pPr>
        <w:pStyle w:val="10"/>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firstLine="615"/>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（二）酒后驾驶、无合法有效驾驶证驾驶、驾驶无有效行驶证机动车的；</w:t>
      </w:r>
    </w:p>
    <w:p w14:paraId="6F84CB2D">
      <w:pPr>
        <w:pStyle w:val="10"/>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firstLine="615"/>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（三）斗殴、醉酒，服用、吸食或注射毒品的；</w:t>
      </w:r>
    </w:p>
    <w:p w14:paraId="414CD587">
      <w:pPr>
        <w:pStyle w:val="10"/>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firstLine="615"/>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（四）自残或者自杀的；</w:t>
      </w:r>
    </w:p>
    <w:p w14:paraId="6B8E5419">
      <w:pPr>
        <w:pStyle w:val="10"/>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firstLine="615"/>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（五）突发疾病死亡或因疾病导致伤害的。</w:t>
      </w:r>
    </w:p>
    <w:p w14:paraId="52037ADF">
      <w:pPr>
        <w:pStyle w:val="10"/>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firstLine="615"/>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b/>
          <w:bCs/>
          <w:kern w:val="2"/>
          <w:sz w:val="32"/>
          <w:szCs w:val="32"/>
          <w:lang w:val="en-US" w:eastAsia="zh-CN" w:bidi="ar-SA"/>
        </w:rPr>
        <w:t>第十八条</w:t>
      </w:r>
      <w:r>
        <w:rPr>
          <w:rFonts w:hint="eastAsia" w:ascii="Times New Roman" w:hAnsi="Times New Roman" w:eastAsia="仿宋_GB2312" w:cs="Times New Roman"/>
          <w:kern w:val="2"/>
          <w:sz w:val="32"/>
          <w:szCs w:val="32"/>
          <w:lang w:val="en-US" w:eastAsia="zh-CN" w:bidi="ar-SA"/>
        </w:rPr>
        <w:t xml:space="preserve"> 参加补充工伤保险的特定人员受到事故伤害，用人单位或参保人员应当按照《工伤保险条例》规定的时间报备，特殊情况应在参保人员发生事故伤害48小时内向承办机构报案；若因未按照规定报案，致使事故伤害的性质、原因、损失程度等难以确定的，承办机构对无法确定的部分可不承担赔付责任。</w:t>
      </w:r>
    </w:p>
    <w:p w14:paraId="555FABA4">
      <w:pPr>
        <w:pStyle w:val="10"/>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firstLine="615"/>
        <w:jc w:val="left"/>
        <w:textAlignment w:val="auto"/>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b/>
          <w:bCs/>
          <w:kern w:val="2"/>
          <w:sz w:val="32"/>
          <w:szCs w:val="32"/>
          <w:lang w:val="en-US" w:eastAsia="zh-CN" w:bidi="ar-SA"/>
        </w:rPr>
        <w:t>第十九条</w:t>
      </w:r>
      <w:r>
        <w:rPr>
          <w:rFonts w:hint="eastAsia" w:ascii="Times New Roman" w:hAnsi="Times New Roman" w:eastAsia="仿宋_GB2312" w:cs="Times New Roman"/>
          <w:kern w:val="2"/>
          <w:sz w:val="32"/>
          <w:szCs w:val="32"/>
          <w:lang w:val="en-US" w:eastAsia="zh-CN" w:bidi="ar-SA"/>
        </w:rPr>
        <w:t xml:space="preserve"> 特定人员因工伤造成伤残的，由司法鉴定机构进行伤残等级鉴定，</w:t>
      </w:r>
      <w:r>
        <w:rPr>
          <w:rFonts w:hint="eastAsia" w:ascii="Times New Roman" w:hAnsi="Times New Roman" w:eastAsia="仿宋_GB2312" w:cs="Times New Roman"/>
          <w:kern w:val="2"/>
          <w:sz w:val="32"/>
          <w:szCs w:val="32"/>
          <w:highlight w:val="none"/>
          <w:lang w:val="en-US" w:eastAsia="zh-CN" w:bidi="ar-SA"/>
        </w:rPr>
        <w:t>伤残等级根据《人身保险伤残评定标准及代码》（保监发〔2014〕6号)规定执行。</w:t>
      </w:r>
    </w:p>
    <w:p w14:paraId="522040FA">
      <w:pPr>
        <w:pStyle w:val="10"/>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jc w:val="left"/>
        <w:textAlignment w:val="auto"/>
        <w:rPr>
          <w:rFonts w:hint="eastAsia" w:ascii="黑体" w:hAnsi="黑体" w:eastAsia="黑体" w:cs="黑体"/>
          <w:kern w:val="2"/>
          <w:sz w:val="32"/>
          <w:szCs w:val="32"/>
          <w:lang w:val="en-US" w:eastAsia="zh-CN" w:bidi="ar-SA"/>
        </w:rPr>
      </w:pPr>
    </w:p>
    <w:p w14:paraId="1343D173">
      <w:pPr>
        <w:pStyle w:val="10"/>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jc w:val="center"/>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第六章　待遇给付与核定</w:t>
      </w:r>
    </w:p>
    <w:p w14:paraId="4D72188B">
      <w:pPr>
        <w:pStyle w:val="10"/>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firstLine="615"/>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b/>
          <w:bCs/>
          <w:kern w:val="2"/>
          <w:sz w:val="32"/>
          <w:szCs w:val="32"/>
          <w:lang w:val="en-US" w:eastAsia="zh-CN" w:bidi="ar-SA"/>
        </w:rPr>
        <w:t>第二十条</w:t>
      </w:r>
      <w:r>
        <w:rPr>
          <w:rFonts w:hint="eastAsia" w:ascii="Times New Roman" w:hAnsi="Times New Roman" w:eastAsia="仿宋_GB2312" w:cs="Times New Roman"/>
          <w:kern w:val="2"/>
          <w:sz w:val="32"/>
          <w:szCs w:val="32"/>
          <w:lang w:val="en-US" w:eastAsia="zh-CN" w:bidi="ar-SA"/>
        </w:rPr>
        <w:t>　已经参加工伤保险的用人单位职工工伤或者视同工伤享受补充工伤保险待遇，应同时具备以下条件：</w:t>
      </w:r>
    </w:p>
    <w:p w14:paraId="7434142F">
      <w:pPr>
        <w:pStyle w:val="10"/>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firstLine="615"/>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（一）发生工伤时用人单位无欠缴工伤保险费和补充工伤保险费；</w:t>
      </w:r>
    </w:p>
    <w:p w14:paraId="47828EB7">
      <w:pPr>
        <w:pStyle w:val="10"/>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firstLine="615"/>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（二）经州本级、县（市）人力资源和社会保障局认定为工伤或者视同工伤；</w:t>
      </w:r>
    </w:p>
    <w:p w14:paraId="2E3B9CA8">
      <w:pPr>
        <w:pStyle w:val="10"/>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firstLine="615"/>
        <w:jc w:val="left"/>
        <w:textAlignment w:val="auto"/>
        <w:rPr>
          <w:rFonts w:hint="eastAsia" w:ascii="Times New Roman" w:hAnsi="Times New Roman" w:eastAsia="仿宋_GB2312" w:cs="Times New Roman"/>
          <w:kern w:val="2"/>
          <w:sz w:val="32"/>
          <w:szCs w:val="32"/>
          <w:highlight w:val="none"/>
          <w:lang w:val="en-US" w:eastAsia="zh-CN" w:bidi="ar-SA"/>
        </w:rPr>
      </w:pPr>
      <w:r>
        <w:rPr>
          <w:rFonts w:hint="eastAsia" w:ascii="Times New Roman" w:hAnsi="Times New Roman" w:eastAsia="仿宋_GB2312" w:cs="Times New Roman"/>
          <w:b/>
          <w:bCs/>
          <w:kern w:val="2"/>
          <w:sz w:val="32"/>
          <w:szCs w:val="32"/>
          <w:lang w:val="en-US" w:eastAsia="zh-CN" w:bidi="ar-SA"/>
        </w:rPr>
        <w:t xml:space="preserve">第二十一条 </w:t>
      </w:r>
      <w:r>
        <w:rPr>
          <w:rFonts w:hint="eastAsia" w:ascii="Times New Roman" w:hAnsi="Times New Roman" w:eastAsia="仿宋_GB2312" w:cs="Times New Roman"/>
          <w:b/>
          <w:bCs/>
          <w:kern w:val="2"/>
          <w:sz w:val="32"/>
          <w:szCs w:val="32"/>
          <w:highlight w:val="none"/>
          <w:lang w:val="en-US" w:eastAsia="zh-CN" w:bidi="ar-SA"/>
        </w:rPr>
        <w:t xml:space="preserve"> </w:t>
      </w:r>
      <w:r>
        <w:rPr>
          <w:rFonts w:hint="eastAsia" w:ascii="Times New Roman" w:hAnsi="Times New Roman" w:eastAsia="仿宋_GB2312" w:cs="Times New Roman"/>
          <w:kern w:val="2"/>
          <w:sz w:val="32"/>
          <w:szCs w:val="32"/>
          <w:highlight w:val="none"/>
          <w:lang w:val="en-US" w:eastAsia="zh-CN" w:bidi="ar-SA"/>
        </w:rPr>
        <w:t>特定人员在其从事的职业岗位上，因工作遭受事故伤害的，按照第十六条规定认定情形，经承办机构调查确认后，按规定享受补充工伤保险待遇。</w:t>
      </w:r>
    </w:p>
    <w:p w14:paraId="5F33B24D">
      <w:pPr>
        <w:pStyle w:val="10"/>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firstLine="615"/>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b/>
          <w:bCs/>
          <w:kern w:val="2"/>
          <w:sz w:val="32"/>
          <w:szCs w:val="32"/>
          <w:lang w:val="en-US" w:eastAsia="zh-CN" w:bidi="ar-SA"/>
        </w:rPr>
        <w:t>第二十二条</w:t>
      </w:r>
      <w:r>
        <w:rPr>
          <w:rFonts w:hint="eastAsia" w:ascii="Times New Roman" w:hAnsi="Times New Roman" w:eastAsia="仿宋_GB2312" w:cs="Times New Roman"/>
          <w:kern w:val="2"/>
          <w:sz w:val="32"/>
          <w:szCs w:val="32"/>
          <w:lang w:val="en-US" w:eastAsia="zh-CN" w:bidi="ar-SA"/>
        </w:rPr>
        <w:t>　</w:t>
      </w:r>
      <w:r>
        <w:rPr>
          <w:rFonts w:hint="eastAsia" w:ascii="Times New Roman" w:hAnsi="Times New Roman" w:eastAsia="仿宋_GB2312" w:cs="Times New Roman"/>
          <w:kern w:val="2"/>
          <w:sz w:val="32"/>
          <w:szCs w:val="32"/>
          <w:highlight w:val="none"/>
          <w:lang w:val="en-US" w:eastAsia="zh-CN" w:bidi="ar-SA"/>
        </w:rPr>
        <w:t>参加补充工伤保险人员自参保</w:t>
      </w:r>
      <w:r>
        <w:rPr>
          <w:rFonts w:hint="eastAsia" w:ascii="Times New Roman" w:hAnsi="Times New Roman" w:eastAsia="仿宋_GB2312" w:cs="Times New Roman"/>
          <w:color w:val="auto"/>
          <w:kern w:val="2"/>
          <w:sz w:val="32"/>
          <w:szCs w:val="32"/>
          <w:highlight w:val="none"/>
          <w:lang w:val="en-US" w:eastAsia="zh-CN" w:bidi="ar-SA"/>
        </w:rPr>
        <w:t>缴费起</w:t>
      </w:r>
      <w:r>
        <w:rPr>
          <w:rFonts w:hint="eastAsia" w:ascii="Times New Roman" w:hAnsi="Times New Roman" w:eastAsia="仿宋_GB2312" w:cs="Times New Roman"/>
          <w:kern w:val="2"/>
          <w:sz w:val="32"/>
          <w:szCs w:val="32"/>
          <w:highlight w:val="none"/>
          <w:lang w:val="en-US" w:eastAsia="zh-CN" w:bidi="ar-SA"/>
        </w:rPr>
        <w:t>享受补充工伤保险待遇，用人单位和灵活就业人员未及时缴纳补充工伤保险费的，欠缴期间不享受补充工伤保险待遇。工</w:t>
      </w:r>
      <w:r>
        <w:rPr>
          <w:rFonts w:hint="eastAsia" w:ascii="Times New Roman" w:hAnsi="Times New Roman" w:eastAsia="仿宋_GB2312" w:cs="Times New Roman"/>
          <w:kern w:val="2"/>
          <w:sz w:val="32"/>
          <w:szCs w:val="32"/>
          <w:lang w:val="en-US" w:eastAsia="zh-CN" w:bidi="ar-SA"/>
        </w:rPr>
        <w:t>程建设项目以项目形式参加补充工伤保险的，应及时更新劳务人员信息，若工程项目延期并办理工伤保险延期手续，视同补充工伤保险已办理延期手续。</w:t>
      </w:r>
    </w:p>
    <w:p w14:paraId="065AD4D6">
      <w:pPr>
        <w:pStyle w:val="10"/>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firstLine="615"/>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b/>
          <w:bCs/>
          <w:kern w:val="2"/>
          <w:sz w:val="32"/>
          <w:szCs w:val="32"/>
          <w:lang w:val="en-US" w:eastAsia="zh-CN" w:bidi="ar-SA"/>
        </w:rPr>
        <w:t>第二十三条</w:t>
      </w:r>
      <w:r>
        <w:rPr>
          <w:rFonts w:hint="eastAsia" w:ascii="Times New Roman" w:hAnsi="Times New Roman" w:eastAsia="仿宋_GB2312" w:cs="Times New Roman"/>
          <w:kern w:val="2"/>
          <w:sz w:val="32"/>
          <w:szCs w:val="32"/>
          <w:lang w:val="en-US" w:eastAsia="zh-CN" w:bidi="ar-SA"/>
        </w:rPr>
        <w:t>　已参加工伤保险的单位参加补充工伤保险发生工伤后，除享受正常工伤保险待遇外，还可享受以下待遇:</w:t>
      </w:r>
    </w:p>
    <w:p w14:paraId="60DADA78">
      <w:pPr>
        <w:pStyle w:val="10"/>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firstLine="615"/>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1.停工留薪期护理补偿金；</w:t>
      </w:r>
    </w:p>
    <w:p w14:paraId="66D14059">
      <w:pPr>
        <w:pStyle w:val="10"/>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firstLine="615"/>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2.停工留薪期工资补偿金；</w:t>
      </w:r>
    </w:p>
    <w:p w14:paraId="6FE322BD">
      <w:pPr>
        <w:pStyle w:val="10"/>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firstLine="615"/>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3.一次性伤残就业补偿金；</w:t>
      </w:r>
    </w:p>
    <w:p w14:paraId="54929080">
      <w:pPr>
        <w:pStyle w:val="10"/>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firstLine="615"/>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 xml:space="preserve">4.一次性伤残补偿金；                      </w:t>
      </w:r>
    </w:p>
    <w:p w14:paraId="305FD595">
      <w:pPr>
        <w:pStyle w:val="10"/>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firstLine="615"/>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5.一次性工亡补偿金。</w:t>
      </w:r>
    </w:p>
    <w:p w14:paraId="39567119">
      <w:pPr>
        <w:pStyle w:val="10"/>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firstLine="615"/>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b/>
          <w:bCs/>
          <w:kern w:val="2"/>
          <w:sz w:val="32"/>
          <w:szCs w:val="32"/>
          <w:lang w:val="en-US" w:eastAsia="zh-CN" w:bidi="ar-SA"/>
        </w:rPr>
        <w:t>第二十四条</w:t>
      </w:r>
      <w:r>
        <w:rPr>
          <w:rFonts w:hint="eastAsia" w:ascii="Times New Roman" w:hAnsi="Times New Roman" w:eastAsia="仿宋_GB2312" w:cs="Times New Roman"/>
          <w:kern w:val="2"/>
          <w:sz w:val="32"/>
          <w:szCs w:val="32"/>
          <w:lang w:val="en-US" w:eastAsia="zh-CN" w:bidi="ar-SA"/>
        </w:rPr>
        <w:t>　特定人员的补充工伤保险待遇包含以下项目：</w:t>
      </w:r>
    </w:p>
    <w:p w14:paraId="219FDB92">
      <w:pPr>
        <w:pStyle w:val="10"/>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firstLine="615"/>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 xml:space="preserve">1.一次性工亡补偿金；   </w:t>
      </w:r>
    </w:p>
    <w:p w14:paraId="13C24538">
      <w:pPr>
        <w:pStyle w:val="10"/>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firstLine="615"/>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2.一次性伤残补偿金；</w:t>
      </w:r>
    </w:p>
    <w:p w14:paraId="37439F47">
      <w:pPr>
        <w:pStyle w:val="10"/>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firstLine="615"/>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3.工伤医疗补偿金。</w:t>
      </w:r>
    </w:p>
    <w:p w14:paraId="01AACEFE">
      <w:pPr>
        <w:pStyle w:val="10"/>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firstLine="615"/>
        <w:jc w:val="left"/>
        <w:textAlignment w:val="auto"/>
        <w:rPr>
          <w:rFonts w:hint="eastAsia" w:ascii="Times New Roman" w:hAnsi="Times New Roman" w:eastAsia="仿宋_GB2312" w:cs="Times New Roman"/>
          <w:kern w:val="2"/>
          <w:sz w:val="32"/>
          <w:szCs w:val="32"/>
          <w:highlight w:val="none"/>
          <w:lang w:val="en-US" w:eastAsia="zh-CN" w:bidi="ar-SA"/>
        </w:rPr>
      </w:pPr>
      <w:r>
        <w:rPr>
          <w:rFonts w:hint="eastAsia" w:ascii="Times New Roman" w:hAnsi="Times New Roman" w:eastAsia="仿宋_GB2312" w:cs="Times New Roman"/>
          <w:b/>
          <w:bCs/>
          <w:kern w:val="2"/>
          <w:sz w:val="32"/>
          <w:szCs w:val="32"/>
          <w:lang w:val="en-US" w:eastAsia="zh-CN" w:bidi="ar-SA"/>
        </w:rPr>
        <w:t>第二十五条</w:t>
      </w:r>
      <w:r>
        <w:rPr>
          <w:rFonts w:hint="eastAsia" w:ascii="Times New Roman" w:hAnsi="Times New Roman" w:eastAsia="仿宋_GB2312" w:cs="Times New Roman"/>
          <w:kern w:val="2"/>
          <w:sz w:val="32"/>
          <w:szCs w:val="32"/>
          <w:lang w:val="en-US" w:eastAsia="zh-CN" w:bidi="ar-SA"/>
        </w:rPr>
        <w:t>　承办机构承办的补充工伤保险期满后，参保人住院治疗未终结的，承办机构继续承担相关保险责任至其出院，但最长不超过保险期满之日起第60天。</w:t>
      </w:r>
    </w:p>
    <w:p w14:paraId="7037F5E5">
      <w:pPr>
        <w:pStyle w:val="10"/>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firstLine="615"/>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b/>
          <w:bCs/>
          <w:kern w:val="2"/>
          <w:sz w:val="32"/>
          <w:szCs w:val="32"/>
          <w:lang w:val="en-US" w:eastAsia="zh-CN" w:bidi="ar-SA"/>
        </w:rPr>
        <w:t>第二十六条</w:t>
      </w:r>
      <w:r>
        <w:rPr>
          <w:rFonts w:hint="eastAsia" w:ascii="Times New Roman" w:hAnsi="Times New Roman" w:eastAsia="仿宋_GB2312" w:cs="Times New Roman"/>
          <w:kern w:val="2"/>
          <w:sz w:val="32"/>
          <w:szCs w:val="32"/>
          <w:lang w:val="en-US" w:eastAsia="zh-CN" w:bidi="ar-SA"/>
        </w:rPr>
        <w:t>　用人单位申报一次性伤残就业补偿金时，应出具参保人解除劳动、劳务关系或者合同期满终止的证明材料，领取一次性伤残就业补偿金后，补充工伤保险关系终止，不再享受补充工伤保险待遇。</w:t>
      </w:r>
    </w:p>
    <w:p w14:paraId="29994C80">
      <w:pPr>
        <w:pStyle w:val="10"/>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firstLine="615"/>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超法定退休年龄人员、新就业形态从业人员、灵活就业人员和农民专业合作社从业人员遭受事故伤害后领取一次性伤残补偿金后，补充工伤保险关系自然终止，不再享受补充工伤保险待遇。</w:t>
      </w:r>
    </w:p>
    <w:p w14:paraId="216220EB">
      <w:pPr>
        <w:pStyle w:val="10"/>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firstLine="615"/>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b/>
          <w:bCs/>
          <w:kern w:val="2"/>
          <w:sz w:val="32"/>
          <w:szCs w:val="32"/>
          <w:lang w:val="en-US" w:eastAsia="zh-CN" w:bidi="ar-SA"/>
        </w:rPr>
        <w:t>第二十七条</w:t>
      </w:r>
      <w:r>
        <w:rPr>
          <w:rFonts w:hint="eastAsia" w:ascii="Times New Roman" w:hAnsi="Times New Roman" w:eastAsia="仿宋_GB2312" w:cs="Times New Roman"/>
          <w:kern w:val="2"/>
          <w:sz w:val="32"/>
          <w:szCs w:val="32"/>
          <w:lang w:val="en-US" w:eastAsia="zh-CN" w:bidi="ar-SA"/>
        </w:rPr>
        <w:t>　补充工伤保险理赔由参保单位或灵活就业人员申请，经审核符合待遇支付条件的，理赔手续齐全后，承办机构应在10个工作日完成待遇支付。</w:t>
      </w:r>
    </w:p>
    <w:p w14:paraId="227606F8">
      <w:pPr>
        <w:pStyle w:val="10"/>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firstLine="615"/>
        <w:jc w:val="left"/>
        <w:textAlignment w:val="auto"/>
        <w:rPr>
          <w:rFonts w:hint="eastAsia" w:ascii="黑体" w:hAnsi="黑体" w:eastAsia="黑体" w:cs="黑体"/>
          <w:kern w:val="2"/>
          <w:sz w:val="32"/>
          <w:szCs w:val="32"/>
          <w:lang w:val="en-US" w:eastAsia="zh-CN" w:bidi="ar-SA"/>
        </w:rPr>
      </w:pPr>
      <w:r>
        <w:rPr>
          <w:rFonts w:hint="eastAsia" w:ascii="Times New Roman" w:hAnsi="Times New Roman" w:eastAsia="仿宋_GB2312" w:cs="Times New Roman"/>
          <w:b/>
          <w:bCs/>
          <w:kern w:val="2"/>
          <w:sz w:val="32"/>
          <w:szCs w:val="32"/>
          <w:lang w:val="en-US" w:eastAsia="zh-CN" w:bidi="ar-SA"/>
        </w:rPr>
        <w:t>第二十八条</w:t>
      </w:r>
      <w:r>
        <w:rPr>
          <w:rFonts w:hint="eastAsia" w:ascii="Times New Roman" w:hAnsi="Times New Roman" w:eastAsia="仿宋_GB2312" w:cs="Times New Roman"/>
          <w:kern w:val="2"/>
          <w:sz w:val="32"/>
          <w:szCs w:val="32"/>
          <w:lang w:val="en-US" w:eastAsia="zh-CN" w:bidi="ar-SA"/>
        </w:rPr>
        <w:t>　补充工伤保险待遇原则上支付给参保单位（灵活就业人员），停工留薪期护理补偿金、停工留薪期工资补偿金、一次性伤残就业补偿金、一次性伤残补偿金由参保单位支配，一次性工亡补偿金、工伤医疗补偿金由参保单位支付给工伤人员。</w:t>
      </w:r>
    </w:p>
    <w:p w14:paraId="0CE8188C">
      <w:pPr>
        <w:pStyle w:val="10"/>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jc w:val="left"/>
        <w:textAlignment w:val="auto"/>
        <w:rPr>
          <w:rFonts w:hint="eastAsia" w:ascii="黑体" w:hAnsi="黑体" w:eastAsia="黑体" w:cs="黑体"/>
          <w:kern w:val="2"/>
          <w:sz w:val="32"/>
          <w:szCs w:val="32"/>
          <w:lang w:val="en-US" w:eastAsia="zh-CN" w:bidi="ar-SA"/>
        </w:rPr>
      </w:pPr>
    </w:p>
    <w:p w14:paraId="6F83A7F5">
      <w:pPr>
        <w:pStyle w:val="10"/>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jc w:val="center"/>
        <w:textAlignment w:val="auto"/>
        <w:rPr>
          <w:rFonts w:hint="eastAsia" w:ascii="Times New Roman" w:hAnsi="Times New Roman" w:eastAsia="仿宋_GB2312" w:cs="Times New Roman"/>
          <w:kern w:val="2"/>
          <w:sz w:val="32"/>
          <w:szCs w:val="32"/>
          <w:lang w:val="en-US" w:eastAsia="zh-CN" w:bidi="ar-SA"/>
        </w:rPr>
      </w:pPr>
      <w:r>
        <w:rPr>
          <w:rFonts w:hint="eastAsia" w:ascii="黑体" w:hAnsi="黑体" w:eastAsia="黑体" w:cs="黑体"/>
          <w:kern w:val="2"/>
          <w:sz w:val="32"/>
          <w:szCs w:val="32"/>
          <w:lang w:val="en-US" w:eastAsia="zh-CN" w:bidi="ar-SA"/>
        </w:rPr>
        <w:t>第七章  监督管理</w:t>
      </w:r>
    </w:p>
    <w:p w14:paraId="5E6AC862">
      <w:pPr>
        <w:pStyle w:val="10"/>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firstLine="615"/>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b/>
          <w:bCs/>
          <w:kern w:val="2"/>
          <w:sz w:val="32"/>
          <w:szCs w:val="32"/>
          <w:lang w:val="en-US" w:eastAsia="zh-CN" w:bidi="ar-SA"/>
        </w:rPr>
        <w:t>第二十九条</w:t>
      </w:r>
      <w:r>
        <w:rPr>
          <w:rFonts w:hint="eastAsia" w:ascii="Times New Roman" w:hAnsi="Times New Roman" w:eastAsia="仿宋_GB2312" w:cs="Times New Roman"/>
          <w:kern w:val="2"/>
          <w:sz w:val="32"/>
          <w:szCs w:val="32"/>
          <w:lang w:val="en-US" w:eastAsia="zh-CN" w:bidi="ar-SA"/>
        </w:rPr>
        <w:t xml:space="preserve"> 承办机构应设立单独的补充工伤保险费账户或成本中心。</w:t>
      </w:r>
    </w:p>
    <w:p w14:paraId="0BDA2406">
      <w:pPr>
        <w:pStyle w:val="10"/>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firstLine="615"/>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b/>
          <w:bCs/>
          <w:kern w:val="2"/>
          <w:sz w:val="32"/>
          <w:szCs w:val="32"/>
          <w:lang w:val="en-US" w:eastAsia="zh-CN" w:bidi="ar-SA"/>
        </w:rPr>
        <w:t>第三十条</w:t>
      </w:r>
      <w:r>
        <w:rPr>
          <w:rFonts w:hint="eastAsia" w:ascii="Times New Roman" w:hAnsi="Times New Roman" w:eastAsia="仿宋_GB2312" w:cs="Times New Roman"/>
          <w:kern w:val="2"/>
          <w:sz w:val="32"/>
          <w:szCs w:val="32"/>
          <w:lang w:val="en-US" w:eastAsia="zh-CN" w:bidi="ar-SA"/>
        </w:rPr>
        <w:t xml:space="preserve"> 承办机构应强化管理，优化经办流程，切实提高服务质量，为补充工伤保险业务经办创造良好条件。努力扩大补充工伤保险覆盖面，加强政策宣传、数据分析、项目核算，定期向州人力资源和社会保障局报告项目的承保、理赔和盈亏等运营情况。</w:t>
      </w:r>
    </w:p>
    <w:p w14:paraId="6632AAA3">
      <w:pPr>
        <w:pStyle w:val="10"/>
        <w:keepNext w:val="0"/>
        <w:keepLines w:val="0"/>
        <w:pageBreakBefore w:val="0"/>
        <w:widowControl w:val="0"/>
        <w:suppressLineNumbers w:val="0"/>
        <w:kinsoku w:val="0"/>
        <w:wordWrap/>
        <w:overflowPunct w:val="0"/>
        <w:topLinePunct w:val="0"/>
        <w:autoSpaceDE w:val="0"/>
        <w:autoSpaceDN w:val="0"/>
        <w:bidi w:val="0"/>
        <w:adjustRightInd/>
        <w:snapToGrid/>
        <w:spacing w:beforeAutospacing="0" w:after="0" w:afterAutospacing="0" w:line="560" w:lineRule="exact"/>
        <w:ind w:left="0" w:firstLine="612"/>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b/>
          <w:bCs/>
          <w:kern w:val="2"/>
          <w:sz w:val="32"/>
          <w:szCs w:val="32"/>
          <w:lang w:val="en-US" w:eastAsia="zh-CN" w:bidi="ar-SA"/>
        </w:rPr>
        <w:t>第三十一条</w:t>
      </w:r>
      <w:r>
        <w:rPr>
          <w:rFonts w:hint="eastAsia" w:ascii="Times New Roman" w:hAnsi="Times New Roman" w:eastAsia="仿宋_GB2312" w:cs="Times New Roman"/>
          <w:kern w:val="2"/>
          <w:sz w:val="32"/>
          <w:szCs w:val="32"/>
          <w:lang w:val="en-US" w:eastAsia="zh-CN" w:bidi="ar-SA"/>
        </w:rPr>
        <w:t xml:space="preserve"> 州人力资源和社会保障局对承办机构进行业务指导和监管，对参保缴费、事故伤害调查、认定鉴定、待遇支付、宣传培训、运营情况等进行监督。</w:t>
      </w:r>
    </w:p>
    <w:p w14:paraId="64C8DC5C">
      <w:pPr>
        <w:pStyle w:val="10"/>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jc w:val="left"/>
        <w:textAlignment w:val="auto"/>
        <w:rPr>
          <w:rFonts w:hint="eastAsia" w:ascii="黑体" w:hAnsi="黑体" w:eastAsia="黑体" w:cs="黑体"/>
          <w:kern w:val="2"/>
          <w:sz w:val="32"/>
          <w:szCs w:val="32"/>
          <w:lang w:val="en-US" w:eastAsia="zh-CN" w:bidi="ar-SA"/>
        </w:rPr>
      </w:pPr>
    </w:p>
    <w:p w14:paraId="21CE03AE">
      <w:pPr>
        <w:pStyle w:val="10"/>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jc w:val="center"/>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第八章  附则</w:t>
      </w:r>
    </w:p>
    <w:p w14:paraId="3B65776F">
      <w:pPr>
        <w:pStyle w:val="10"/>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firstLine="615"/>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b/>
          <w:bCs/>
          <w:kern w:val="2"/>
          <w:sz w:val="32"/>
          <w:szCs w:val="32"/>
          <w:lang w:val="en-US" w:eastAsia="zh-CN" w:bidi="ar-SA"/>
        </w:rPr>
        <w:t>第三十二条</w:t>
      </w:r>
      <w:r>
        <w:rPr>
          <w:rFonts w:hint="eastAsia" w:ascii="Times New Roman" w:hAnsi="Times New Roman" w:eastAsia="仿宋_GB2312" w:cs="Times New Roman"/>
          <w:kern w:val="2"/>
          <w:sz w:val="32"/>
          <w:szCs w:val="32"/>
          <w:lang w:val="en-US" w:eastAsia="zh-CN" w:bidi="ar-SA"/>
        </w:rPr>
        <w:t>　补充工伤保险的参保范围、缴费标准和待遇标准等政策，由州人力资源和社会保障局会同有关部门根据国家、自治区工伤保险政策变化和补充工伤保险实施情况适时进行调整，并向社会公布。</w:t>
      </w:r>
    </w:p>
    <w:p w14:paraId="5F1C365E">
      <w:pPr>
        <w:pStyle w:val="10"/>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firstLine="615"/>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b/>
          <w:bCs/>
          <w:kern w:val="2"/>
          <w:sz w:val="32"/>
          <w:szCs w:val="32"/>
          <w:lang w:val="en-US" w:eastAsia="zh-CN" w:bidi="ar-SA"/>
        </w:rPr>
        <w:t>第三十三条</w:t>
      </w:r>
      <w:r>
        <w:rPr>
          <w:rFonts w:hint="eastAsia" w:ascii="Times New Roman" w:hAnsi="Times New Roman" w:eastAsia="仿宋_GB2312" w:cs="Times New Roman"/>
          <w:kern w:val="2"/>
          <w:sz w:val="32"/>
          <w:szCs w:val="32"/>
          <w:lang w:val="en-US" w:eastAsia="zh-CN" w:bidi="ar-SA"/>
        </w:rPr>
        <w:t>　参保单位、参保人与承办机构发生争议时，由争议各方协商解决，协商不成的，可依法向人民法院提起民事诉讼，承办机构应将诉讼结果向参保地人力资源和社会保障局报备。</w:t>
      </w:r>
    </w:p>
    <w:p w14:paraId="2AE470C8">
      <w:pPr>
        <w:pStyle w:val="10"/>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firstLine="615"/>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b/>
          <w:bCs/>
          <w:kern w:val="2"/>
          <w:sz w:val="32"/>
          <w:szCs w:val="32"/>
          <w:lang w:val="en-US" w:eastAsia="zh-CN" w:bidi="ar-SA"/>
        </w:rPr>
        <w:t>第三十四条</w:t>
      </w:r>
      <w:r>
        <w:rPr>
          <w:rFonts w:hint="eastAsia" w:ascii="Times New Roman" w:hAnsi="Times New Roman" w:eastAsia="仿宋_GB2312" w:cs="Times New Roman"/>
          <w:kern w:val="2"/>
          <w:sz w:val="32"/>
          <w:szCs w:val="32"/>
          <w:lang w:val="en-US" w:eastAsia="zh-CN" w:bidi="ar-SA"/>
        </w:rPr>
        <w:t>　建立以服务质量、保障水平和满意度为核心的补充工伤保险委托承办评估机制，强化评估结果在盈利率控制、准入准出等方面的应用，评估办法由昌吉州人力资源和社会保障局会同有关部门另行确定。</w:t>
      </w:r>
    </w:p>
    <w:p w14:paraId="3F34EE49">
      <w:pPr>
        <w:pStyle w:val="10"/>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firstLine="615"/>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b/>
          <w:bCs/>
          <w:kern w:val="2"/>
          <w:sz w:val="32"/>
          <w:szCs w:val="32"/>
          <w:lang w:val="en-US" w:eastAsia="zh-CN" w:bidi="ar-SA"/>
        </w:rPr>
        <w:t>第三十五条</w:t>
      </w:r>
      <w:r>
        <w:rPr>
          <w:rFonts w:hint="eastAsia" w:ascii="Times New Roman" w:hAnsi="Times New Roman" w:eastAsia="仿宋_GB2312" w:cs="Times New Roman"/>
          <w:kern w:val="2"/>
          <w:sz w:val="32"/>
          <w:szCs w:val="32"/>
          <w:lang w:val="en-US" w:eastAsia="zh-CN" w:bidi="ar-SA"/>
        </w:rPr>
        <w:t>　本办法</w:t>
      </w:r>
      <w:r>
        <w:rPr>
          <w:rFonts w:hint="eastAsia" w:ascii="Times New Roman" w:hAnsi="Times New Roman" w:eastAsia="仿宋_GB2312" w:cs="Times New Roman"/>
          <w:b w:val="0"/>
          <w:bCs w:val="0"/>
          <w:kern w:val="2"/>
          <w:sz w:val="32"/>
          <w:szCs w:val="32"/>
          <w:lang w:val="en-US" w:eastAsia="zh-CN" w:bidi="ar-SA"/>
        </w:rPr>
        <w:t>自  年  月  日起施</w:t>
      </w:r>
      <w:r>
        <w:rPr>
          <w:rFonts w:hint="eastAsia" w:ascii="Times New Roman" w:hAnsi="Times New Roman" w:eastAsia="仿宋_GB2312" w:cs="Times New Roman"/>
          <w:kern w:val="2"/>
          <w:sz w:val="32"/>
          <w:szCs w:val="32"/>
          <w:lang w:val="en-US" w:eastAsia="zh-CN" w:bidi="ar-SA"/>
        </w:rPr>
        <w:t>行，国家和自治区有新规定的从其规定。</w:t>
      </w:r>
    </w:p>
    <w:p w14:paraId="3F267754">
      <w:pPr>
        <w:pStyle w:val="10"/>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firstLine="615"/>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b/>
          <w:bCs/>
          <w:kern w:val="2"/>
          <w:sz w:val="32"/>
          <w:szCs w:val="32"/>
          <w:lang w:val="en-US" w:eastAsia="zh-CN" w:bidi="ar-SA"/>
        </w:rPr>
        <w:t>第三十六条</w:t>
      </w:r>
      <w:r>
        <w:rPr>
          <w:rFonts w:hint="eastAsia" w:ascii="Times New Roman" w:hAnsi="Times New Roman" w:eastAsia="仿宋_GB2312" w:cs="Times New Roman"/>
          <w:kern w:val="2"/>
          <w:sz w:val="32"/>
          <w:szCs w:val="32"/>
          <w:lang w:val="en-US" w:eastAsia="zh-CN" w:bidi="ar-SA"/>
        </w:rPr>
        <w:t>　本办法由昌吉回族自治州人力资源和社会保障局负责解释。</w:t>
      </w:r>
    </w:p>
    <w:p w14:paraId="4E378059">
      <w:pPr>
        <w:pStyle w:val="10"/>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jc w:val="left"/>
        <w:textAlignment w:val="auto"/>
        <w:rPr>
          <w:rFonts w:hint="eastAsia" w:ascii="Times New Roman" w:hAnsi="Times New Roman" w:eastAsia="仿宋_GB2312" w:cs="Times New Roman"/>
          <w:kern w:val="2"/>
          <w:sz w:val="32"/>
          <w:szCs w:val="32"/>
          <w:lang w:val="en-US" w:eastAsia="zh-CN" w:bidi="ar-SA"/>
        </w:rPr>
      </w:pPr>
    </w:p>
    <w:p w14:paraId="24734455">
      <w:pPr>
        <w:pStyle w:val="10"/>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1918" w:leftChars="304" w:hanging="1280" w:hangingChars="40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附件：1.昌吉州单位及建设项目补充工伤保险缴费及赔付项目标准</w:t>
      </w:r>
    </w:p>
    <w:p w14:paraId="1506ECCC">
      <w:pPr>
        <w:pStyle w:val="10"/>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1916" w:leftChars="760" w:hanging="320" w:hangingChars="10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2.昌吉州特定人员补充工伤保险缴费及赔付项目标准（一）</w:t>
      </w:r>
    </w:p>
    <w:p w14:paraId="47078AE5">
      <w:pPr>
        <w:pStyle w:val="10"/>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1916" w:leftChars="760" w:hanging="320" w:hangingChars="10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3.昌吉州特定人员补充工伤保险缴费及赔付项目标准（二）</w:t>
      </w:r>
    </w:p>
    <w:p w14:paraId="42373546">
      <w:pPr>
        <w:pStyle w:val="10"/>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ind w:left="1916" w:leftChars="760" w:hanging="320" w:hangingChars="10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4.昌吉州特定人员补充工伤保险缴费及赔付项目标准（三）</w:t>
      </w:r>
    </w:p>
    <w:p w14:paraId="27F8F5E7">
      <w:pPr>
        <w:pStyle w:val="10"/>
        <w:keepNext w:val="0"/>
        <w:keepLines w:val="0"/>
        <w:pageBreakBefore w:val="0"/>
        <w:widowControl/>
        <w:suppressLineNumbers w:val="0"/>
        <w:kinsoku/>
        <w:wordWrap/>
        <w:overflowPunct/>
        <w:topLinePunct w:val="0"/>
        <w:autoSpaceDE/>
        <w:autoSpaceDN/>
        <w:bidi w:val="0"/>
        <w:adjustRightInd/>
        <w:snapToGrid/>
        <w:spacing w:beforeAutospacing="0" w:after="150" w:afterAutospacing="0" w:line="440" w:lineRule="exact"/>
        <w:textAlignment w:val="auto"/>
        <w:rPr>
          <w:rFonts w:hint="eastAsia" w:ascii="仿宋_GB2312" w:hAnsi="仿宋_GB2312" w:eastAsia="仿宋_GB2312" w:cs="仿宋_GB2312"/>
          <w:color w:val="auto"/>
          <w:spacing w:val="30"/>
          <w:sz w:val="32"/>
          <w:szCs w:val="32"/>
          <w:lang w:val="en-US" w:eastAsia="zh-CN"/>
        </w:rPr>
      </w:pPr>
    </w:p>
    <w:p w14:paraId="0B12DC19">
      <w:pPr>
        <w:pStyle w:val="10"/>
        <w:keepNext w:val="0"/>
        <w:keepLines w:val="0"/>
        <w:pageBreakBefore w:val="0"/>
        <w:widowControl/>
        <w:suppressLineNumbers w:val="0"/>
        <w:kinsoku/>
        <w:wordWrap/>
        <w:overflowPunct/>
        <w:topLinePunct w:val="0"/>
        <w:autoSpaceDE/>
        <w:autoSpaceDN/>
        <w:bidi w:val="0"/>
        <w:adjustRightInd/>
        <w:snapToGrid/>
        <w:spacing w:beforeAutospacing="0" w:after="150" w:afterAutospacing="0" w:line="440" w:lineRule="exact"/>
        <w:textAlignment w:val="auto"/>
        <w:rPr>
          <w:rFonts w:hint="eastAsia" w:ascii="仿宋_GB2312" w:hAnsi="仿宋_GB2312" w:eastAsia="仿宋_GB2312" w:cs="仿宋_GB2312"/>
          <w:color w:val="auto"/>
          <w:spacing w:val="30"/>
          <w:sz w:val="32"/>
          <w:szCs w:val="32"/>
          <w:lang w:val="en-US" w:eastAsia="zh-CN"/>
        </w:rPr>
      </w:pPr>
    </w:p>
    <w:p w14:paraId="608BAEDC">
      <w:pPr>
        <w:pStyle w:val="10"/>
        <w:keepNext w:val="0"/>
        <w:keepLines w:val="0"/>
        <w:pageBreakBefore w:val="0"/>
        <w:widowControl/>
        <w:suppressLineNumbers w:val="0"/>
        <w:kinsoku/>
        <w:wordWrap/>
        <w:overflowPunct/>
        <w:topLinePunct w:val="0"/>
        <w:autoSpaceDE/>
        <w:autoSpaceDN/>
        <w:bidi w:val="0"/>
        <w:adjustRightInd/>
        <w:snapToGrid/>
        <w:spacing w:beforeAutospacing="0" w:after="150" w:afterAutospacing="0" w:line="440" w:lineRule="exact"/>
        <w:textAlignment w:val="auto"/>
        <w:rPr>
          <w:rFonts w:hint="eastAsia" w:ascii="仿宋_GB2312" w:hAnsi="仿宋_GB2312" w:eastAsia="仿宋_GB2312" w:cs="仿宋_GB2312"/>
          <w:color w:val="auto"/>
          <w:spacing w:val="30"/>
          <w:sz w:val="32"/>
          <w:szCs w:val="32"/>
          <w:lang w:val="en-US" w:eastAsia="zh-CN"/>
        </w:rPr>
      </w:pPr>
    </w:p>
    <w:p w14:paraId="739C2E8D">
      <w:pPr>
        <w:pStyle w:val="10"/>
        <w:keepNext w:val="0"/>
        <w:keepLines w:val="0"/>
        <w:pageBreakBefore w:val="0"/>
        <w:widowControl/>
        <w:suppressLineNumbers w:val="0"/>
        <w:kinsoku/>
        <w:wordWrap/>
        <w:overflowPunct/>
        <w:topLinePunct w:val="0"/>
        <w:autoSpaceDE/>
        <w:autoSpaceDN/>
        <w:bidi w:val="0"/>
        <w:adjustRightInd/>
        <w:snapToGrid/>
        <w:spacing w:beforeAutospacing="0" w:after="150" w:afterAutospacing="0" w:line="440" w:lineRule="exact"/>
        <w:textAlignment w:val="auto"/>
        <w:rPr>
          <w:rFonts w:hint="eastAsia" w:ascii="仿宋_GB2312" w:hAnsi="仿宋_GB2312" w:eastAsia="仿宋_GB2312" w:cs="仿宋_GB2312"/>
          <w:color w:val="auto"/>
          <w:spacing w:val="30"/>
          <w:sz w:val="32"/>
          <w:szCs w:val="32"/>
          <w:lang w:val="en-US" w:eastAsia="zh-CN"/>
        </w:rPr>
      </w:pPr>
    </w:p>
    <w:p w14:paraId="5B45FDD4">
      <w:pPr>
        <w:pStyle w:val="10"/>
        <w:keepNext w:val="0"/>
        <w:keepLines w:val="0"/>
        <w:pageBreakBefore w:val="0"/>
        <w:widowControl/>
        <w:suppressLineNumbers w:val="0"/>
        <w:kinsoku/>
        <w:wordWrap/>
        <w:overflowPunct/>
        <w:topLinePunct w:val="0"/>
        <w:autoSpaceDE/>
        <w:autoSpaceDN/>
        <w:bidi w:val="0"/>
        <w:adjustRightInd/>
        <w:snapToGrid/>
        <w:spacing w:beforeAutospacing="0" w:after="150" w:afterAutospacing="0" w:line="440" w:lineRule="exact"/>
        <w:textAlignment w:val="auto"/>
        <w:rPr>
          <w:rFonts w:hint="eastAsia" w:ascii="仿宋_GB2312" w:hAnsi="仿宋_GB2312" w:eastAsia="仿宋_GB2312" w:cs="仿宋_GB2312"/>
          <w:color w:val="auto"/>
          <w:spacing w:val="30"/>
          <w:sz w:val="32"/>
          <w:szCs w:val="32"/>
          <w:lang w:val="en-US" w:eastAsia="zh-CN"/>
        </w:rPr>
      </w:pPr>
    </w:p>
    <w:p w14:paraId="3F2DEBF3">
      <w:pPr>
        <w:pStyle w:val="10"/>
        <w:keepNext w:val="0"/>
        <w:keepLines w:val="0"/>
        <w:pageBreakBefore w:val="0"/>
        <w:widowControl/>
        <w:suppressLineNumbers w:val="0"/>
        <w:kinsoku/>
        <w:wordWrap/>
        <w:overflowPunct/>
        <w:topLinePunct w:val="0"/>
        <w:autoSpaceDE/>
        <w:autoSpaceDN/>
        <w:bidi w:val="0"/>
        <w:adjustRightInd/>
        <w:snapToGrid/>
        <w:spacing w:beforeAutospacing="0" w:after="150" w:afterAutospacing="0" w:line="440" w:lineRule="exact"/>
        <w:textAlignment w:val="auto"/>
        <w:rPr>
          <w:rFonts w:hint="eastAsia" w:ascii="仿宋_GB2312" w:hAnsi="仿宋_GB2312" w:eastAsia="仿宋_GB2312" w:cs="仿宋_GB2312"/>
          <w:color w:val="auto"/>
          <w:spacing w:val="30"/>
          <w:sz w:val="32"/>
          <w:szCs w:val="32"/>
          <w:lang w:val="en-US" w:eastAsia="zh-CN"/>
        </w:rPr>
      </w:pPr>
    </w:p>
    <w:p w14:paraId="05552B88">
      <w:pPr>
        <w:pStyle w:val="10"/>
        <w:keepNext w:val="0"/>
        <w:keepLines w:val="0"/>
        <w:pageBreakBefore w:val="0"/>
        <w:widowControl/>
        <w:suppressLineNumbers w:val="0"/>
        <w:kinsoku/>
        <w:wordWrap/>
        <w:overflowPunct/>
        <w:topLinePunct w:val="0"/>
        <w:autoSpaceDE/>
        <w:autoSpaceDN/>
        <w:bidi w:val="0"/>
        <w:adjustRightInd/>
        <w:snapToGrid/>
        <w:spacing w:beforeAutospacing="0" w:after="150" w:afterAutospacing="0" w:line="440" w:lineRule="exact"/>
        <w:textAlignment w:val="auto"/>
        <w:rPr>
          <w:rFonts w:hint="eastAsia" w:ascii="仿宋_GB2312" w:hAnsi="仿宋_GB2312" w:eastAsia="仿宋_GB2312" w:cs="仿宋_GB2312"/>
          <w:color w:val="auto"/>
          <w:spacing w:val="30"/>
          <w:sz w:val="32"/>
          <w:szCs w:val="32"/>
          <w:lang w:val="en-US" w:eastAsia="zh-CN"/>
        </w:rPr>
      </w:pPr>
    </w:p>
    <w:p w14:paraId="2BE9AFE9">
      <w:pPr>
        <w:pStyle w:val="10"/>
        <w:keepNext w:val="0"/>
        <w:keepLines w:val="0"/>
        <w:pageBreakBefore w:val="0"/>
        <w:widowControl/>
        <w:suppressLineNumbers w:val="0"/>
        <w:kinsoku/>
        <w:wordWrap/>
        <w:overflowPunct/>
        <w:topLinePunct w:val="0"/>
        <w:autoSpaceDE/>
        <w:autoSpaceDN/>
        <w:bidi w:val="0"/>
        <w:adjustRightInd/>
        <w:snapToGrid/>
        <w:spacing w:beforeAutospacing="0" w:after="150" w:afterAutospacing="0" w:line="440" w:lineRule="exact"/>
        <w:textAlignment w:val="auto"/>
        <w:rPr>
          <w:rFonts w:hint="eastAsia" w:ascii="仿宋_GB2312" w:hAnsi="仿宋_GB2312" w:eastAsia="仿宋_GB2312" w:cs="仿宋_GB2312"/>
          <w:color w:val="auto"/>
          <w:spacing w:val="30"/>
          <w:sz w:val="32"/>
          <w:szCs w:val="32"/>
          <w:lang w:val="en-US" w:eastAsia="zh-CN"/>
        </w:rPr>
      </w:pPr>
    </w:p>
    <w:p w14:paraId="3E66BFFC">
      <w:pPr>
        <w:pStyle w:val="10"/>
        <w:keepNext w:val="0"/>
        <w:keepLines w:val="0"/>
        <w:pageBreakBefore w:val="0"/>
        <w:widowControl/>
        <w:suppressLineNumbers w:val="0"/>
        <w:kinsoku/>
        <w:wordWrap/>
        <w:overflowPunct/>
        <w:topLinePunct w:val="0"/>
        <w:autoSpaceDE/>
        <w:autoSpaceDN/>
        <w:bidi w:val="0"/>
        <w:adjustRightInd/>
        <w:snapToGrid/>
        <w:spacing w:beforeAutospacing="0" w:after="150" w:afterAutospacing="0" w:line="440" w:lineRule="exact"/>
        <w:textAlignment w:val="auto"/>
        <w:rPr>
          <w:rFonts w:hint="eastAsia" w:ascii="仿宋_GB2312" w:hAnsi="仿宋_GB2312" w:eastAsia="仿宋_GB2312" w:cs="仿宋_GB2312"/>
          <w:color w:val="auto"/>
          <w:spacing w:val="30"/>
          <w:sz w:val="32"/>
          <w:szCs w:val="32"/>
          <w:lang w:val="en-US" w:eastAsia="zh-CN"/>
        </w:rPr>
      </w:pPr>
    </w:p>
    <w:p w14:paraId="08DD369D">
      <w:pPr>
        <w:pStyle w:val="10"/>
        <w:keepNext w:val="0"/>
        <w:keepLines w:val="0"/>
        <w:pageBreakBefore w:val="0"/>
        <w:widowControl/>
        <w:suppressLineNumbers w:val="0"/>
        <w:kinsoku/>
        <w:wordWrap/>
        <w:overflowPunct/>
        <w:topLinePunct w:val="0"/>
        <w:autoSpaceDE/>
        <w:autoSpaceDN/>
        <w:bidi w:val="0"/>
        <w:adjustRightInd/>
        <w:snapToGrid/>
        <w:spacing w:beforeAutospacing="0" w:after="150" w:afterAutospacing="0" w:line="440" w:lineRule="exact"/>
        <w:textAlignment w:val="auto"/>
        <w:rPr>
          <w:rFonts w:hint="eastAsia" w:ascii="仿宋_GB2312" w:hAnsi="仿宋_GB2312" w:eastAsia="仿宋_GB2312" w:cs="仿宋_GB2312"/>
          <w:color w:val="auto"/>
          <w:spacing w:val="30"/>
          <w:sz w:val="32"/>
          <w:szCs w:val="32"/>
          <w:lang w:val="en-US" w:eastAsia="zh-CN"/>
        </w:rPr>
      </w:pPr>
    </w:p>
    <w:p w14:paraId="44692EF0">
      <w:pPr>
        <w:pStyle w:val="10"/>
        <w:keepNext w:val="0"/>
        <w:keepLines w:val="0"/>
        <w:pageBreakBefore w:val="0"/>
        <w:widowControl/>
        <w:suppressLineNumbers w:val="0"/>
        <w:kinsoku/>
        <w:wordWrap/>
        <w:overflowPunct/>
        <w:topLinePunct w:val="0"/>
        <w:autoSpaceDE/>
        <w:autoSpaceDN/>
        <w:bidi w:val="0"/>
        <w:adjustRightInd/>
        <w:snapToGrid/>
        <w:spacing w:beforeAutospacing="0" w:after="150" w:afterAutospacing="0" w:line="440" w:lineRule="exact"/>
        <w:textAlignment w:val="auto"/>
        <w:rPr>
          <w:rFonts w:hint="eastAsia" w:ascii="仿宋_GB2312" w:hAnsi="仿宋_GB2312" w:eastAsia="仿宋_GB2312" w:cs="仿宋_GB2312"/>
          <w:color w:val="auto"/>
          <w:spacing w:val="30"/>
          <w:sz w:val="32"/>
          <w:szCs w:val="32"/>
          <w:lang w:val="en-US" w:eastAsia="zh-CN"/>
        </w:rPr>
      </w:pPr>
    </w:p>
    <w:p w14:paraId="3643BE19">
      <w:pPr>
        <w:pStyle w:val="10"/>
        <w:keepNext w:val="0"/>
        <w:keepLines w:val="0"/>
        <w:pageBreakBefore w:val="0"/>
        <w:widowControl/>
        <w:suppressLineNumbers w:val="0"/>
        <w:kinsoku/>
        <w:wordWrap/>
        <w:overflowPunct/>
        <w:topLinePunct w:val="0"/>
        <w:autoSpaceDE/>
        <w:autoSpaceDN/>
        <w:bidi w:val="0"/>
        <w:adjustRightInd/>
        <w:snapToGrid/>
        <w:spacing w:beforeAutospacing="0" w:after="150" w:afterAutospacing="0" w:line="440" w:lineRule="exact"/>
        <w:textAlignment w:val="auto"/>
        <w:rPr>
          <w:rFonts w:hint="eastAsia" w:ascii="仿宋_GB2312" w:hAnsi="仿宋_GB2312" w:eastAsia="仿宋_GB2312" w:cs="仿宋_GB2312"/>
          <w:color w:val="auto"/>
          <w:spacing w:val="30"/>
          <w:sz w:val="32"/>
          <w:szCs w:val="32"/>
          <w:lang w:val="en-US" w:eastAsia="zh-CN"/>
        </w:rPr>
      </w:pPr>
    </w:p>
    <w:p w14:paraId="519B7282">
      <w:pPr>
        <w:pStyle w:val="10"/>
        <w:keepNext w:val="0"/>
        <w:keepLines w:val="0"/>
        <w:pageBreakBefore w:val="0"/>
        <w:widowControl/>
        <w:suppressLineNumbers w:val="0"/>
        <w:kinsoku/>
        <w:wordWrap/>
        <w:overflowPunct/>
        <w:topLinePunct w:val="0"/>
        <w:autoSpaceDE/>
        <w:autoSpaceDN/>
        <w:bidi w:val="0"/>
        <w:adjustRightInd/>
        <w:snapToGrid/>
        <w:spacing w:beforeAutospacing="0" w:after="150" w:afterAutospacing="0" w:line="440" w:lineRule="exact"/>
        <w:textAlignment w:val="auto"/>
        <w:rPr>
          <w:rFonts w:hint="eastAsia" w:ascii="仿宋_GB2312" w:hAnsi="仿宋_GB2312" w:eastAsia="仿宋_GB2312" w:cs="仿宋_GB2312"/>
          <w:color w:val="auto"/>
          <w:spacing w:val="30"/>
          <w:sz w:val="32"/>
          <w:szCs w:val="32"/>
          <w:lang w:val="en-US" w:eastAsia="zh-CN"/>
        </w:rPr>
      </w:pPr>
    </w:p>
    <w:p w14:paraId="6E742965">
      <w:pPr>
        <w:pStyle w:val="10"/>
        <w:keepNext w:val="0"/>
        <w:keepLines w:val="0"/>
        <w:pageBreakBefore w:val="0"/>
        <w:widowControl/>
        <w:suppressLineNumbers w:val="0"/>
        <w:kinsoku/>
        <w:wordWrap/>
        <w:overflowPunct/>
        <w:topLinePunct w:val="0"/>
        <w:autoSpaceDE/>
        <w:autoSpaceDN/>
        <w:bidi w:val="0"/>
        <w:adjustRightInd/>
        <w:snapToGrid/>
        <w:spacing w:beforeAutospacing="0" w:after="150" w:afterAutospacing="0" w:line="440" w:lineRule="exact"/>
        <w:textAlignment w:val="auto"/>
        <w:rPr>
          <w:rFonts w:hint="eastAsia" w:ascii="仿宋_GB2312" w:hAnsi="仿宋_GB2312" w:eastAsia="仿宋_GB2312" w:cs="仿宋_GB2312"/>
          <w:color w:val="auto"/>
          <w:spacing w:val="30"/>
          <w:sz w:val="32"/>
          <w:szCs w:val="32"/>
          <w:lang w:val="en-US" w:eastAsia="zh-CN"/>
        </w:rPr>
      </w:pPr>
    </w:p>
    <w:p w14:paraId="50B395BB">
      <w:pPr>
        <w:pStyle w:val="10"/>
        <w:keepNext w:val="0"/>
        <w:keepLines w:val="0"/>
        <w:pageBreakBefore w:val="0"/>
        <w:widowControl/>
        <w:suppressLineNumbers w:val="0"/>
        <w:kinsoku/>
        <w:wordWrap/>
        <w:overflowPunct/>
        <w:topLinePunct w:val="0"/>
        <w:autoSpaceDE/>
        <w:autoSpaceDN/>
        <w:bidi w:val="0"/>
        <w:adjustRightInd/>
        <w:snapToGrid/>
        <w:spacing w:beforeAutospacing="0" w:after="150" w:afterAutospacing="0" w:line="440" w:lineRule="exact"/>
        <w:textAlignment w:val="auto"/>
        <w:rPr>
          <w:rFonts w:hint="eastAsia" w:ascii="仿宋_GB2312" w:hAnsi="仿宋_GB2312" w:eastAsia="仿宋_GB2312" w:cs="仿宋_GB2312"/>
          <w:color w:val="auto"/>
          <w:spacing w:val="30"/>
          <w:sz w:val="32"/>
          <w:szCs w:val="32"/>
          <w:lang w:val="en-US" w:eastAsia="zh-CN"/>
        </w:rPr>
      </w:pPr>
    </w:p>
    <w:p w14:paraId="54341EB4">
      <w:pPr>
        <w:pStyle w:val="10"/>
        <w:keepNext w:val="0"/>
        <w:keepLines w:val="0"/>
        <w:pageBreakBefore w:val="0"/>
        <w:widowControl/>
        <w:suppressLineNumbers w:val="0"/>
        <w:kinsoku/>
        <w:wordWrap/>
        <w:overflowPunct/>
        <w:topLinePunct w:val="0"/>
        <w:autoSpaceDE/>
        <w:autoSpaceDN/>
        <w:bidi w:val="0"/>
        <w:adjustRightInd/>
        <w:snapToGrid/>
        <w:spacing w:beforeAutospacing="0" w:after="150" w:afterAutospacing="0" w:line="440" w:lineRule="exact"/>
        <w:textAlignment w:val="auto"/>
        <w:rPr>
          <w:rFonts w:hint="eastAsia" w:ascii="仿宋_GB2312" w:hAnsi="仿宋_GB2312" w:eastAsia="仿宋_GB2312" w:cs="仿宋_GB2312"/>
          <w:color w:val="auto"/>
          <w:spacing w:val="30"/>
          <w:sz w:val="32"/>
          <w:szCs w:val="32"/>
          <w:lang w:val="en-US" w:eastAsia="zh-CN"/>
        </w:rPr>
      </w:pPr>
    </w:p>
    <w:p w14:paraId="1FE76298">
      <w:pPr>
        <w:pStyle w:val="10"/>
        <w:keepNext w:val="0"/>
        <w:keepLines w:val="0"/>
        <w:pageBreakBefore w:val="0"/>
        <w:widowControl/>
        <w:suppressLineNumbers w:val="0"/>
        <w:kinsoku/>
        <w:wordWrap/>
        <w:overflowPunct/>
        <w:topLinePunct w:val="0"/>
        <w:autoSpaceDE/>
        <w:autoSpaceDN/>
        <w:bidi w:val="0"/>
        <w:adjustRightInd/>
        <w:snapToGrid/>
        <w:spacing w:beforeAutospacing="0" w:after="150" w:afterAutospacing="0" w:line="440" w:lineRule="exact"/>
        <w:textAlignment w:val="auto"/>
        <w:rPr>
          <w:rFonts w:hint="eastAsia" w:ascii="仿宋_GB2312" w:hAnsi="仿宋_GB2312" w:eastAsia="仿宋_GB2312" w:cs="仿宋_GB2312"/>
          <w:color w:val="auto"/>
          <w:spacing w:val="30"/>
          <w:sz w:val="32"/>
          <w:szCs w:val="32"/>
          <w:lang w:val="en-US" w:eastAsia="zh-CN"/>
        </w:rPr>
      </w:pPr>
    </w:p>
    <w:p w14:paraId="0D8D1B4C">
      <w:pPr>
        <w:pStyle w:val="10"/>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jc w:val="left"/>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附件1</w:t>
      </w:r>
    </w:p>
    <w:p w14:paraId="1469CECE">
      <w:pPr>
        <w:pStyle w:val="10"/>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jc w:val="center"/>
        <w:textAlignment w:val="auto"/>
        <w:rPr>
          <w:rFonts w:hint="eastAsia" w:ascii="方正小标宋简体" w:hAnsi="方正小标宋简体" w:eastAsia="方正小标宋简体" w:cs="方正小标宋简体"/>
          <w:kern w:val="2"/>
          <w:sz w:val="32"/>
          <w:szCs w:val="32"/>
          <w:lang w:val="en-US" w:eastAsia="zh-CN" w:bidi="ar-SA"/>
        </w:rPr>
      </w:pPr>
      <w:r>
        <w:rPr>
          <w:rFonts w:hint="eastAsia" w:ascii="方正小标宋简体" w:hAnsi="方正小标宋简体" w:eastAsia="方正小标宋简体" w:cs="方正小标宋简体"/>
          <w:i w:val="0"/>
          <w:color w:val="auto"/>
          <w:kern w:val="0"/>
          <w:sz w:val="32"/>
          <w:szCs w:val="32"/>
          <w:u w:val="none"/>
          <w:lang w:val="en-US" w:eastAsia="zh-CN" w:bidi="ar"/>
        </w:rPr>
        <w:t>昌吉州单位及建设项目补充工伤保险缴费及赔付项目标准</w:t>
      </w:r>
    </w:p>
    <w:tbl>
      <w:tblPr>
        <w:tblStyle w:val="11"/>
        <w:tblpPr w:leftFromText="180" w:rightFromText="180" w:vertAnchor="text" w:horzAnchor="page" w:tblpX="768" w:tblpY="582"/>
        <w:tblOverlap w:val="never"/>
        <w:tblW w:w="1011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599"/>
        <w:gridCol w:w="910"/>
        <w:gridCol w:w="1530"/>
        <w:gridCol w:w="1224"/>
        <w:gridCol w:w="2512"/>
        <w:gridCol w:w="1416"/>
        <w:gridCol w:w="1927"/>
      </w:tblGrid>
      <w:tr w14:paraId="1571C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22" w:hRule="atLeast"/>
        </w:trPr>
        <w:tc>
          <w:tcPr>
            <w:tcW w:w="3039"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0C8C39">
            <w:pPr>
              <w:keepNext w:val="0"/>
              <w:keepLines w:val="0"/>
              <w:widowControl/>
              <w:suppressLineNumbers w:val="0"/>
              <w:jc w:val="center"/>
              <w:textAlignment w:val="center"/>
              <w:rPr>
                <w:rFonts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缴费标准</w:t>
            </w:r>
          </w:p>
        </w:tc>
        <w:tc>
          <w:tcPr>
            <w:tcW w:w="1224"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F51C92">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赔付项目</w:t>
            </w:r>
          </w:p>
        </w:tc>
        <w:tc>
          <w:tcPr>
            <w:tcW w:w="2512"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FEA5D4">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责任描述</w:t>
            </w:r>
          </w:p>
        </w:tc>
        <w:tc>
          <w:tcPr>
            <w:tcW w:w="141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44DD21">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伤残等级</w:t>
            </w:r>
          </w:p>
        </w:tc>
        <w:tc>
          <w:tcPr>
            <w:tcW w:w="1927" w:type="dxa"/>
            <w:vMerge w:val="restart"/>
            <w:tcBorders>
              <w:top w:val="single" w:color="000000" w:sz="4" w:space="0"/>
              <w:left w:val="single" w:color="000000" w:sz="4" w:space="0"/>
              <w:right w:val="single" w:color="auto" w:sz="4" w:space="0"/>
            </w:tcBorders>
            <w:shd w:val="clear" w:color="auto" w:fill="auto"/>
            <w:tcMar>
              <w:top w:w="15" w:type="dxa"/>
              <w:left w:w="15" w:type="dxa"/>
              <w:right w:w="15" w:type="dxa"/>
            </w:tcMar>
            <w:vAlign w:val="center"/>
          </w:tcPr>
          <w:p w14:paraId="75485575">
            <w:pPr>
              <w:keepNext w:val="0"/>
              <w:keepLines w:val="0"/>
              <w:widowControl/>
              <w:suppressLineNumbers w:val="0"/>
              <w:jc w:val="center"/>
              <w:textAlignment w:val="center"/>
              <w:rPr>
                <w:rFonts w:hint="eastAsia" w:ascii="仿宋_GB2312" w:hAnsi="宋体" w:eastAsia="仿宋_GB2312" w:cs="仿宋_GB2312"/>
                <w:i w:val="0"/>
                <w:color w:val="auto"/>
                <w:kern w:val="0"/>
                <w:sz w:val="22"/>
                <w:szCs w:val="22"/>
                <w:u w:val="none"/>
                <w:lang w:val="en-US" w:eastAsia="zh-CN" w:bidi="ar"/>
              </w:rPr>
            </w:pPr>
            <w:r>
              <w:rPr>
                <w:rFonts w:hint="eastAsia" w:ascii="仿宋_GB2312" w:hAnsi="宋体" w:eastAsia="仿宋_GB2312" w:cs="仿宋_GB2312"/>
                <w:i w:val="0"/>
                <w:color w:val="auto"/>
                <w:kern w:val="0"/>
                <w:sz w:val="22"/>
                <w:szCs w:val="22"/>
                <w:u w:val="none"/>
                <w:lang w:val="en-US" w:eastAsia="zh-CN" w:bidi="ar"/>
              </w:rPr>
              <w:t>待遇标准</w:t>
            </w:r>
          </w:p>
        </w:tc>
      </w:tr>
      <w:tr w14:paraId="221CA1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12" w:hRule="atLeast"/>
        </w:trPr>
        <w:tc>
          <w:tcPr>
            <w:tcW w:w="15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0B6A4C">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参保单位</w:t>
            </w:r>
          </w:p>
        </w:tc>
        <w:tc>
          <w:tcPr>
            <w:tcW w:w="15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437B9F">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建设项目</w:t>
            </w:r>
          </w:p>
        </w:tc>
        <w:tc>
          <w:tcPr>
            <w:tcW w:w="1224"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625991">
            <w:pPr>
              <w:jc w:val="center"/>
              <w:rPr>
                <w:rFonts w:hint="eastAsia" w:ascii="仿宋_GB2312" w:hAnsi="宋体" w:eastAsia="仿宋_GB2312" w:cs="仿宋_GB2312"/>
                <w:i w:val="0"/>
                <w:color w:val="auto"/>
                <w:sz w:val="22"/>
                <w:szCs w:val="22"/>
                <w:u w:val="none"/>
              </w:rPr>
            </w:pPr>
          </w:p>
        </w:tc>
        <w:tc>
          <w:tcPr>
            <w:tcW w:w="251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C0B09C">
            <w:pPr>
              <w:jc w:val="center"/>
              <w:rPr>
                <w:rFonts w:hint="eastAsia" w:ascii="仿宋_GB2312" w:hAnsi="宋体" w:eastAsia="仿宋_GB2312" w:cs="仿宋_GB2312"/>
                <w:i w:val="0"/>
                <w:color w:val="auto"/>
                <w:sz w:val="22"/>
                <w:szCs w:val="22"/>
                <w:u w:val="none"/>
              </w:rPr>
            </w:pPr>
          </w:p>
        </w:tc>
        <w:tc>
          <w:tcPr>
            <w:tcW w:w="14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2BD2E4">
            <w:pPr>
              <w:jc w:val="center"/>
              <w:rPr>
                <w:rFonts w:hint="eastAsia" w:ascii="仿宋_GB2312" w:hAnsi="宋体" w:eastAsia="仿宋_GB2312" w:cs="仿宋_GB2312"/>
                <w:i w:val="0"/>
                <w:color w:val="auto"/>
                <w:sz w:val="22"/>
                <w:szCs w:val="22"/>
                <w:u w:val="none"/>
              </w:rPr>
            </w:pPr>
          </w:p>
        </w:tc>
        <w:tc>
          <w:tcPr>
            <w:tcW w:w="1927" w:type="dxa"/>
            <w:vMerge w:val="continue"/>
            <w:tcBorders>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5BA96C6">
            <w:pPr>
              <w:jc w:val="center"/>
              <w:rPr>
                <w:rFonts w:hint="eastAsia" w:ascii="仿宋_GB2312" w:hAnsi="宋体" w:eastAsia="仿宋_GB2312" w:cs="仿宋_GB2312"/>
                <w:i w:val="0"/>
                <w:color w:val="auto"/>
                <w:sz w:val="22"/>
                <w:szCs w:val="22"/>
                <w:u w:val="none"/>
                <w:lang w:eastAsia="zh-CN"/>
              </w:rPr>
            </w:pPr>
          </w:p>
        </w:tc>
      </w:tr>
      <w:tr w14:paraId="2AC55A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22" w:hRule="atLeast"/>
        </w:trPr>
        <w:tc>
          <w:tcPr>
            <w:tcW w:w="59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4D03A6">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一类</w:t>
            </w:r>
          </w:p>
        </w:tc>
        <w:tc>
          <w:tcPr>
            <w:tcW w:w="91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A8C6E0">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7元/月</w:t>
            </w:r>
            <w:r>
              <w:rPr>
                <w:rFonts w:hint="eastAsia" w:ascii="仿宋_GB2312" w:hAnsi="宋体" w:eastAsia="仿宋_GB2312" w:cs="仿宋_GB2312"/>
                <w:i w:val="0"/>
                <w:color w:val="auto"/>
                <w:kern w:val="0"/>
                <w:sz w:val="22"/>
                <w:szCs w:val="22"/>
                <w:u w:val="none"/>
                <w:lang w:val="en-US" w:eastAsia="zh-CN" w:bidi="ar"/>
              </w:rPr>
              <w:br w:type="textWrapping"/>
            </w:r>
            <w:r>
              <w:rPr>
                <w:rFonts w:hint="eastAsia" w:ascii="仿宋_GB2312" w:hAnsi="宋体" w:eastAsia="仿宋_GB2312" w:cs="仿宋_GB2312"/>
                <w:i w:val="0"/>
                <w:color w:val="auto"/>
                <w:kern w:val="0"/>
                <w:sz w:val="22"/>
                <w:szCs w:val="22"/>
                <w:u w:val="none"/>
                <w:lang w:val="en-US" w:eastAsia="zh-CN" w:bidi="ar"/>
              </w:rPr>
              <w:t>84元/年</w:t>
            </w:r>
          </w:p>
        </w:tc>
        <w:tc>
          <w:tcPr>
            <w:tcW w:w="1530"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49DF234">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1．工程造价0.3亿元（含0.3亿元）以下缴费比例1‰；</w:t>
            </w:r>
            <w:r>
              <w:rPr>
                <w:rFonts w:hint="eastAsia" w:ascii="仿宋_GB2312" w:hAnsi="宋体" w:eastAsia="仿宋_GB2312" w:cs="仿宋_GB2312"/>
                <w:i w:val="0"/>
                <w:color w:val="auto"/>
                <w:kern w:val="0"/>
                <w:sz w:val="22"/>
                <w:szCs w:val="22"/>
                <w:u w:val="none"/>
                <w:lang w:val="en-US" w:eastAsia="zh-CN" w:bidi="ar"/>
              </w:rPr>
              <w:br w:type="textWrapping"/>
            </w:r>
            <w:r>
              <w:rPr>
                <w:rFonts w:hint="eastAsia" w:ascii="仿宋_GB2312" w:hAnsi="宋体" w:eastAsia="仿宋_GB2312" w:cs="仿宋_GB2312"/>
                <w:i w:val="0"/>
                <w:color w:val="auto"/>
                <w:kern w:val="0"/>
                <w:sz w:val="22"/>
                <w:szCs w:val="22"/>
                <w:u w:val="none"/>
                <w:lang w:val="en-US" w:eastAsia="zh-CN" w:bidi="ar"/>
              </w:rPr>
              <w:t>2．工程造价0.3-1亿元（含1亿元）缴费比例0.7‰;</w:t>
            </w:r>
            <w:r>
              <w:rPr>
                <w:rFonts w:hint="eastAsia" w:ascii="仿宋_GB2312" w:hAnsi="宋体" w:eastAsia="仿宋_GB2312" w:cs="仿宋_GB2312"/>
                <w:i w:val="0"/>
                <w:color w:val="auto"/>
                <w:kern w:val="0"/>
                <w:sz w:val="22"/>
                <w:szCs w:val="22"/>
                <w:u w:val="none"/>
                <w:lang w:val="en-US" w:eastAsia="zh-CN" w:bidi="ar"/>
              </w:rPr>
              <w:br w:type="textWrapping"/>
            </w:r>
            <w:r>
              <w:rPr>
                <w:rFonts w:hint="eastAsia" w:ascii="仿宋_GB2312" w:hAnsi="宋体" w:eastAsia="仿宋_GB2312" w:cs="仿宋_GB2312"/>
                <w:i w:val="0"/>
                <w:color w:val="auto"/>
                <w:kern w:val="0"/>
                <w:sz w:val="22"/>
                <w:szCs w:val="22"/>
                <w:u w:val="none"/>
                <w:lang w:val="en-US" w:eastAsia="zh-CN" w:bidi="ar"/>
              </w:rPr>
              <w:t>3．工程造价1-5亿元（含5亿元）缴费比例0.4‰;</w:t>
            </w:r>
            <w:r>
              <w:rPr>
                <w:rFonts w:hint="eastAsia" w:ascii="仿宋_GB2312" w:hAnsi="宋体" w:eastAsia="仿宋_GB2312" w:cs="仿宋_GB2312"/>
                <w:i w:val="0"/>
                <w:color w:val="auto"/>
                <w:kern w:val="0"/>
                <w:sz w:val="22"/>
                <w:szCs w:val="22"/>
                <w:u w:val="none"/>
                <w:lang w:val="en-US" w:eastAsia="zh-CN" w:bidi="ar"/>
              </w:rPr>
              <w:br w:type="textWrapping"/>
            </w:r>
            <w:r>
              <w:rPr>
                <w:rFonts w:hint="eastAsia" w:ascii="仿宋_GB2312" w:hAnsi="宋体" w:eastAsia="仿宋_GB2312" w:cs="仿宋_GB2312"/>
                <w:i w:val="0"/>
                <w:color w:val="auto"/>
                <w:kern w:val="0"/>
                <w:sz w:val="22"/>
                <w:szCs w:val="22"/>
                <w:u w:val="none"/>
                <w:lang w:val="en-US" w:eastAsia="zh-CN" w:bidi="ar"/>
              </w:rPr>
              <w:t>4．工程造价5亿元以上的缴费比例0.2‰。</w:t>
            </w:r>
          </w:p>
        </w:tc>
        <w:tc>
          <w:tcPr>
            <w:tcW w:w="122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8A7E49">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停工留薪期护理补偿金</w:t>
            </w:r>
          </w:p>
        </w:tc>
        <w:tc>
          <w:tcPr>
            <w:tcW w:w="251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742193">
            <w:pPr>
              <w:keepNext w:val="0"/>
              <w:keepLines w:val="0"/>
              <w:widowControl/>
              <w:suppressLineNumbers w:val="0"/>
              <w:jc w:val="left"/>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highlight w:val="none"/>
                <w:u w:val="none"/>
                <w:lang w:val="en-US" w:eastAsia="zh-CN" w:bidi="ar"/>
              </w:rPr>
              <w:t>职工发生事故伤害且经鉴定为工伤一级至十级的职工，停工留薪期内需要住院护理的，由补充工伤保险按规定支付护理补偿金。</w:t>
            </w: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F0D875">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一级</w:t>
            </w:r>
          </w:p>
        </w:tc>
        <w:tc>
          <w:tcPr>
            <w:tcW w:w="19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436D60">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2万</w:t>
            </w:r>
          </w:p>
        </w:tc>
      </w:tr>
      <w:tr w14:paraId="7A07A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2"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8C5F0B">
            <w:pPr>
              <w:jc w:val="center"/>
              <w:rPr>
                <w:rFonts w:hint="eastAsia" w:ascii="仿宋_GB2312" w:hAnsi="宋体" w:eastAsia="仿宋_GB2312" w:cs="仿宋_GB2312"/>
                <w:i w:val="0"/>
                <w:color w:val="auto"/>
                <w:sz w:val="22"/>
                <w:szCs w:val="22"/>
                <w:u w:val="none"/>
              </w:rPr>
            </w:pPr>
          </w:p>
        </w:tc>
        <w:tc>
          <w:tcPr>
            <w:tcW w:w="9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83EE7B">
            <w:pPr>
              <w:jc w:val="center"/>
              <w:rPr>
                <w:rFonts w:hint="eastAsia" w:ascii="仿宋_GB2312" w:hAnsi="宋体" w:eastAsia="仿宋_GB2312" w:cs="仿宋_GB2312"/>
                <w:i w:val="0"/>
                <w:color w:val="auto"/>
                <w:sz w:val="22"/>
                <w:szCs w:val="22"/>
                <w:u w:val="none"/>
              </w:rPr>
            </w:pPr>
          </w:p>
        </w:tc>
        <w:tc>
          <w:tcPr>
            <w:tcW w:w="1530"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68E97EE">
            <w:pPr>
              <w:jc w:val="center"/>
              <w:rPr>
                <w:rFonts w:hint="eastAsia" w:ascii="仿宋_GB2312" w:hAnsi="宋体" w:eastAsia="仿宋_GB2312" w:cs="仿宋_GB2312"/>
                <w:i w:val="0"/>
                <w:color w:val="auto"/>
                <w:sz w:val="22"/>
                <w:szCs w:val="22"/>
                <w:u w:val="none"/>
              </w:rPr>
            </w:pPr>
          </w:p>
        </w:tc>
        <w:tc>
          <w:tcPr>
            <w:tcW w:w="12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C6C402">
            <w:pPr>
              <w:jc w:val="center"/>
              <w:rPr>
                <w:rFonts w:hint="eastAsia" w:ascii="仿宋_GB2312" w:hAnsi="宋体" w:eastAsia="仿宋_GB2312" w:cs="仿宋_GB2312"/>
                <w:i w:val="0"/>
                <w:color w:val="auto"/>
                <w:sz w:val="22"/>
                <w:szCs w:val="22"/>
                <w:u w:val="none"/>
              </w:rPr>
            </w:pPr>
          </w:p>
        </w:tc>
        <w:tc>
          <w:tcPr>
            <w:tcW w:w="25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4B3734">
            <w:pPr>
              <w:jc w:val="center"/>
              <w:rPr>
                <w:rFonts w:hint="eastAsia" w:ascii="仿宋_GB2312" w:hAnsi="宋体" w:eastAsia="仿宋_GB2312" w:cs="仿宋_GB2312"/>
                <w:i w:val="0"/>
                <w:color w:val="auto"/>
                <w:sz w:val="22"/>
                <w:szCs w:val="22"/>
                <w:u w:val="none"/>
              </w:rPr>
            </w:pP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BA5160">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二级</w:t>
            </w:r>
          </w:p>
        </w:tc>
        <w:tc>
          <w:tcPr>
            <w:tcW w:w="19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041F30">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1.8万</w:t>
            </w:r>
          </w:p>
        </w:tc>
      </w:tr>
      <w:tr w14:paraId="16ABBB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2"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9CCBCD">
            <w:pPr>
              <w:jc w:val="center"/>
              <w:rPr>
                <w:rFonts w:hint="eastAsia" w:ascii="仿宋_GB2312" w:hAnsi="宋体" w:eastAsia="仿宋_GB2312" w:cs="仿宋_GB2312"/>
                <w:i w:val="0"/>
                <w:color w:val="auto"/>
                <w:sz w:val="22"/>
                <w:szCs w:val="22"/>
                <w:u w:val="none"/>
              </w:rPr>
            </w:pPr>
          </w:p>
        </w:tc>
        <w:tc>
          <w:tcPr>
            <w:tcW w:w="9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D4DC10">
            <w:pPr>
              <w:jc w:val="center"/>
              <w:rPr>
                <w:rFonts w:hint="eastAsia" w:ascii="仿宋_GB2312" w:hAnsi="宋体" w:eastAsia="仿宋_GB2312" w:cs="仿宋_GB2312"/>
                <w:i w:val="0"/>
                <w:color w:val="auto"/>
                <w:sz w:val="22"/>
                <w:szCs w:val="22"/>
                <w:u w:val="none"/>
              </w:rPr>
            </w:pPr>
          </w:p>
        </w:tc>
        <w:tc>
          <w:tcPr>
            <w:tcW w:w="1530"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01812EEE">
            <w:pPr>
              <w:jc w:val="center"/>
              <w:rPr>
                <w:rFonts w:hint="eastAsia" w:ascii="仿宋_GB2312" w:hAnsi="宋体" w:eastAsia="仿宋_GB2312" w:cs="仿宋_GB2312"/>
                <w:i w:val="0"/>
                <w:color w:val="auto"/>
                <w:sz w:val="22"/>
                <w:szCs w:val="22"/>
                <w:u w:val="none"/>
              </w:rPr>
            </w:pPr>
          </w:p>
        </w:tc>
        <w:tc>
          <w:tcPr>
            <w:tcW w:w="12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9DCEC7">
            <w:pPr>
              <w:jc w:val="center"/>
              <w:rPr>
                <w:rFonts w:hint="eastAsia" w:ascii="仿宋_GB2312" w:hAnsi="宋体" w:eastAsia="仿宋_GB2312" w:cs="仿宋_GB2312"/>
                <w:i w:val="0"/>
                <w:color w:val="auto"/>
                <w:sz w:val="22"/>
                <w:szCs w:val="22"/>
                <w:u w:val="none"/>
              </w:rPr>
            </w:pPr>
          </w:p>
        </w:tc>
        <w:tc>
          <w:tcPr>
            <w:tcW w:w="25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60CA85">
            <w:pPr>
              <w:jc w:val="center"/>
              <w:rPr>
                <w:rFonts w:hint="eastAsia" w:ascii="仿宋_GB2312" w:hAnsi="宋体" w:eastAsia="仿宋_GB2312" w:cs="仿宋_GB2312"/>
                <w:i w:val="0"/>
                <w:color w:val="auto"/>
                <w:sz w:val="22"/>
                <w:szCs w:val="22"/>
                <w:u w:val="none"/>
              </w:rPr>
            </w:pP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9F2389">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三级</w:t>
            </w:r>
          </w:p>
        </w:tc>
        <w:tc>
          <w:tcPr>
            <w:tcW w:w="19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F742D2">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1.5万</w:t>
            </w:r>
          </w:p>
        </w:tc>
      </w:tr>
      <w:tr w14:paraId="70C32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22"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E8DF3E">
            <w:pPr>
              <w:jc w:val="center"/>
              <w:rPr>
                <w:rFonts w:hint="eastAsia" w:ascii="仿宋_GB2312" w:hAnsi="宋体" w:eastAsia="仿宋_GB2312" w:cs="仿宋_GB2312"/>
                <w:i w:val="0"/>
                <w:color w:val="auto"/>
                <w:sz w:val="22"/>
                <w:szCs w:val="22"/>
                <w:u w:val="none"/>
              </w:rPr>
            </w:pPr>
          </w:p>
        </w:tc>
        <w:tc>
          <w:tcPr>
            <w:tcW w:w="9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25BB60">
            <w:pPr>
              <w:jc w:val="center"/>
              <w:rPr>
                <w:rFonts w:hint="eastAsia" w:ascii="仿宋_GB2312" w:hAnsi="宋体" w:eastAsia="仿宋_GB2312" w:cs="仿宋_GB2312"/>
                <w:i w:val="0"/>
                <w:color w:val="auto"/>
                <w:sz w:val="22"/>
                <w:szCs w:val="22"/>
                <w:u w:val="none"/>
              </w:rPr>
            </w:pPr>
          </w:p>
        </w:tc>
        <w:tc>
          <w:tcPr>
            <w:tcW w:w="1530"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83CBEF8">
            <w:pPr>
              <w:jc w:val="center"/>
              <w:rPr>
                <w:rFonts w:hint="eastAsia" w:ascii="仿宋_GB2312" w:hAnsi="宋体" w:eastAsia="仿宋_GB2312" w:cs="仿宋_GB2312"/>
                <w:i w:val="0"/>
                <w:color w:val="auto"/>
                <w:sz w:val="22"/>
                <w:szCs w:val="22"/>
                <w:u w:val="none"/>
              </w:rPr>
            </w:pPr>
          </w:p>
        </w:tc>
        <w:tc>
          <w:tcPr>
            <w:tcW w:w="12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BA5817">
            <w:pPr>
              <w:jc w:val="center"/>
              <w:rPr>
                <w:rFonts w:hint="eastAsia" w:ascii="仿宋_GB2312" w:hAnsi="宋体" w:eastAsia="仿宋_GB2312" w:cs="仿宋_GB2312"/>
                <w:i w:val="0"/>
                <w:color w:val="auto"/>
                <w:sz w:val="22"/>
                <w:szCs w:val="22"/>
                <w:u w:val="none"/>
              </w:rPr>
            </w:pPr>
          </w:p>
        </w:tc>
        <w:tc>
          <w:tcPr>
            <w:tcW w:w="25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82E249">
            <w:pPr>
              <w:jc w:val="center"/>
              <w:rPr>
                <w:rFonts w:hint="eastAsia" w:ascii="仿宋_GB2312" w:hAnsi="宋体" w:eastAsia="仿宋_GB2312" w:cs="仿宋_GB2312"/>
                <w:i w:val="0"/>
                <w:color w:val="auto"/>
                <w:sz w:val="22"/>
                <w:szCs w:val="22"/>
                <w:u w:val="none"/>
              </w:rPr>
            </w:pP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710F2A">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四级</w:t>
            </w:r>
          </w:p>
        </w:tc>
        <w:tc>
          <w:tcPr>
            <w:tcW w:w="19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31393E">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1.2万</w:t>
            </w:r>
          </w:p>
        </w:tc>
      </w:tr>
      <w:tr w14:paraId="18753F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22" w:hRule="atLeast"/>
        </w:trPr>
        <w:tc>
          <w:tcPr>
            <w:tcW w:w="59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3B0DED">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二类</w:t>
            </w:r>
          </w:p>
        </w:tc>
        <w:tc>
          <w:tcPr>
            <w:tcW w:w="91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EA5BD0">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9元/月108元/年</w:t>
            </w:r>
          </w:p>
        </w:tc>
        <w:tc>
          <w:tcPr>
            <w:tcW w:w="1530"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AED2E61">
            <w:pPr>
              <w:jc w:val="center"/>
              <w:rPr>
                <w:rFonts w:hint="eastAsia" w:ascii="仿宋_GB2312" w:hAnsi="宋体" w:eastAsia="仿宋_GB2312" w:cs="仿宋_GB2312"/>
                <w:i w:val="0"/>
                <w:color w:val="auto"/>
                <w:sz w:val="22"/>
                <w:szCs w:val="22"/>
                <w:u w:val="none"/>
              </w:rPr>
            </w:pPr>
          </w:p>
        </w:tc>
        <w:tc>
          <w:tcPr>
            <w:tcW w:w="12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C218CD">
            <w:pPr>
              <w:jc w:val="center"/>
              <w:rPr>
                <w:rFonts w:hint="eastAsia" w:ascii="仿宋_GB2312" w:hAnsi="宋体" w:eastAsia="仿宋_GB2312" w:cs="仿宋_GB2312"/>
                <w:i w:val="0"/>
                <w:color w:val="auto"/>
                <w:sz w:val="22"/>
                <w:szCs w:val="22"/>
                <w:u w:val="none"/>
              </w:rPr>
            </w:pPr>
          </w:p>
        </w:tc>
        <w:tc>
          <w:tcPr>
            <w:tcW w:w="25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7845A2">
            <w:pPr>
              <w:jc w:val="center"/>
              <w:rPr>
                <w:rFonts w:hint="eastAsia" w:ascii="仿宋_GB2312" w:hAnsi="宋体" w:eastAsia="仿宋_GB2312" w:cs="仿宋_GB2312"/>
                <w:i w:val="0"/>
                <w:color w:val="auto"/>
                <w:sz w:val="22"/>
                <w:szCs w:val="22"/>
                <w:u w:val="none"/>
              </w:rPr>
            </w:pP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BE6581">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五级</w:t>
            </w:r>
          </w:p>
        </w:tc>
        <w:tc>
          <w:tcPr>
            <w:tcW w:w="19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232DA7">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1万</w:t>
            </w:r>
          </w:p>
        </w:tc>
      </w:tr>
      <w:tr w14:paraId="5E316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2"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AE63A7">
            <w:pPr>
              <w:jc w:val="center"/>
              <w:rPr>
                <w:rFonts w:hint="eastAsia" w:ascii="仿宋_GB2312" w:hAnsi="宋体" w:eastAsia="仿宋_GB2312" w:cs="仿宋_GB2312"/>
                <w:i w:val="0"/>
                <w:color w:val="auto"/>
                <w:sz w:val="22"/>
                <w:szCs w:val="22"/>
                <w:u w:val="none"/>
              </w:rPr>
            </w:pPr>
          </w:p>
        </w:tc>
        <w:tc>
          <w:tcPr>
            <w:tcW w:w="9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4E2E14">
            <w:pPr>
              <w:jc w:val="center"/>
              <w:rPr>
                <w:rFonts w:hint="eastAsia" w:ascii="仿宋_GB2312" w:hAnsi="宋体" w:eastAsia="仿宋_GB2312" w:cs="仿宋_GB2312"/>
                <w:i w:val="0"/>
                <w:color w:val="auto"/>
                <w:sz w:val="22"/>
                <w:szCs w:val="22"/>
                <w:u w:val="none"/>
              </w:rPr>
            </w:pPr>
          </w:p>
        </w:tc>
        <w:tc>
          <w:tcPr>
            <w:tcW w:w="1530"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7CFCB1FB">
            <w:pPr>
              <w:jc w:val="center"/>
              <w:rPr>
                <w:rFonts w:hint="eastAsia" w:ascii="仿宋_GB2312" w:hAnsi="宋体" w:eastAsia="仿宋_GB2312" w:cs="仿宋_GB2312"/>
                <w:i w:val="0"/>
                <w:color w:val="auto"/>
                <w:sz w:val="22"/>
                <w:szCs w:val="22"/>
                <w:u w:val="none"/>
              </w:rPr>
            </w:pPr>
          </w:p>
        </w:tc>
        <w:tc>
          <w:tcPr>
            <w:tcW w:w="12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537595">
            <w:pPr>
              <w:jc w:val="center"/>
              <w:rPr>
                <w:rFonts w:hint="eastAsia" w:ascii="仿宋_GB2312" w:hAnsi="宋体" w:eastAsia="仿宋_GB2312" w:cs="仿宋_GB2312"/>
                <w:i w:val="0"/>
                <w:color w:val="auto"/>
                <w:sz w:val="22"/>
                <w:szCs w:val="22"/>
                <w:u w:val="none"/>
              </w:rPr>
            </w:pPr>
          </w:p>
        </w:tc>
        <w:tc>
          <w:tcPr>
            <w:tcW w:w="25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EACDEF">
            <w:pPr>
              <w:jc w:val="center"/>
              <w:rPr>
                <w:rFonts w:hint="eastAsia" w:ascii="仿宋_GB2312" w:hAnsi="宋体" w:eastAsia="仿宋_GB2312" w:cs="仿宋_GB2312"/>
                <w:i w:val="0"/>
                <w:color w:val="auto"/>
                <w:sz w:val="22"/>
                <w:szCs w:val="22"/>
                <w:u w:val="none"/>
              </w:rPr>
            </w:pP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688401">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六级</w:t>
            </w:r>
          </w:p>
        </w:tc>
        <w:tc>
          <w:tcPr>
            <w:tcW w:w="19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3EC9E8">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0.8万</w:t>
            </w:r>
          </w:p>
        </w:tc>
      </w:tr>
      <w:tr w14:paraId="74BAEC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22"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A4A49A">
            <w:pPr>
              <w:jc w:val="center"/>
              <w:rPr>
                <w:rFonts w:hint="eastAsia" w:ascii="仿宋_GB2312" w:hAnsi="宋体" w:eastAsia="仿宋_GB2312" w:cs="仿宋_GB2312"/>
                <w:i w:val="0"/>
                <w:color w:val="auto"/>
                <w:sz w:val="22"/>
                <w:szCs w:val="22"/>
                <w:u w:val="none"/>
              </w:rPr>
            </w:pPr>
          </w:p>
        </w:tc>
        <w:tc>
          <w:tcPr>
            <w:tcW w:w="9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1E49A7">
            <w:pPr>
              <w:jc w:val="center"/>
              <w:rPr>
                <w:rFonts w:hint="eastAsia" w:ascii="仿宋_GB2312" w:hAnsi="宋体" w:eastAsia="仿宋_GB2312" w:cs="仿宋_GB2312"/>
                <w:i w:val="0"/>
                <w:color w:val="auto"/>
                <w:sz w:val="22"/>
                <w:szCs w:val="22"/>
                <w:u w:val="none"/>
              </w:rPr>
            </w:pPr>
          </w:p>
        </w:tc>
        <w:tc>
          <w:tcPr>
            <w:tcW w:w="1530"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0478DE11">
            <w:pPr>
              <w:jc w:val="center"/>
              <w:rPr>
                <w:rFonts w:hint="eastAsia" w:ascii="仿宋_GB2312" w:hAnsi="宋体" w:eastAsia="仿宋_GB2312" w:cs="仿宋_GB2312"/>
                <w:i w:val="0"/>
                <w:color w:val="auto"/>
                <w:sz w:val="22"/>
                <w:szCs w:val="22"/>
                <w:u w:val="none"/>
              </w:rPr>
            </w:pPr>
          </w:p>
        </w:tc>
        <w:tc>
          <w:tcPr>
            <w:tcW w:w="12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FDCE9F">
            <w:pPr>
              <w:jc w:val="center"/>
              <w:rPr>
                <w:rFonts w:hint="eastAsia" w:ascii="仿宋_GB2312" w:hAnsi="宋体" w:eastAsia="仿宋_GB2312" w:cs="仿宋_GB2312"/>
                <w:i w:val="0"/>
                <w:color w:val="auto"/>
                <w:sz w:val="22"/>
                <w:szCs w:val="22"/>
                <w:u w:val="none"/>
              </w:rPr>
            </w:pPr>
          </w:p>
        </w:tc>
        <w:tc>
          <w:tcPr>
            <w:tcW w:w="25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B82260">
            <w:pPr>
              <w:jc w:val="center"/>
              <w:rPr>
                <w:rFonts w:hint="eastAsia" w:ascii="仿宋_GB2312" w:hAnsi="宋体" w:eastAsia="仿宋_GB2312" w:cs="仿宋_GB2312"/>
                <w:i w:val="0"/>
                <w:color w:val="auto"/>
                <w:sz w:val="22"/>
                <w:szCs w:val="22"/>
                <w:u w:val="none"/>
              </w:rPr>
            </w:pP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8CDC01">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七级</w:t>
            </w:r>
          </w:p>
        </w:tc>
        <w:tc>
          <w:tcPr>
            <w:tcW w:w="19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D2CEA0">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0.6万</w:t>
            </w:r>
          </w:p>
        </w:tc>
      </w:tr>
      <w:tr w14:paraId="779BE5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22"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278383">
            <w:pPr>
              <w:jc w:val="center"/>
              <w:rPr>
                <w:rFonts w:hint="eastAsia" w:ascii="仿宋_GB2312" w:hAnsi="宋体" w:eastAsia="仿宋_GB2312" w:cs="仿宋_GB2312"/>
                <w:i w:val="0"/>
                <w:color w:val="auto"/>
                <w:sz w:val="22"/>
                <w:szCs w:val="22"/>
                <w:u w:val="none"/>
              </w:rPr>
            </w:pPr>
          </w:p>
        </w:tc>
        <w:tc>
          <w:tcPr>
            <w:tcW w:w="9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C936EB">
            <w:pPr>
              <w:jc w:val="center"/>
              <w:rPr>
                <w:rFonts w:hint="eastAsia" w:ascii="仿宋_GB2312" w:hAnsi="宋体" w:eastAsia="仿宋_GB2312" w:cs="仿宋_GB2312"/>
                <w:i w:val="0"/>
                <w:color w:val="auto"/>
                <w:sz w:val="22"/>
                <w:szCs w:val="22"/>
                <w:u w:val="none"/>
              </w:rPr>
            </w:pPr>
          </w:p>
        </w:tc>
        <w:tc>
          <w:tcPr>
            <w:tcW w:w="1530"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1E7CF03B">
            <w:pPr>
              <w:jc w:val="center"/>
              <w:rPr>
                <w:rFonts w:hint="eastAsia" w:ascii="仿宋_GB2312" w:hAnsi="宋体" w:eastAsia="仿宋_GB2312" w:cs="仿宋_GB2312"/>
                <w:i w:val="0"/>
                <w:color w:val="auto"/>
                <w:sz w:val="22"/>
                <w:szCs w:val="22"/>
                <w:u w:val="none"/>
              </w:rPr>
            </w:pPr>
          </w:p>
        </w:tc>
        <w:tc>
          <w:tcPr>
            <w:tcW w:w="12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B43B71">
            <w:pPr>
              <w:jc w:val="center"/>
              <w:rPr>
                <w:rFonts w:hint="eastAsia" w:ascii="仿宋_GB2312" w:hAnsi="宋体" w:eastAsia="仿宋_GB2312" w:cs="仿宋_GB2312"/>
                <w:i w:val="0"/>
                <w:color w:val="auto"/>
                <w:sz w:val="22"/>
                <w:szCs w:val="22"/>
                <w:u w:val="none"/>
              </w:rPr>
            </w:pPr>
          </w:p>
        </w:tc>
        <w:tc>
          <w:tcPr>
            <w:tcW w:w="25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343BBD">
            <w:pPr>
              <w:jc w:val="center"/>
              <w:rPr>
                <w:rFonts w:hint="eastAsia" w:ascii="仿宋_GB2312" w:hAnsi="宋体" w:eastAsia="仿宋_GB2312" w:cs="仿宋_GB2312"/>
                <w:i w:val="0"/>
                <w:color w:val="auto"/>
                <w:sz w:val="22"/>
                <w:szCs w:val="22"/>
                <w:u w:val="none"/>
              </w:rPr>
            </w:pP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37F5A5">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八级</w:t>
            </w:r>
          </w:p>
        </w:tc>
        <w:tc>
          <w:tcPr>
            <w:tcW w:w="19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3D7063">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0.5万</w:t>
            </w:r>
          </w:p>
        </w:tc>
      </w:tr>
      <w:tr w14:paraId="6A6F85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2" w:hRule="atLeast"/>
        </w:trPr>
        <w:tc>
          <w:tcPr>
            <w:tcW w:w="59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16B0D1">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三类</w:t>
            </w:r>
          </w:p>
        </w:tc>
        <w:tc>
          <w:tcPr>
            <w:tcW w:w="91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DC2F9C">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10元/月</w:t>
            </w:r>
            <w:r>
              <w:rPr>
                <w:rFonts w:hint="eastAsia" w:ascii="仿宋_GB2312" w:hAnsi="宋体" w:eastAsia="仿宋_GB2312" w:cs="仿宋_GB2312"/>
                <w:i w:val="0"/>
                <w:color w:val="auto"/>
                <w:kern w:val="0"/>
                <w:sz w:val="22"/>
                <w:szCs w:val="22"/>
                <w:u w:val="none"/>
                <w:lang w:val="en-US" w:eastAsia="zh-CN" w:bidi="ar"/>
              </w:rPr>
              <w:br w:type="textWrapping"/>
            </w:r>
            <w:r>
              <w:rPr>
                <w:rFonts w:hint="eastAsia" w:ascii="仿宋_GB2312" w:hAnsi="宋体" w:eastAsia="仿宋_GB2312" w:cs="仿宋_GB2312"/>
                <w:i w:val="0"/>
                <w:color w:val="auto"/>
                <w:kern w:val="0"/>
                <w:sz w:val="22"/>
                <w:szCs w:val="22"/>
                <w:u w:val="none"/>
                <w:lang w:val="en-US" w:eastAsia="zh-CN" w:bidi="ar"/>
              </w:rPr>
              <w:t>120元/年</w:t>
            </w:r>
          </w:p>
        </w:tc>
        <w:tc>
          <w:tcPr>
            <w:tcW w:w="1530"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50B79BAE">
            <w:pPr>
              <w:jc w:val="center"/>
              <w:rPr>
                <w:rFonts w:hint="eastAsia" w:ascii="仿宋_GB2312" w:hAnsi="宋体" w:eastAsia="仿宋_GB2312" w:cs="仿宋_GB2312"/>
                <w:i w:val="0"/>
                <w:color w:val="auto"/>
                <w:sz w:val="22"/>
                <w:szCs w:val="22"/>
                <w:u w:val="none"/>
              </w:rPr>
            </w:pPr>
          </w:p>
        </w:tc>
        <w:tc>
          <w:tcPr>
            <w:tcW w:w="12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9E81E9">
            <w:pPr>
              <w:jc w:val="center"/>
              <w:rPr>
                <w:rFonts w:hint="eastAsia" w:ascii="仿宋_GB2312" w:hAnsi="宋体" w:eastAsia="仿宋_GB2312" w:cs="仿宋_GB2312"/>
                <w:i w:val="0"/>
                <w:color w:val="auto"/>
                <w:sz w:val="22"/>
                <w:szCs w:val="22"/>
                <w:u w:val="none"/>
              </w:rPr>
            </w:pPr>
          </w:p>
        </w:tc>
        <w:tc>
          <w:tcPr>
            <w:tcW w:w="25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579967">
            <w:pPr>
              <w:jc w:val="center"/>
              <w:rPr>
                <w:rFonts w:hint="eastAsia" w:ascii="仿宋_GB2312" w:hAnsi="宋体" w:eastAsia="仿宋_GB2312" w:cs="仿宋_GB2312"/>
                <w:i w:val="0"/>
                <w:color w:val="auto"/>
                <w:sz w:val="22"/>
                <w:szCs w:val="22"/>
                <w:u w:val="none"/>
              </w:rPr>
            </w:pP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8C67A6">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九级</w:t>
            </w:r>
          </w:p>
        </w:tc>
        <w:tc>
          <w:tcPr>
            <w:tcW w:w="19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977BA9">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0.3万</w:t>
            </w:r>
          </w:p>
        </w:tc>
      </w:tr>
      <w:tr w14:paraId="4936C2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2"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B38EBE">
            <w:pPr>
              <w:jc w:val="center"/>
              <w:rPr>
                <w:rFonts w:hint="eastAsia" w:ascii="仿宋_GB2312" w:hAnsi="宋体" w:eastAsia="仿宋_GB2312" w:cs="仿宋_GB2312"/>
                <w:i w:val="0"/>
                <w:color w:val="auto"/>
                <w:sz w:val="22"/>
                <w:szCs w:val="22"/>
                <w:u w:val="none"/>
              </w:rPr>
            </w:pPr>
          </w:p>
        </w:tc>
        <w:tc>
          <w:tcPr>
            <w:tcW w:w="9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0A8542">
            <w:pPr>
              <w:jc w:val="center"/>
              <w:rPr>
                <w:rFonts w:hint="eastAsia" w:ascii="仿宋_GB2312" w:hAnsi="宋体" w:eastAsia="仿宋_GB2312" w:cs="仿宋_GB2312"/>
                <w:i w:val="0"/>
                <w:color w:val="auto"/>
                <w:sz w:val="22"/>
                <w:szCs w:val="22"/>
                <w:u w:val="none"/>
              </w:rPr>
            </w:pPr>
          </w:p>
        </w:tc>
        <w:tc>
          <w:tcPr>
            <w:tcW w:w="1530"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B7CA899">
            <w:pPr>
              <w:jc w:val="center"/>
              <w:rPr>
                <w:rFonts w:hint="eastAsia" w:ascii="仿宋_GB2312" w:hAnsi="宋体" w:eastAsia="仿宋_GB2312" w:cs="仿宋_GB2312"/>
                <w:i w:val="0"/>
                <w:color w:val="auto"/>
                <w:sz w:val="22"/>
                <w:szCs w:val="22"/>
                <w:u w:val="none"/>
              </w:rPr>
            </w:pPr>
          </w:p>
        </w:tc>
        <w:tc>
          <w:tcPr>
            <w:tcW w:w="12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D5264B">
            <w:pPr>
              <w:jc w:val="center"/>
              <w:rPr>
                <w:rFonts w:hint="eastAsia" w:ascii="仿宋_GB2312" w:hAnsi="宋体" w:eastAsia="仿宋_GB2312" w:cs="仿宋_GB2312"/>
                <w:i w:val="0"/>
                <w:color w:val="auto"/>
                <w:sz w:val="22"/>
                <w:szCs w:val="22"/>
                <w:u w:val="none"/>
              </w:rPr>
            </w:pPr>
          </w:p>
        </w:tc>
        <w:tc>
          <w:tcPr>
            <w:tcW w:w="25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D09E8F">
            <w:pPr>
              <w:jc w:val="center"/>
              <w:rPr>
                <w:rFonts w:hint="eastAsia" w:ascii="仿宋_GB2312" w:hAnsi="宋体" w:eastAsia="仿宋_GB2312" w:cs="仿宋_GB2312"/>
                <w:i w:val="0"/>
                <w:color w:val="auto"/>
                <w:sz w:val="22"/>
                <w:szCs w:val="22"/>
                <w:u w:val="none"/>
              </w:rPr>
            </w:pP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2ABB03">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十级</w:t>
            </w:r>
          </w:p>
        </w:tc>
        <w:tc>
          <w:tcPr>
            <w:tcW w:w="19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866EA3">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0.2万</w:t>
            </w:r>
          </w:p>
        </w:tc>
      </w:tr>
      <w:tr w14:paraId="50B78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2"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F7BD37">
            <w:pPr>
              <w:jc w:val="center"/>
              <w:rPr>
                <w:rFonts w:hint="eastAsia" w:ascii="仿宋_GB2312" w:hAnsi="宋体" w:eastAsia="仿宋_GB2312" w:cs="仿宋_GB2312"/>
                <w:i w:val="0"/>
                <w:color w:val="auto"/>
                <w:sz w:val="22"/>
                <w:szCs w:val="22"/>
                <w:u w:val="none"/>
              </w:rPr>
            </w:pPr>
          </w:p>
        </w:tc>
        <w:tc>
          <w:tcPr>
            <w:tcW w:w="9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DC8912">
            <w:pPr>
              <w:jc w:val="center"/>
              <w:rPr>
                <w:rFonts w:hint="eastAsia" w:ascii="仿宋_GB2312" w:hAnsi="宋体" w:eastAsia="仿宋_GB2312" w:cs="仿宋_GB2312"/>
                <w:i w:val="0"/>
                <w:color w:val="auto"/>
                <w:sz w:val="22"/>
                <w:szCs w:val="22"/>
                <w:u w:val="none"/>
              </w:rPr>
            </w:pPr>
          </w:p>
        </w:tc>
        <w:tc>
          <w:tcPr>
            <w:tcW w:w="1530"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18F7F399">
            <w:pPr>
              <w:jc w:val="center"/>
              <w:rPr>
                <w:rFonts w:hint="eastAsia" w:ascii="仿宋_GB2312" w:hAnsi="宋体" w:eastAsia="仿宋_GB2312" w:cs="仿宋_GB2312"/>
                <w:i w:val="0"/>
                <w:color w:val="auto"/>
                <w:sz w:val="22"/>
                <w:szCs w:val="22"/>
                <w:u w:val="none"/>
              </w:rPr>
            </w:pPr>
          </w:p>
        </w:tc>
        <w:tc>
          <w:tcPr>
            <w:tcW w:w="122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B39E4E">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停工留薪期工资补偿金</w:t>
            </w:r>
          </w:p>
        </w:tc>
        <w:tc>
          <w:tcPr>
            <w:tcW w:w="251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791B94">
            <w:pPr>
              <w:keepNext w:val="0"/>
              <w:keepLines w:val="0"/>
              <w:widowControl/>
              <w:suppressLineNumbers w:val="0"/>
              <w:jc w:val="left"/>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经鉴定为工伤一级至十级的职工，一次性支付停工留薪期工资补偿金</w:t>
            </w: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F6D6F6">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一级</w:t>
            </w:r>
          </w:p>
        </w:tc>
        <w:tc>
          <w:tcPr>
            <w:tcW w:w="19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712934">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4万</w:t>
            </w:r>
          </w:p>
        </w:tc>
      </w:tr>
      <w:tr w14:paraId="6106E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22"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BCFB86">
            <w:pPr>
              <w:jc w:val="center"/>
              <w:rPr>
                <w:rFonts w:hint="eastAsia" w:ascii="仿宋_GB2312" w:hAnsi="宋体" w:eastAsia="仿宋_GB2312" w:cs="仿宋_GB2312"/>
                <w:i w:val="0"/>
                <w:color w:val="auto"/>
                <w:sz w:val="22"/>
                <w:szCs w:val="22"/>
                <w:u w:val="none"/>
              </w:rPr>
            </w:pPr>
          </w:p>
        </w:tc>
        <w:tc>
          <w:tcPr>
            <w:tcW w:w="9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3155DA">
            <w:pPr>
              <w:jc w:val="center"/>
              <w:rPr>
                <w:rFonts w:hint="eastAsia" w:ascii="仿宋_GB2312" w:hAnsi="宋体" w:eastAsia="仿宋_GB2312" w:cs="仿宋_GB2312"/>
                <w:i w:val="0"/>
                <w:color w:val="auto"/>
                <w:sz w:val="22"/>
                <w:szCs w:val="22"/>
                <w:u w:val="none"/>
              </w:rPr>
            </w:pPr>
          </w:p>
        </w:tc>
        <w:tc>
          <w:tcPr>
            <w:tcW w:w="1530"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86E04FE">
            <w:pPr>
              <w:jc w:val="center"/>
              <w:rPr>
                <w:rFonts w:hint="eastAsia" w:ascii="仿宋_GB2312" w:hAnsi="宋体" w:eastAsia="仿宋_GB2312" w:cs="仿宋_GB2312"/>
                <w:i w:val="0"/>
                <w:color w:val="auto"/>
                <w:sz w:val="22"/>
                <w:szCs w:val="22"/>
                <w:u w:val="none"/>
              </w:rPr>
            </w:pPr>
          </w:p>
        </w:tc>
        <w:tc>
          <w:tcPr>
            <w:tcW w:w="12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A912F7">
            <w:pPr>
              <w:jc w:val="center"/>
              <w:rPr>
                <w:rFonts w:hint="eastAsia" w:ascii="仿宋_GB2312" w:hAnsi="宋体" w:eastAsia="仿宋_GB2312" w:cs="仿宋_GB2312"/>
                <w:i w:val="0"/>
                <w:color w:val="auto"/>
                <w:sz w:val="22"/>
                <w:szCs w:val="22"/>
                <w:u w:val="none"/>
              </w:rPr>
            </w:pPr>
          </w:p>
        </w:tc>
        <w:tc>
          <w:tcPr>
            <w:tcW w:w="25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56E63F">
            <w:pPr>
              <w:jc w:val="left"/>
              <w:rPr>
                <w:rFonts w:hint="eastAsia" w:ascii="仿宋_GB2312" w:hAnsi="宋体" w:eastAsia="仿宋_GB2312" w:cs="仿宋_GB2312"/>
                <w:i w:val="0"/>
                <w:color w:val="auto"/>
                <w:sz w:val="22"/>
                <w:szCs w:val="22"/>
                <w:u w:val="none"/>
              </w:rPr>
            </w:pP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667E46">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二级</w:t>
            </w:r>
          </w:p>
        </w:tc>
        <w:tc>
          <w:tcPr>
            <w:tcW w:w="19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7913AB">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3.5万</w:t>
            </w:r>
          </w:p>
        </w:tc>
      </w:tr>
      <w:tr w14:paraId="3BDCF1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2" w:hRule="atLeast"/>
        </w:trPr>
        <w:tc>
          <w:tcPr>
            <w:tcW w:w="59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98FDF4">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四类</w:t>
            </w:r>
          </w:p>
        </w:tc>
        <w:tc>
          <w:tcPr>
            <w:tcW w:w="91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B3BC2C">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11元/月</w:t>
            </w:r>
            <w:r>
              <w:rPr>
                <w:rFonts w:hint="eastAsia" w:ascii="仿宋_GB2312" w:hAnsi="宋体" w:eastAsia="仿宋_GB2312" w:cs="仿宋_GB2312"/>
                <w:i w:val="0"/>
                <w:color w:val="auto"/>
                <w:kern w:val="0"/>
                <w:sz w:val="22"/>
                <w:szCs w:val="22"/>
                <w:u w:val="none"/>
                <w:lang w:val="en-US" w:eastAsia="zh-CN" w:bidi="ar"/>
              </w:rPr>
              <w:br w:type="textWrapping"/>
            </w:r>
            <w:r>
              <w:rPr>
                <w:rFonts w:hint="eastAsia" w:ascii="仿宋_GB2312" w:hAnsi="宋体" w:eastAsia="仿宋_GB2312" w:cs="仿宋_GB2312"/>
                <w:i w:val="0"/>
                <w:color w:val="auto"/>
                <w:kern w:val="0"/>
                <w:sz w:val="22"/>
                <w:szCs w:val="22"/>
                <w:u w:val="none"/>
                <w:lang w:val="en-US" w:eastAsia="zh-CN" w:bidi="ar"/>
              </w:rPr>
              <w:t>132元/年</w:t>
            </w:r>
          </w:p>
        </w:tc>
        <w:tc>
          <w:tcPr>
            <w:tcW w:w="1530"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42B55D52">
            <w:pPr>
              <w:jc w:val="center"/>
              <w:rPr>
                <w:rFonts w:hint="eastAsia" w:ascii="仿宋_GB2312" w:hAnsi="宋体" w:eastAsia="仿宋_GB2312" w:cs="仿宋_GB2312"/>
                <w:i w:val="0"/>
                <w:color w:val="auto"/>
                <w:sz w:val="22"/>
                <w:szCs w:val="22"/>
                <w:u w:val="none"/>
              </w:rPr>
            </w:pPr>
          </w:p>
        </w:tc>
        <w:tc>
          <w:tcPr>
            <w:tcW w:w="12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681A66">
            <w:pPr>
              <w:jc w:val="center"/>
              <w:rPr>
                <w:rFonts w:hint="eastAsia" w:ascii="仿宋_GB2312" w:hAnsi="宋体" w:eastAsia="仿宋_GB2312" w:cs="仿宋_GB2312"/>
                <w:i w:val="0"/>
                <w:color w:val="auto"/>
                <w:sz w:val="22"/>
                <w:szCs w:val="22"/>
                <w:u w:val="none"/>
              </w:rPr>
            </w:pPr>
          </w:p>
        </w:tc>
        <w:tc>
          <w:tcPr>
            <w:tcW w:w="25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B176D1">
            <w:pPr>
              <w:jc w:val="left"/>
              <w:rPr>
                <w:rFonts w:hint="eastAsia" w:ascii="仿宋_GB2312" w:hAnsi="宋体" w:eastAsia="仿宋_GB2312" w:cs="仿宋_GB2312"/>
                <w:i w:val="0"/>
                <w:color w:val="auto"/>
                <w:sz w:val="22"/>
                <w:szCs w:val="22"/>
                <w:u w:val="none"/>
              </w:rPr>
            </w:pP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BD564F">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三级</w:t>
            </w:r>
          </w:p>
        </w:tc>
        <w:tc>
          <w:tcPr>
            <w:tcW w:w="19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6F0421">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3万</w:t>
            </w:r>
          </w:p>
        </w:tc>
      </w:tr>
      <w:tr w14:paraId="22498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2"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FA6F1F">
            <w:pPr>
              <w:jc w:val="center"/>
              <w:rPr>
                <w:rFonts w:hint="eastAsia" w:ascii="仿宋_GB2312" w:hAnsi="宋体" w:eastAsia="仿宋_GB2312" w:cs="仿宋_GB2312"/>
                <w:i w:val="0"/>
                <w:color w:val="auto"/>
                <w:sz w:val="22"/>
                <w:szCs w:val="22"/>
                <w:u w:val="none"/>
              </w:rPr>
            </w:pPr>
          </w:p>
        </w:tc>
        <w:tc>
          <w:tcPr>
            <w:tcW w:w="9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0DB2FF">
            <w:pPr>
              <w:jc w:val="center"/>
              <w:rPr>
                <w:rFonts w:hint="eastAsia" w:ascii="仿宋_GB2312" w:hAnsi="宋体" w:eastAsia="仿宋_GB2312" w:cs="仿宋_GB2312"/>
                <w:i w:val="0"/>
                <w:color w:val="auto"/>
                <w:sz w:val="22"/>
                <w:szCs w:val="22"/>
                <w:u w:val="none"/>
              </w:rPr>
            </w:pPr>
          </w:p>
        </w:tc>
        <w:tc>
          <w:tcPr>
            <w:tcW w:w="1530"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789A5B4">
            <w:pPr>
              <w:jc w:val="center"/>
              <w:rPr>
                <w:rFonts w:hint="eastAsia" w:ascii="仿宋_GB2312" w:hAnsi="宋体" w:eastAsia="仿宋_GB2312" w:cs="仿宋_GB2312"/>
                <w:i w:val="0"/>
                <w:color w:val="auto"/>
                <w:sz w:val="22"/>
                <w:szCs w:val="22"/>
                <w:u w:val="none"/>
              </w:rPr>
            </w:pPr>
          </w:p>
        </w:tc>
        <w:tc>
          <w:tcPr>
            <w:tcW w:w="12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2A54B1">
            <w:pPr>
              <w:jc w:val="center"/>
              <w:rPr>
                <w:rFonts w:hint="eastAsia" w:ascii="仿宋_GB2312" w:hAnsi="宋体" w:eastAsia="仿宋_GB2312" w:cs="仿宋_GB2312"/>
                <w:i w:val="0"/>
                <w:color w:val="auto"/>
                <w:sz w:val="22"/>
                <w:szCs w:val="22"/>
                <w:u w:val="none"/>
              </w:rPr>
            </w:pPr>
          </w:p>
        </w:tc>
        <w:tc>
          <w:tcPr>
            <w:tcW w:w="25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CA2D48">
            <w:pPr>
              <w:jc w:val="left"/>
              <w:rPr>
                <w:rFonts w:hint="eastAsia" w:ascii="仿宋_GB2312" w:hAnsi="宋体" w:eastAsia="仿宋_GB2312" w:cs="仿宋_GB2312"/>
                <w:i w:val="0"/>
                <w:color w:val="auto"/>
                <w:sz w:val="22"/>
                <w:szCs w:val="22"/>
                <w:u w:val="none"/>
              </w:rPr>
            </w:pP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B4EB8F">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四级</w:t>
            </w:r>
          </w:p>
        </w:tc>
        <w:tc>
          <w:tcPr>
            <w:tcW w:w="19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554056">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2.5万</w:t>
            </w:r>
          </w:p>
        </w:tc>
      </w:tr>
      <w:tr w14:paraId="1C69C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2"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B9E6FE">
            <w:pPr>
              <w:jc w:val="center"/>
              <w:rPr>
                <w:rFonts w:hint="eastAsia" w:ascii="仿宋_GB2312" w:hAnsi="宋体" w:eastAsia="仿宋_GB2312" w:cs="仿宋_GB2312"/>
                <w:i w:val="0"/>
                <w:color w:val="auto"/>
                <w:sz w:val="22"/>
                <w:szCs w:val="22"/>
                <w:u w:val="none"/>
              </w:rPr>
            </w:pPr>
          </w:p>
        </w:tc>
        <w:tc>
          <w:tcPr>
            <w:tcW w:w="9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012D00">
            <w:pPr>
              <w:jc w:val="center"/>
              <w:rPr>
                <w:rFonts w:hint="eastAsia" w:ascii="仿宋_GB2312" w:hAnsi="宋体" w:eastAsia="仿宋_GB2312" w:cs="仿宋_GB2312"/>
                <w:i w:val="0"/>
                <w:color w:val="auto"/>
                <w:sz w:val="22"/>
                <w:szCs w:val="22"/>
                <w:u w:val="none"/>
              </w:rPr>
            </w:pPr>
          </w:p>
        </w:tc>
        <w:tc>
          <w:tcPr>
            <w:tcW w:w="1530"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47CDD792">
            <w:pPr>
              <w:jc w:val="center"/>
              <w:rPr>
                <w:rFonts w:hint="eastAsia" w:ascii="仿宋_GB2312" w:hAnsi="宋体" w:eastAsia="仿宋_GB2312" w:cs="仿宋_GB2312"/>
                <w:i w:val="0"/>
                <w:color w:val="auto"/>
                <w:sz w:val="22"/>
                <w:szCs w:val="22"/>
                <w:u w:val="none"/>
              </w:rPr>
            </w:pPr>
          </w:p>
        </w:tc>
        <w:tc>
          <w:tcPr>
            <w:tcW w:w="12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3A2054">
            <w:pPr>
              <w:jc w:val="center"/>
              <w:rPr>
                <w:rFonts w:hint="eastAsia" w:ascii="仿宋_GB2312" w:hAnsi="宋体" w:eastAsia="仿宋_GB2312" w:cs="仿宋_GB2312"/>
                <w:i w:val="0"/>
                <w:color w:val="auto"/>
                <w:sz w:val="22"/>
                <w:szCs w:val="22"/>
                <w:u w:val="none"/>
              </w:rPr>
            </w:pPr>
          </w:p>
        </w:tc>
        <w:tc>
          <w:tcPr>
            <w:tcW w:w="25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FA49F3">
            <w:pPr>
              <w:jc w:val="left"/>
              <w:rPr>
                <w:rFonts w:hint="eastAsia" w:ascii="仿宋_GB2312" w:hAnsi="宋体" w:eastAsia="仿宋_GB2312" w:cs="仿宋_GB2312"/>
                <w:i w:val="0"/>
                <w:color w:val="auto"/>
                <w:sz w:val="22"/>
                <w:szCs w:val="22"/>
                <w:u w:val="none"/>
              </w:rPr>
            </w:pP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3D9AA9">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五级</w:t>
            </w:r>
          </w:p>
        </w:tc>
        <w:tc>
          <w:tcPr>
            <w:tcW w:w="19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A2924A">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2万</w:t>
            </w:r>
          </w:p>
        </w:tc>
      </w:tr>
      <w:tr w14:paraId="24D48C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2"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A7E8D8">
            <w:pPr>
              <w:jc w:val="center"/>
              <w:rPr>
                <w:rFonts w:hint="eastAsia" w:ascii="仿宋_GB2312" w:hAnsi="宋体" w:eastAsia="仿宋_GB2312" w:cs="仿宋_GB2312"/>
                <w:i w:val="0"/>
                <w:color w:val="auto"/>
                <w:sz w:val="22"/>
                <w:szCs w:val="22"/>
                <w:u w:val="none"/>
              </w:rPr>
            </w:pPr>
          </w:p>
        </w:tc>
        <w:tc>
          <w:tcPr>
            <w:tcW w:w="9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599390">
            <w:pPr>
              <w:jc w:val="center"/>
              <w:rPr>
                <w:rFonts w:hint="eastAsia" w:ascii="仿宋_GB2312" w:hAnsi="宋体" w:eastAsia="仿宋_GB2312" w:cs="仿宋_GB2312"/>
                <w:i w:val="0"/>
                <w:color w:val="auto"/>
                <w:sz w:val="22"/>
                <w:szCs w:val="22"/>
                <w:u w:val="none"/>
              </w:rPr>
            </w:pPr>
          </w:p>
        </w:tc>
        <w:tc>
          <w:tcPr>
            <w:tcW w:w="1530"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1F469D3A">
            <w:pPr>
              <w:jc w:val="center"/>
              <w:rPr>
                <w:rFonts w:hint="eastAsia" w:ascii="仿宋_GB2312" w:hAnsi="宋体" w:eastAsia="仿宋_GB2312" w:cs="仿宋_GB2312"/>
                <w:i w:val="0"/>
                <w:color w:val="auto"/>
                <w:sz w:val="22"/>
                <w:szCs w:val="22"/>
                <w:u w:val="none"/>
              </w:rPr>
            </w:pPr>
          </w:p>
        </w:tc>
        <w:tc>
          <w:tcPr>
            <w:tcW w:w="12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0EC228">
            <w:pPr>
              <w:jc w:val="center"/>
              <w:rPr>
                <w:rFonts w:hint="eastAsia" w:ascii="仿宋_GB2312" w:hAnsi="宋体" w:eastAsia="仿宋_GB2312" w:cs="仿宋_GB2312"/>
                <w:i w:val="0"/>
                <w:color w:val="auto"/>
                <w:sz w:val="22"/>
                <w:szCs w:val="22"/>
                <w:u w:val="none"/>
              </w:rPr>
            </w:pPr>
          </w:p>
        </w:tc>
        <w:tc>
          <w:tcPr>
            <w:tcW w:w="25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65596B">
            <w:pPr>
              <w:jc w:val="left"/>
              <w:rPr>
                <w:rFonts w:hint="eastAsia" w:ascii="仿宋_GB2312" w:hAnsi="宋体" w:eastAsia="仿宋_GB2312" w:cs="仿宋_GB2312"/>
                <w:i w:val="0"/>
                <w:color w:val="auto"/>
                <w:sz w:val="22"/>
                <w:szCs w:val="22"/>
                <w:u w:val="none"/>
              </w:rPr>
            </w:pP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2D3918">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六级</w:t>
            </w:r>
          </w:p>
        </w:tc>
        <w:tc>
          <w:tcPr>
            <w:tcW w:w="19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A0D52F">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1.6万</w:t>
            </w:r>
          </w:p>
        </w:tc>
      </w:tr>
      <w:tr w14:paraId="060609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22" w:hRule="atLeast"/>
        </w:trPr>
        <w:tc>
          <w:tcPr>
            <w:tcW w:w="59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6BC209">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五类</w:t>
            </w:r>
          </w:p>
        </w:tc>
        <w:tc>
          <w:tcPr>
            <w:tcW w:w="91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3E0A1E">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14元/月</w:t>
            </w:r>
            <w:r>
              <w:rPr>
                <w:rFonts w:hint="eastAsia" w:ascii="仿宋_GB2312" w:hAnsi="宋体" w:eastAsia="仿宋_GB2312" w:cs="仿宋_GB2312"/>
                <w:i w:val="0"/>
                <w:color w:val="auto"/>
                <w:kern w:val="0"/>
                <w:sz w:val="22"/>
                <w:szCs w:val="22"/>
                <w:u w:val="none"/>
                <w:lang w:val="en-US" w:eastAsia="zh-CN" w:bidi="ar"/>
              </w:rPr>
              <w:br w:type="textWrapping"/>
            </w:r>
            <w:r>
              <w:rPr>
                <w:rFonts w:hint="eastAsia" w:ascii="仿宋_GB2312" w:hAnsi="宋体" w:eastAsia="仿宋_GB2312" w:cs="仿宋_GB2312"/>
                <w:i w:val="0"/>
                <w:color w:val="auto"/>
                <w:kern w:val="0"/>
                <w:sz w:val="22"/>
                <w:szCs w:val="22"/>
                <w:u w:val="none"/>
                <w:lang w:val="en-US" w:eastAsia="zh-CN" w:bidi="ar"/>
              </w:rPr>
              <w:t>168元/年</w:t>
            </w:r>
          </w:p>
        </w:tc>
        <w:tc>
          <w:tcPr>
            <w:tcW w:w="1530"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11BA36B">
            <w:pPr>
              <w:jc w:val="center"/>
              <w:rPr>
                <w:rFonts w:hint="eastAsia" w:ascii="仿宋_GB2312" w:hAnsi="宋体" w:eastAsia="仿宋_GB2312" w:cs="仿宋_GB2312"/>
                <w:i w:val="0"/>
                <w:color w:val="auto"/>
                <w:sz w:val="22"/>
                <w:szCs w:val="22"/>
                <w:u w:val="none"/>
              </w:rPr>
            </w:pPr>
          </w:p>
        </w:tc>
        <w:tc>
          <w:tcPr>
            <w:tcW w:w="12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178A9B">
            <w:pPr>
              <w:jc w:val="center"/>
              <w:rPr>
                <w:rFonts w:hint="eastAsia" w:ascii="仿宋_GB2312" w:hAnsi="宋体" w:eastAsia="仿宋_GB2312" w:cs="仿宋_GB2312"/>
                <w:i w:val="0"/>
                <w:color w:val="auto"/>
                <w:sz w:val="22"/>
                <w:szCs w:val="22"/>
                <w:u w:val="none"/>
              </w:rPr>
            </w:pPr>
          </w:p>
        </w:tc>
        <w:tc>
          <w:tcPr>
            <w:tcW w:w="25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3CBEAF">
            <w:pPr>
              <w:jc w:val="left"/>
              <w:rPr>
                <w:rFonts w:hint="eastAsia" w:ascii="仿宋_GB2312" w:hAnsi="宋体" w:eastAsia="仿宋_GB2312" w:cs="仿宋_GB2312"/>
                <w:i w:val="0"/>
                <w:color w:val="auto"/>
                <w:sz w:val="22"/>
                <w:szCs w:val="22"/>
                <w:u w:val="none"/>
              </w:rPr>
            </w:pP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D04F6C">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七级</w:t>
            </w:r>
          </w:p>
        </w:tc>
        <w:tc>
          <w:tcPr>
            <w:tcW w:w="19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21C5B3">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1.2万</w:t>
            </w:r>
          </w:p>
        </w:tc>
      </w:tr>
      <w:tr w14:paraId="56A0C8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22"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DE5D4B">
            <w:pPr>
              <w:jc w:val="center"/>
              <w:rPr>
                <w:rFonts w:hint="eastAsia" w:ascii="仿宋_GB2312" w:hAnsi="宋体" w:eastAsia="仿宋_GB2312" w:cs="仿宋_GB2312"/>
                <w:i w:val="0"/>
                <w:color w:val="auto"/>
                <w:sz w:val="22"/>
                <w:szCs w:val="22"/>
                <w:u w:val="none"/>
              </w:rPr>
            </w:pPr>
          </w:p>
        </w:tc>
        <w:tc>
          <w:tcPr>
            <w:tcW w:w="9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B2735E">
            <w:pPr>
              <w:jc w:val="center"/>
              <w:rPr>
                <w:rFonts w:hint="eastAsia" w:ascii="仿宋_GB2312" w:hAnsi="宋体" w:eastAsia="仿宋_GB2312" w:cs="仿宋_GB2312"/>
                <w:i w:val="0"/>
                <w:color w:val="auto"/>
                <w:sz w:val="22"/>
                <w:szCs w:val="22"/>
                <w:u w:val="none"/>
              </w:rPr>
            </w:pPr>
          </w:p>
        </w:tc>
        <w:tc>
          <w:tcPr>
            <w:tcW w:w="1530"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332E205">
            <w:pPr>
              <w:jc w:val="center"/>
              <w:rPr>
                <w:rFonts w:hint="eastAsia" w:ascii="仿宋_GB2312" w:hAnsi="宋体" w:eastAsia="仿宋_GB2312" w:cs="仿宋_GB2312"/>
                <w:i w:val="0"/>
                <w:color w:val="auto"/>
                <w:sz w:val="22"/>
                <w:szCs w:val="22"/>
                <w:u w:val="none"/>
              </w:rPr>
            </w:pPr>
          </w:p>
        </w:tc>
        <w:tc>
          <w:tcPr>
            <w:tcW w:w="12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5ABB93">
            <w:pPr>
              <w:jc w:val="center"/>
              <w:rPr>
                <w:rFonts w:hint="eastAsia" w:ascii="仿宋_GB2312" w:hAnsi="宋体" w:eastAsia="仿宋_GB2312" w:cs="仿宋_GB2312"/>
                <w:i w:val="0"/>
                <w:color w:val="auto"/>
                <w:sz w:val="22"/>
                <w:szCs w:val="22"/>
                <w:u w:val="none"/>
              </w:rPr>
            </w:pPr>
          </w:p>
        </w:tc>
        <w:tc>
          <w:tcPr>
            <w:tcW w:w="25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B8E29E">
            <w:pPr>
              <w:jc w:val="left"/>
              <w:rPr>
                <w:rFonts w:hint="eastAsia" w:ascii="仿宋_GB2312" w:hAnsi="宋体" w:eastAsia="仿宋_GB2312" w:cs="仿宋_GB2312"/>
                <w:i w:val="0"/>
                <w:color w:val="auto"/>
                <w:sz w:val="22"/>
                <w:szCs w:val="22"/>
                <w:u w:val="none"/>
              </w:rPr>
            </w:pP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740F9C">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八级</w:t>
            </w:r>
          </w:p>
        </w:tc>
        <w:tc>
          <w:tcPr>
            <w:tcW w:w="19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B9BF02">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0.8万</w:t>
            </w:r>
          </w:p>
        </w:tc>
      </w:tr>
      <w:tr w14:paraId="4E718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5"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1A3E92">
            <w:pPr>
              <w:jc w:val="center"/>
              <w:rPr>
                <w:rFonts w:hint="eastAsia" w:ascii="仿宋_GB2312" w:hAnsi="宋体" w:eastAsia="仿宋_GB2312" w:cs="仿宋_GB2312"/>
                <w:i w:val="0"/>
                <w:color w:val="auto"/>
                <w:sz w:val="22"/>
                <w:szCs w:val="22"/>
                <w:u w:val="none"/>
              </w:rPr>
            </w:pPr>
          </w:p>
        </w:tc>
        <w:tc>
          <w:tcPr>
            <w:tcW w:w="9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2A3019">
            <w:pPr>
              <w:jc w:val="center"/>
              <w:rPr>
                <w:rFonts w:hint="eastAsia" w:ascii="仿宋_GB2312" w:hAnsi="宋体" w:eastAsia="仿宋_GB2312" w:cs="仿宋_GB2312"/>
                <w:i w:val="0"/>
                <w:color w:val="auto"/>
                <w:sz w:val="22"/>
                <w:szCs w:val="22"/>
                <w:u w:val="none"/>
              </w:rPr>
            </w:pPr>
          </w:p>
        </w:tc>
        <w:tc>
          <w:tcPr>
            <w:tcW w:w="1530"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4B60B068">
            <w:pPr>
              <w:jc w:val="center"/>
              <w:rPr>
                <w:rFonts w:hint="eastAsia" w:ascii="仿宋_GB2312" w:hAnsi="宋体" w:eastAsia="仿宋_GB2312" w:cs="仿宋_GB2312"/>
                <w:i w:val="0"/>
                <w:color w:val="auto"/>
                <w:sz w:val="22"/>
                <w:szCs w:val="22"/>
                <w:u w:val="none"/>
              </w:rPr>
            </w:pPr>
          </w:p>
        </w:tc>
        <w:tc>
          <w:tcPr>
            <w:tcW w:w="12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103396">
            <w:pPr>
              <w:jc w:val="center"/>
              <w:rPr>
                <w:rFonts w:hint="eastAsia" w:ascii="仿宋_GB2312" w:hAnsi="宋体" w:eastAsia="仿宋_GB2312" w:cs="仿宋_GB2312"/>
                <w:i w:val="0"/>
                <w:color w:val="auto"/>
                <w:sz w:val="22"/>
                <w:szCs w:val="22"/>
                <w:u w:val="none"/>
              </w:rPr>
            </w:pPr>
          </w:p>
        </w:tc>
        <w:tc>
          <w:tcPr>
            <w:tcW w:w="25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0BB94B">
            <w:pPr>
              <w:jc w:val="left"/>
              <w:rPr>
                <w:rFonts w:hint="eastAsia" w:ascii="仿宋_GB2312" w:hAnsi="宋体" w:eastAsia="仿宋_GB2312" w:cs="仿宋_GB2312"/>
                <w:i w:val="0"/>
                <w:color w:val="auto"/>
                <w:sz w:val="22"/>
                <w:szCs w:val="22"/>
                <w:u w:val="none"/>
              </w:rPr>
            </w:pP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8C6876">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九级</w:t>
            </w:r>
          </w:p>
        </w:tc>
        <w:tc>
          <w:tcPr>
            <w:tcW w:w="19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D60E5E">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0.5万</w:t>
            </w:r>
          </w:p>
        </w:tc>
      </w:tr>
      <w:tr w14:paraId="79D212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2" w:hRule="atLeast"/>
        </w:trPr>
        <w:tc>
          <w:tcPr>
            <w:tcW w:w="59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05108D">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六类</w:t>
            </w:r>
          </w:p>
        </w:tc>
        <w:tc>
          <w:tcPr>
            <w:tcW w:w="91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153BE7">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17元/月</w:t>
            </w:r>
            <w:r>
              <w:rPr>
                <w:rFonts w:hint="eastAsia" w:ascii="仿宋_GB2312" w:hAnsi="宋体" w:eastAsia="仿宋_GB2312" w:cs="仿宋_GB2312"/>
                <w:i w:val="0"/>
                <w:color w:val="auto"/>
                <w:kern w:val="0"/>
                <w:sz w:val="22"/>
                <w:szCs w:val="22"/>
                <w:u w:val="none"/>
                <w:lang w:val="en-US" w:eastAsia="zh-CN" w:bidi="ar"/>
              </w:rPr>
              <w:br w:type="textWrapping"/>
            </w:r>
            <w:r>
              <w:rPr>
                <w:rFonts w:hint="eastAsia" w:ascii="仿宋_GB2312" w:hAnsi="宋体" w:eastAsia="仿宋_GB2312" w:cs="仿宋_GB2312"/>
                <w:i w:val="0"/>
                <w:color w:val="auto"/>
                <w:kern w:val="0"/>
                <w:sz w:val="22"/>
                <w:szCs w:val="22"/>
                <w:u w:val="none"/>
                <w:lang w:val="en-US" w:eastAsia="zh-CN" w:bidi="ar"/>
              </w:rPr>
              <w:t>204元/年</w:t>
            </w:r>
          </w:p>
        </w:tc>
        <w:tc>
          <w:tcPr>
            <w:tcW w:w="1530"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49045C73">
            <w:pPr>
              <w:jc w:val="center"/>
              <w:rPr>
                <w:rFonts w:hint="eastAsia" w:ascii="仿宋_GB2312" w:hAnsi="宋体" w:eastAsia="仿宋_GB2312" w:cs="仿宋_GB2312"/>
                <w:i w:val="0"/>
                <w:color w:val="auto"/>
                <w:sz w:val="22"/>
                <w:szCs w:val="22"/>
                <w:u w:val="none"/>
              </w:rPr>
            </w:pPr>
          </w:p>
        </w:tc>
        <w:tc>
          <w:tcPr>
            <w:tcW w:w="12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CBB052">
            <w:pPr>
              <w:jc w:val="center"/>
              <w:rPr>
                <w:rFonts w:hint="eastAsia" w:ascii="仿宋_GB2312" w:hAnsi="宋体" w:eastAsia="仿宋_GB2312" w:cs="仿宋_GB2312"/>
                <w:i w:val="0"/>
                <w:color w:val="auto"/>
                <w:sz w:val="22"/>
                <w:szCs w:val="22"/>
                <w:u w:val="none"/>
              </w:rPr>
            </w:pPr>
          </w:p>
        </w:tc>
        <w:tc>
          <w:tcPr>
            <w:tcW w:w="25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0B857D">
            <w:pPr>
              <w:jc w:val="left"/>
              <w:rPr>
                <w:rFonts w:hint="eastAsia" w:ascii="仿宋_GB2312" w:hAnsi="宋体" w:eastAsia="仿宋_GB2312" w:cs="仿宋_GB2312"/>
                <w:i w:val="0"/>
                <w:color w:val="auto"/>
                <w:sz w:val="22"/>
                <w:szCs w:val="22"/>
                <w:u w:val="none"/>
              </w:rPr>
            </w:pP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62F0FF">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十级</w:t>
            </w:r>
          </w:p>
        </w:tc>
        <w:tc>
          <w:tcPr>
            <w:tcW w:w="19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593B2E">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0.2万</w:t>
            </w:r>
          </w:p>
        </w:tc>
      </w:tr>
      <w:tr w14:paraId="7E247F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0"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E5E90C">
            <w:pPr>
              <w:jc w:val="center"/>
              <w:rPr>
                <w:rFonts w:hint="eastAsia" w:ascii="仿宋_GB2312" w:hAnsi="宋体" w:eastAsia="仿宋_GB2312" w:cs="仿宋_GB2312"/>
                <w:i w:val="0"/>
                <w:color w:val="auto"/>
                <w:sz w:val="22"/>
                <w:szCs w:val="22"/>
                <w:u w:val="none"/>
              </w:rPr>
            </w:pPr>
          </w:p>
        </w:tc>
        <w:tc>
          <w:tcPr>
            <w:tcW w:w="9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C0CDD9">
            <w:pPr>
              <w:jc w:val="center"/>
              <w:rPr>
                <w:rFonts w:hint="eastAsia" w:ascii="仿宋_GB2312" w:hAnsi="宋体" w:eastAsia="仿宋_GB2312" w:cs="仿宋_GB2312"/>
                <w:i w:val="0"/>
                <w:color w:val="auto"/>
                <w:sz w:val="22"/>
                <w:szCs w:val="22"/>
                <w:u w:val="none"/>
              </w:rPr>
            </w:pPr>
          </w:p>
        </w:tc>
        <w:tc>
          <w:tcPr>
            <w:tcW w:w="1530"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14698A3F">
            <w:pPr>
              <w:jc w:val="center"/>
              <w:rPr>
                <w:rFonts w:hint="eastAsia" w:ascii="仿宋_GB2312" w:hAnsi="宋体" w:eastAsia="仿宋_GB2312" w:cs="仿宋_GB2312"/>
                <w:i w:val="0"/>
                <w:color w:val="auto"/>
                <w:sz w:val="22"/>
                <w:szCs w:val="22"/>
                <w:u w:val="none"/>
              </w:rPr>
            </w:pPr>
          </w:p>
        </w:tc>
        <w:tc>
          <w:tcPr>
            <w:tcW w:w="122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BAEEF2">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一次性伤残就业补偿金</w:t>
            </w:r>
          </w:p>
        </w:tc>
        <w:tc>
          <w:tcPr>
            <w:tcW w:w="251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956CF6">
            <w:pPr>
              <w:keepNext w:val="0"/>
              <w:keepLines w:val="0"/>
              <w:widowControl/>
              <w:suppressLineNumbers w:val="0"/>
              <w:jc w:val="left"/>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经鉴定为工伤五级至十级的职工，用人单位与工伤职工依法解除或终止劳动关系时一次性支付伤残就业补偿金</w:t>
            </w: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964AC8">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五级</w:t>
            </w:r>
          </w:p>
        </w:tc>
        <w:tc>
          <w:tcPr>
            <w:tcW w:w="19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EB5007">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9万</w:t>
            </w:r>
          </w:p>
        </w:tc>
      </w:tr>
      <w:tr w14:paraId="6113F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4"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F125EF">
            <w:pPr>
              <w:jc w:val="center"/>
              <w:rPr>
                <w:rFonts w:hint="eastAsia" w:ascii="仿宋_GB2312" w:hAnsi="宋体" w:eastAsia="仿宋_GB2312" w:cs="仿宋_GB2312"/>
                <w:i w:val="0"/>
                <w:color w:val="auto"/>
                <w:sz w:val="22"/>
                <w:szCs w:val="22"/>
                <w:u w:val="none"/>
              </w:rPr>
            </w:pPr>
          </w:p>
        </w:tc>
        <w:tc>
          <w:tcPr>
            <w:tcW w:w="9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94AA75">
            <w:pPr>
              <w:jc w:val="center"/>
              <w:rPr>
                <w:rFonts w:hint="eastAsia" w:ascii="仿宋_GB2312" w:hAnsi="宋体" w:eastAsia="仿宋_GB2312" w:cs="仿宋_GB2312"/>
                <w:i w:val="0"/>
                <w:color w:val="auto"/>
                <w:sz w:val="22"/>
                <w:szCs w:val="22"/>
                <w:u w:val="none"/>
              </w:rPr>
            </w:pPr>
          </w:p>
        </w:tc>
        <w:tc>
          <w:tcPr>
            <w:tcW w:w="1530"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710C3D48">
            <w:pPr>
              <w:jc w:val="center"/>
              <w:rPr>
                <w:rFonts w:hint="eastAsia" w:ascii="仿宋_GB2312" w:hAnsi="宋体" w:eastAsia="仿宋_GB2312" w:cs="仿宋_GB2312"/>
                <w:i w:val="0"/>
                <w:color w:val="auto"/>
                <w:sz w:val="22"/>
                <w:szCs w:val="22"/>
                <w:u w:val="none"/>
              </w:rPr>
            </w:pPr>
          </w:p>
        </w:tc>
        <w:tc>
          <w:tcPr>
            <w:tcW w:w="12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710AB5">
            <w:pPr>
              <w:jc w:val="center"/>
              <w:rPr>
                <w:rFonts w:hint="eastAsia" w:ascii="仿宋_GB2312" w:hAnsi="宋体" w:eastAsia="仿宋_GB2312" w:cs="仿宋_GB2312"/>
                <w:i w:val="0"/>
                <w:color w:val="auto"/>
                <w:sz w:val="22"/>
                <w:szCs w:val="22"/>
                <w:u w:val="none"/>
              </w:rPr>
            </w:pPr>
          </w:p>
        </w:tc>
        <w:tc>
          <w:tcPr>
            <w:tcW w:w="25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CB4748">
            <w:pPr>
              <w:jc w:val="left"/>
              <w:rPr>
                <w:rFonts w:hint="eastAsia" w:ascii="仿宋_GB2312" w:hAnsi="宋体" w:eastAsia="仿宋_GB2312" w:cs="仿宋_GB2312"/>
                <w:i w:val="0"/>
                <w:color w:val="auto"/>
                <w:sz w:val="22"/>
                <w:szCs w:val="22"/>
                <w:u w:val="none"/>
              </w:rPr>
            </w:pP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203008">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六级</w:t>
            </w:r>
          </w:p>
        </w:tc>
        <w:tc>
          <w:tcPr>
            <w:tcW w:w="19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9C163F">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7万</w:t>
            </w:r>
          </w:p>
        </w:tc>
      </w:tr>
      <w:tr w14:paraId="31FD6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trPr>
        <w:tc>
          <w:tcPr>
            <w:tcW w:w="59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EFE34F">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七类</w:t>
            </w:r>
          </w:p>
        </w:tc>
        <w:tc>
          <w:tcPr>
            <w:tcW w:w="91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EC21C1">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21元/月</w:t>
            </w:r>
            <w:r>
              <w:rPr>
                <w:rFonts w:hint="eastAsia" w:ascii="仿宋_GB2312" w:hAnsi="宋体" w:eastAsia="仿宋_GB2312" w:cs="仿宋_GB2312"/>
                <w:i w:val="0"/>
                <w:color w:val="auto"/>
                <w:kern w:val="0"/>
                <w:sz w:val="22"/>
                <w:szCs w:val="22"/>
                <w:u w:val="none"/>
                <w:lang w:val="en-US" w:eastAsia="zh-CN" w:bidi="ar"/>
              </w:rPr>
              <w:br w:type="textWrapping"/>
            </w:r>
            <w:r>
              <w:rPr>
                <w:rFonts w:hint="eastAsia" w:ascii="仿宋_GB2312" w:hAnsi="宋体" w:eastAsia="仿宋_GB2312" w:cs="仿宋_GB2312"/>
                <w:i w:val="0"/>
                <w:color w:val="auto"/>
                <w:kern w:val="0"/>
                <w:sz w:val="22"/>
                <w:szCs w:val="22"/>
                <w:u w:val="none"/>
                <w:lang w:val="en-US" w:eastAsia="zh-CN" w:bidi="ar"/>
              </w:rPr>
              <w:t>252元/年</w:t>
            </w:r>
          </w:p>
        </w:tc>
        <w:tc>
          <w:tcPr>
            <w:tcW w:w="1530"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46067962">
            <w:pPr>
              <w:jc w:val="center"/>
              <w:rPr>
                <w:rFonts w:hint="eastAsia" w:ascii="仿宋_GB2312" w:hAnsi="宋体" w:eastAsia="仿宋_GB2312" w:cs="仿宋_GB2312"/>
                <w:i w:val="0"/>
                <w:color w:val="auto"/>
                <w:sz w:val="22"/>
                <w:szCs w:val="22"/>
                <w:u w:val="none"/>
              </w:rPr>
            </w:pPr>
          </w:p>
        </w:tc>
        <w:tc>
          <w:tcPr>
            <w:tcW w:w="12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2E4134">
            <w:pPr>
              <w:jc w:val="center"/>
              <w:rPr>
                <w:rFonts w:hint="eastAsia" w:ascii="仿宋_GB2312" w:hAnsi="宋体" w:eastAsia="仿宋_GB2312" w:cs="仿宋_GB2312"/>
                <w:i w:val="0"/>
                <w:color w:val="auto"/>
                <w:sz w:val="22"/>
                <w:szCs w:val="22"/>
                <w:u w:val="none"/>
              </w:rPr>
            </w:pPr>
          </w:p>
        </w:tc>
        <w:tc>
          <w:tcPr>
            <w:tcW w:w="25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D22779">
            <w:pPr>
              <w:jc w:val="left"/>
              <w:rPr>
                <w:rFonts w:hint="eastAsia" w:ascii="仿宋_GB2312" w:hAnsi="宋体" w:eastAsia="仿宋_GB2312" w:cs="仿宋_GB2312"/>
                <w:i w:val="0"/>
                <w:color w:val="auto"/>
                <w:sz w:val="22"/>
                <w:szCs w:val="22"/>
                <w:u w:val="none"/>
              </w:rPr>
            </w:pP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4A0515">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七级</w:t>
            </w:r>
          </w:p>
        </w:tc>
        <w:tc>
          <w:tcPr>
            <w:tcW w:w="19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810BB1">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5万</w:t>
            </w:r>
          </w:p>
        </w:tc>
      </w:tr>
      <w:tr w14:paraId="21D47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0"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1CEC42">
            <w:pPr>
              <w:jc w:val="center"/>
              <w:rPr>
                <w:rFonts w:hint="eastAsia" w:ascii="仿宋_GB2312" w:hAnsi="宋体" w:eastAsia="仿宋_GB2312" w:cs="仿宋_GB2312"/>
                <w:i w:val="0"/>
                <w:color w:val="auto"/>
                <w:sz w:val="22"/>
                <w:szCs w:val="22"/>
                <w:u w:val="none"/>
              </w:rPr>
            </w:pPr>
          </w:p>
        </w:tc>
        <w:tc>
          <w:tcPr>
            <w:tcW w:w="9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D8D198">
            <w:pPr>
              <w:jc w:val="center"/>
              <w:rPr>
                <w:rFonts w:hint="eastAsia" w:ascii="仿宋_GB2312" w:hAnsi="宋体" w:eastAsia="仿宋_GB2312" w:cs="仿宋_GB2312"/>
                <w:i w:val="0"/>
                <w:color w:val="auto"/>
                <w:sz w:val="22"/>
                <w:szCs w:val="22"/>
                <w:u w:val="none"/>
              </w:rPr>
            </w:pPr>
          </w:p>
        </w:tc>
        <w:tc>
          <w:tcPr>
            <w:tcW w:w="1530"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5BEE3F7">
            <w:pPr>
              <w:jc w:val="center"/>
              <w:rPr>
                <w:rFonts w:hint="eastAsia" w:ascii="仿宋_GB2312" w:hAnsi="宋体" w:eastAsia="仿宋_GB2312" w:cs="仿宋_GB2312"/>
                <w:i w:val="0"/>
                <w:color w:val="auto"/>
                <w:sz w:val="22"/>
                <w:szCs w:val="22"/>
                <w:u w:val="none"/>
              </w:rPr>
            </w:pPr>
          </w:p>
        </w:tc>
        <w:tc>
          <w:tcPr>
            <w:tcW w:w="12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530483">
            <w:pPr>
              <w:jc w:val="center"/>
              <w:rPr>
                <w:rFonts w:hint="eastAsia" w:ascii="仿宋_GB2312" w:hAnsi="宋体" w:eastAsia="仿宋_GB2312" w:cs="仿宋_GB2312"/>
                <w:i w:val="0"/>
                <w:color w:val="auto"/>
                <w:sz w:val="22"/>
                <w:szCs w:val="22"/>
                <w:u w:val="none"/>
              </w:rPr>
            </w:pPr>
          </w:p>
        </w:tc>
        <w:tc>
          <w:tcPr>
            <w:tcW w:w="25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EC36E1">
            <w:pPr>
              <w:jc w:val="left"/>
              <w:rPr>
                <w:rFonts w:hint="eastAsia" w:ascii="仿宋_GB2312" w:hAnsi="宋体" w:eastAsia="仿宋_GB2312" w:cs="仿宋_GB2312"/>
                <w:i w:val="0"/>
                <w:color w:val="auto"/>
                <w:sz w:val="22"/>
                <w:szCs w:val="22"/>
                <w:u w:val="none"/>
              </w:rPr>
            </w:pP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C4F020">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八级</w:t>
            </w:r>
          </w:p>
        </w:tc>
        <w:tc>
          <w:tcPr>
            <w:tcW w:w="19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E4A8B8">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3.5万</w:t>
            </w:r>
          </w:p>
        </w:tc>
      </w:tr>
      <w:tr w14:paraId="57B250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0"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655B6F">
            <w:pPr>
              <w:jc w:val="center"/>
              <w:rPr>
                <w:rFonts w:hint="eastAsia" w:ascii="仿宋_GB2312" w:hAnsi="宋体" w:eastAsia="仿宋_GB2312" w:cs="仿宋_GB2312"/>
                <w:i w:val="0"/>
                <w:color w:val="auto"/>
                <w:sz w:val="22"/>
                <w:szCs w:val="22"/>
                <w:u w:val="none"/>
              </w:rPr>
            </w:pPr>
          </w:p>
        </w:tc>
        <w:tc>
          <w:tcPr>
            <w:tcW w:w="9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A48470">
            <w:pPr>
              <w:jc w:val="center"/>
              <w:rPr>
                <w:rFonts w:hint="eastAsia" w:ascii="仿宋_GB2312" w:hAnsi="宋体" w:eastAsia="仿宋_GB2312" w:cs="仿宋_GB2312"/>
                <w:i w:val="0"/>
                <w:color w:val="auto"/>
                <w:sz w:val="22"/>
                <w:szCs w:val="22"/>
                <w:u w:val="none"/>
              </w:rPr>
            </w:pPr>
          </w:p>
        </w:tc>
        <w:tc>
          <w:tcPr>
            <w:tcW w:w="1530"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79CF6B89">
            <w:pPr>
              <w:jc w:val="center"/>
              <w:rPr>
                <w:rFonts w:hint="eastAsia" w:ascii="仿宋_GB2312" w:hAnsi="宋体" w:eastAsia="仿宋_GB2312" w:cs="仿宋_GB2312"/>
                <w:i w:val="0"/>
                <w:color w:val="auto"/>
                <w:sz w:val="22"/>
                <w:szCs w:val="22"/>
                <w:u w:val="none"/>
              </w:rPr>
            </w:pPr>
          </w:p>
        </w:tc>
        <w:tc>
          <w:tcPr>
            <w:tcW w:w="12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C1E84C">
            <w:pPr>
              <w:jc w:val="center"/>
              <w:rPr>
                <w:rFonts w:hint="eastAsia" w:ascii="仿宋_GB2312" w:hAnsi="宋体" w:eastAsia="仿宋_GB2312" w:cs="仿宋_GB2312"/>
                <w:i w:val="0"/>
                <w:color w:val="auto"/>
                <w:sz w:val="22"/>
                <w:szCs w:val="22"/>
                <w:u w:val="none"/>
              </w:rPr>
            </w:pPr>
          </w:p>
        </w:tc>
        <w:tc>
          <w:tcPr>
            <w:tcW w:w="25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AB7B27">
            <w:pPr>
              <w:jc w:val="left"/>
              <w:rPr>
                <w:rFonts w:hint="eastAsia" w:ascii="仿宋_GB2312" w:hAnsi="宋体" w:eastAsia="仿宋_GB2312" w:cs="仿宋_GB2312"/>
                <w:i w:val="0"/>
                <w:color w:val="auto"/>
                <w:sz w:val="22"/>
                <w:szCs w:val="22"/>
                <w:u w:val="none"/>
              </w:rPr>
            </w:pP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5BD4F3">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九级</w:t>
            </w:r>
          </w:p>
        </w:tc>
        <w:tc>
          <w:tcPr>
            <w:tcW w:w="19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BC9270">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2.5万</w:t>
            </w:r>
          </w:p>
        </w:tc>
      </w:tr>
      <w:tr w14:paraId="7DAD75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19"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846FDC">
            <w:pPr>
              <w:jc w:val="center"/>
              <w:rPr>
                <w:rFonts w:hint="eastAsia" w:ascii="仿宋_GB2312" w:hAnsi="宋体" w:eastAsia="仿宋_GB2312" w:cs="仿宋_GB2312"/>
                <w:i w:val="0"/>
                <w:color w:val="auto"/>
                <w:sz w:val="22"/>
                <w:szCs w:val="22"/>
                <w:u w:val="none"/>
              </w:rPr>
            </w:pPr>
          </w:p>
        </w:tc>
        <w:tc>
          <w:tcPr>
            <w:tcW w:w="9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E531A9">
            <w:pPr>
              <w:jc w:val="center"/>
              <w:rPr>
                <w:rFonts w:hint="eastAsia" w:ascii="仿宋_GB2312" w:hAnsi="宋体" w:eastAsia="仿宋_GB2312" w:cs="仿宋_GB2312"/>
                <w:i w:val="0"/>
                <w:color w:val="auto"/>
                <w:sz w:val="22"/>
                <w:szCs w:val="22"/>
                <w:u w:val="none"/>
              </w:rPr>
            </w:pPr>
          </w:p>
        </w:tc>
        <w:tc>
          <w:tcPr>
            <w:tcW w:w="1530"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7443BC33">
            <w:pPr>
              <w:jc w:val="center"/>
              <w:rPr>
                <w:rFonts w:hint="eastAsia" w:ascii="仿宋_GB2312" w:hAnsi="宋体" w:eastAsia="仿宋_GB2312" w:cs="仿宋_GB2312"/>
                <w:i w:val="0"/>
                <w:color w:val="auto"/>
                <w:sz w:val="22"/>
                <w:szCs w:val="22"/>
                <w:u w:val="none"/>
              </w:rPr>
            </w:pPr>
          </w:p>
        </w:tc>
        <w:tc>
          <w:tcPr>
            <w:tcW w:w="12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784A52">
            <w:pPr>
              <w:jc w:val="center"/>
              <w:rPr>
                <w:rFonts w:hint="eastAsia" w:ascii="仿宋_GB2312" w:hAnsi="宋体" w:eastAsia="仿宋_GB2312" w:cs="仿宋_GB2312"/>
                <w:i w:val="0"/>
                <w:color w:val="auto"/>
                <w:sz w:val="22"/>
                <w:szCs w:val="22"/>
                <w:u w:val="none"/>
              </w:rPr>
            </w:pPr>
          </w:p>
        </w:tc>
        <w:tc>
          <w:tcPr>
            <w:tcW w:w="25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E7FF46">
            <w:pPr>
              <w:jc w:val="left"/>
              <w:rPr>
                <w:rFonts w:hint="eastAsia" w:ascii="仿宋_GB2312" w:hAnsi="宋体" w:eastAsia="仿宋_GB2312" w:cs="仿宋_GB2312"/>
                <w:i w:val="0"/>
                <w:color w:val="auto"/>
                <w:sz w:val="22"/>
                <w:szCs w:val="22"/>
                <w:u w:val="none"/>
              </w:rPr>
            </w:pP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4E1BAC">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十级</w:t>
            </w:r>
          </w:p>
        </w:tc>
        <w:tc>
          <w:tcPr>
            <w:tcW w:w="19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40A273">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1.3万</w:t>
            </w:r>
          </w:p>
        </w:tc>
      </w:tr>
      <w:tr w14:paraId="6E5693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72" w:hRule="atLeast"/>
        </w:trPr>
        <w:tc>
          <w:tcPr>
            <w:tcW w:w="59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7ECEB5">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八类</w:t>
            </w:r>
          </w:p>
        </w:tc>
        <w:tc>
          <w:tcPr>
            <w:tcW w:w="91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278FD3">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25元/月</w:t>
            </w:r>
            <w:r>
              <w:rPr>
                <w:rFonts w:hint="eastAsia" w:ascii="仿宋_GB2312" w:hAnsi="宋体" w:eastAsia="仿宋_GB2312" w:cs="仿宋_GB2312"/>
                <w:i w:val="0"/>
                <w:color w:val="auto"/>
                <w:kern w:val="0"/>
                <w:sz w:val="22"/>
                <w:szCs w:val="22"/>
                <w:u w:val="none"/>
                <w:lang w:val="en-US" w:eastAsia="zh-CN" w:bidi="ar"/>
              </w:rPr>
              <w:br w:type="textWrapping"/>
            </w:r>
            <w:r>
              <w:rPr>
                <w:rFonts w:hint="eastAsia" w:ascii="仿宋_GB2312" w:hAnsi="宋体" w:eastAsia="仿宋_GB2312" w:cs="仿宋_GB2312"/>
                <w:i w:val="0"/>
                <w:color w:val="auto"/>
                <w:kern w:val="0"/>
                <w:sz w:val="22"/>
                <w:szCs w:val="22"/>
                <w:u w:val="none"/>
                <w:lang w:val="en-US" w:eastAsia="zh-CN" w:bidi="ar"/>
              </w:rPr>
              <w:t>300元/年</w:t>
            </w:r>
          </w:p>
        </w:tc>
        <w:tc>
          <w:tcPr>
            <w:tcW w:w="1530"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5D040934">
            <w:pPr>
              <w:jc w:val="center"/>
              <w:rPr>
                <w:rFonts w:hint="eastAsia" w:ascii="仿宋_GB2312" w:hAnsi="宋体" w:eastAsia="仿宋_GB2312" w:cs="仿宋_GB2312"/>
                <w:i w:val="0"/>
                <w:color w:val="auto"/>
                <w:sz w:val="22"/>
                <w:szCs w:val="22"/>
                <w:u w:val="none"/>
              </w:rPr>
            </w:pPr>
          </w:p>
        </w:tc>
        <w:tc>
          <w:tcPr>
            <w:tcW w:w="122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885EC2">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一次性伤残补偿金</w:t>
            </w:r>
          </w:p>
        </w:tc>
        <w:tc>
          <w:tcPr>
            <w:tcW w:w="251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CF2C5F">
            <w:pPr>
              <w:keepNext w:val="0"/>
              <w:keepLines w:val="0"/>
              <w:widowControl/>
              <w:suppressLineNumbers w:val="0"/>
              <w:jc w:val="left"/>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经鉴定为工伤五级至六级的职工，一次性支付伤残补偿金</w:t>
            </w: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D3982A">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五级</w:t>
            </w:r>
          </w:p>
        </w:tc>
        <w:tc>
          <w:tcPr>
            <w:tcW w:w="19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C17AE5">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2.5万</w:t>
            </w:r>
          </w:p>
        </w:tc>
      </w:tr>
      <w:tr w14:paraId="483E94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4ABE28">
            <w:pPr>
              <w:jc w:val="center"/>
              <w:rPr>
                <w:rFonts w:hint="eastAsia" w:ascii="仿宋_GB2312" w:hAnsi="宋体" w:eastAsia="仿宋_GB2312" w:cs="仿宋_GB2312"/>
                <w:i w:val="0"/>
                <w:color w:val="auto"/>
                <w:sz w:val="22"/>
                <w:szCs w:val="22"/>
                <w:u w:val="none"/>
              </w:rPr>
            </w:pPr>
          </w:p>
        </w:tc>
        <w:tc>
          <w:tcPr>
            <w:tcW w:w="9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6C0352">
            <w:pPr>
              <w:jc w:val="center"/>
              <w:rPr>
                <w:rFonts w:hint="eastAsia" w:ascii="仿宋_GB2312" w:hAnsi="宋体" w:eastAsia="仿宋_GB2312" w:cs="仿宋_GB2312"/>
                <w:i w:val="0"/>
                <w:color w:val="auto"/>
                <w:sz w:val="22"/>
                <w:szCs w:val="22"/>
                <w:u w:val="none"/>
              </w:rPr>
            </w:pPr>
          </w:p>
        </w:tc>
        <w:tc>
          <w:tcPr>
            <w:tcW w:w="1530"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83CEF4A">
            <w:pPr>
              <w:jc w:val="center"/>
              <w:rPr>
                <w:rFonts w:hint="eastAsia" w:ascii="仿宋_GB2312" w:hAnsi="宋体" w:eastAsia="仿宋_GB2312" w:cs="仿宋_GB2312"/>
                <w:i w:val="0"/>
                <w:color w:val="auto"/>
                <w:sz w:val="22"/>
                <w:szCs w:val="22"/>
                <w:u w:val="none"/>
              </w:rPr>
            </w:pPr>
          </w:p>
        </w:tc>
        <w:tc>
          <w:tcPr>
            <w:tcW w:w="12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407C23">
            <w:pPr>
              <w:jc w:val="center"/>
              <w:rPr>
                <w:rFonts w:hint="eastAsia" w:ascii="仿宋_GB2312" w:hAnsi="宋体" w:eastAsia="仿宋_GB2312" w:cs="仿宋_GB2312"/>
                <w:i w:val="0"/>
                <w:color w:val="auto"/>
                <w:sz w:val="22"/>
                <w:szCs w:val="22"/>
                <w:u w:val="none"/>
              </w:rPr>
            </w:pPr>
          </w:p>
        </w:tc>
        <w:tc>
          <w:tcPr>
            <w:tcW w:w="25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937F2A">
            <w:pPr>
              <w:jc w:val="left"/>
              <w:rPr>
                <w:rFonts w:hint="eastAsia" w:ascii="仿宋_GB2312" w:hAnsi="宋体" w:eastAsia="仿宋_GB2312" w:cs="仿宋_GB2312"/>
                <w:i w:val="0"/>
                <w:color w:val="auto"/>
                <w:sz w:val="22"/>
                <w:szCs w:val="22"/>
                <w:u w:val="none"/>
              </w:rPr>
            </w:pP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63847F">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六级</w:t>
            </w:r>
          </w:p>
        </w:tc>
        <w:tc>
          <w:tcPr>
            <w:tcW w:w="19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3986AC">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1.5万</w:t>
            </w:r>
          </w:p>
        </w:tc>
      </w:tr>
      <w:tr w14:paraId="03DB08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02" w:hRule="atLeast"/>
        </w:trPr>
        <w:tc>
          <w:tcPr>
            <w:tcW w:w="59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E08E7C">
            <w:pPr>
              <w:jc w:val="center"/>
              <w:rPr>
                <w:rFonts w:hint="eastAsia" w:ascii="仿宋_GB2312" w:hAnsi="宋体" w:eastAsia="仿宋_GB2312" w:cs="仿宋_GB2312"/>
                <w:i w:val="0"/>
                <w:color w:val="auto"/>
                <w:sz w:val="22"/>
                <w:szCs w:val="22"/>
                <w:u w:val="none"/>
              </w:rPr>
            </w:pPr>
          </w:p>
        </w:tc>
        <w:tc>
          <w:tcPr>
            <w:tcW w:w="9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F13873">
            <w:pPr>
              <w:jc w:val="center"/>
              <w:rPr>
                <w:rFonts w:hint="eastAsia" w:ascii="仿宋_GB2312" w:hAnsi="宋体" w:eastAsia="仿宋_GB2312" w:cs="仿宋_GB2312"/>
                <w:i w:val="0"/>
                <w:color w:val="auto"/>
                <w:sz w:val="22"/>
                <w:szCs w:val="22"/>
                <w:u w:val="none"/>
              </w:rPr>
            </w:pPr>
          </w:p>
        </w:tc>
        <w:tc>
          <w:tcPr>
            <w:tcW w:w="1530"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088052B5">
            <w:pPr>
              <w:jc w:val="center"/>
              <w:rPr>
                <w:rFonts w:hint="eastAsia" w:ascii="仿宋_GB2312" w:hAnsi="宋体" w:eastAsia="仿宋_GB2312" w:cs="仿宋_GB2312"/>
                <w:i w:val="0"/>
                <w:color w:val="auto"/>
                <w:sz w:val="22"/>
                <w:szCs w:val="22"/>
                <w:u w:val="none"/>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A64A4F">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一次性工亡补偿金</w:t>
            </w:r>
          </w:p>
        </w:tc>
        <w:tc>
          <w:tcPr>
            <w:tcW w:w="25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F6F50E">
            <w:pPr>
              <w:keepNext w:val="0"/>
              <w:keepLines w:val="0"/>
              <w:widowControl/>
              <w:suppressLineNumbers w:val="0"/>
              <w:jc w:val="left"/>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经认定为工亡，一次性支付工亡补偿金</w:t>
            </w:r>
          </w:p>
        </w:tc>
        <w:tc>
          <w:tcPr>
            <w:tcW w:w="14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906783">
            <w:pPr>
              <w:jc w:val="center"/>
              <w:rPr>
                <w:rFonts w:hint="eastAsia" w:ascii="仿宋_GB2312" w:hAnsi="宋体" w:eastAsia="仿宋_GB2312" w:cs="仿宋_GB2312"/>
                <w:i w:val="0"/>
                <w:color w:val="auto"/>
                <w:sz w:val="22"/>
                <w:szCs w:val="22"/>
                <w:u w:val="none"/>
              </w:rPr>
            </w:pPr>
          </w:p>
        </w:tc>
        <w:tc>
          <w:tcPr>
            <w:tcW w:w="19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B5A785">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5万</w:t>
            </w:r>
          </w:p>
        </w:tc>
      </w:tr>
      <w:tr w14:paraId="4496F7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45" w:hRule="atLeast"/>
        </w:trPr>
        <w:tc>
          <w:tcPr>
            <w:tcW w:w="150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B465B7">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备注</w:t>
            </w:r>
          </w:p>
        </w:tc>
        <w:tc>
          <w:tcPr>
            <w:tcW w:w="8609" w:type="dxa"/>
            <w:gridSpan w:val="5"/>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29356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仿宋_GB2312" w:hAnsi="宋体" w:eastAsia="仿宋_GB2312" w:cs="仿宋_GB2312"/>
                <w:i w:val="0"/>
                <w:color w:val="auto"/>
                <w:kern w:val="0"/>
                <w:sz w:val="22"/>
                <w:szCs w:val="22"/>
                <w:u w:val="none"/>
                <w:lang w:val="en-US" w:eastAsia="zh-CN" w:bidi="ar"/>
              </w:rPr>
            </w:pPr>
            <w:r>
              <w:rPr>
                <w:rFonts w:hint="eastAsia" w:ascii="仿宋_GB2312" w:hAnsi="宋体" w:eastAsia="仿宋_GB2312" w:cs="仿宋_GB2312"/>
                <w:i w:val="0"/>
                <w:color w:val="auto"/>
                <w:kern w:val="0"/>
                <w:sz w:val="22"/>
                <w:szCs w:val="22"/>
                <w:u w:val="none"/>
                <w:lang w:val="en-US" w:eastAsia="zh-CN" w:bidi="ar"/>
              </w:rPr>
              <w:t>1.按照行业风险类别确定8个行业差别费率标准。</w:t>
            </w:r>
          </w:p>
          <w:p w14:paraId="0FB16881">
            <w:pPr>
              <w:keepNext w:val="0"/>
              <w:keepLines w:val="0"/>
              <w:pageBreakBefore w:val="0"/>
              <w:widowControl/>
              <w:numPr>
                <w:ilvl w:val="0"/>
                <w:numId w:val="0"/>
              </w:numPr>
              <w:suppressLineNumbers w:val="0"/>
              <w:kinsoku/>
              <w:wordWrap/>
              <w:overflowPunct/>
              <w:topLinePunct w:val="0"/>
              <w:autoSpaceDE/>
              <w:autoSpaceDN/>
              <w:bidi w:val="0"/>
              <w:adjustRightInd/>
              <w:snapToGrid/>
              <w:spacing w:line="400" w:lineRule="exact"/>
              <w:jc w:val="left"/>
              <w:textAlignment w:val="center"/>
              <w:rPr>
                <w:rFonts w:hint="eastAsia" w:ascii="仿宋_GB2312" w:hAnsi="宋体" w:eastAsia="仿宋_GB2312" w:cs="仿宋_GB2312"/>
                <w:i w:val="0"/>
                <w:color w:val="auto"/>
                <w:kern w:val="0"/>
                <w:sz w:val="22"/>
                <w:szCs w:val="22"/>
                <w:u w:val="none"/>
                <w:lang w:val="en-US" w:eastAsia="zh-CN" w:bidi="ar"/>
              </w:rPr>
            </w:pPr>
            <w:r>
              <w:rPr>
                <w:rFonts w:hint="eastAsia" w:ascii="仿宋_GB2312" w:hAnsi="宋体" w:eastAsia="仿宋_GB2312" w:cs="仿宋_GB2312"/>
                <w:i w:val="0"/>
                <w:color w:val="auto"/>
                <w:kern w:val="0"/>
                <w:sz w:val="22"/>
                <w:szCs w:val="22"/>
                <w:u w:val="none"/>
                <w:lang w:val="en-US" w:eastAsia="zh-CN" w:bidi="ar"/>
              </w:rPr>
              <w:t>2.伤残职工距法定退休年龄不足一年的，一次性伤残就业补偿金按照对应等级补偿金额的70％支付；一年（含）以上不满四年的，按照对应等级补偿金额的80％支付：满四年（含）以上不满五年的，按照对应等级补偿金额的90％支付；五年（含）以上的100％支付。</w:t>
            </w:r>
            <w:r>
              <w:rPr>
                <w:rFonts w:hint="eastAsia" w:ascii="仿宋_GB2312" w:hAnsi="宋体" w:eastAsia="仿宋_GB2312" w:cs="仿宋_GB2312"/>
                <w:i w:val="0"/>
                <w:color w:val="auto"/>
                <w:kern w:val="0"/>
                <w:sz w:val="22"/>
                <w:szCs w:val="22"/>
                <w:u w:val="none"/>
                <w:lang w:val="en-US" w:eastAsia="zh-CN" w:bidi="ar"/>
              </w:rPr>
              <w:br w:type="textWrapping"/>
            </w:r>
            <w:r>
              <w:rPr>
                <w:rFonts w:hint="eastAsia" w:ascii="仿宋_GB2312" w:hAnsi="宋体" w:eastAsia="仿宋_GB2312" w:cs="仿宋_GB2312"/>
                <w:i w:val="0"/>
                <w:color w:val="auto"/>
                <w:kern w:val="0"/>
                <w:sz w:val="22"/>
                <w:szCs w:val="22"/>
                <w:u w:val="none"/>
                <w:lang w:val="en-US" w:eastAsia="zh-CN" w:bidi="ar"/>
              </w:rPr>
              <w:t>3.建设工程项目保险期与昌吉州建设工程项目工伤保险规定的期限一致。</w:t>
            </w:r>
            <w:r>
              <w:rPr>
                <w:rFonts w:hint="eastAsia" w:ascii="仿宋_GB2312" w:hAnsi="宋体" w:eastAsia="仿宋_GB2312" w:cs="仿宋_GB2312"/>
                <w:i w:val="0"/>
                <w:color w:val="auto"/>
                <w:kern w:val="0"/>
                <w:sz w:val="22"/>
                <w:szCs w:val="22"/>
                <w:u w:val="none"/>
                <w:lang w:val="en-US" w:eastAsia="zh-CN" w:bidi="ar"/>
              </w:rPr>
              <w:br w:type="textWrapping"/>
            </w:r>
            <w:r>
              <w:rPr>
                <w:rFonts w:hint="eastAsia" w:ascii="仿宋_GB2312" w:hAnsi="宋体" w:eastAsia="仿宋_GB2312" w:cs="仿宋_GB2312"/>
                <w:i w:val="0"/>
                <w:color w:val="auto"/>
                <w:kern w:val="0"/>
                <w:sz w:val="22"/>
                <w:szCs w:val="22"/>
                <w:u w:val="none"/>
                <w:lang w:val="en-US" w:eastAsia="zh-CN" w:bidi="ar"/>
              </w:rPr>
              <w:t>4.上述保险待遇可根据州域内实际，进行动态调整。</w:t>
            </w:r>
          </w:p>
          <w:p w14:paraId="41F6CD0F">
            <w:pPr>
              <w:keepNext w:val="0"/>
              <w:keepLines w:val="0"/>
              <w:pageBreakBefore w:val="0"/>
              <w:widowControl/>
              <w:numPr>
                <w:ilvl w:val="0"/>
                <w:numId w:val="0"/>
              </w:numPr>
              <w:suppressLineNumbers w:val="0"/>
              <w:kinsoku/>
              <w:wordWrap/>
              <w:overflowPunct/>
              <w:topLinePunct w:val="0"/>
              <w:autoSpaceDE/>
              <w:autoSpaceDN/>
              <w:bidi w:val="0"/>
              <w:adjustRightInd/>
              <w:snapToGrid/>
              <w:spacing w:line="400" w:lineRule="exact"/>
              <w:jc w:val="left"/>
              <w:textAlignment w:val="center"/>
              <w:rPr>
                <w:rFonts w:hint="default" w:ascii="仿宋_GB2312" w:hAnsi="宋体" w:eastAsia="仿宋_GB2312" w:cs="仿宋_GB2312"/>
                <w:i w:val="0"/>
                <w:color w:val="auto"/>
                <w:kern w:val="0"/>
                <w:sz w:val="22"/>
                <w:szCs w:val="22"/>
                <w:u w:val="none"/>
                <w:lang w:val="en-US" w:eastAsia="zh-CN" w:bidi="ar"/>
              </w:rPr>
            </w:pPr>
          </w:p>
        </w:tc>
      </w:tr>
    </w:tbl>
    <w:p w14:paraId="141BB279">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line="240" w:lineRule="atLeast"/>
        <w:ind w:right="0" w:rightChars="0"/>
        <w:textAlignment w:val="auto"/>
        <w:rPr>
          <w:rFonts w:hint="eastAsia" w:ascii="仿宋_GB2312" w:hAnsi="仿宋_GB2312" w:eastAsia="仿宋_GB2312" w:cs="仿宋_GB2312"/>
          <w:color w:val="auto"/>
          <w:spacing w:val="30"/>
          <w:sz w:val="32"/>
          <w:szCs w:val="32"/>
          <w:lang w:val="en-US" w:eastAsia="zh-CN"/>
        </w:rPr>
        <w:sectPr>
          <w:footerReference r:id="rId3" w:type="default"/>
          <w:pgSz w:w="11906" w:h="16838"/>
          <w:pgMar w:top="2098" w:right="1474" w:bottom="1984" w:left="1587" w:header="851" w:footer="992" w:gutter="0"/>
          <w:pgNumType w:fmt="numberInDash"/>
          <w:cols w:space="0" w:num="1"/>
          <w:rtlGutter w:val="0"/>
          <w:docGrid w:type="lines" w:linePitch="465" w:charSpace="0"/>
        </w:sectPr>
      </w:pPr>
    </w:p>
    <w:p w14:paraId="60799881">
      <w:pPr>
        <w:pStyle w:val="10"/>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jc w:val="left"/>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附件2</w:t>
      </w:r>
    </w:p>
    <w:tbl>
      <w:tblPr>
        <w:tblStyle w:val="11"/>
        <w:tblW w:w="89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152"/>
        <w:gridCol w:w="1336"/>
        <w:gridCol w:w="3913"/>
        <w:gridCol w:w="931"/>
        <w:gridCol w:w="1648"/>
      </w:tblGrid>
      <w:tr w14:paraId="0BCB4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28" w:hRule="atLeast"/>
        </w:trPr>
        <w:tc>
          <w:tcPr>
            <w:tcW w:w="8980" w:type="dxa"/>
            <w:gridSpan w:val="5"/>
            <w:tcBorders>
              <w:top w:val="nil"/>
              <w:left w:val="nil"/>
              <w:bottom w:val="single" w:color="auto" w:sz="4" w:space="0"/>
              <w:right w:val="nil"/>
            </w:tcBorders>
            <w:shd w:val="clear" w:color="auto" w:fill="auto"/>
            <w:noWrap/>
            <w:tcMar>
              <w:top w:w="15" w:type="dxa"/>
              <w:left w:w="15" w:type="dxa"/>
              <w:right w:w="15" w:type="dxa"/>
            </w:tcMar>
            <w:vAlign w:val="center"/>
          </w:tcPr>
          <w:p w14:paraId="14FF8D81">
            <w:pPr>
              <w:keepNext w:val="0"/>
              <w:keepLines w:val="0"/>
              <w:widowControl/>
              <w:suppressLineNumbers w:val="0"/>
              <w:jc w:val="center"/>
              <w:textAlignment w:val="center"/>
              <w:rPr>
                <w:rFonts w:ascii="微软雅黑" w:hAnsi="微软雅黑" w:eastAsia="微软雅黑" w:cs="微软雅黑"/>
                <w:i w:val="0"/>
                <w:color w:val="auto"/>
                <w:sz w:val="36"/>
                <w:szCs w:val="36"/>
                <w:u w:val="none"/>
              </w:rPr>
            </w:pPr>
            <w:r>
              <w:rPr>
                <w:rFonts w:hint="eastAsia" w:ascii="方正小标宋简体" w:hAnsi="方正小标宋简体" w:eastAsia="方正小标宋简体" w:cs="方正小标宋简体"/>
                <w:i w:val="0"/>
                <w:color w:val="auto"/>
                <w:kern w:val="0"/>
                <w:sz w:val="32"/>
                <w:szCs w:val="32"/>
                <w:u w:val="none"/>
                <w:lang w:val="en-US" w:eastAsia="zh-CN" w:bidi="ar"/>
              </w:rPr>
              <w:t>昌吉州特定人员补充工伤保险缴费及赔付项目标准（一）</w:t>
            </w:r>
          </w:p>
        </w:tc>
      </w:tr>
      <w:tr w14:paraId="582E2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33" w:hRule="atLeast"/>
        </w:trPr>
        <w:tc>
          <w:tcPr>
            <w:tcW w:w="1152" w:type="dxa"/>
            <w:tcBorders>
              <w:top w:val="single" w:color="auto"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14:paraId="2ADDC77E">
            <w:pPr>
              <w:keepNext w:val="0"/>
              <w:keepLines w:val="0"/>
              <w:widowControl/>
              <w:suppressLineNumbers w:val="0"/>
              <w:jc w:val="center"/>
              <w:textAlignment w:val="center"/>
              <w:rPr>
                <w:rFonts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缴费标准</w:t>
            </w:r>
          </w:p>
        </w:tc>
        <w:tc>
          <w:tcPr>
            <w:tcW w:w="1336" w:type="dxa"/>
            <w:tcBorders>
              <w:top w:val="single" w:color="auto"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0B4F37">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赔付项目</w:t>
            </w:r>
          </w:p>
        </w:tc>
        <w:tc>
          <w:tcPr>
            <w:tcW w:w="3913" w:type="dxa"/>
            <w:tcBorders>
              <w:top w:val="single" w:color="auto"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60DF12">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责任描述</w:t>
            </w:r>
          </w:p>
        </w:tc>
        <w:tc>
          <w:tcPr>
            <w:tcW w:w="931" w:type="dxa"/>
            <w:tcBorders>
              <w:top w:val="single" w:color="auto"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386E49">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伤残等级</w:t>
            </w:r>
          </w:p>
        </w:tc>
        <w:tc>
          <w:tcPr>
            <w:tcW w:w="1648" w:type="dxa"/>
            <w:tcBorders>
              <w:top w:val="single" w:color="auto"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E6C84D">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待遇标准</w:t>
            </w:r>
          </w:p>
        </w:tc>
      </w:tr>
      <w:tr w14:paraId="6EF26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3" w:hRule="atLeast"/>
        </w:trPr>
        <w:tc>
          <w:tcPr>
            <w:tcW w:w="115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42C33C">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25元/月（300元/年）</w:t>
            </w:r>
          </w:p>
        </w:tc>
        <w:tc>
          <w:tcPr>
            <w:tcW w:w="13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9AB48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一次性身故补偿金</w:t>
            </w:r>
          </w:p>
        </w:tc>
        <w:tc>
          <w:tcPr>
            <w:tcW w:w="391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CF9735">
            <w:pPr>
              <w:pStyle w:val="10"/>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jc w:val="left"/>
              <w:textAlignment w:val="auto"/>
              <w:rPr>
                <w:rFonts w:hint="eastAsia" w:ascii="仿宋_GB2312" w:hAnsi="宋体" w:eastAsia="仿宋_GB2312" w:cs="仿宋_GB2312"/>
                <w:i w:val="0"/>
                <w:color w:val="auto"/>
                <w:kern w:val="0"/>
                <w:sz w:val="22"/>
                <w:szCs w:val="22"/>
                <w:u w:val="none"/>
                <w:lang w:val="en-US" w:eastAsia="zh-CN" w:bidi="ar"/>
              </w:rPr>
            </w:pPr>
            <w:r>
              <w:rPr>
                <w:rFonts w:hint="eastAsia" w:ascii="仿宋_GB2312" w:hAnsi="宋体" w:eastAsia="仿宋_GB2312" w:cs="仿宋_GB2312"/>
                <w:i w:val="0"/>
                <w:color w:val="auto"/>
                <w:kern w:val="0"/>
                <w:sz w:val="22"/>
                <w:szCs w:val="22"/>
                <w:u w:val="none"/>
                <w:lang w:val="en-US" w:eastAsia="zh-CN" w:bidi="ar"/>
              </w:rPr>
              <w:t>1.在工作时间和工作场所内，因工作原因受到事故伤害的；</w:t>
            </w:r>
          </w:p>
          <w:p w14:paraId="5F59703B">
            <w:pPr>
              <w:pStyle w:val="10"/>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jc w:val="left"/>
              <w:textAlignment w:val="auto"/>
              <w:rPr>
                <w:rFonts w:hint="eastAsia" w:ascii="仿宋_GB2312" w:hAnsi="宋体" w:eastAsia="仿宋_GB2312" w:cs="仿宋_GB2312"/>
                <w:i w:val="0"/>
                <w:color w:val="auto"/>
                <w:kern w:val="0"/>
                <w:sz w:val="22"/>
                <w:szCs w:val="22"/>
                <w:u w:val="none"/>
                <w:lang w:val="en-US" w:eastAsia="zh-CN" w:bidi="ar"/>
              </w:rPr>
            </w:pPr>
            <w:r>
              <w:rPr>
                <w:rFonts w:hint="eastAsia" w:ascii="仿宋_GB2312" w:hAnsi="宋体" w:eastAsia="仿宋_GB2312" w:cs="仿宋_GB2312"/>
                <w:i w:val="0"/>
                <w:color w:val="auto"/>
                <w:kern w:val="0"/>
                <w:sz w:val="22"/>
                <w:szCs w:val="22"/>
                <w:u w:val="none"/>
                <w:lang w:val="en-US" w:eastAsia="zh-CN" w:bidi="ar"/>
              </w:rPr>
              <w:t>2.工作时间前后在工作场所内，从事与工作有关的预备性或收尾性工作受到事故伤害的；</w:t>
            </w:r>
          </w:p>
          <w:p w14:paraId="040B145F">
            <w:pPr>
              <w:pStyle w:val="10"/>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jc w:val="left"/>
              <w:textAlignment w:val="auto"/>
              <w:rPr>
                <w:rFonts w:hint="eastAsia" w:ascii="仿宋_GB2312" w:hAnsi="宋体" w:eastAsia="仿宋_GB2312" w:cs="仿宋_GB2312"/>
                <w:i w:val="0"/>
                <w:color w:val="auto"/>
                <w:kern w:val="0"/>
                <w:sz w:val="22"/>
                <w:szCs w:val="22"/>
                <w:u w:val="none"/>
                <w:lang w:val="en-US" w:eastAsia="zh-CN" w:bidi="ar"/>
              </w:rPr>
            </w:pPr>
            <w:r>
              <w:rPr>
                <w:rFonts w:hint="eastAsia" w:ascii="仿宋_GB2312" w:hAnsi="宋体" w:eastAsia="仿宋_GB2312" w:cs="仿宋_GB2312"/>
                <w:i w:val="0"/>
                <w:color w:val="auto"/>
                <w:kern w:val="0"/>
                <w:sz w:val="22"/>
                <w:szCs w:val="22"/>
                <w:u w:val="none"/>
                <w:lang w:val="en-US" w:eastAsia="zh-CN" w:bidi="ar"/>
              </w:rPr>
              <w:t>3.在工作时间和工作场所内，因履行工作职责受到暴力等意外伤害的；</w:t>
            </w:r>
          </w:p>
          <w:p w14:paraId="5490BD57">
            <w:pPr>
              <w:pStyle w:val="10"/>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jc w:val="left"/>
              <w:textAlignment w:val="auto"/>
              <w:rPr>
                <w:rFonts w:hint="eastAsia" w:ascii="仿宋_GB2312" w:hAnsi="宋体" w:eastAsia="仿宋_GB2312" w:cs="仿宋_GB2312"/>
                <w:i w:val="0"/>
                <w:color w:val="auto"/>
                <w:kern w:val="0"/>
                <w:sz w:val="22"/>
                <w:szCs w:val="22"/>
                <w:u w:val="none"/>
                <w:lang w:val="en-US" w:eastAsia="zh-CN" w:bidi="ar"/>
              </w:rPr>
            </w:pPr>
            <w:r>
              <w:rPr>
                <w:rFonts w:hint="eastAsia" w:ascii="仿宋_GB2312" w:hAnsi="宋体" w:eastAsia="仿宋_GB2312" w:cs="仿宋_GB2312"/>
                <w:i w:val="0"/>
                <w:color w:val="auto"/>
                <w:kern w:val="0"/>
                <w:sz w:val="22"/>
                <w:szCs w:val="22"/>
                <w:u w:val="none"/>
                <w:lang w:val="en-US" w:eastAsia="zh-CN" w:bidi="ar"/>
              </w:rPr>
              <w:t>4.因工外出期间，由于工作原因受到伤害或者发生事故下落不明的；</w:t>
            </w:r>
          </w:p>
          <w:p w14:paraId="32BCF8E4">
            <w:pPr>
              <w:pStyle w:val="10"/>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jc w:val="left"/>
              <w:textAlignment w:val="auto"/>
              <w:rPr>
                <w:rFonts w:hint="eastAsia" w:ascii="仿宋_GB2312" w:hAnsi="宋体" w:eastAsia="仿宋_GB2312" w:cs="仿宋_GB2312"/>
                <w:i w:val="0"/>
                <w:color w:val="auto"/>
                <w:kern w:val="0"/>
                <w:sz w:val="22"/>
                <w:szCs w:val="22"/>
                <w:u w:val="none"/>
                <w:lang w:val="en-US" w:eastAsia="zh-CN" w:bidi="ar"/>
              </w:rPr>
            </w:pPr>
            <w:r>
              <w:rPr>
                <w:rFonts w:hint="eastAsia" w:ascii="仿宋_GB2312" w:hAnsi="宋体" w:eastAsia="仿宋_GB2312" w:cs="仿宋_GB2312"/>
                <w:i w:val="0"/>
                <w:color w:val="auto"/>
                <w:kern w:val="0"/>
                <w:sz w:val="22"/>
                <w:szCs w:val="22"/>
                <w:u w:val="none"/>
                <w:lang w:val="en-US" w:eastAsia="zh-CN" w:bidi="ar"/>
              </w:rPr>
              <w:t>5.在上下班途中，受到非本人主要责任的交通事故或者城市轨道交通、客运轮渡、火车事故伤害的；</w:t>
            </w:r>
          </w:p>
          <w:p w14:paraId="3613EE92">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6.在抢险救灾等维护国家利益、公共利益活动中受到事故伤害的。</w:t>
            </w:r>
            <w:r>
              <w:rPr>
                <w:rFonts w:hint="eastAsia" w:ascii="仿宋_GB2312" w:hAnsi="宋体" w:eastAsia="仿宋_GB2312" w:cs="仿宋_GB2312"/>
                <w:i w:val="0"/>
                <w:color w:val="auto"/>
                <w:kern w:val="0"/>
                <w:sz w:val="22"/>
                <w:szCs w:val="22"/>
                <w:u w:val="none"/>
                <w:lang w:val="en-US" w:eastAsia="zh-CN" w:bidi="ar"/>
              </w:rPr>
              <w:br w:type="textWrapping"/>
            </w:r>
            <w:r>
              <w:rPr>
                <w:rFonts w:hint="eastAsia" w:ascii="仿宋_GB2312" w:hAnsi="宋体" w:eastAsia="仿宋_GB2312" w:cs="仿宋_GB2312"/>
                <w:i w:val="0"/>
                <w:color w:val="auto"/>
                <w:kern w:val="0"/>
                <w:sz w:val="22"/>
                <w:szCs w:val="22"/>
                <w:u w:val="none"/>
                <w:lang w:val="en-US" w:eastAsia="zh-CN" w:bidi="ar"/>
              </w:rPr>
              <w:t>因上述原因身故或致残可享受对应保障待遇。</w:t>
            </w:r>
          </w:p>
        </w:tc>
        <w:tc>
          <w:tcPr>
            <w:tcW w:w="931" w:type="dxa"/>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14:paraId="259F396D">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身故</w:t>
            </w:r>
          </w:p>
        </w:tc>
        <w:tc>
          <w:tcPr>
            <w:tcW w:w="1648" w:type="dxa"/>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14:paraId="0F7162FD">
            <w:pPr>
              <w:keepNext w:val="0"/>
              <w:keepLines w:val="0"/>
              <w:widowControl/>
              <w:suppressLineNumbers w:val="0"/>
              <w:jc w:val="center"/>
              <w:textAlignment w:val="center"/>
              <w:rPr>
                <w:rFonts w:hint="eastAsia" w:ascii="仿宋_GB2312" w:hAnsi="宋体" w:eastAsia="仿宋_GB2312" w:cs="仿宋_GB2312"/>
                <w:i w:val="0"/>
                <w:color w:val="auto"/>
                <w:kern w:val="0"/>
                <w:sz w:val="22"/>
                <w:szCs w:val="22"/>
                <w:u w:val="none"/>
                <w:lang w:val="en-US" w:eastAsia="zh-CN" w:bidi="ar"/>
              </w:rPr>
            </w:pPr>
            <w:r>
              <w:rPr>
                <w:rFonts w:hint="eastAsia" w:ascii="仿宋_GB2312" w:hAnsi="宋体" w:eastAsia="仿宋_GB2312" w:cs="仿宋_GB2312"/>
                <w:i w:val="0"/>
                <w:color w:val="auto"/>
                <w:kern w:val="0"/>
                <w:sz w:val="22"/>
                <w:szCs w:val="22"/>
                <w:u w:val="none"/>
                <w:lang w:val="en-US" w:eastAsia="zh-CN" w:bidi="ar"/>
              </w:rPr>
              <w:t>30万</w:t>
            </w:r>
          </w:p>
        </w:tc>
      </w:tr>
      <w:tr w14:paraId="3E5BEF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01" w:hRule="atLeast"/>
        </w:trPr>
        <w:tc>
          <w:tcPr>
            <w:tcW w:w="115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96EF6A">
            <w:pPr>
              <w:jc w:val="center"/>
              <w:rPr>
                <w:rFonts w:hint="eastAsia" w:ascii="仿宋_GB2312" w:hAnsi="宋体" w:eastAsia="仿宋_GB2312" w:cs="仿宋_GB2312"/>
                <w:i w:val="0"/>
                <w:color w:val="auto"/>
                <w:sz w:val="22"/>
                <w:szCs w:val="22"/>
                <w:u w:val="none"/>
              </w:rPr>
            </w:pPr>
          </w:p>
        </w:tc>
        <w:tc>
          <w:tcPr>
            <w:tcW w:w="13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9E45AF">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一次性伤残补偿金</w:t>
            </w:r>
          </w:p>
        </w:tc>
        <w:tc>
          <w:tcPr>
            <w:tcW w:w="39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CBBA9A">
            <w:pPr>
              <w:jc w:val="left"/>
              <w:rPr>
                <w:rFonts w:hint="eastAsia" w:ascii="仿宋_GB2312" w:hAnsi="宋体" w:eastAsia="仿宋_GB2312" w:cs="仿宋_GB2312"/>
                <w:i w:val="0"/>
                <w:color w:val="auto"/>
                <w:sz w:val="22"/>
                <w:szCs w:val="22"/>
                <w:u w:val="none"/>
              </w:rPr>
            </w:pPr>
          </w:p>
        </w:tc>
        <w:tc>
          <w:tcPr>
            <w:tcW w:w="931" w:type="dxa"/>
            <w:tcBorders>
              <w:top w:val="single" w:color="auto" w:sz="4" w:space="0"/>
              <w:left w:val="single" w:color="000000" w:sz="4" w:space="0"/>
              <w:right w:val="single" w:color="000000" w:sz="4" w:space="0"/>
            </w:tcBorders>
            <w:shd w:val="clear" w:color="auto" w:fill="auto"/>
            <w:noWrap/>
            <w:tcMar>
              <w:top w:w="15" w:type="dxa"/>
              <w:left w:w="15" w:type="dxa"/>
              <w:right w:w="15" w:type="dxa"/>
            </w:tcMar>
            <w:vAlign w:val="center"/>
          </w:tcPr>
          <w:p w14:paraId="7E05D47E">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一级</w:t>
            </w:r>
          </w:p>
        </w:tc>
        <w:tc>
          <w:tcPr>
            <w:tcW w:w="1648" w:type="dxa"/>
            <w:tcBorders>
              <w:top w:val="single" w:color="auto"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6D26C0">
            <w:pPr>
              <w:keepNext w:val="0"/>
              <w:keepLines w:val="0"/>
              <w:widowControl/>
              <w:suppressLineNumbers w:val="0"/>
              <w:jc w:val="center"/>
              <w:textAlignment w:val="center"/>
              <w:rPr>
                <w:rFonts w:hint="eastAsia" w:ascii="仿宋_GB2312" w:hAnsi="宋体" w:eastAsia="仿宋_GB2312" w:cs="仿宋_GB2312"/>
                <w:i w:val="0"/>
                <w:color w:val="auto"/>
                <w:kern w:val="0"/>
                <w:sz w:val="22"/>
                <w:szCs w:val="22"/>
                <w:u w:val="none"/>
                <w:lang w:val="en-US" w:eastAsia="zh-CN" w:bidi="ar"/>
              </w:rPr>
            </w:pPr>
            <w:r>
              <w:rPr>
                <w:rFonts w:hint="eastAsia" w:ascii="仿宋_GB2312" w:hAnsi="宋体" w:eastAsia="仿宋_GB2312" w:cs="仿宋_GB2312"/>
                <w:i w:val="0"/>
                <w:color w:val="auto"/>
                <w:kern w:val="0"/>
                <w:sz w:val="22"/>
                <w:szCs w:val="22"/>
                <w:u w:val="none"/>
                <w:lang w:val="en-US" w:eastAsia="zh-CN" w:bidi="ar"/>
              </w:rPr>
              <w:t>10万</w:t>
            </w:r>
          </w:p>
        </w:tc>
      </w:tr>
      <w:tr w14:paraId="20C4A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14" w:hRule="atLeast"/>
        </w:trPr>
        <w:tc>
          <w:tcPr>
            <w:tcW w:w="115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2E0866">
            <w:pPr>
              <w:jc w:val="center"/>
              <w:rPr>
                <w:rFonts w:hint="eastAsia" w:ascii="仿宋_GB2312" w:hAnsi="宋体" w:eastAsia="仿宋_GB2312" w:cs="仿宋_GB2312"/>
                <w:i w:val="0"/>
                <w:color w:val="auto"/>
                <w:sz w:val="22"/>
                <w:szCs w:val="22"/>
                <w:u w:val="none"/>
              </w:rPr>
            </w:pPr>
          </w:p>
        </w:tc>
        <w:tc>
          <w:tcPr>
            <w:tcW w:w="13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C3697E">
            <w:pPr>
              <w:jc w:val="center"/>
              <w:rPr>
                <w:rFonts w:hint="eastAsia" w:ascii="仿宋_GB2312" w:hAnsi="宋体" w:eastAsia="仿宋_GB2312" w:cs="仿宋_GB2312"/>
                <w:i w:val="0"/>
                <w:color w:val="auto"/>
                <w:sz w:val="22"/>
                <w:szCs w:val="22"/>
                <w:u w:val="none"/>
              </w:rPr>
            </w:pPr>
          </w:p>
        </w:tc>
        <w:tc>
          <w:tcPr>
            <w:tcW w:w="39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8C88DB">
            <w:pPr>
              <w:jc w:val="left"/>
              <w:rPr>
                <w:rFonts w:hint="eastAsia" w:ascii="仿宋_GB2312" w:hAnsi="宋体" w:eastAsia="仿宋_GB2312" w:cs="仿宋_GB2312"/>
                <w:i w:val="0"/>
                <w:color w:val="auto"/>
                <w:sz w:val="22"/>
                <w:szCs w:val="22"/>
                <w:u w:val="none"/>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4AFC7E">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二级</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AC9319">
            <w:pPr>
              <w:keepNext w:val="0"/>
              <w:keepLines w:val="0"/>
              <w:widowControl/>
              <w:suppressLineNumbers w:val="0"/>
              <w:jc w:val="center"/>
              <w:textAlignment w:val="center"/>
              <w:rPr>
                <w:rFonts w:hint="eastAsia" w:ascii="仿宋_GB2312" w:hAnsi="宋体" w:eastAsia="仿宋_GB2312" w:cs="仿宋_GB2312"/>
                <w:i w:val="0"/>
                <w:color w:val="auto"/>
                <w:kern w:val="0"/>
                <w:sz w:val="22"/>
                <w:szCs w:val="22"/>
                <w:u w:val="none"/>
                <w:lang w:val="en-US" w:eastAsia="zh-CN" w:bidi="ar"/>
              </w:rPr>
            </w:pPr>
            <w:r>
              <w:rPr>
                <w:rFonts w:hint="eastAsia" w:ascii="仿宋_GB2312" w:hAnsi="宋体" w:eastAsia="仿宋_GB2312" w:cs="仿宋_GB2312"/>
                <w:i w:val="0"/>
                <w:color w:val="auto"/>
                <w:kern w:val="0"/>
                <w:sz w:val="22"/>
                <w:szCs w:val="22"/>
                <w:u w:val="none"/>
                <w:lang w:val="en-US" w:eastAsia="zh-CN" w:bidi="ar"/>
              </w:rPr>
              <w:t>9万</w:t>
            </w:r>
          </w:p>
        </w:tc>
      </w:tr>
      <w:tr w14:paraId="333DBF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90" w:hRule="atLeast"/>
        </w:trPr>
        <w:tc>
          <w:tcPr>
            <w:tcW w:w="115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8CE0CC">
            <w:pPr>
              <w:jc w:val="center"/>
              <w:rPr>
                <w:rFonts w:hint="eastAsia" w:ascii="仿宋_GB2312" w:hAnsi="宋体" w:eastAsia="仿宋_GB2312" w:cs="仿宋_GB2312"/>
                <w:i w:val="0"/>
                <w:color w:val="auto"/>
                <w:sz w:val="22"/>
                <w:szCs w:val="22"/>
                <w:u w:val="none"/>
              </w:rPr>
            </w:pPr>
          </w:p>
        </w:tc>
        <w:tc>
          <w:tcPr>
            <w:tcW w:w="13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21697F">
            <w:pPr>
              <w:jc w:val="center"/>
              <w:rPr>
                <w:rFonts w:hint="eastAsia" w:ascii="仿宋_GB2312" w:hAnsi="宋体" w:eastAsia="仿宋_GB2312" w:cs="仿宋_GB2312"/>
                <w:i w:val="0"/>
                <w:color w:val="auto"/>
                <w:sz w:val="22"/>
                <w:szCs w:val="22"/>
                <w:u w:val="none"/>
              </w:rPr>
            </w:pPr>
          </w:p>
        </w:tc>
        <w:tc>
          <w:tcPr>
            <w:tcW w:w="39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364E75">
            <w:pPr>
              <w:jc w:val="left"/>
              <w:rPr>
                <w:rFonts w:hint="eastAsia" w:ascii="仿宋_GB2312" w:hAnsi="宋体" w:eastAsia="仿宋_GB2312" w:cs="仿宋_GB2312"/>
                <w:i w:val="0"/>
                <w:color w:val="auto"/>
                <w:sz w:val="22"/>
                <w:szCs w:val="22"/>
                <w:u w:val="none"/>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E999B2">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三级</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D3DFDF">
            <w:pPr>
              <w:keepNext w:val="0"/>
              <w:keepLines w:val="0"/>
              <w:widowControl/>
              <w:suppressLineNumbers w:val="0"/>
              <w:jc w:val="center"/>
              <w:textAlignment w:val="center"/>
              <w:rPr>
                <w:rFonts w:hint="eastAsia" w:ascii="仿宋_GB2312" w:hAnsi="宋体" w:eastAsia="仿宋_GB2312" w:cs="仿宋_GB2312"/>
                <w:i w:val="0"/>
                <w:color w:val="auto"/>
                <w:kern w:val="0"/>
                <w:sz w:val="22"/>
                <w:szCs w:val="22"/>
                <w:u w:val="none"/>
                <w:lang w:val="en-US" w:eastAsia="zh-CN" w:bidi="ar"/>
              </w:rPr>
            </w:pPr>
            <w:r>
              <w:rPr>
                <w:rFonts w:hint="eastAsia" w:ascii="仿宋_GB2312" w:hAnsi="宋体" w:eastAsia="仿宋_GB2312" w:cs="仿宋_GB2312"/>
                <w:i w:val="0"/>
                <w:color w:val="auto"/>
                <w:kern w:val="0"/>
                <w:sz w:val="22"/>
                <w:szCs w:val="22"/>
                <w:u w:val="none"/>
                <w:lang w:val="en-US" w:eastAsia="zh-CN" w:bidi="ar"/>
              </w:rPr>
              <w:t>8万</w:t>
            </w:r>
          </w:p>
        </w:tc>
      </w:tr>
      <w:tr w14:paraId="0BDEC8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5" w:hRule="atLeast"/>
        </w:trPr>
        <w:tc>
          <w:tcPr>
            <w:tcW w:w="115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10DE80">
            <w:pPr>
              <w:jc w:val="center"/>
              <w:rPr>
                <w:rFonts w:hint="eastAsia" w:ascii="仿宋_GB2312" w:hAnsi="宋体" w:eastAsia="仿宋_GB2312" w:cs="仿宋_GB2312"/>
                <w:i w:val="0"/>
                <w:color w:val="auto"/>
                <w:sz w:val="22"/>
                <w:szCs w:val="22"/>
                <w:u w:val="none"/>
              </w:rPr>
            </w:pPr>
          </w:p>
        </w:tc>
        <w:tc>
          <w:tcPr>
            <w:tcW w:w="13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7F77F7">
            <w:pPr>
              <w:jc w:val="center"/>
              <w:rPr>
                <w:rFonts w:hint="eastAsia" w:ascii="仿宋_GB2312" w:hAnsi="宋体" w:eastAsia="仿宋_GB2312" w:cs="仿宋_GB2312"/>
                <w:i w:val="0"/>
                <w:color w:val="auto"/>
                <w:sz w:val="22"/>
                <w:szCs w:val="22"/>
                <w:u w:val="none"/>
              </w:rPr>
            </w:pPr>
          </w:p>
        </w:tc>
        <w:tc>
          <w:tcPr>
            <w:tcW w:w="39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EA6325">
            <w:pPr>
              <w:jc w:val="left"/>
              <w:rPr>
                <w:rFonts w:hint="eastAsia" w:ascii="仿宋_GB2312" w:hAnsi="宋体" w:eastAsia="仿宋_GB2312" w:cs="仿宋_GB2312"/>
                <w:i w:val="0"/>
                <w:color w:val="auto"/>
                <w:sz w:val="22"/>
                <w:szCs w:val="22"/>
                <w:u w:val="none"/>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719658">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四级</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1457C8">
            <w:pPr>
              <w:keepNext w:val="0"/>
              <w:keepLines w:val="0"/>
              <w:widowControl/>
              <w:suppressLineNumbers w:val="0"/>
              <w:jc w:val="center"/>
              <w:textAlignment w:val="center"/>
              <w:rPr>
                <w:rFonts w:hint="eastAsia" w:ascii="仿宋_GB2312" w:hAnsi="宋体" w:eastAsia="仿宋_GB2312" w:cs="仿宋_GB2312"/>
                <w:i w:val="0"/>
                <w:color w:val="auto"/>
                <w:kern w:val="0"/>
                <w:sz w:val="22"/>
                <w:szCs w:val="22"/>
                <w:u w:val="none"/>
                <w:lang w:val="en-US" w:eastAsia="zh-CN" w:bidi="ar"/>
              </w:rPr>
            </w:pPr>
            <w:r>
              <w:rPr>
                <w:rFonts w:hint="eastAsia" w:ascii="仿宋_GB2312" w:hAnsi="宋体" w:eastAsia="仿宋_GB2312" w:cs="仿宋_GB2312"/>
                <w:i w:val="0"/>
                <w:color w:val="auto"/>
                <w:kern w:val="0"/>
                <w:sz w:val="22"/>
                <w:szCs w:val="22"/>
                <w:u w:val="none"/>
                <w:lang w:val="en-US" w:eastAsia="zh-CN" w:bidi="ar"/>
              </w:rPr>
              <w:t>7万</w:t>
            </w:r>
          </w:p>
        </w:tc>
      </w:tr>
      <w:tr w14:paraId="58C76C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85" w:hRule="atLeast"/>
        </w:trPr>
        <w:tc>
          <w:tcPr>
            <w:tcW w:w="115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DB82D2">
            <w:pPr>
              <w:jc w:val="center"/>
              <w:rPr>
                <w:rFonts w:hint="eastAsia" w:ascii="仿宋_GB2312" w:hAnsi="宋体" w:eastAsia="仿宋_GB2312" w:cs="仿宋_GB2312"/>
                <w:i w:val="0"/>
                <w:color w:val="auto"/>
                <w:sz w:val="22"/>
                <w:szCs w:val="22"/>
                <w:u w:val="none"/>
              </w:rPr>
            </w:pPr>
          </w:p>
        </w:tc>
        <w:tc>
          <w:tcPr>
            <w:tcW w:w="13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B1C1E4">
            <w:pPr>
              <w:jc w:val="center"/>
              <w:rPr>
                <w:rFonts w:hint="eastAsia" w:ascii="仿宋_GB2312" w:hAnsi="宋体" w:eastAsia="仿宋_GB2312" w:cs="仿宋_GB2312"/>
                <w:i w:val="0"/>
                <w:color w:val="auto"/>
                <w:sz w:val="22"/>
                <w:szCs w:val="22"/>
                <w:u w:val="none"/>
              </w:rPr>
            </w:pPr>
          </w:p>
        </w:tc>
        <w:tc>
          <w:tcPr>
            <w:tcW w:w="39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49AD50">
            <w:pPr>
              <w:jc w:val="left"/>
              <w:rPr>
                <w:rFonts w:hint="eastAsia" w:ascii="仿宋_GB2312" w:hAnsi="宋体" w:eastAsia="仿宋_GB2312" w:cs="仿宋_GB2312"/>
                <w:i w:val="0"/>
                <w:color w:val="auto"/>
                <w:sz w:val="22"/>
                <w:szCs w:val="22"/>
                <w:u w:val="none"/>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1429C1">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五级</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97DD62">
            <w:pPr>
              <w:keepNext w:val="0"/>
              <w:keepLines w:val="0"/>
              <w:widowControl/>
              <w:suppressLineNumbers w:val="0"/>
              <w:jc w:val="center"/>
              <w:textAlignment w:val="center"/>
              <w:rPr>
                <w:rFonts w:hint="eastAsia" w:ascii="仿宋_GB2312" w:hAnsi="宋体" w:eastAsia="仿宋_GB2312" w:cs="仿宋_GB2312"/>
                <w:i w:val="0"/>
                <w:color w:val="auto"/>
                <w:kern w:val="0"/>
                <w:sz w:val="22"/>
                <w:szCs w:val="22"/>
                <w:u w:val="none"/>
                <w:lang w:val="en-US" w:eastAsia="zh-CN" w:bidi="ar"/>
              </w:rPr>
            </w:pPr>
            <w:r>
              <w:rPr>
                <w:rFonts w:hint="eastAsia" w:ascii="仿宋_GB2312" w:hAnsi="宋体" w:eastAsia="仿宋_GB2312" w:cs="仿宋_GB2312"/>
                <w:i w:val="0"/>
                <w:color w:val="auto"/>
                <w:kern w:val="0"/>
                <w:sz w:val="22"/>
                <w:szCs w:val="22"/>
                <w:u w:val="none"/>
                <w:lang w:val="en-US" w:eastAsia="zh-CN" w:bidi="ar"/>
              </w:rPr>
              <w:t>6万</w:t>
            </w:r>
          </w:p>
        </w:tc>
      </w:tr>
      <w:tr w14:paraId="48A5D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5" w:hRule="atLeast"/>
        </w:trPr>
        <w:tc>
          <w:tcPr>
            <w:tcW w:w="115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611642">
            <w:pPr>
              <w:jc w:val="center"/>
              <w:rPr>
                <w:rFonts w:hint="eastAsia" w:ascii="仿宋_GB2312" w:hAnsi="宋体" w:eastAsia="仿宋_GB2312" w:cs="仿宋_GB2312"/>
                <w:i w:val="0"/>
                <w:color w:val="auto"/>
                <w:sz w:val="22"/>
                <w:szCs w:val="22"/>
                <w:u w:val="none"/>
              </w:rPr>
            </w:pPr>
          </w:p>
        </w:tc>
        <w:tc>
          <w:tcPr>
            <w:tcW w:w="13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0DBB27">
            <w:pPr>
              <w:jc w:val="center"/>
              <w:rPr>
                <w:rFonts w:hint="eastAsia" w:ascii="仿宋_GB2312" w:hAnsi="宋体" w:eastAsia="仿宋_GB2312" w:cs="仿宋_GB2312"/>
                <w:i w:val="0"/>
                <w:color w:val="auto"/>
                <w:sz w:val="22"/>
                <w:szCs w:val="22"/>
                <w:u w:val="none"/>
              </w:rPr>
            </w:pPr>
          </w:p>
        </w:tc>
        <w:tc>
          <w:tcPr>
            <w:tcW w:w="39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1E90CF">
            <w:pPr>
              <w:jc w:val="left"/>
              <w:rPr>
                <w:rFonts w:hint="eastAsia" w:ascii="仿宋_GB2312" w:hAnsi="宋体" w:eastAsia="仿宋_GB2312" w:cs="仿宋_GB2312"/>
                <w:i w:val="0"/>
                <w:color w:val="auto"/>
                <w:sz w:val="22"/>
                <w:szCs w:val="22"/>
                <w:u w:val="none"/>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95ACCC">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六级</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8D4B16">
            <w:pPr>
              <w:keepNext w:val="0"/>
              <w:keepLines w:val="0"/>
              <w:widowControl/>
              <w:suppressLineNumbers w:val="0"/>
              <w:jc w:val="center"/>
              <w:textAlignment w:val="center"/>
              <w:rPr>
                <w:rFonts w:hint="eastAsia" w:ascii="仿宋_GB2312" w:hAnsi="宋体" w:eastAsia="仿宋_GB2312" w:cs="仿宋_GB2312"/>
                <w:i w:val="0"/>
                <w:color w:val="auto"/>
                <w:kern w:val="0"/>
                <w:sz w:val="22"/>
                <w:szCs w:val="22"/>
                <w:u w:val="none"/>
                <w:lang w:val="en-US" w:eastAsia="zh-CN" w:bidi="ar"/>
              </w:rPr>
            </w:pPr>
            <w:r>
              <w:rPr>
                <w:rFonts w:hint="eastAsia" w:ascii="仿宋_GB2312" w:hAnsi="宋体" w:eastAsia="仿宋_GB2312" w:cs="仿宋_GB2312"/>
                <w:i w:val="0"/>
                <w:color w:val="auto"/>
                <w:kern w:val="0"/>
                <w:sz w:val="22"/>
                <w:szCs w:val="22"/>
                <w:u w:val="none"/>
                <w:lang w:val="en-US" w:eastAsia="zh-CN" w:bidi="ar"/>
              </w:rPr>
              <w:t>5万</w:t>
            </w:r>
          </w:p>
        </w:tc>
      </w:tr>
      <w:tr w14:paraId="6A1F9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73" w:hRule="atLeast"/>
        </w:trPr>
        <w:tc>
          <w:tcPr>
            <w:tcW w:w="115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6DF312">
            <w:pPr>
              <w:jc w:val="center"/>
              <w:rPr>
                <w:rFonts w:hint="eastAsia" w:ascii="仿宋_GB2312" w:hAnsi="宋体" w:eastAsia="仿宋_GB2312" w:cs="仿宋_GB2312"/>
                <w:i w:val="0"/>
                <w:color w:val="auto"/>
                <w:sz w:val="22"/>
                <w:szCs w:val="22"/>
                <w:u w:val="none"/>
              </w:rPr>
            </w:pPr>
          </w:p>
        </w:tc>
        <w:tc>
          <w:tcPr>
            <w:tcW w:w="13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FED29F">
            <w:pPr>
              <w:jc w:val="center"/>
              <w:rPr>
                <w:rFonts w:hint="eastAsia" w:ascii="仿宋_GB2312" w:hAnsi="宋体" w:eastAsia="仿宋_GB2312" w:cs="仿宋_GB2312"/>
                <w:i w:val="0"/>
                <w:color w:val="auto"/>
                <w:sz w:val="22"/>
                <w:szCs w:val="22"/>
                <w:u w:val="none"/>
              </w:rPr>
            </w:pPr>
          </w:p>
        </w:tc>
        <w:tc>
          <w:tcPr>
            <w:tcW w:w="39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BA27DC">
            <w:pPr>
              <w:jc w:val="left"/>
              <w:rPr>
                <w:rFonts w:hint="eastAsia" w:ascii="仿宋_GB2312" w:hAnsi="宋体" w:eastAsia="仿宋_GB2312" w:cs="仿宋_GB2312"/>
                <w:i w:val="0"/>
                <w:color w:val="auto"/>
                <w:sz w:val="22"/>
                <w:szCs w:val="22"/>
                <w:u w:val="none"/>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EDAC74">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七级</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8CE628">
            <w:pPr>
              <w:keepNext w:val="0"/>
              <w:keepLines w:val="0"/>
              <w:widowControl/>
              <w:suppressLineNumbers w:val="0"/>
              <w:jc w:val="center"/>
              <w:textAlignment w:val="center"/>
              <w:rPr>
                <w:rFonts w:hint="eastAsia" w:ascii="仿宋_GB2312" w:hAnsi="宋体" w:eastAsia="仿宋_GB2312" w:cs="仿宋_GB2312"/>
                <w:i w:val="0"/>
                <w:color w:val="auto"/>
                <w:kern w:val="0"/>
                <w:sz w:val="22"/>
                <w:szCs w:val="22"/>
                <w:u w:val="none"/>
                <w:lang w:val="en-US" w:eastAsia="zh-CN" w:bidi="ar"/>
              </w:rPr>
            </w:pPr>
            <w:r>
              <w:rPr>
                <w:rFonts w:hint="eastAsia" w:ascii="仿宋_GB2312" w:hAnsi="宋体" w:eastAsia="仿宋_GB2312" w:cs="仿宋_GB2312"/>
                <w:i w:val="0"/>
                <w:color w:val="auto"/>
                <w:kern w:val="0"/>
                <w:sz w:val="22"/>
                <w:szCs w:val="22"/>
                <w:u w:val="none"/>
                <w:lang w:val="en-US" w:eastAsia="zh-CN" w:bidi="ar"/>
              </w:rPr>
              <w:t>4万</w:t>
            </w:r>
          </w:p>
        </w:tc>
      </w:tr>
      <w:tr w14:paraId="01C00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0" w:hRule="atLeast"/>
        </w:trPr>
        <w:tc>
          <w:tcPr>
            <w:tcW w:w="115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AC6C2F">
            <w:pPr>
              <w:jc w:val="center"/>
              <w:rPr>
                <w:rFonts w:hint="eastAsia" w:ascii="仿宋_GB2312" w:hAnsi="宋体" w:eastAsia="仿宋_GB2312" w:cs="仿宋_GB2312"/>
                <w:i w:val="0"/>
                <w:color w:val="auto"/>
                <w:sz w:val="22"/>
                <w:szCs w:val="22"/>
                <w:u w:val="none"/>
              </w:rPr>
            </w:pPr>
          </w:p>
        </w:tc>
        <w:tc>
          <w:tcPr>
            <w:tcW w:w="13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1CE47F">
            <w:pPr>
              <w:jc w:val="center"/>
              <w:rPr>
                <w:rFonts w:hint="eastAsia" w:ascii="仿宋_GB2312" w:hAnsi="宋体" w:eastAsia="仿宋_GB2312" w:cs="仿宋_GB2312"/>
                <w:i w:val="0"/>
                <w:color w:val="auto"/>
                <w:sz w:val="22"/>
                <w:szCs w:val="22"/>
                <w:u w:val="none"/>
              </w:rPr>
            </w:pPr>
          </w:p>
        </w:tc>
        <w:tc>
          <w:tcPr>
            <w:tcW w:w="39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B8D1B2">
            <w:pPr>
              <w:jc w:val="left"/>
              <w:rPr>
                <w:rFonts w:hint="eastAsia" w:ascii="仿宋_GB2312" w:hAnsi="宋体" w:eastAsia="仿宋_GB2312" w:cs="仿宋_GB2312"/>
                <w:i w:val="0"/>
                <w:color w:val="auto"/>
                <w:sz w:val="22"/>
                <w:szCs w:val="22"/>
                <w:u w:val="none"/>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BBF765">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八级</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555213">
            <w:pPr>
              <w:keepNext w:val="0"/>
              <w:keepLines w:val="0"/>
              <w:widowControl/>
              <w:suppressLineNumbers w:val="0"/>
              <w:jc w:val="center"/>
              <w:textAlignment w:val="center"/>
              <w:rPr>
                <w:rFonts w:hint="eastAsia" w:ascii="仿宋_GB2312" w:hAnsi="宋体" w:eastAsia="仿宋_GB2312" w:cs="仿宋_GB2312"/>
                <w:i w:val="0"/>
                <w:color w:val="auto"/>
                <w:kern w:val="0"/>
                <w:sz w:val="22"/>
                <w:szCs w:val="22"/>
                <w:u w:val="none"/>
                <w:lang w:val="en-US" w:eastAsia="zh-CN" w:bidi="ar"/>
              </w:rPr>
            </w:pPr>
            <w:r>
              <w:rPr>
                <w:rFonts w:hint="eastAsia" w:ascii="仿宋_GB2312" w:hAnsi="宋体" w:eastAsia="仿宋_GB2312" w:cs="仿宋_GB2312"/>
                <w:i w:val="0"/>
                <w:color w:val="auto"/>
                <w:kern w:val="0"/>
                <w:sz w:val="22"/>
                <w:szCs w:val="22"/>
                <w:u w:val="none"/>
                <w:lang w:val="en-US" w:eastAsia="zh-CN" w:bidi="ar"/>
              </w:rPr>
              <w:t>3万</w:t>
            </w:r>
          </w:p>
        </w:tc>
      </w:tr>
      <w:tr w14:paraId="58B9B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02" w:hRule="atLeast"/>
        </w:trPr>
        <w:tc>
          <w:tcPr>
            <w:tcW w:w="115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0299A0">
            <w:pPr>
              <w:jc w:val="center"/>
              <w:rPr>
                <w:rFonts w:hint="eastAsia" w:ascii="仿宋_GB2312" w:hAnsi="宋体" w:eastAsia="仿宋_GB2312" w:cs="仿宋_GB2312"/>
                <w:i w:val="0"/>
                <w:color w:val="auto"/>
                <w:sz w:val="22"/>
                <w:szCs w:val="22"/>
                <w:u w:val="none"/>
              </w:rPr>
            </w:pPr>
          </w:p>
        </w:tc>
        <w:tc>
          <w:tcPr>
            <w:tcW w:w="13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4F5D2D">
            <w:pPr>
              <w:jc w:val="center"/>
              <w:rPr>
                <w:rFonts w:hint="eastAsia" w:ascii="仿宋_GB2312" w:hAnsi="宋体" w:eastAsia="仿宋_GB2312" w:cs="仿宋_GB2312"/>
                <w:i w:val="0"/>
                <w:color w:val="auto"/>
                <w:sz w:val="22"/>
                <w:szCs w:val="22"/>
                <w:u w:val="none"/>
              </w:rPr>
            </w:pPr>
          </w:p>
        </w:tc>
        <w:tc>
          <w:tcPr>
            <w:tcW w:w="39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AC0EE4">
            <w:pPr>
              <w:jc w:val="left"/>
              <w:rPr>
                <w:rFonts w:hint="eastAsia" w:ascii="仿宋_GB2312" w:hAnsi="宋体" w:eastAsia="仿宋_GB2312" w:cs="仿宋_GB2312"/>
                <w:i w:val="0"/>
                <w:color w:val="auto"/>
                <w:sz w:val="22"/>
                <w:szCs w:val="22"/>
                <w:u w:val="none"/>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A06B26">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九级</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1375F5">
            <w:pPr>
              <w:keepNext w:val="0"/>
              <w:keepLines w:val="0"/>
              <w:widowControl/>
              <w:suppressLineNumbers w:val="0"/>
              <w:jc w:val="center"/>
              <w:textAlignment w:val="center"/>
              <w:rPr>
                <w:rFonts w:hint="eastAsia" w:ascii="仿宋_GB2312" w:hAnsi="宋体" w:eastAsia="仿宋_GB2312" w:cs="仿宋_GB2312"/>
                <w:i w:val="0"/>
                <w:color w:val="auto"/>
                <w:kern w:val="0"/>
                <w:sz w:val="22"/>
                <w:szCs w:val="22"/>
                <w:u w:val="none"/>
                <w:lang w:val="en-US" w:eastAsia="zh-CN" w:bidi="ar"/>
              </w:rPr>
            </w:pPr>
            <w:r>
              <w:rPr>
                <w:rFonts w:hint="eastAsia" w:ascii="仿宋_GB2312" w:hAnsi="宋体" w:eastAsia="仿宋_GB2312" w:cs="仿宋_GB2312"/>
                <w:i w:val="0"/>
                <w:color w:val="auto"/>
                <w:kern w:val="0"/>
                <w:sz w:val="22"/>
                <w:szCs w:val="22"/>
                <w:u w:val="none"/>
                <w:lang w:val="en-US" w:eastAsia="zh-CN" w:bidi="ar"/>
              </w:rPr>
              <w:t>2万</w:t>
            </w:r>
          </w:p>
        </w:tc>
      </w:tr>
      <w:tr w14:paraId="59CB4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37" w:hRule="atLeast"/>
        </w:trPr>
        <w:tc>
          <w:tcPr>
            <w:tcW w:w="115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CD8062">
            <w:pPr>
              <w:jc w:val="center"/>
              <w:rPr>
                <w:rFonts w:hint="eastAsia" w:ascii="仿宋_GB2312" w:hAnsi="宋体" w:eastAsia="仿宋_GB2312" w:cs="仿宋_GB2312"/>
                <w:i w:val="0"/>
                <w:color w:val="auto"/>
                <w:sz w:val="22"/>
                <w:szCs w:val="22"/>
                <w:u w:val="none"/>
              </w:rPr>
            </w:pPr>
          </w:p>
        </w:tc>
        <w:tc>
          <w:tcPr>
            <w:tcW w:w="13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ED0EC9">
            <w:pPr>
              <w:jc w:val="center"/>
              <w:rPr>
                <w:rFonts w:hint="eastAsia" w:ascii="仿宋_GB2312" w:hAnsi="宋体" w:eastAsia="仿宋_GB2312" w:cs="仿宋_GB2312"/>
                <w:i w:val="0"/>
                <w:color w:val="auto"/>
                <w:sz w:val="22"/>
                <w:szCs w:val="22"/>
                <w:u w:val="none"/>
              </w:rPr>
            </w:pPr>
          </w:p>
        </w:tc>
        <w:tc>
          <w:tcPr>
            <w:tcW w:w="39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A3E7B2">
            <w:pPr>
              <w:jc w:val="left"/>
              <w:rPr>
                <w:rFonts w:hint="eastAsia" w:ascii="仿宋_GB2312" w:hAnsi="宋体" w:eastAsia="仿宋_GB2312" w:cs="仿宋_GB2312"/>
                <w:i w:val="0"/>
                <w:color w:val="auto"/>
                <w:sz w:val="22"/>
                <w:szCs w:val="22"/>
                <w:u w:val="none"/>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5DE891">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十级</w:t>
            </w: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419F14">
            <w:pPr>
              <w:keepNext w:val="0"/>
              <w:keepLines w:val="0"/>
              <w:widowControl/>
              <w:suppressLineNumbers w:val="0"/>
              <w:jc w:val="center"/>
              <w:textAlignment w:val="center"/>
              <w:rPr>
                <w:rFonts w:hint="eastAsia" w:ascii="仿宋_GB2312" w:hAnsi="宋体" w:eastAsia="仿宋_GB2312" w:cs="仿宋_GB2312"/>
                <w:i w:val="0"/>
                <w:color w:val="auto"/>
                <w:kern w:val="0"/>
                <w:sz w:val="22"/>
                <w:szCs w:val="22"/>
                <w:u w:val="none"/>
                <w:lang w:val="en-US" w:eastAsia="zh-CN" w:bidi="ar"/>
              </w:rPr>
            </w:pPr>
            <w:r>
              <w:rPr>
                <w:rFonts w:hint="eastAsia" w:ascii="仿宋_GB2312" w:hAnsi="宋体" w:eastAsia="仿宋_GB2312" w:cs="仿宋_GB2312"/>
                <w:i w:val="0"/>
                <w:color w:val="auto"/>
                <w:kern w:val="0"/>
                <w:sz w:val="22"/>
                <w:szCs w:val="22"/>
                <w:u w:val="none"/>
                <w:lang w:val="en-US" w:eastAsia="zh-CN" w:bidi="ar"/>
              </w:rPr>
              <w:t>1万</w:t>
            </w:r>
          </w:p>
        </w:tc>
      </w:tr>
      <w:tr w14:paraId="1C4D4D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061" w:hRule="atLeast"/>
        </w:trPr>
        <w:tc>
          <w:tcPr>
            <w:tcW w:w="115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0EC952">
            <w:pPr>
              <w:jc w:val="center"/>
              <w:rPr>
                <w:rFonts w:hint="eastAsia" w:ascii="仿宋_GB2312" w:hAnsi="宋体" w:eastAsia="仿宋_GB2312" w:cs="仿宋_GB2312"/>
                <w:i w:val="0"/>
                <w:color w:val="auto"/>
                <w:sz w:val="22"/>
                <w:szCs w:val="22"/>
                <w:u w:val="none"/>
              </w:rPr>
            </w:pPr>
          </w:p>
        </w:tc>
        <w:tc>
          <w:tcPr>
            <w:tcW w:w="13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1439E0">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工伤医疗补偿金</w:t>
            </w:r>
          </w:p>
        </w:tc>
        <w:tc>
          <w:tcPr>
            <w:tcW w:w="39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EA5061">
            <w:pPr>
              <w:keepNext w:val="0"/>
              <w:keepLines w:val="0"/>
              <w:widowControl/>
              <w:suppressLineNumbers w:val="0"/>
              <w:jc w:val="left"/>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因工伤所产生的医疗费用，符合工伤保险“三个目录”的费用支出，扣除100元免赔后按照85%比例报销，年度最高支付限额1万元。</w:t>
            </w:r>
          </w:p>
        </w:tc>
        <w:tc>
          <w:tcPr>
            <w:tcW w:w="9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5554A5">
            <w:pPr>
              <w:jc w:val="center"/>
              <w:rPr>
                <w:rFonts w:hint="eastAsia" w:ascii="仿宋_GB2312" w:hAnsi="宋体" w:eastAsia="仿宋_GB2312" w:cs="仿宋_GB2312"/>
                <w:i w:val="0"/>
                <w:color w:val="auto"/>
                <w:sz w:val="22"/>
                <w:szCs w:val="22"/>
                <w:u w:val="none"/>
              </w:rPr>
            </w:pP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B882EB">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1万</w:t>
            </w:r>
          </w:p>
        </w:tc>
      </w:tr>
    </w:tbl>
    <w:p w14:paraId="0CD7DF4E">
      <w:pPr>
        <w:pStyle w:val="10"/>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jc w:val="left"/>
        <w:textAlignment w:val="auto"/>
        <w:rPr>
          <w:rFonts w:hint="eastAsia" w:ascii="方正小标宋简体" w:hAnsi="方正小标宋简体" w:eastAsia="方正小标宋简体" w:cs="方正小标宋简体"/>
          <w:kern w:val="2"/>
          <w:sz w:val="32"/>
          <w:szCs w:val="32"/>
          <w:lang w:val="en-US" w:eastAsia="zh-CN" w:bidi="ar-SA"/>
        </w:rPr>
      </w:pPr>
      <w:r>
        <w:rPr>
          <w:rFonts w:hint="eastAsia" w:ascii="方正小标宋简体" w:hAnsi="方正小标宋简体" w:eastAsia="方正小标宋简体" w:cs="方正小标宋简体"/>
          <w:kern w:val="2"/>
          <w:sz w:val="32"/>
          <w:szCs w:val="32"/>
          <w:lang w:val="en-US" w:eastAsia="zh-CN" w:bidi="ar-SA"/>
        </w:rPr>
        <w:t>附件3</w:t>
      </w:r>
    </w:p>
    <w:tbl>
      <w:tblPr>
        <w:tblStyle w:val="11"/>
        <w:tblW w:w="90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313"/>
        <w:gridCol w:w="1374"/>
        <w:gridCol w:w="3775"/>
        <w:gridCol w:w="905"/>
        <w:gridCol w:w="1633"/>
      </w:tblGrid>
      <w:tr w14:paraId="3D1529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74" w:hRule="atLeast"/>
        </w:trPr>
        <w:tc>
          <w:tcPr>
            <w:tcW w:w="9000" w:type="dxa"/>
            <w:gridSpan w:val="5"/>
            <w:tcBorders>
              <w:top w:val="nil"/>
              <w:left w:val="nil"/>
              <w:bottom w:val="nil"/>
              <w:right w:val="nil"/>
            </w:tcBorders>
            <w:shd w:val="clear" w:color="auto" w:fill="auto"/>
            <w:noWrap/>
            <w:tcMar>
              <w:top w:w="15" w:type="dxa"/>
              <w:left w:w="15" w:type="dxa"/>
              <w:right w:w="15" w:type="dxa"/>
            </w:tcMar>
            <w:vAlign w:val="center"/>
          </w:tcPr>
          <w:p w14:paraId="65800A64">
            <w:pPr>
              <w:keepNext w:val="0"/>
              <w:keepLines w:val="0"/>
              <w:widowControl/>
              <w:suppressLineNumbers w:val="0"/>
              <w:jc w:val="center"/>
              <w:textAlignment w:val="center"/>
              <w:rPr>
                <w:rFonts w:ascii="微软雅黑" w:hAnsi="微软雅黑" w:eastAsia="微软雅黑" w:cs="微软雅黑"/>
                <w:i w:val="0"/>
                <w:color w:val="auto"/>
                <w:sz w:val="28"/>
                <w:szCs w:val="28"/>
                <w:u w:val="none"/>
              </w:rPr>
            </w:pPr>
            <w:r>
              <w:rPr>
                <w:rFonts w:hint="eastAsia" w:ascii="方正小标宋简体" w:hAnsi="方正小标宋简体" w:eastAsia="方正小标宋简体" w:cs="方正小标宋简体"/>
                <w:i w:val="0"/>
                <w:color w:val="auto"/>
                <w:kern w:val="0"/>
                <w:sz w:val="32"/>
                <w:szCs w:val="32"/>
                <w:u w:val="none"/>
                <w:lang w:val="en-US" w:eastAsia="zh-CN" w:bidi="ar"/>
              </w:rPr>
              <w:t>昌吉州特定人员补充工伤保险缴费及赔付项目标准（二）</w:t>
            </w:r>
          </w:p>
        </w:tc>
      </w:tr>
      <w:tr w14:paraId="41CE34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85" w:hRule="atLeast"/>
        </w:trPr>
        <w:tc>
          <w:tcPr>
            <w:tcW w:w="13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944542">
            <w:pPr>
              <w:keepNext w:val="0"/>
              <w:keepLines w:val="0"/>
              <w:widowControl/>
              <w:suppressLineNumbers w:val="0"/>
              <w:jc w:val="center"/>
              <w:textAlignment w:val="center"/>
              <w:rPr>
                <w:rFonts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缴费标准</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A2DAE0">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赔付项目</w:t>
            </w:r>
          </w:p>
        </w:tc>
        <w:tc>
          <w:tcPr>
            <w:tcW w:w="37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0B7C60">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责任描述</w:t>
            </w:r>
          </w:p>
        </w:tc>
        <w:tc>
          <w:tcPr>
            <w:tcW w:w="9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E9EA12">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伤残等级</w:t>
            </w:r>
          </w:p>
        </w:tc>
        <w:tc>
          <w:tcPr>
            <w:tcW w:w="16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EED498">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待遇标准</w:t>
            </w:r>
          </w:p>
        </w:tc>
      </w:tr>
      <w:tr w14:paraId="31D036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85" w:hRule="atLeast"/>
        </w:trPr>
        <w:tc>
          <w:tcPr>
            <w:tcW w:w="131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30BCCD">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35元/月（420元/年）</w:t>
            </w:r>
          </w:p>
        </w:tc>
        <w:tc>
          <w:tcPr>
            <w:tcW w:w="13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51D91C">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一次性身故补偿金</w:t>
            </w:r>
          </w:p>
        </w:tc>
        <w:tc>
          <w:tcPr>
            <w:tcW w:w="377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9FF25B">
            <w:pPr>
              <w:pStyle w:val="10"/>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jc w:val="left"/>
              <w:textAlignment w:val="auto"/>
              <w:rPr>
                <w:rFonts w:hint="eastAsia" w:ascii="仿宋_GB2312" w:hAnsi="宋体" w:eastAsia="仿宋_GB2312" w:cs="仿宋_GB2312"/>
                <w:i w:val="0"/>
                <w:color w:val="auto"/>
                <w:kern w:val="0"/>
                <w:sz w:val="22"/>
                <w:szCs w:val="22"/>
                <w:u w:val="none"/>
                <w:lang w:val="en-US" w:eastAsia="zh-CN" w:bidi="ar"/>
              </w:rPr>
            </w:pPr>
            <w:r>
              <w:rPr>
                <w:rFonts w:hint="eastAsia" w:ascii="仿宋_GB2312" w:hAnsi="宋体" w:eastAsia="仿宋_GB2312" w:cs="仿宋_GB2312"/>
                <w:i w:val="0"/>
                <w:color w:val="auto"/>
                <w:kern w:val="0"/>
                <w:sz w:val="22"/>
                <w:szCs w:val="22"/>
                <w:u w:val="none"/>
                <w:lang w:val="en-US" w:eastAsia="zh-CN" w:bidi="ar"/>
              </w:rPr>
              <w:t>1.在工作时间和工作场所内，因工作原因受到事故伤害的；</w:t>
            </w:r>
          </w:p>
          <w:p w14:paraId="0D30AF37">
            <w:pPr>
              <w:pStyle w:val="10"/>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jc w:val="left"/>
              <w:textAlignment w:val="auto"/>
              <w:rPr>
                <w:rFonts w:hint="eastAsia" w:ascii="仿宋_GB2312" w:hAnsi="宋体" w:eastAsia="仿宋_GB2312" w:cs="仿宋_GB2312"/>
                <w:i w:val="0"/>
                <w:color w:val="auto"/>
                <w:kern w:val="0"/>
                <w:sz w:val="22"/>
                <w:szCs w:val="22"/>
                <w:u w:val="none"/>
                <w:lang w:val="en-US" w:eastAsia="zh-CN" w:bidi="ar"/>
              </w:rPr>
            </w:pPr>
            <w:r>
              <w:rPr>
                <w:rFonts w:hint="eastAsia" w:ascii="仿宋_GB2312" w:hAnsi="宋体" w:eastAsia="仿宋_GB2312" w:cs="仿宋_GB2312"/>
                <w:i w:val="0"/>
                <w:color w:val="auto"/>
                <w:kern w:val="0"/>
                <w:sz w:val="22"/>
                <w:szCs w:val="22"/>
                <w:u w:val="none"/>
                <w:lang w:val="en-US" w:eastAsia="zh-CN" w:bidi="ar"/>
              </w:rPr>
              <w:t>2.工作时间前后在工作场所内，从事与工作有关的预备性或收尾性工作受到事故伤害的；</w:t>
            </w:r>
          </w:p>
          <w:p w14:paraId="3593E328">
            <w:pPr>
              <w:pStyle w:val="10"/>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jc w:val="left"/>
              <w:textAlignment w:val="auto"/>
              <w:rPr>
                <w:rFonts w:hint="eastAsia" w:ascii="仿宋_GB2312" w:hAnsi="宋体" w:eastAsia="仿宋_GB2312" w:cs="仿宋_GB2312"/>
                <w:i w:val="0"/>
                <w:color w:val="auto"/>
                <w:kern w:val="0"/>
                <w:sz w:val="22"/>
                <w:szCs w:val="22"/>
                <w:u w:val="none"/>
                <w:lang w:val="en-US" w:eastAsia="zh-CN" w:bidi="ar"/>
              </w:rPr>
            </w:pPr>
            <w:r>
              <w:rPr>
                <w:rFonts w:hint="eastAsia" w:ascii="仿宋_GB2312" w:hAnsi="宋体" w:eastAsia="仿宋_GB2312" w:cs="仿宋_GB2312"/>
                <w:i w:val="0"/>
                <w:color w:val="auto"/>
                <w:kern w:val="0"/>
                <w:sz w:val="22"/>
                <w:szCs w:val="22"/>
                <w:u w:val="none"/>
                <w:lang w:val="en-US" w:eastAsia="zh-CN" w:bidi="ar"/>
              </w:rPr>
              <w:t>3.在工作时间和工作场所内，因履行工作职责受到暴力等意外伤害的；</w:t>
            </w:r>
          </w:p>
          <w:p w14:paraId="1BBAF9F0">
            <w:pPr>
              <w:pStyle w:val="10"/>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jc w:val="left"/>
              <w:textAlignment w:val="auto"/>
              <w:rPr>
                <w:rFonts w:hint="eastAsia" w:ascii="仿宋_GB2312" w:hAnsi="宋体" w:eastAsia="仿宋_GB2312" w:cs="仿宋_GB2312"/>
                <w:i w:val="0"/>
                <w:color w:val="auto"/>
                <w:kern w:val="0"/>
                <w:sz w:val="22"/>
                <w:szCs w:val="22"/>
                <w:u w:val="none"/>
                <w:lang w:val="en-US" w:eastAsia="zh-CN" w:bidi="ar"/>
              </w:rPr>
            </w:pPr>
            <w:r>
              <w:rPr>
                <w:rFonts w:hint="eastAsia" w:ascii="仿宋_GB2312" w:hAnsi="宋体" w:eastAsia="仿宋_GB2312" w:cs="仿宋_GB2312"/>
                <w:i w:val="0"/>
                <w:color w:val="auto"/>
                <w:kern w:val="0"/>
                <w:sz w:val="22"/>
                <w:szCs w:val="22"/>
                <w:u w:val="none"/>
                <w:lang w:val="en-US" w:eastAsia="zh-CN" w:bidi="ar"/>
              </w:rPr>
              <w:t>4.因工外出期间，由于工作原因受到伤害或者发生事故下落不明的；</w:t>
            </w:r>
          </w:p>
          <w:p w14:paraId="67CC5414">
            <w:pPr>
              <w:pStyle w:val="10"/>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jc w:val="left"/>
              <w:textAlignment w:val="auto"/>
              <w:rPr>
                <w:rFonts w:hint="eastAsia" w:ascii="仿宋_GB2312" w:hAnsi="宋体" w:eastAsia="仿宋_GB2312" w:cs="仿宋_GB2312"/>
                <w:i w:val="0"/>
                <w:color w:val="auto"/>
                <w:kern w:val="0"/>
                <w:sz w:val="22"/>
                <w:szCs w:val="22"/>
                <w:u w:val="none"/>
                <w:lang w:val="en-US" w:eastAsia="zh-CN" w:bidi="ar"/>
              </w:rPr>
            </w:pPr>
            <w:r>
              <w:rPr>
                <w:rFonts w:hint="eastAsia" w:ascii="仿宋_GB2312" w:hAnsi="宋体" w:eastAsia="仿宋_GB2312" w:cs="仿宋_GB2312"/>
                <w:i w:val="0"/>
                <w:color w:val="auto"/>
                <w:kern w:val="0"/>
                <w:sz w:val="22"/>
                <w:szCs w:val="22"/>
                <w:u w:val="none"/>
                <w:lang w:val="en-US" w:eastAsia="zh-CN" w:bidi="ar"/>
              </w:rPr>
              <w:t>5.在上下班途中，受到非本人主要责任的交通事故或者城市轨道交通、客运轮渡、火车事故伤害的；</w:t>
            </w:r>
          </w:p>
          <w:p w14:paraId="1D2370C1">
            <w:pPr>
              <w:keepNext w:val="0"/>
              <w:keepLines w:val="0"/>
              <w:widowControl/>
              <w:suppressLineNumbers w:val="0"/>
              <w:jc w:val="left"/>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6.在抢险救灾等维护国家利益、公共利益活动中受到事故伤害的。</w:t>
            </w:r>
            <w:r>
              <w:rPr>
                <w:rFonts w:hint="eastAsia" w:ascii="仿宋_GB2312" w:hAnsi="宋体" w:eastAsia="仿宋_GB2312" w:cs="仿宋_GB2312"/>
                <w:i w:val="0"/>
                <w:color w:val="auto"/>
                <w:kern w:val="0"/>
                <w:sz w:val="22"/>
                <w:szCs w:val="22"/>
                <w:u w:val="none"/>
                <w:lang w:val="en-US" w:eastAsia="zh-CN" w:bidi="ar"/>
              </w:rPr>
              <w:br w:type="textWrapping"/>
            </w:r>
            <w:r>
              <w:rPr>
                <w:rFonts w:hint="eastAsia" w:ascii="仿宋_GB2312" w:hAnsi="宋体" w:eastAsia="仿宋_GB2312" w:cs="仿宋_GB2312"/>
                <w:i w:val="0"/>
                <w:color w:val="auto"/>
                <w:kern w:val="0"/>
                <w:sz w:val="22"/>
                <w:szCs w:val="22"/>
                <w:u w:val="none"/>
                <w:lang w:val="en-US" w:eastAsia="zh-CN" w:bidi="ar"/>
              </w:rPr>
              <w:t>因上述原因身故或致残可享受对应保障待遇。</w:t>
            </w:r>
          </w:p>
        </w:tc>
        <w:tc>
          <w:tcPr>
            <w:tcW w:w="905" w:type="dxa"/>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14:paraId="6FA6553F">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身故</w:t>
            </w:r>
          </w:p>
        </w:tc>
        <w:tc>
          <w:tcPr>
            <w:tcW w:w="1633" w:type="dxa"/>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14:paraId="0439A2DC">
            <w:pPr>
              <w:keepNext w:val="0"/>
              <w:keepLines w:val="0"/>
              <w:widowControl/>
              <w:suppressLineNumbers w:val="0"/>
              <w:jc w:val="center"/>
              <w:textAlignment w:val="center"/>
              <w:rPr>
                <w:rFonts w:hint="eastAsia" w:ascii="仿宋_GB2312" w:hAnsi="宋体" w:eastAsia="仿宋_GB2312" w:cs="仿宋_GB2312"/>
                <w:i w:val="0"/>
                <w:color w:val="auto"/>
                <w:kern w:val="0"/>
                <w:sz w:val="22"/>
                <w:szCs w:val="22"/>
                <w:u w:val="none"/>
                <w:lang w:val="en-US" w:eastAsia="zh-CN" w:bidi="ar"/>
              </w:rPr>
            </w:pPr>
            <w:r>
              <w:rPr>
                <w:rFonts w:hint="eastAsia" w:ascii="仿宋_GB2312" w:hAnsi="宋体" w:eastAsia="仿宋_GB2312" w:cs="仿宋_GB2312"/>
                <w:i w:val="0"/>
                <w:color w:val="auto"/>
                <w:kern w:val="0"/>
                <w:sz w:val="22"/>
                <w:szCs w:val="22"/>
                <w:u w:val="none"/>
                <w:lang w:val="en-US" w:eastAsia="zh-CN" w:bidi="ar"/>
              </w:rPr>
              <w:t>45万</w:t>
            </w:r>
          </w:p>
        </w:tc>
      </w:tr>
      <w:tr w14:paraId="26A13A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57" w:hRule="atLeast"/>
        </w:trPr>
        <w:tc>
          <w:tcPr>
            <w:tcW w:w="13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906E34">
            <w:pPr>
              <w:jc w:val="center"/>
              <w:rPr>
                <w:rFonts w:hint="eastAsia" w:ascii="仿宋_GB2312" w:hAnsi="宋体" w:eastAsia="仿宋_GB2312" w:cs="仿宋_GB2312"/>
                <w:i w:val="0"/>
                <w:color w:val="auto"/>
                <w:sz w:val="22"/>
                <w:szCs w:val="22"/>
                <w:u w:val="none"/>
              </w:rPr>
            </w:pPr>
          </w:p>
        </w:tc>
        <w:tc>
          <w:tcPr>
            <w:tcW w:w="137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E91EF3">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一次性伤残补偿金</w:t>
            </w:r>
          </w:p>
        </w:tc>
        <w:tc>
          <w:tcPr>
            <w:tcW w:w="37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7900F4">
            <w:pPr>
              <w:jc w:val="left"/>
              <w:rPr>
                <w:rFonts w:hint="eastAsia" w:ascii="仿宋_GB2312" w:hAnsi="宋体" w:eastAsia="仿宋_GB2312" w:cs="仿宋_GB2312"/>
                <w:i w:val="0"/>
                <w:color w:val="auto"/>
                <w:sz w:val="22"/>
                <w:szCs w:val="22"/>
                <w:u w:val="none"/>
              </w:rPr>
            </w:pPr>
          </w:p>
        </w:tc>
        <w:tc>
          <w:tcPr>
            <w:tcW w:w="905" w:type="dxa"/>
            <w:tcBorders>
              <w:top w:val="single" w:color="auto" w:sz="4" w:space="0"/>
              <w:left w:val="single" w:color="000000" w:sz="4" w:space="0"/>
              <w:right w:val="single" w:color="000000" w:sz="4" w:space="0"/>
            </w:tcBorders>
            <w:shd w:val="clear" w:color="auto" w:fill="auto"/>
            <w:noWrap/>
            <w:tcMar>
              <w:top w:w="15" w:type="dxa"/>
              <w:left w:w="15" w:type="dxa"/>
              <w:right w:w="15" w:type="dxa"/>
            </w:tcMar>
            <w:vAlign w:val="center"/>
          </w:tcPr>
          <w:p w14:paraId="11C9FA4A">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一级</w:t>
            </w:r>
          </w:p>
        </w:tc>
        <w:tc>
          <w:tcPr>
            <w:tcW w:w="1633" w:type="dxa"/>
            <w:tcBorders>
              <w:top w:val="single" w:color="auto"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7DBF21">
            <w:pPr>
              <w:keepNext w:val="0"/>
              <w:keepLines w:val="0"/>
              <w:widowControl/>
              <w:suppressLineNumbers w:val="0"/>
              <w:jc w:val="center"/>
              <w:textAlignment w:val="center"/>
              <w:rPr>
                <w:rFonts w:hint="eastAsia" w:ascii="仿宋_GB2312" w:hAnsi="宋体" w:eastAsia="仿宋_GB2312" w:cs="仿宋_GB2312"/>
                <w:i w:val="0"/>
                <w:color w:val="auto"/>
                <w:kern w:val="0"/>
                <w:sz w:val="22"/>
                <w:szCs w:val="22"/>
                <w:u w:val="none"/>
                <w:lang w:val="en-US" w:eastAsia="zh-CN" w:bidi="ar"/>
              </w:rPr>
            </w:pPr>
            <w:r>
              <w:rPr>
                <w:rFonts w:hint="eastAsia" w:ascii="仿宋_GB2312" w:hAnsi="宋体" w:eastAsia="仿宋_GB2312" w:cs="仿宋_GB2312"/>
                <w:i w:val="0"/>
                <w:color w:val="auto"/>
                <w:kern w:val="0"/>
                <w:sz w:val="22"/>
                <w:szCs w:val="22"/>
                <w:u w:val="none"/>
                <w:lang w:val="en-US" w:eastAsia="zh-CN" w:bidi="ar"/>
              </w:rPr>
              <w:t>15万</w:t>
            </w:r>
          </w:p>
        </w:tc>
      </w:tr>
      <w:tr w14:paraId="7714C2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3" w:hRule="atLeast"/>
        </w:trPr>
        <w:tc>
          <w:tcPr>
            <w:tcW w:w="13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14316E">
            <w:pPr>
              <w:jc w:val="center"/>
              <w:rPr>
                <w:rFonts w:hint="eastAsia" w:ascii="仿宋_GB2312" w:hAnsi="宋体" w:eastAsia="仿宋_GB2312" w:cs="仿宋_GB2312"/>
                <w:i w:val="0"/>
                <w:color w:val="auto"/>
                <w:sz w:val="22"/>
                <w:szCs w:val="22"/>
                <w:u w:val="none"/>
              </w:rPr>
            </w:pPr>
          </w:p>
        </w:tc>
        <w:tc>
          <w:tcPr>
            <w:tcW w:w="137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AFE1AF">
            <w:pPr>
              <w:jc w:val="center"/>
              <w:rPr>
                <w:rFonts w:hint="eastAsia" w:ascii="仿宋_GB2312" w:hAnsi="宋体" w:eastAsia="仿宋_GB2312" w:cs="仿宋_GB2312"/>
                <w:i w:val="0"/>
                <w:color w:val="auto"/>
                <w:sz w:val="22"/>
                <w:szCs w:val="22"/>
                <w:u w:val="none"/>
              </w:rPr>
            </w:pPr>
          </w:p>
        </w:tc>
        <w:tc>
          <w:tcPr>
            <w:tcW w:w="37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7B1E19">
            <w:pPr>
              <w:jc w:val="left"/>
              <w:rPr>
                <w:rFonts w:hint="eastAsia" w:ascii="仿宋_GB2312" w:hAnsi="宋体" w:eastAsia="仿宋_GB2312" w:cs="仿宋_GB2312"/>
                <w:i w:val="0"/>
                <w:color w:val="auto"/>
                <w:sz w:val="22"/>
                <w:szCs w:val="22"/>
                <w:u w:val="none"/>
              </w:rPr>
            </w:pPr>
          </w:p>
        </w:tc>
        <w:tc>
          <w:tcPr>
            <w:tcW w:w="9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5676AB">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二级</w:t>
            </w:r>
          </w:p>
        </w:tc>
        <w:tc>
          <w:tcPr>
            <w:tcW w:w="16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CE4520">
            <w:pPr>
              <w:keepNext w:val="0"/>
              <w:keepLines w:val="0"/>
              <w:widowControl/>
              <w:suppressLineNumbers w:val="0"/>
              <w:jc w:val="center"/>
              <w:textAlignment w:val="center"/>
              <w:rPr>
                <w:rFonts w:hint="eastAsia" w:ascii="仿宋_GB2312" w:hAnsi="宋体" w:eastAsia="仿宋_GB2312" w:cs="仿宋_GB2312"/>
                <w:i w:val="0"/>
                <w:color w:val="auto"/>
                <w:kern w:val="0"/>
                <w:sz w:val="22"/>
                <w:szCs w:val="22"/>
                <w:u w:val="none"/>
                <w:lang w:val="en-US" w:eastAsia="zh-CN" w:bidi="ar"/>
              </w:rPr>
            </w:pPr>
            <w:r>
              <w:rPr>
                <w:rFonts w:hint="eastAsia" w:ascii="仿宋_GB2312" w:hAnsi="宋体" w:eastAsia="仿宋_GB2312" w:cs="仿宋_GB2312"/>
                <w:i w:val="0"/>
                <w:color w:val="auto"/>
                <w:kern w:val="0"/>
                <w:sz w:val="22"/>
                <w:szCs w:val="22"/>
                <w:u w:val="none"/>
                <w:lang w:val="en-US" w:eastAsia="zh-CN" w:bidi="ar"/>
              </w:rPr>
              <w:t>13.5万</w:t>
            </w:r>
          </w:p>
        </w:tc>
      </w:tr>
      <w:tr w14:paraId="2D39BF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8" w:hRule="atLeast"/>
        </w:trPr>
        <w:tc>
          <w:tcPr>
            <w:tcW w:w="13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523934">
            <w:pPr>
              <w:jc w:val="center"/>
              <w:rPr>
                <w:rFonts w:hint="eastAsia" w:ascii="仿宋_GB2312" w:hAnsi="宋体" w:eastAsia="仿宋_GB2312" w:cs="仿宋_GB2312"/>
                <w:i w:val="0"/>
                <w:color w:val="auto"/>
                <w:sz w:val="22"/>
                <w:szCs w:val="22"/>
                <w:u w:val="none"/>
              </w:rPr>
            </w:pPr>
          </w:p>
        </w:tc>
        <w:tc>
          <w:tcPr>
            <w:tcW w:w="137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56E547">
            <w:pPr>
              <w:jc w:val="center"/>
              <w:rPr>
                <w:rFonts w:hint="eastAsia" w:ascii="仿宋_GB2312" w:hAnsi="宋体" w:eastAsia="仿宋_GB2312" w:cs="仿宋_GB2312"/>
                <w:i w:val="0"/>
                <w:color w:val="auto"/>
                <w:sz w:val="22"/>
                <w:szCs w:val="22"/>
                <w:u w:val="none"/>
              </w:rPr>
            </w:pPr>
          </w:p>
        </w:tc>
        <w:tc>
          <w:tcPr>
            <w:tcW w:w="37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05D0C5">
            <w:pPr>
              <w:jc w:val="left"/>
              <w:rPr>
                <w:rFonts w:hint="eastAsia" w:ascii="仿宋_GB2312" w:hAnsi="宋体" w:eastAsia="仿宋_GB2312" w:cs="仿宋_GB2312"/>
                <w:i w:val="0"/>
                <w:color w:val="auto"/>
                <w:sz w:val="22"/>
                <w:szCs w:val="22"/>
                <w:u w:val="none"/>
              </w:rPr>
            </w:pPr>
          </w:p>
        </w:tc>
        <w:tc>
          <w:tcPr>
            <w:tcW w:w="9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440C27">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三级</w:t>
            </w:r>
          </w:p>
        </w:tc>
        <w:tc>
          <w:tcPr>
            <w:tcW w:w="16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11307E">
            <w:pPr>
              <w:keepNext w:val="0"/>
              <w:keepLines w:val="0"/>
              <w:widowControl/>
              <w:suppressLineNumbers w:val="0"/>
              <w:jc w:val="center"/>
              <w:textAlignment w:val="center"/>
              <w:rPr>
                <w:rFonts w:hint="eastAsia" w:ascii="仿宋_GB2312" w:hAnsi="宋体" w:eastAsia="仿宋_GB2312" w:cs="仿宋_GB2312"/>
                <w:i w:val="0"/>
                <w:color w:val="auto"/>
                <w:kern w:val="0"/>
                <w:sz w:val="22"/>
                <w:szCs w:val="22"/>
                <w:u w:val="none"/>
                <w:lang w:val="en-US" w:eastAsia="zh-CN" w:bidi="ar"/>
              </w:rPr>
            </w:pPr>
            <w:r>
              <w:rPr>
                <w:rFonts w:hint="eastAsia" w:ascii="仿宋_GB2312" w:hAnsi="宋体" w:eastAsia="仿宋_GB2312" w:cs="仿宋_GB2312"/>
                <w:i w:val="0"/>
                <w:color w:val="auto"/>
                <w:kern w:val="0"/>
                <w:sz w:val="22"/>
                <w:szCs w:val="22"/>
                <w:u w:val="none"/>
                <w:lang w:val="en-US" w:eastAsia="zh-CN" w:bidi="ar"/>
              </w:rPr>
              <w:t>12万</w:t>
            </w:r>
          </w:p>
        </w:tc>
      </w:tr>
      <w:tr w14:paraId="1E2F2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54" w:hRule="atLeast"/>
        </w:trPr>
        <w:tc>
          <w:tcPr>
            <w:tcW w:w="13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05D269">
            <w:pPr>
              <w:jc w:val="center"/>
              <w:rPr>
                <w:rFonts w:hint="eastAsia" w:ascii="仿宋_GB2312" w:hAnsi="宋体" w:eastAsia="仿宋_GB2312" w:cs="仿宋_GB2312"/>
                <w:i w:val="0"/>
                <w:color w:val="auto"/>
                <w:sz w:val="22"/>
                <w:szCs w:val="22"/>
                <w:u w:val="none"/>
              </w:rPr>
            </w:pPr>
          </w:p>
        </w:tc>
        <w:tc>
          <w:tcPr>
            <w:tcW w:w="137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992908">
            <w:pPr>
              <w:jc w:val="center"/>
              <w:rPr>
                <w:rFonts w:hint="eastAsia" w:ascii="仿宋_GB2312" w:hAnsi="宋体" w:eastAsia="仿宋_GB2312" w:cs="仿宋_GB2312"/>
                <w:i w:val="0"/>
                <w:color w:val="auto"/>
                <w:sz w:val="22"/>
                <w:szCs w:val="22"/>
                <w:u w:val="none"/>
              </w:rPr>
            </w:pPr>
          </w:p>
        </w:tc>
        <w:tc>
          <w:tcPr>
            <w:tcW w:w="37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01DAEB">
            <w:pPr>
              <w:jc w:val="left"/>
              <w:rPr>
                <w:rFonts w:hint="eastAsia" w:ascii="仿宋_GB2312" w:hAnsi="宋体" w:eastAsia="仿宋_GB2312" w:cs="仿宋_GB2312"/>
                <w:i w:val="0"/>
                <w:color w:val="auto"/>
                <w:sz w:val="22"/>
                <w:szCs w:val="22"/>
                <w:u w:val="none"/>
              </w:rPr>
            </w:pPr>
          </w:p>
        </w:tc>
        <w:tc>
          <w:tcPr>
            <w:tcW w:w="9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A2511A">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四级</w:t>
            </w:r>
          </w:p>
        </w:tc>
        <w:tc>
          <w:tcPr>
            <w:tcW w:w="16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107F07">
            <w:pPr>
              <w:keepNext w:val="0"/>
              <w:keepLines w:val="0"/>
              <w:widowControl/>
              <w:suppressLineNumbers w:val="0"/>
              <w:jc w:val="center"/>
              <w:textAlignment w:val="center"/>
              <w:rPr>
                <w:rFonts w:hint="eastAsia" w:ascii="仿宋_GB2312" w:hAnsi="宋体" w:eastAsia="仿宋_GB2312" w:cs="仿宋_GB2312"/>
                <w:i w:val="0"/>
                <w:color w:val="auto"/>
                <w:kern w:val="0"/>
                <w:sz w:val="22"/>
                <w:szCs w:val="22"/>
                <w:u w:val="none"/>
                <w:lang w:val="en-US" w:eastAsia="zh-CN" w:bidi="ar"/>
              </w:rPr>
            </w:pPr>
            <w:r>
              <w:rPr>
                <w:rFonts w:hint="eastAsia" w:ascii="仿宋_GB2312" w:hAnsi="宋体" w:eastAsia="仿宋_GB2312" w:cs="仿宋_GB2312"/>
                <w:i w:val="0"/>
                <w:color w:val="auto"/>
                <w:kern w:val="0"/>
                <w:sz w:val="22"/>
                <w:szCs w:val="22"/>
                <w:u w:val="none"/>
                <w:lang w:val="en-US" w:eastAsia="zh-CN" w:bidi="ar"/>
              </w:rPr>
              <w:t>10.5万</w:t>
            </w:r>
          </w:p>
        </w:tc>
      </w:tr>
      <w:tr w14:paraId="5799B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7" w:hRule="atLeast"/>
        </w:trPr>
        <w:tc>
          <w:tcPr>
            <w:tcW w:w="13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E2D6B6">
            <w:pPr>
              <w:jc w:val="center"/>
              <w:rPr>
                <w:rFonts w:hint="eastAsia" w:ascii="仿宋_GB2312" w:hAnsi="宋体" w:eastAsia="仿宋_GB2312" w:cs="仿宋_GB2312"/>
                <w:i w:val="0"/>
                <w:color w:val="auto"/>
                <w:sz w:val="22"/>
                <w:szCs w:val="22"/>
                <w:u w:val="none"/>
              </w:rPr>
            </w:pPr>
          </w:p>
        </w:tc>
        <w:tc>
          <w:tcPr>
            <w:tcW w:w="137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B0FBB5">
            <w:pPr>
              <w:jc w:val="center"/>
              <w:rPr>
                <w:rFonts w:hint="eastAsia" w:ascii="仿宋_GB2312" w:hAnsi="宋体" w:eastAsia="仿宋_GB2312" w:cs="仿宋_GB2312"/>
                <w:i w:val="0"/>
                <w:color w:val="auto"/>
                <w:sz w:val="22"/>
                <w:szCs w:val="22"/>
                <w:u w:val="none"/>
              </w:rPr>
            </w:pPr>
          </w:p>
        </w:tc>
        <w:tc>
          <w:tcPr>
            <w:tcW w:w="37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3E87A8">
            <w:pPr>
              <w:jc w:val="left"/>
              <w:rPr>
                <w:rFonts w:hint="eastAsia" w:ascii="仿宋_GB2312" w:hAnsi="宋体" w:eastAsia="仿宋_GB2312" w:cs="仿宋_GB2312"/>
                <w:i w:val="0"/>
                <w:color w:val="auto"/>
                <w:sz w:val="22"/>
                <w:szCs w:val="22"/>
                <w:u w:val="none"/>
              </w:rPr>
            </w:pPr>
          </w:p>
        </w:tc>
        <w:tc>
          <w:tcPr>
            <w:tcW w:w="9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5F6258">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五级</w:t>
            </w:r>
          </w:p>
        </w:tc>
        <w:tc>
          <w:tcPr>
            <w:tcW w:w="16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A1E7D7">
            <w:pPr>
              <w:keepNext w:val="0"/>
              <w:keepLines w:val="0"/>
              <w:widowControl/>
              <w:suppressLineNumbers w:val="0"/>
              <w:jc w:val="center"/>
              <w:textAlignment w:val="center"/>
              <w:rPr>
                <w:rFonts w:hint="eastAsia" w:ascii="仿宋_GB2312" w:hAnsi="宋体" w:eastAsia="仿宋_GB2312" w:cs="仿宋_GB2312"/>
                <w:i w:val="0"/>
                <w:color w:val="auto"/>
                <w:kern w:val="0"/>
                <w:sz w:val="22"/>
                <w:szCs w:val="22"/>
                <w:u w:val="none"/>
                <w:lang w:val="en-US" w:eastAsia="zh-CN" w:bidi="ar"/>
              </w:rPr>
            </w:pPr>
            <w:r>
              <w:rPr>
                <w:rFonts w:hint="eastAsia" w:ascii="仿宋_GB2312" w:hAnsi="宋体" w:eastAsia="仿宋_GB2312" w:cs="仿宋_GB2312"/>
                <w:i w:val="0"/>
                <w:color w:val="auto"/>
                <w:kern w:val="0"/>
                <w:sz w:val="22"/>
                <w:szCs w:val="22"/>
                <w:u w:val="none"/>
                <w:lang w:val="en-US" w:eastAsia="zh-CN" w:bidi="ar"/>
              </w:rPr>
              <w:t>9万</w:t>
            </w:r>
          </w:p>
        </w:tc>
      </w:tr>
      <w:tr w14:paraId="6FBC5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99" w:hRule="atLeast"/>
        </w:trPr>
        <w:tc>
          <w:tcPr>
            <w:tcW w:w="13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9A1C3E">
            <w:pPr>
              <w:jc w:val="center"/>
              <w:rPr>
                <w:rFonts w:hint="eastAsia" w:ascii="仿宋_GB2312" w:hAnsi="宋体" w:eastAsia="仿宋_GB2312" w:cs="仿宋_GB2312"/>
                <w:i w:val="0"/>
                <w:color w:val="auto"/>
                <w:sz w:val="22"/>
                <w:szCs w:val="22"/>
                <w:u w:val="none"/>
              </w:rPr>
            </w:pPr>
          </w:p>
        </w:tc>
        <w:tc>
          <w:tcPr>
            <w:tcW w:w="137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54CFAD">
            <w:pPr>
              <w:jc w:val="center"/>
              <w:rPr>
                <w:rFonts w:hint="eastAsia" w:ascii="仿宋_GB2312" w:hAnsi="宋体" w:eastAsia="仿宋_GB2312" w:cs="仿宋_GB2312"/>
                <w:i w:val="0"/>
                <w:color w:val="auto"/>
                <w:sz w:val="22"/>
                <w:szCs w:val="22"/>
                <w:u w:val="none"/>
              </w:rPr>
            </w:pPr>
          </w:p>
        </w:tc>
        <w:tc>
          <w:tcPr>
            <w:tcW w:w="37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F3D31C">
            <w:pPr>
              <w:jc w:val="left"/>
              <w:rPr>
                <w:rFonts w:hint="eastAsia" w:ascii="仿宋_GB2312" w:hAnsi="宋体" w:eastAsia="仿宋_GB2312" w:cs="仿宋_GB2312"/>
                <w:i w:val="0"/>
                <w:color w:val="auto"/>
                <w:sz w:val="22"/>
                <w:szCs w:val="22"/>
                <w:u w:val="none"/>
              </w:rPr>
            </w:pPr>
          </w:p>
        </w:tc>
        <w:tc>
          <w:tcPr>
            <w:tcW w:w="9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2824BF">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六级</w:t>
            </w:r>
          </w:p>
        </w:tc>
        <w:tc>
          <w:tcPr>
            <w:tcW w:w="16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5614EA">
            <w:pPr>
              <w:keepNext w:val="0"/>
              <w:keepLines w:val="0"/>
              <w:widowControl/>
              <w:suppressLineNumbers w:val="0"/>
              <w:jc w:val="center"/>
              <w:textAlignment w:val="center"/>
              <w:rPr>
                <w:rFonts w:hint="eastAsia" w:ascii="仿宋_GB2312" w:hAnsi="宋体" w:eastAsia="仿宋_GB2312" w:cs="仿宋_GB2312"/>
                <w:i w:val="0"/>
                <w:color w:val="auto"/>
                <w:kern w:val="0"/>
                <w:sz w:val="22"/>
                <w:szCs w:val="22"/>
                <w:u w:val="none"/>
                <w:lang w:val="en-US" w:eastAsia="zh-CN" w:bidi="ar"/>
              </w:rPr>
            </w:pPr>
            <w:r>
              <w:rPr>
                <w:rFonts w:hint="eastAsia" w:ascii="仿宋_GB2312" w:hAnsi="宋体" w:eastAsia="仿宋_GB2312" w:cs="仿宋_GB2312"/>
                <w:i w:val="0"/>
                <w:color w:val="auto"/>
                <w:kern w:val="0"/>
                <w:sz w:val="22"/>
                <w:szCs w:val="22"/>
                <w:u w:val="none"/>
                <w:lang w:val="en-US" w:eastAsia="zh-CN" w:bidi="ar"/>
              </w:rPr>
              <w:t>7.5万</w:t>
            </w:r>
          </w:p>
        </w:tc>
      </w:tr>
      <w:tr w14:paraId="28B6DD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54" w:hRule="atLeast"/>
        </w:trPr>
        <w:tc>
          <w:tcPr>
            <w:tcW w:w="13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86F40C">
            <w:pPr>
              <w:jc w:val="center"/>
              <w:rPr>
                <w:rFonts w:hint="eastAsia" w:ascii="仿宋_GB2312" w:hAnsi="宋体" w:eastAsia="仿宋_GB2312" w:cs="仿宋_GB2312"/>
                <w:i w:val="0"/>
                <w:color w:val="auto"/>
                <w:sz w:val="22"/>
                <w:szCs w:val="22"/>
                <w:u w:val="none"/>
              </w:rPr>
            </w:pPr>
          </w:p>
        </w:tc>
        <w:tc>
          <w:tcPr>
            <w:tcW w:w="137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F30EA8">
            <w:pPr>
              <w:jc w:val="center"/>
              <w:rPr>
                <w:rFonts w:hint="eastAsia" w:ascii="仿宋_GB2312" w:hAnsi="宋体" w:eastAsia="仿宋_GB2312" w:cs="仿宋_GB2312"/>
                <w:i w:val="0"/>
                <w:color w:val="auto"/>
                <w:sz w:val="22"/>
                <w:szCs w:val="22"/>
                <w:u w:val="none"/>
              </w:rPr>
            </w:pPr>
          </w:p>
        </w:tc>
        <w:tc>
          <w:tcPr>
            <w:tcW w:w="37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515C6F">
            <w:pPr>
              <w:jc w:val="left"/>
              <w:rPr>
                <w:rFonts w:hint="eastAsia" w:ascii="仿宋_GB2312" w:hAnsi="宋体" w:eastAsia="仿宋_GB2312" w:cs="仿宋_GB2312"/>
                <w:i w:val="0"/>
                <w:color w:val="auto"/>
                <w:sz w:val="22"/>
                <w:szCs w:val="22"/>
                <w:u w:val="none"/>
              </w:rPr>
            </w:pPr>
          </w:p>
        </w:tc>
        <w:tc>
          <w:tcPr>
            <w:tcW w:w="9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AB65C0">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七级</w:t>
            </w:r>
          </w:p>
        </w:tc>
        <w:tc>
          <w:tcPr>
            <w:tcW w:w="16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443CE1">
            <w:pPr>
              <w:keepNext w:val="0"/>
              <w:keepLines w:val="0"/>
              <w:widowControl/>
              <w:suppressLineNumbers w:val="0"/>
              <w:jc w:val="center"/>
              <w:textAlignment w:val="center"/>
              <w:rPr>
                <w:rFonts w:hint="eastAsia" w:ascii="仿宋_GB2312" w:hAnsi="宋体" w:eastAsia="仿宋_GB2312" w:cs="仿宋_GB2312"/>
                <w:i w:val="0"/>
                <w:color w:val="auto"/>
                <w:kern w:val="0"/>
                <w:sz w:val="22"/>
                <w:szCs w:val="22"/>
                <w:u w:val="none"/>
                <w:lang w:val="en-US" w:eastAsia="zh-CN" w:bidi="ar"/>
              </w:rPr>
            </w:pPr>
            <w:r>
              <w:rPr>
                <w:rFonts w:hint="eastAsia" w:ascii="仿宋_GB2312" w:hAnsi="宋体" w:eastAsia="仿宋_GB2312" w:cs="仿宋_GB2312"/>
                <w:i w:val="0"/>
                <w:color w:val="auto"/>
                <w:kern w:val="0"/>
                <w:sz w:val="22"/>
                <w:szCs w:val="22"/>
                <w:u w:val="none"/>
                <w:lang w:val="en-US" w:eastAsia="zh-CN" w:bidi="ar"/>
              </w:rPr>
              <w:t>6万</w:t>
            </w:r>
          </w:p>
        </w:tc>
      </w:tr>
      <w:tr w14:paraId="06094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49" w:hRule="atLeast"/>
        </w:trPr>
        <w:tc>
          <w:tcPr>
            <w:tcW w:w="13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427960">
            <w:pPr>
              <w:jc w:val="center"/>
              <w:rPr>
                <w:rFonts w:hint="eastAsia" w:ascii="仿宋_GB2312" w:hAnsi="宋体" w:eastAsia="仿宋_GB2312" w:cs="仿宋_GB2312"/>
                <w:i w:val="0"/>
                <w:color w:val="auto"/>
                <w:sz w:val="22"/>
                <w:szCs w:val="22"/>
                <w:u w:val="none"/>
              </w:rPr>
            </w:pPr>
          </w:p>
        </w:tc>
        <w:tc>
          <w:tcPr>
            <w:tcW w:w="137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8D19F6">
            <w:pPr>
              <w:jc w:val="center"/>
              <w:rPr>
                <w:rFonts w:hint="eastAsia" w:ascii="仿宋_GB2312" w:hAnsi="宋体" w:eastAsia="仿宋_GB2312" w:cs="仿宋_GB2312"/>
                <w:i w:val="0"/>
                <w:color w:val="auto"/>
                <w:sz w:val="22"/>
                <w:szCs w:val="22"/>
                <w:u w:val="none"/>
              </w:rPr>
            </w:pPr>
          </w:p>
        </w:tc>
        <w:tc>
          <w:tcPr>
            <w:tcW w:w="37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5A9AF3">
            <w:pPr>
              <w:jc w:val="left"/>
              <w:rPr>
                <w:rFonts w:hint="eastAsia" w:ascii="仿宋_GB2312" w:hAnsi="宋体" w:eastAsia="仿宋_GB2312" w:cs="仿宋_GB2312"/>
                <w:i w:val="0"/>
                <w:color w:val="auto"/>
                <w:sz w:val="22"/>
                <w:szCs w:val="22"/>
                <w:u w:val="none"/>
              </w:rPr>
            </w:pPr>
          </w:p>
        </w:tc>
        <w:tc>
          <w:tcPr>
            <w:tcW w:w="9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453CBB">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八级</w:t>
            </w:r>
          </w:p>
        </w:tc>
        <w:tc>
          <w:tcPr>
            <w:tcW w:w="16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800DDE">
            <w:pPr>
              <w:keepNext w:val="0"/>
              <w:keepLines w:val="0"/>
              <w:widowControl/>
              <w:suppressLineNumbers w:val="0"/>
              <w:jc w:val="center"/>
              <w:textAlignment w:val="center"/>
              <w:rPr>
                <w:rFonts w:hint="eastAsia" w:ascii="仿宋_GB2312" w:hAnsi="宋体" w:eastAsia="仿宋_GB2312" w:cs="仿宋_GB2312"/>
                <w:i w:val="0"/>
                <w:color w:val="auto"/>
                <w:kern w:val="0"/>
                <w:sz w:val="22"/>
                <w:szCs w:val="22"/>
                <w:u w:val="none"/>
                <w:lang w:val="en-US" w:eastAsia="zh-CN" w:bidi="ar"/>
              </w:rPr>
            </w:pPr>
            <w:r>
              <w:rPr>
                <w:rFonts w:hint="eastAsia" w:ascii="仿宋_GB2312" w:hAnsi="宋体" w:eastAsia="仿宋_GB2312" w:cs="仿宋_GB2312"/>
                <w:i w:val="0"/>
                <w:color w:val="auto"/>
                <w:kern w:val="0"/>
                <w:sz w:val="22"/>
                <w:szCs w:val="22"/>
                <w:u w:val="none"/>
                <w:lang w:val="en-US" w:eastAsia="zh-CN" w:bidi="ar"/>
              </w:rPr>
              <w:t>4.5万</w:t>
            </w:r>
          </w:p>
        </w:tc>
      </w:tr>
      <w:tr w14:paraId="630EB1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5" w:hRule="atLeast"/>
        </w:trPr>
        <w:tc>
          <w:tcPr>
            <w:tcW w:w="13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D1C21A">
            <w:pPr>
              <w:jc w:val="center"/>
              <w:rPr>
                <w:rFonts w:hint="eastAsia" w:ascii="仿宋_GB2312" w:hAnsi="宋体" w:eastAsia="仿宋_GB2312" w:cs="仿宋_GB2312"/>
                <w:i w:val="0"/>
                <w:color w:val="auto"/>
                <w:sz w:val="22"/>
                <w:szCs w:val="22"/>
                <w:u w:val="none"/>
              </w:rPr>
            </w:pPr>
          </w:p>
        </w:tc>
        <w:tc>
          <w:tcPr>
            <w:tcW w:w="137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A18123">
            <w:pPr>
              <w:jc w:val="center"/>
              <w:rPr>
                <w:rFonts w:hint="eastAsia" w:ascii="仿宋_GB2312" w:hAnsi="宋体" w:eastAsia="仿宋_GB2312" w:cs="仿宋_GB2312"/>
                <w:i w:val="0"/>
                <w:color w:val="auto"/>
                <w:sz w:val="22"/>
                <w:szCs w:val="22"/>
                <w:u w:val="none"/>
              </w:rPr>
            </w:pPr>
          </w:p>
        </w:tc>
        <w:tc>
          <w:tcPr>
            <w:tcW w:w="37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5D0B6A">
            <w:pPr>
              <w:jc w:val="left"/>
              <w:rPr>
                <w:rFonts w:hint="eastAsia" w:ascii="仿宋_GB2312" w:hAnsi="宋体" w:eastAsia="仿宋_GB2312" w:cs="仿宋_GB2312"/>
                <w:i w:val="0"/>
                <w:color w:val="auto"/>
                <w:sz w:val="22"/>
                <w:szCs w:val="22"/>
                <w:u w:val="none"/>
              </w:rPr>
            </w:pPr>
          </w:p>
        </w:tc>
        <w:tc>
          <w:tcPr>
            <w:tcW w:w="9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D26D27">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九级</w:t>
            </w:r>
          </w:p>
        </w:tc>
        <w:tc>
          <w:tcPr>
            <w:tcW w:w="16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7E8059">
            <w:pPr>
              <w:keepNext w:val="0"/>
              <w:keepLines w:val="0"/>
              <w:widowControl/>
              <w:suppressLineNumbers w:val="0"/>
              <w:jc w:val="center"/>
              <w:textAlignment w:val="center"/>
              <w:rPr>
                <w:rFonts w:hint="eastAsia" w:ascii="仿宋_GB2312" w:hAnsi="宋体" w:eastAsia="仿宋_GB2312" w:cs="仿宋_GB2312"/>
                <w:i w:val="0"/>
                <w:color w:val="auto"/>
                <w:kern w:val="0"/>
                <w:sz w:val="22"/>
                <w:szCs w:val="22"/>
                <w:u w:val="none"/>
                <w:lang w:val="en-US" w:eastAsia="zh-CN" w:bidi="ar"/>
              </w:rPr>
            </w:pPr>
            <w:r>
              <w:rPr>
                <w:rFonts w:hint="eastAsia" w:ascii="仿宋_GB2312" w:hAnsi="宋体" w:eastAsia="仿宋_GB2312" w:cs="仿宋_GB2312"/>
                <w:i w:val="0"/>
                <w:color w:val="auto"/>
                <w:kern w:val="0"/>
                <w:sz w:val="22"/>
                <w:szCs w:val="22"/>
                <w:u w:val="none"/>
                <w:lang w:val="en-US" w:eastAsia="zh-CN" w:bidi="ar"/>
              </w:rPr>
              <w:t>3万</w:t>
            </w:r>
          </w:p>
        </w:tc>
      </w:tr>
      <w:tr w14:paraId="5098CC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81" w:hRule="atLeast"/>
        </w:trPr>
        <w:tc>
          <w:tcPr>
            <w:tcW w:w="13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CD3584">
            <w:pPr>
              <w:jc w:val="center"/>
              <w:rPr>
                <w:rFonts w:hint="eastAsia" w:ascii="仿宋_GB2312" w:hAnsi="宋体" w:eastAsia="仿宋_GB2312" w:cs="仿宋_GB2312"/>
                <w:i w:val="0"/>
                <w:color w:val="auto"/>
                <w:sz w:val="22"/>
                <w:szCs w:val="22"/>
                <w:u w:val="none"/>
              </w:rPr>
            </w:pPr>
          </w:p>
        </w:tc>
        <w:tc>
          <w:tcPr>
            <w:tcW w:w="137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296AE9">
            <w:pPr>
              <w:jc w:val="center"/>
              <w:rPr>
                <w:rFonts w:hint="eastAsia" w:ascii="仿宋_GB2312" w:hAnsi="宋体" w:eastAsia="仿宋_GB2312" w:cs="仿宋_GB2312"/>
                <w:i w:val="0"/>
                <w:color w:val="auto"/>
                <w:sz w:val="22"/>
                <w:szCs w:val="22"/>
                <w:u w:val="none"/>
              </w:rPr>
            </w:pPr>
          </w:p>
        </w:tc>
        <w:tc>
          <w:tcPr>
            <w:tcW w:w="37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F5B229">
            <w:pPr>
              <w:jc w:val="left"/>
              <w:rPr>
                <w:rFonts w:hint="eastAsia" w:ascii="仿宋_GB2312" w:hAnsi="宋体" w:eastAsia="仿宋_GB2312" w:cs="仿宋_GB2312"/>
                <w:i w:val="0"/>
                <w:color w:val="auto"/>
                <w:sz w:val="22"/>
                <w:szCs w:val="22"/>
                <w:u w:val="none"/>
              </w:rPr>
            </w:pPr>
          </w:p>
        </w:tc>
        <w:tc>
          <w:tcPr>
            <w:tcW w:w="9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409D99">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十级</w:t>
            </w:r>
          </w:p>
        </w:tc>
        <w:tc>
          <w:tcPr>
            <w:tcW w:w="16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A024DB">
            <w:pPr>
              <w:keepNext w:val="0"/>
              <w:keepLines w:val="0"/>
              <w:widowControl/>
              <w:suppressLineNumbers w:val="0"/>
              <w:jc w:val="center"/>
              <w:textAlignment w:val="center"/>
              <w:rPr>
                <w:rFonts w:hint="eastAsia" w:ascii="仿宋_GB2312" w:hAnsi="宋体" w:eastAsia="仿宋_GB2312" w:cs="仿宋_GB2312"/>
                <w:i w:val="0"/>
                <w:color w:val="auto"/>
                <w:kern w:val="0"/>
                <w:sz w:val="22"/>
                <w:szCs w:val="22"/>
                <w:u w:val="none"/>
                <w:lang w:val="en-US" w:eastAsia="zh-CN" w:bidi="ar"/>
              </w:rPr>
            </w:pPr>
            <w:r>
              <w:rPr>
                <w:rFonts w:hint="eastAsia" w:ascii="仿宋_GB2312" w:hAnsi="宋体" w:eastAsia="仿宋_GB2312" w:cs="仿宋_GB2312"/>
                <w:i w:val="0"/>
                <w:color w:val="auto"/>
                <w:kern w:val="0"/>
                <w:sz w:val="22"/>
                <w:szCs w:val="22"/>
                <w:u w:val="none"/>
                <w:lang w:val="en-US" w:eastAsia="zh-CN" w:bidi="ar"/>
              </w:rPr>
              <w:t>1.5万</w:t>
            </w:r>
          </w:p>
        </w:tc>
      </w:tr>
      <w:tr w14:paraId="653AAB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54" w:hRule="atLeast"/>
        </w:trPr>
        <w:tc>
          <w:tcPr>
            <w:tcW w:w="13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4E74A9">
            <w:pPr>
              <w:jc w:val="center"/>
              <w:rPr>
                <w:rFonts w:hint="eastAsia" w:ascii="仿宋_GB2312" w:hAnsi="宋体" w:eastAsia="仿宋_GB2312" w:cs="仿宋_GB2312"/>
                <w:i w:val="0"/>
                <w:color w:val="auto"/>
                <w:sz w:val="22"/>
                <w:szCs w:val="22"/>
                <w:u w:val="none"/>
              </w:rPr>
            </w:pPr>
          </w:p>
        </w:tc>
        <w:tc>
          <w:tcPr>
            <w:tcW w:w="13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329510">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工伤医疗补偿金</w:t>
            </w:r>
          </w:p>
        </w:tc>
        <w:tc>
          <w:tcPr>
            <w:tcW w:w="3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8E954E">
            <w:pPr>
              <w:keepNext w:val="0"/>
              <w:keepLines w:val="0"/>
              <w:widowControl/>
              <w:suppressLineNumbers w:val="0"/>
              <w:jc w:val="left"/>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因工伤所产生的医疗费用，符合工伤保险“三个目录”的费用支出，扣除100元免赔后按照85%比例报销，年度最高支付限额1.5万元。</w:t>
            </w:r>
          </w:p>
        </w:tc>
        <w:tc>
          <w:tcPr>
            <w:tcW w:w="9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C919C2">
            <w:pPr>
              <w:jc w:val="center"/>
              <w:rPr>
                <w:rFonts w:hint="eastAsia" w:ascii="仿宋_GB2312" w:hAnsi="宋体" w:eastAsia="仿宋_GB2312" w:cs="仿宋_GB2312"/>
                <w:i w:val="0"/>
                <w:color w:val="auto"/>
                <w:sz w:val="22"/>
                <w:szCs w:val="22"/>
                <w:u w:val="none"/>
              </w:rPr>
            </w:pPr>
          </w:p>
        </w:tc>
        <w:tc>
          <w:tcPr>
            <w:tcW w:w="16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C9DDBF">
            <w:pPr>
              <w:keepNext w:val="0"/>
              <w:keepLines w:val="0"/>
              <w:widowControl/>
              <w:suppressLineNumbers w:val="0"/>
              <w:jc w:val="center"/>
              <w:textAlignment w:val="center"/>
              <w:rPr>
                <w:rFonts w:hint="eastAsia" w:ascii="仿宋_GB2312" w:hAnsi="宋体" w:eastAsia="仿宋_GB2312" w:cs="仿宋_GB2312"/>
                <w:i w:val="0"/>
                <w:color w:val="auto"/>
                <w:kern w:val="0"/>
                <w:sz w:val="22"/>
                <w:szCs w:val="22"/>
                <w:u w:val="none"/>
                <w:lang w:val="en-US" w:eastAsia="zh-CN" w:bidi="ar"/>
              </w:rPr>
            </w:pPr>
            <w:r>
              <w:rPr>
                <w:rFonts w:hint="eastAsia" w:ascii="仿宋_GB2312" w:hAnsi="宋体" w:eastAsia="仿宋_GB2312" w:cs="仿宋_GB2312"/>
                <w:i w:val="0"/>
                <w:color w:val="auto"/>
                <w:kern w:val="0"/>
                <w:sz w:val="22"/>
                <w:szCs w:val="22"/>
                <w:u w:val="none"/>
                <w:lang w:val="en-US" w:eastAsia="zh-CN" w:bidi="ar"/>
              </w:rPr>
              <w:t>1.5万</w:t>
            </w:r>
          </w:p>
        </w:tc>
      </w:tr>
    </w:tbl>
    <w:p w14:paraId="243F1F13">
      <w:pPr>
        <w:pStyle w:val="10"/>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60" w:lineRule="exact"/>
        <w:jc w:val="left"/>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附件4</w:t>
      </w:r>
    </w:p>
    <w:tbl>
      <w:tblPr>
        <w:tblStyle w:val="11"/>
        <w:tblW w:w="89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441"/>
        <w:gridCol w:w="1450"/>
        <w:gridCol w:w="3228"/>
        <w:gridCol w:w="1176"/>
        <w:gridCol w:w="1625"/>
      </w:tblGrid>
      <w:tr w14:paraId="48D13B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37" w:hRule="atLeast"/>
          <w:jc w:val="center"/>
        </w:trPr>
        <w:tc>
          <w:tcPr>
            <w:tcW w:w="8920" w:type="dxa"/>
            <w:gridSpan w:val="5"/>
            <w:tcBorders>
              <w:top w:val="nil"/>
              <w:left w:val="nil"/>
              <w:bottom w:val="nil"/>
              <w:right w:val="nil"/>
            </w:tcBorders>
            <w:shd w:val="clear" w:color="auto" w:fill="auto"/>
            <w:noWrap/>
            <w:tcMar>
              <w:top w:w="15" w:type="dxa"/>
              <w:left w:w="15" w:type="dxa"/>
              <w:right w:w="15" w:type="dxa"/>
            </w:tcMar>
            <w:vAlign w:val="center"/>
          </w:tcPr>
          <w:p w14:paraId="72383C52">
            <w:pPr>
              <w:keepNext w:val="0"/>
              <w:keepLines w:val="0"/>
              <w:widowControl/>
              <w:suppressLineNumbers w:val="0"/>
              <w:jc w:val="center"/>
              <w:textAlignment w:val="center"/>
              <w:rPr>
                <w:rFonts w:ascii="微软雅黑" w:hAnsi="微软雅黑" w:eastAsia="微软雅黑" w:cs="微软雅黑"/>
                <w:i w:val="0"/>
                <w:color w:val="auto"/>
                <w:sz w:val="28"/>
                <w:szCs w:val="28"/>
                <w:u w:val="none"/>
              </w:rPr>
            </w:pPr>
            <w:r>
              <w:rPr>
                <w:rFonts w:hint="eastAsia" w:ascii="方正小标宋简体" w:hAnsi="方正小标宋简体" w:eastAsia="方正小标宋简体" w:cs="方正小标宋简体"/>
                <w:i w:val="0"/>
                <w:color w:val="auto"/>
                <w:kern w:val="0"/>
                <w:sz w:val="32"/>
                <w:szCs w:val="32"/>
                <w:u w:val="none"/>
                <w:lang w:val="en-US" w:eastAsia="zh-CN" w:bidi="ar"/>
              </w:rPr>
              <w:t>昌吉州特定人员补充工伤保险缴费及赔付项目标准（三）</w:t>
            </w:r>
          </w:p>
        </w:tc>
      </w:tr>
      <w:tr w14:paraId="71A3D7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75" w:hRule="atLeast"/>
          <w:jc w:val="center"/>
        </w:trPr>
        <w:tc>
          <w:tcPr>
            <w:tcW w:w="14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C6206B">
            <w:pPr>
              <w:keepNext w:val="0"/>
              <w:keepLines w:val="0"/>
              <w:widowControl/>
              <w:suppressLineNumbers w:val="0"/>
              <w:jc w:val="center"/>
              <w:textAlignment w:val="center"/>
              <w:rPr>
                <w:rFonts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缴费标准</w:t>
            </w: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6135DC">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赔付项目</w:t>
            </w:r>
          </w:p>
        </w:tc>
        <w:tc>
          <w:tcPr>
            <w:tcW w:w="322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D32901">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责任描述</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C077F8">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伤残等级</w:t>
            </w: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8E9C1A">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待遇标准</w:t>
            </w:r>
          </w:p>
        </w:tc>
      </w:tr>
      <w:tr w14:paraId="7FEB3F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40" w:hRule="atLeast"/>
          <w:jc w:val="center"/>
        </w:trPr>
        <w:tc>
          <w:tcPr>
            <w:tcW w:w="144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BEBC02">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45元/月（540元/年）</w:t>
            </w:r>
          </w:p>
        </w:tc>
        <w:tc>
          <w:tcPr>
            <w:tcW w:w="1450"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2326C3D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一次性身故补偿金</w:t>
            </w:r>
          </w:p>
        </w:tc>
        <w:tc>
          <w:tcPr>
            <w:tcW w:w="322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5BFF34">
            <w:pPr>
              <w:pStyle w:val="10"/>
              <w:keepNext w:val="0"/>
              <w:keepLines w:val="0"/>
              <w:pageBreakBefore w:val="0"/>
              <w:widowControl/>
              <w:suppressLineNumbers w:val="0"/>
              <w:kinsoku/>
              <w:wordWrap/>
              <w:overflowPunct/>
              <w:topLinePunct w:val="0"/>
              <w:autoSpaceDE/>
              <w:autoSpaceDN/>
              <w:bidi w:val="0"/>
              <w:adjustRightInd/>
              <w:snapToGrid/>
              <w:spacing w:beforeAutospacing="0" w:after="0" w:afterAutospacing="0" w:line="420" w:lineRule="exact"/>
              <w:jc w:val="left"/>
              <w:textAlignment w:val="auto"/>
              <w:rPr>
                <w:rFonts w:hint="eastAsia" w:ascii="仿宋_GB2312" w:hAnsi="宋体" w:eastAsia="仿宋_GB2312" w:cs="仿宋_GB2312"/>
                <w:i w:val="0"/>
                <w:color w:val="auto"/>
                <w:kern w:val="0"/>
                <w:sz w:val="22"/>
                <w:szCs w:val="22"/>
                <w:u w:val="none"/>
                <w:lang w:val="en-US" w:eastAsia="zh-CN" w:bidi="ar"/>
              </w:rPr>
            </w:pPr>
            <w:r>
              <w:rPr>
                <w:rFonts w:hint="eastAsia" w:ascii="仿宋_GB2312" w:hAnsi="宋体" w:eastAsia="仿宋_GB2312" w:cs="仿宋_GB2312"/>
                <w:i w:val="0"/>
                <w:color w:val="auto"/>
                <w:kern w:val="0"/>
                <w:sz w:val="22"/>
                <w:szCs w:val="22"/>
                <w:u w:val="none"/>
                <w:lang w:val="en-US" w:eastAsia="zh-CN" w:bidi="ar"/>
              </w:rPr>
              <w:t>1.在工作时间和工作场所内，因工作原因受到事故伤害的；</w:t>
            </w:r>
          </w:p>
          <w:p w14:paraId="2EDEAB18">
            <w:pPr>
              <w:pStyle w:val="10"/>
              <w:keepNext w:val="0"/>
              <w:keepLines w:val="0"/>
              <w:pageBreakBefore w:val="0"/>
              <w:widowControl/>
              <w:suppressLineNumbers w:val="0"/>
              <w:kinsoku/>
              <w:wordWrap/>
              <w:overflowPunct/>
              <w:topLinePunct w:val="0"/>
              <w:autoSpaceDE/>
              <w:autoSpaceDN/>
              <w:bidi w:val="0"/>
              <w:adjustRightInd/>
              <w:snapToGrid/>
              <w:spacing w:beforeAutospacing="0" w:after="0" w:afterAutospacing="0" w:line="420" w:lineRule="exact"/>
              <w:jc w:val="left"/>
              <w:textAlignment w:val="auto"/>
              <w:rPr>
                <w:rFonts w:hint="eastAsia" w:ascii="仿宋_GB2312" w:hAnsi="宋体" w:eastAsia="仿宋_GB2312" w:cs="仿宋_GB2312"/>
                <w:i w:val="0"/>
                <w:color w:val="auto"/>
                <w:kern w:val="0"/>
                <w:sz w:val="22"/>
                <w:szCs w:val="22"/>
                <w:u w:val="none"/>
                <w:lang w:val="en-US" w:eastAsia="zh-CN" w:bidi="ar"/>
              </w:rPr>
            </w:pPr>
            <w:r>
              <w:rPr>
                <w:rFonts w:hint="eastAsia" w:ascii="仿宋_GB2312" w:hAnsi="宋体" w:eastAsia="仿宋_GB2312" w:cs="仿宋_GB2312"/>
                <w:i w:val="0"/>
                <w:color w:val="auto"/>
                <w:kern w:val="0"/>
                <w:sz w:val="22"/>
                <w:szCs w:val="22"/>
                <w:u w:val="none"/>
                <w:lang w:val="en-US" w:eastAsia="zh-CN" w:bidi="ar"/>
              </w:rPr>
              <w:t>2.工作时间前后在工作场所内，从事与工作有关的预备性或收尾性工作受到事故伤害的；</w:t>
            </w:r>
          </w:p>
          <w:p w14:paraId="6185F71E">
            <w:pPr>
              <w:pStyle w:val="10"/>
              <w:keepNext w:val="0"/>
              <w:keepLines w:val="0"/>
              <w:pageBreakBefore w:val="0"/>
              <w:widowControl/>
              <w:suppressLineNumbers w:val="0"/>
              <w:kinsoku/>
              <w:wordWrap/>
              <w:overflowPunct/>
              <w:topLinePunct w:val="0"/>
              <w:autoSpaceDE/>
              <w:autoSpaceDN/>
              <w:bidi w:val="0"/>
              <w:adjustRightInd/>
              <w:snapToGrid/>
              <w:spacing w:beforeAutospacing="0" w:after="0" w:afterAutospacing="0" w:line="420" w:lineRule="exact"/>
              <w:jc w:val="left"/>
              <w:textAlignment w:val="auto"/>
              <w:rPr>
                <w:rFonts w:hint="eastAsia" w:ascii="仿宋_GB2312" w:hAnsi="宋体" w:eastAsia="仿宋_GB2312" w:cs="仿宋_GB2312"/>
                <w:i w:val="0"/>
                <w:color w:val="auto"/>
                <w:kern w:val="0"/>
                <w:sz w:val="22"/>
                <w:szCs w:val="22"/>
                <w:u w:val="none"/>
                <w:lang w:val="en-US" w:eastAsia="zh-CN" w:bidi="ar"/>
              </w:rPr>
            </w:pPr>
            <w:r>
              <w:rPr>
                <w:rFonts w:hint="eastAsia" w:ascii="仿宋_GB2312" w:hAnsi="宋体" w:eastAsia="仿宋_GB2312" w:cs="仿宋_GB2312"/>
                <w:i w:val="0"/>
                <w:color w:val="auto"/>
                <w:kern w:val="0"/>
                <w:sz w:val="22"/>
                <w:szCs w:val="22"/>
                <w:u w:val="none"/>
                <w:lang w:val="en-US" w:eastAsia="zh-CN" w:bidi="ar"/>
              </w:rPr>
              <w:t>3.在工作时间和工作场所内，因履行工作职责受到暴力等意外伤害的；</w:t>
            </w:r>
          </w:p>
          <w:p w14:paraId="18E2CACA">
            <w:pPr>
              <w:pStyle w:val="10"/>
              <w:keepNext w:val="0"/>
              <w:keepLines w:val="0"/>
              <w:pageBreakBefore w:val="0"/>
              <w:widowControl/>
              <w:suppressLineNumbers w:val="0"/>
              <w:kinsoku/>
              <w:wordWrap/>
              <w:overflowPunct/>
              <w:topLinePunct w:val="0"/>
              <w:autoSpaceDE/>
              <w:autoSpaceDN/>
              <w:bidi w:val="0"/>
              <w:adjustRightInd/>
              <w:snapToGrid/>
              <w:spacing w:beforeAutospacing="0" w:after="0" w:afterAutospacing="0" w:line="420" w:lineRule="exact"/>
              <w:jc w:val="left"/>
              <w:textAlignment w:val="auto"/>
              <w:rPr>
                <w:rFonts w:hint="eastAsia" w:ascii="仿宋_GB2312" w:hAnsi="宋体" w:eastAsia="仿宋_GB2312" w:cs="仿宋_GB2312"/>
                <w:i w:val="0"/>
                <w:color w:val="auto"/>
                <w:kern w:val="0"/>
                <w:sz w:val="22"/>
                <w:szCs w:val="22"/>
                <w:u w:val="none"/>
                <w:lang w:val="en-US" w:eastAsia="zh-CN" w:bidi="ar"/>
              </w:rPr>
            </w:pPr>
            <w:r>
              <w:rPr>
                <w:rFonts w:hint="eastAsia" w:ascii="仿宋_GB2312" w:hAnsi="宋体" w:eastAsia="仿宋_GB2312" w:cs="仿宋_GB2312"/>
                <w:i w:val="0"/>
                <w:color w:val="auto"/>
                <w:kern w:val="0"/>
                <w:sz w:val="22"/>
                <w:szCs w:val="22"/>
                <w:u w:val="none"/>
                <w:lang w:val="en-US" w:eastAsia="zh-CN" w:bidi="ar"/>
              </w:rPr>
              <w:t>4.因工外出期间，由于工作原因受到伤害或者发生事故下落不明的；</w:t>
            </w:r>
          </w:p>
          <w:p w14:paraId="2B07812D">
            <w:pPr>
              <w:pStyle w:val="10"/>
              <w:keepNext w:val="0"/>
              <w:keepLines w:val="0"/>
              <w:pageBreakBefore w:val="0"/>
              <w:widowControl/>
              <w:suppressLineNumbers w:val="0"/>
              <w:kinsoku/>
              <w:wordWrap/>
              <w:overflowPunct/>
              <w:topLinePunct w:val="0"/>
              <w:autoSpaceDE/>
              <w:autoSpaceDN/>
              <w:bidi w:val="0"/>
              <w:adjustRightInd/>
              <w:snapToGrid/>
              <w:spacing w:beforeAutospacing="0" w:after="0" w:afterAutospacing="0" w:line="420" w:lineRule="exact"/>
              <w:jc w:val="left"/>
              <w:textAlignment w:val="auto"/>
              <w:rPr>
                <w:rFonts w:hint="eastAsia" w:ascii="仿宋_GB2312" w:hAnsi="宋体" w:eastAsia="仿宋_GB2312" w:cs="仿宋_GB2312"/>
                <w:i w:val="0"/>
                <w:color w:val="auto"/>
                <w:kern w:val="0"/>
                <w:sz w:val="22"/>
                <w:szCs w:val="22"/>
                <w:u w:val="none"/>
                <w:lang w:val="en-US" w:eastAsia="zh-CN" w:bidi="ar"/>
              </w:rPr>
            </w:pPr>
            <w:r>
              <w:rPr>
                <w:rFonts w:hint="eastAsia" w:ascii="仿宋_GB2312" w:hAnsi="宋体" w:eastAsia="仿宋_GB2312" w:cs="仿宋_GB2312"/>
                <w:i w:val="0"/>
                <w:color w:val="auto"/>
                <w:kern w:val="0"/>
                <w:sz w:val="22"/>
                <w:szCs w:val="22"/>
                <w:u w:val="none"/>
                <w:lang w:val="en-US" w:eastAsia="zh-CN" w:bidi="ar"/>
              </w:rPr>
              <w:t>5.在上下班途中，受到非本人主要责任的交通事故或者城市轨道交通、客运轮渡、火车事故伤害的；</w:t>
            </w:r>
          </w:p>
          <w:p w14:paraId="1E0E1D77">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6.在抢险救灾等维护国家利益、公共利益活动中受到事故伤害的。</w:t>
            </w:r>
            <w:r>
              <w:rPr>
                <w:rFonts w:hint="eastAsia" w:ascii="仿宋_GB2312" w:hAnsi="宋体" w:eastAsia="仿宋_GB2312" w:cs="仿宋_GB2312"/>
                <w:i w:val="0"/>
                <w:color w:val="auto"/>
                <w:kern w:val="0"/>
                <w:sz w:val="22"/>
                <w:szCs w:val="22"/>
                <w:u w:val="none"/>
                <w:lang w:val="en-US" w:eastAsia="zh-CN" w:bidi="ar"/>
              </w:rPr>
              <w:br w:type="textWrapping"/>
            </w:r>
            <w:r>
              <w:rPr>
                <w:rFonts w:hint="eastAsia" w:ascii="仿宋_GB2312" w:hAnsi="宋体" w:eastAsia="仿宋_GB2312" w:cs="仿宋_GB2312"/>
                <w:i w:val="0"/>
                <w:color w:val="auto"/>
                <w:kern w:val="0"/>
                <w:sz w:val="22"/>
                <w:szCs w:val="22"/>
                <w:u w:val="none"/>
                <w:lang w:val="en-US" w:eastAsia="zh-CN" w:bidi="ar"/>
              </w:rPr>
              <w:t>因上述原因身故或致残可享受对应保障待遇。</w:t>
            </w:r>
          </w:p>
        </w:tc>
        <w:tc>
          <w:tcPr>
            <w:tcW w:w="1176" w:type="dxa"/>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14:paraId="41917BD6">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身故</w:t>
            </w:r>
          </w:p>
        </w:tc>
        <w:tc>
          <w:tcPr>
            <w:tcW w:w="1625" w:type="dxa"/>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14:paraId="545E2528">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60万</w:t>
            </w:r>
          </w:p>
        </w:tc>
      </w:tr>
      <w:tr w14:paraId="243AF2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69" w:hRule="atLeast"/>
          <w:jc w:val="center"/>
        </w:trPr>
        <w:tc>
          <w:tcPr>
            <w:tcW w:w="1441"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627AA832">
            <w:pPr>
              <w:keepNext w:val="0"/>
              <w:keepLines w:val="0"/>
              <w:widowControl/>
              <w:suppressLineNumbers w:val="0"/>
              <w:jc w:val="center"/>
              <w:textAlignment w:val="center"/>
              <w:rPr>
                <w:rFonts w:hint="eastAsia" w:ascii="仿宋_GB2312" w:hAnsi="宋体" w:eastAsia="仿宋_GB2312" w:cs="仿宋_GB2312"/>
                <w:i w:val="0"/>
                <w:color w:val="auto"/>
                <w:kern w:val="0"/>
                <w:sz w:val="22"/>
                <w:szCs w:val="22"/>
                <w:u w:val="none"/>
                <w:lang w:val="en-US" w:eastAsia="zh-CN" w:bidi="ar"/>
              </w:rPr>
            </w:pPr>
          </w:p>
        </w:tc>
        <w:tc>
          <w:tcPr>
            <w:tcW w:w="1450" w:type="dxa"/>
            <w:vMerge w:val="restart"/>
            <w:tcBorders>
              <w:top w:val="single" w:color="auto" w:sz="4" w:space="0"/>
              <w:left w:val="single" w:color="000000" w:sz="4" w:space="0"/>
              <w:right w:val="single" w:color="000000" w:sz="4" w:space="0"/>
            </w:tcBorders>
            <w:shd w:val="clear" w:color="auto" w:fill="auto"/>
            <w:tcMar>
              <w:top w:w="15" w:type="dxa"/>
              <w:left w:w="15" w:type="dxa"/>
              <w:right w:w="15" w:type="dxa"/>
            </w:tcMar>
            <w:vAlign w:val="center"/>
          </w:tcPr>
          <w:p w14:paraId="08790FA8">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一次性伤残补偿金</w:t>
            </w:r>
          </w:p>
        </w:tc>
        <w:tc>
          <w:tcPr>
            <w:tcW w:w="3228"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53ABEFB4">
            <w:pPr>
              <w:keepNext w:val="0"/>
              <w:keepLines w:val="0"/>
              <w:widowControl/>
              <w:suppressLineNumbers w:val="0"/>
              <w:jc w:val="left"/>
              <w:textAlignment w:val="center"/>
              <w:rPr>
                <w:rFonts w:hint="eastAsia" w:ascii="仿宋_GB2312" w:hAnsi="宋体" w:eastAsia="仿宋_GB2312" w:cs="仿宋_GB2312"/>
                <w:i w:val="0"/>
                <w:color w:val="auto"/>
                <w:kern w:val="0"/>
                <w:sz w:val="22"/>
                <w:szCs w:val="22"/>
                <w:u w:val="none"/>
                <w:lang w:val="en-US" w:eastAsia="zh-CN" w:bidi="ar"/>
              </w:rPr>
            </w:pPr>
          </w:p>
        </w:tc>
        <w:tc>
          <w:tcPr>
            <w:tcW w:w="1176" w:type="dxa"/>
            <w:tcBorders>
              <w:top w:val="single" w:color="auto" w:sz="4" w:space="0"/>
              <w:left w:val="single" w:color="000000" w:sz="4" w:space="0"/>
              <w:right w:val="single" w:color="000000" w:sz="4" w:space="0"/>
            </w:tcBorders>
            <w:shd w:val="clear" w:color="auto" w:fill="auto"/>
            <w:noWrap/>
            <w:tcMar>
              <w:top w:w="15" w:type="dxa"/>
              <w:left w:w="15" w:type="dxa"/>
              <w:right w:w="15" w:type="dxa"/>
            </w:tcMar>
            <w:vAlign w:val="center"/>
          </w:tcPr>
          <w:p w14:paraId="1168BA55">
            <w:pPr>
              <w:jc w:val="center"/>
              <w:rPr>
                <w:rFonts w:hint="eastAsia" w:ascii="仿宋_GB2312" w:hAnsi="宋体" w:eastAsia="仿宋_GB2312" w:cs="仿宋_GB2312"/>
                <w:i w:val="0"/>
                <w:color w:val="auto"/>
                <w:kern w:val="0"/>
                <w:sz w:val="22"/>
                <w:szCs w:val="22"/>
                <w:u w:val="none"/>
                <w:lang w:val="en-US" w:eastAsia="zh-CN" w:bidi="ar"/>
              </w:rPr>
            </w:pPr>
            <w:r>
              <w:rPr>
                <w:rFonts w:hint="eastAsia" w:ascii="仿宋_GB2312" w:hAnsi="宋体" w:eastAsia="仿宋_GB2312" w:cs="仿宋_GB2312"/>
                <w:i w:val="0"/>
                <w:color w:val="auto"/>
                <w:kern w:val="0"/>
                <w:sz w:val="22"/>
                <w:szCs w:val="22"/>
                <w:u w:val="none"/>
                <w:lang w:val="en-US" w:eastAsia="zh-CN" w:bidi="ar"/>
              </w:rPr>
              <w:t>一级</w:t>
            </w:r>
          </w:p>
        </w:tc>
        <w:tc>
          <w:tcPr>
            <w:tcW w:w="1625" w:type="dxa"/>
            <w:tcBorders>
              <w:top w:val="single" w:color="auto" w:sz="4" w:space="0"/>
              <w:left w:val="single" w:color="000000" w:sz="4" w:space="0"/>
              <w:right w:val="single" w:color="000000" w:sz="4" w:space="0"/>
            </w:tcBorders>
            <w:shd w:val="clear" w:color="auto" w:fill="auto"/>
            <w:noWrap/>
            <w:tcMar>
              <w:top w:w="15" w:type="dxa"/>
              <w:left w:w="15" w:type="dxa"/>
              <w:right w:w="15" w:type="dxa"/>
            </w:tcMar>
            <w:vAlign w:val="center"/>
          </w:tcPr>
          <w:p w14:paraId="141957DC">
            <w:pPr>
              <w:jc w:val="center"/>
              <w:rPr>
                <w:rFonts w:hint="eastAsia" w:ascii="仿宋_GB2312" w:hAnsi="宋体" w:eastAsia="仿宋_GB2312" w:cs="仿宋_GB2312"/>
                <w:i w:val="0"/>
                <w:color w:val="auto"/>
                <w:kern w:val="0"/>
                <w:sz w:val="22"/>
                <w:szCs w:val="22"/>
                <w:u w:val="none"/>
                <w:lang w:val="en-US" w:eastAsia="zh-CN" w:bidi="ar"/>
              </w:rPr>
            </w:pPr>
            <w:r>
              <w:rPr>
                <w:rFonts w:hint="eastAsia" w:ascii="仿宋_GB2312" w:hAnsi="宋体" w:eastAsia="仿宋_GB2312" w:cs="仿宋_GB2312"/>
                <w:i w:val="0"/>
                <w:color w:val="auto"/>
                <w:kern w:val="0"/>
                <w:sz w:val="22"/>
                <w:szCs w:val="22"/>
                <w:u w:val="none"/>
                <w:lang w:val="en-US" w:eastAsia="zh-CN" w:bidi="ar"/>
              </w:rPr>
              <w:t>20万</w:t>
            </w:r>
          </w:p>
        </w:tc>
      </w:tr>
      <w:tr w14:paraId="1EAF6A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58" w:hRule="atLeast"/>
          <w:jc w:val="center"/>
        </w:trPr>
        <w:tc>
          <w:tcPr>
            <w:tcW w:w="14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A620B9">
            <w:pPr>
              <w:jc w:val="center"/>
              <w:rPr>
                <w:rFonts w:hint="eastAsia" w:ascii="仿宋_GB2312" w:hAnsi="宋体" w:eastAsia="仿宋_GB2312" w:cs="仿宋_GB2312"/>
                <w:i w:val="0"/>
                <w:color w:val="auto"/>
                <w:sz w:val="22"/>
                <w:szCs w:val="22"/>
                <w:u w:val="none"/>
              </w:rPr>
            </w:pPr>
          </w:p>
        </w:tc>
        <w:tc>
          <w:tcPr>
            <w:tcW w:w="1450"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7AAA9E15">
            <w:pPr>
              <w:jc w:val="center"/>
              <w:rPr>
                <w:rFonts w:hint="eastAsia" w:ascii="仿宋_GB2312" w:hAnsi="宋体" w:eastAsia="仿宋_GB2312" w:cs="仿宋_GB2312"/>
                <w:i w:val="0"/>
                <w:color w:val="auto"/>
                <w:sz w:val="22"/>
                <w:szCs w:val="22"/>
                <w:u w:val="none"/>
              </w:rPr>
            </w:pPr>
          </w:p>
        </w:tc>
        <w:tc>
          <w:tcPr>
            <w:tcW w:w="322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7552AC">
            <w:pPr>
              <w:jc w:val="left"/>
              <w:rPr>
                <w:rFonts w:hint="eastAsia" w:ascii="仿宋_GB2312" w:hAnsi="宋体" w:eastAsia="仿宋_GB2312" w:cs="仿宋_GB2312"/>
                <w:i w:val="0"/>
                <w:color w:val="auto"/>
                <w:sz w:val="22"/>
                <w:szCs w:val="22"/>
                <w:u w:val="none"/>
              </w:rPr>
            </w:pP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33FF23">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二级</w:t>
            </w: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5B35A0">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18万</w:t>
            </w:r>
          </w:p>
        </w:tc>
      </w:tr>
      <w:tr w14:paraId="3B2A7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7" w:hRule="atLeast"/>
          <w:jc w:val="center"/>
        </w:trPr>
        <w:tc>
          <w:tcPr>
            <w:tcW w:w="14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6426B1">
            <w:pPr>
              <w:jc w:val="center"/>
              <w:rPr>
                <w:rFonts w:hint="eastAsia" w:ascii="仿宋_GB2312" w:hAnsi="宋体" w:eastAsia="仿宋_GB2312" w:cs="仿宋_GB2312"/>
                <w:i w:val="0"/>
                <w:color w:val="auto"/>
                <w:sz w:val="22"/>
                <w:szCs w:val="22"/>
                <w:u w:val="none"/>
              </w:rPr>
            </w:pPr>
          </w:p>
        </w:tc>
        <w:tc>
          <w:tcPr>
            <w:tcW w:w="1450"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38AC07B4">
            <w:pPr>
              <w:jc w:val="center"/>
              <w:rPr>
                <w:rFonts w:hint="eastAsia" w:ascii="仿宋_GB2312" w:hAnsi="宋体" w:eastAsia="仿宋_GB2312" w:cs="仿宋_GB2312"/>
                <w:i w:val="0"/>
                <w:color w:val="auto"/>
                <w:sz w:val="22"/>
                <w:szCs w:val="22"/>
                <w:u w:val="none"/>
              </w:rPr>
            </w:pPr>
          </w:p>
        </w:tc>
        <w:tc>
          <w:tcPr>
            <w:tcW w:w="322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30BCCA">
            <w:pPr>
              <w:jc w:val="left"/>
              <w:rPr>
                <w:rFonts w:hint="eastAsia" w:ascii="仿宋_GB2312" w:hAnsi="宋体" w:eastAsia="仿宋_GB2312" w:cs="仿宋_GB2312"/>
                <w:i w:val="0"/>
                <w:color w:val="auto"/>
                <w:sz w:val="22"/>
                <w:szCs w:val="22"/>
                <w:u w:val="none"/>
              </w:rPr>
            </w:pP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C94FD2">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三级</w:t>
            </w: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3C6F97">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16万</w:t>
            </w:r>
          </w:p>
        </w:tc>
      </w:tr>
      <w:tr w14:paraId="30C0F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1" w:hRule="atLeast"/>
          <w:jc w:val="center"/>
        </w:trPr>
        <w:tc>
          <w:tcPr>
            <w:tcW w:w="14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5098BD">
            <w:pPr>
              <w:jc w:val="center"/>
              <w:rPr>
                <w:rFonts w:hint="eastAsia" w:ascii="仿宋_GB2312" w:hAnsi="宋体" w:eastAsia="仿宋_GB2312" w:cs="仿宋_GB2312"/>
                <w:i w:val="0"/>
                <w:color w:val="auto"/>
                <w:sz w:val="22"/>
                <w:szCs w:val="22"/>
                <w:u w:val="none"/>
              </w:rPr>
            </w:pPr>
          </w:p>
        </w:tc>
        <w:tc>
          <w:tcPr>
            <w:tcW w:w="1450"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0D79383D">
            <w:pPr>
              <w:jc w:val="center"/>
              <w:rPr>
                <w:rFonts w:hint="eastAsia" w:ascii="仿宋_GB2312" w:hAnsi="宋体" w:eastAsia="仿宋_GB2312" w:cs="仿宋_GB2312"/>
                <w:i w:val="0"/>
                <w:color w:val="auto"/>
                <w:sz w:val="22"/>
                <w:szCs w:val="22"/>
                <w:u w:val="none"/>
              </w:rPr>
            </w:pPr>
          </w:p>
        </w:tc>
        <w:tc>
          <w:tcPr>
            <w:tcW w:w="322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B59E5D">
            <w:pPr>
              <w:jc w:val="left"/>
              <w:rPr>
                <w:rFonts w:hint="eastAsia" w:ascii="仿宋_GB2312" w:hAnsi="宋体" w:eastAsia="仿宋_GB2312" w:cs="仿宋_GB2312"/>
                <w:i w:val="0"/>
                <w:color w:val="auto"/>
                <w:sz w:val="22"/>
                <w:szCs w:val="22"/>
                <w:u w:val="none"/>
              </w:rPr>
            </w:pP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7F500A">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四级</w:t>
            </w: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FF9659">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14万</w:t>
            </w:r>
          </w:p>
        </w:tc>
      </w:tr>
      <w:tr w14:paraId="04D78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1" w:hRule="atLeast"/>
          <w:jc w:val="center"/>
        </w:trPr>
        <w:tc>
          <w:tcPr>
            <w:tcW w:w="14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664A33">
            <w:pPr>
              <w:jc w:val="center"/>
              <w:rPr>
                <w:rFonts w:hint="eastAsia" w:ascii="仿宋_GB2312" w:hAnsi="宋体" w:eastAsia="仿宋_GB2312" w:cs="仿宋_GB2312"/>
                <w:i w:val="0"/>
                <w:color w:val="auto"/>
                <w:sz w:val="22"/>
                <w:szCs w:val="22"/>
                <w:u w:val="none"/>
              </w:rPr>
            </w:pPr>
          </w:p>
        </w:tc>
        <w:tc>
          <w:tcPr>
            <w:tcW w:w="1450"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704FC2C9">
            <w:pPr>
              <w:jc w:val="center"/>
              <w:rPr>
                <w:rFonts w:hint="eastAsia" w:ascii="仿宋_GB2312" w:hAnsi="宋体" w:eastAsia="仿宋_GB2312" w:cs="仿宋_GB2312"/>
                <w:i w:val="0"/>
                <w:color w:val="auto"/>
                <w:sz w:val="22"/>
                <w:szCs w:val="22"/>
                <w:u w:val="none"/>
              </w:rPr>
            </w:pPr>
          </w:p>
        </w:tc>
        <w:tc>
          <w:tcPr>
            <w:tcW w:w="322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730A54">
            <w:pPr>
              <w:jc w:val="left"/>
              <w:rPr>
                <w:rFonts w:hint="eastAsia" w:ascii="仿宋_GB2312" w:hAnsi="宋体" w:eastAsia="仿宋_GB2312" w:cs="仿宋_GB2312"/>
                <w:i w:val="0"/>
                <w:color w:val="auto"/>
                <w:sz w:val="22"/>
                <w:szCs w:val="22"/>
                <w:u w:val="none"/>
              </w:rPr>
            </w:pP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7BFC44">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五级</w:t>
            </w: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8801A3">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12万</w:t>
            </w:r>
          </w:p>
        </w:tc>
      </w:tr>
      <w:tr w14:paraId="387BA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6" w:hRule="atLeast"/>
          <w:jc w:val="center"/>
        </w:trPr>
        <w:tc>
          <w:tcPr>
            <w:tcW w:w="14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290E8E">
            <w:pPr>
              <w:jc w:val="center"/>
              <w:rPr>
                <w:rFonts w:hint="eastAsia" w:ascii="仿宋_GB2312" w:hAnsi="宋体" w:eastAsia="仿宋_GB2312" w:cs="仿宋_GB2312"/>
                <w:i w:val="0"/>
                <w:color w:val="auto"/>
                <w:sz w:val="22"/>
                <w:szCs w:val="22"/>
                <w:u w:val="none"/>
              </w:rPr>
            </w:pPr>
          </w:p>
        </w:tc>
        <w:tc>
          <w:tcPr>
            <w:tcW w:w="1450"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77BBFDD4">
            <w:pPr>
              <w:jc w:val="center"/>
              <w:rPr>
                <w:rFonts w:hint="eastAsia" w:ascii="仿宋_GB2312" w:hAnsi="宋体" w:eastAsia="仿宋_GB2312" w:cs="仿宋_GB2312"/>
                <w:i w:val="0"/>
                <w:color w:val="auto"/>
                <w:sz w:val="22"/>
                <w:szCs w:val="22"/>
                <w:u w:val="none"/>
              </w:rPr>
            </w:pPr>
          </w:p>
        </w:tc>
        <w:tc>
          <w:tcPr>
            <w:tcW w:w="322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902445">
            <w:pPr>
              <w:jc w:val="left"/>
              <w:rPr>
                <w:rFonts w:hint="eastAsia" w:ascii="仿宋_GB2312" w:hAnsi="宋体" w:eastAsia="仿宋_GB2312" w:cs="仿宋_GB2312"/>
                <w:i w:val="0"/>
                <w:color w:val="auto"/>
                <w:sz w:val="22"/>
                <w:szCs w:val="22"/>
                <w:u w:val="none"/>
              </w:rPr>
            </w:pP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4BD58D">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六级</w:t>
            </w: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A8684C">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10万</w:t>
            </w:r>
          </w:p>
        </w:tc>
      </w:tr>
      <w:tr w14:paraId="664AE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6" w:hRule="atLeast"/>
          <w:jc w:val="center"/>
        </w:trPr>
        <w:tc>
          <w:tcPr>
            <w:tcW w:w="14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6DEB6F">
            <w:pPr>
              <w:jc w:val="center"/>
              <w:rPr>
                <w:rFonts w:hint="eastAsia" w:ascii="仿宋_GB2312" w:hAnsi="宋体" w:eastAsia="仿宋_GB2312" w:cs="仿宋_GB2312"/>
                <w:i w:val="0"/>
                <w:color w:val="auto"/>
                <w:sz w:val="22"/>
                <w:szCs w:val="22"/>
                <w:u w:val="none"/>
              </w:rPr>
            </w:pPr>
          </w:p>
        </w:tc>
        <w:tc>
          <w:tcPr>
            <w:tcW w:w="1450"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29E86D19">
            <w:pPr>
              <w:jc w:val="center"/>
              <w:rPr>
                <w:rFonts w:hint="eastAsia" w:ascii="仿宋_GB2312" w:hAnsi="宋体" w:eastAsia="仿宋_GB2312" w:cs="仿宋_GB2312"/>
                <w:i w:val="0"/>
                <w:color w:val="auto"/>
                <w:sz w:val="22"/>
                <w:szCs w:val="22"/>
                <w:u w:val="none"/>
              </w:rPr>
            </w:pPr>
          </w:p>
        </w:tc>
        <w:tc>
          <w:tcPr>
            <w:tcW w:w="322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06EF82">
            <w:pPr>
              <w:jc w:val="left"/>
              <w:rPr>
                <w:rFonts w:hint="eastAsia" w:ascii="仿宋_GB2312" w:hAnsi="宋体" w:eastAsia="仿宋_GB2312" w:cs="仿宋_GB2312"/>
                <w:i w:val="0"/>
                <w:color w:val="auto"/>
                <w:sz w:val="22"/>
                <w:szCs w:val="22"/>
                <w:u w:val="none"/>
              </w:rPr>
            </w:pP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452A2D">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七级</w:t>
            </w: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4E83B6">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8万</w:t>
            </w:r>
          </w:p>
        </w:tc>
      </w:tr>
      <w:tr w14:paraId="5EB90F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6" w:hRule="atLeast"/>
          <w:jc w:val="center"/>
        </w:trPr>
        <w:tc>
          <w:tcPr>
            <w:tcW w:w="14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532BE0">
            <w:pPr>
              <w:jc w:val="center"/>
              <w:rPr>
                <w:rFonts w:hint="eastAsia" w:ascii="仿宋_GB2312" w:hAnsi="宋体" w:eastAsia="仿宋_GB2312" w:cs="仿宋_GB2312"/>
                <w:i w:val="0"/>
                <w:color w:val="auto"/>
                <w:sz w:val="22"/>
                <w:szCs w:val="22"/>
                <w:u w:val="none"/>
              </w:rPr>
            </w:pPr>
          </w:p>
        </w:tc>
        <w:tc>
          <w:tcPr>
            <w:tcW w:w="1450"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78DE473B">
            <w:pPr>
              <w:jc w:val="center"/>
              <w:rPr>
                <w:rFonts w:hint="eastAsia" w:ascii="仿宋_GB2312" w:hAnsi="宋体" w:eastAsia="仿宋_GB2312" w:cs="仿宋_GB2312"/>
                <w:i w:val="0"/>
                <w:color w:val="auto"/>
                <w:sz w:val="22"/>
                <w:szCs w:val="22"/>
                <w:u w:val="none"/>
              </w:rPr>
            </w:pPr>
          </w:p>
        </w:tc>
        <w:tc>
          <w:tcPr>
            <w:tcW w:w="322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4C90F8">
            <w:pPr>
              <w:jc w:val="left"/>
              <w:rPr>
                <w:rFonts w:hint="eastAsia" w:ascii="仿宋_GB2312" w:hAnsi="宋体" w:eastAsia="仿宋_GB2312" w:cs="仿宋_GB2312"/>
                <w:i w:val="0"/>
                <w:color w:val="auto"/>
                <w:sz w:val="22"/>
                <w:szCs w:val="22"/>
                <w:u w:val="none"/>
              </w:rPr>
            </w:pP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155774">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八级</w:t>
            </w: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96E96F">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6万</w:t>
            </w:r>
          </w:p>
        </w:tc>
      </w:tr>
      <w:tr w14:paraId="3A236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4" w:hRule="atLeast"/>
          <w:jc w:val="center"/>
        </w:trPr>
        <w:tc>
          <w:tcPr>
            <w:tcW w:w="14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A4B00D">
            <w:pPr>
              <w:jc w:val="center"/>
              <w:rPr>
                <w:rFonts w:hint="eastAsia" w:ascii="仿宋_GB2312" w:hAnsi="宋体" w:eastAsia="仿宋_GB2312" w:cs="仿宋_GB2312"/>
                <w:i w:val="0"/>
                <w:color w:val="auto"/>
                <w:sz w:val="22"/>
                <w:szCs w:val="22"/>
                <w:u w:val="none"/>
              </w:rPr>
            </w:pPr>
          </w:p>
        </w:tc>
        <w:tc>
          <w:tcPr>
            <w:tcW w:w="1450"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78DCB02B">
            <w:pPr>
              <w:jc w:val="center"/>
              <w:rPr>
                <w:rFonts w:hint="eastAsia" w:ascii="仿宋_GB2312" w:hAnsi="宋体" w:eastAsia="仿宋_GB2312" w:cs="仿宋_GB2312"/>
                <w:i w:val="0"/>
                <w:color w:val="auto"/>
                <w:sz w:val="22"/>
                <w:szCs w:val="22"/>
                <w:u w:val="none"/>
              </w:rPr>
            </w:pPr>
          </w:p>
        </w:tc>
        <w:tc>
          <w:tcPr>
            <w:tcW w:w="322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EF4B04">
            <w:pPr>
              <w:jc w:val="left"/>
              <w:rPr>
                <w:rFonts w:hint="eastAsia" w:ascii="仿宋_GB2312" w:hAnsi="宋体" w:eastAsia="仿宋_GB2312" w:cs="仿宋_GB2312"/>
                <w:i w:val="0"/>
                <w:color w:val="auto"/>
                <w:sz w:val="22"/>
                <w:szCs w:val="22"/>
                <w:u w:val="none"/>
              </w:rPr>
            </w:pP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205848">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九级</w:t>
            </w: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5ECE53">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4万</w:t>
            </w:r>
          </w:p>
        </w:tc>
      </w:tr>
      <w:tr w14:paraId="12217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5" w:hRule="atLeast"/>
          <w:jc w:val="center"/>
        </w:trPr>
        <w:tc>
          <w:tcPr>
            <w:tcW w:w="14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A228F1">
            <w:pPr>
              <w:jc w:val="center"/>
              <w:rPr>
                <w:rFonts w:hint="eastAsia" w:ascii="仿宋_GB2312" w:hAnsi="宋体" w:eastAsia="仿宋_GB2312" w:cs="仿宋_GB2312"/>
                <w:i w:val="0"/>
                <w:color w:val="auto"/>
                <w:sz w:val="22"/>
                <w:szCs w:val="22"/>
                <w:u w:val="none"/>
              </w:rPr>
            </w:pPr>
          </w:p>
        </w:tc>
        <w:tc>
          <w:tcPr>
            <w:tcW w:w="1450"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0E1D283D">
            <w:pPr>
              <w:jc w:val="center"/>
              <w:rPr>
                <w:rFonts w:hint="eastAsia" w:ascii="仿宋_GB2312" w:hAnsi="宋体" w:eastAsia="仿宋_GB2312" w:cs="仿宋_GB2312"/>
                <w:i w:val="0"/>
                <w:color w:val="auto"/>
                <w:sz w:val="22"/>
                <w:szCs w:val="22"/>
                <w:u w:val="none"/>
              </w:rPr>
            </w:pPr>
          </w:p>
        </w:tc>
        <w:tc>
          <w:tcPr>
            <w:tcW w:w="322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DDA5AA">
            <w:pPr>
              <w:jc w:val="left"/>
              <w:rPr>
                <w:rFonts w:hint="eastAsia" w:ascii="仿宋_GB2312" w:hAnsi="宋体" w:eastAsia="仿宋_GB2312" w:cs="仿宋_GB2312"/>
                <w:i w:val="0"/>
                <w:color w:val="auto"/>
                <w:sz w:val="22"/>
                <w:szCs w:val="22"/>
                <w:u w:val="none"/>
              </w:rPr>
            </w:pPr>
          </w:p>
        </w:tc>
        <w:tc>
          <w:tcPr>
            <w:tcW w:w="1176" w:type="dxa"/>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14:paraId="1E3D0D22">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十级</w:t>
            </w: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82500D">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2万</w:t>
            </w:r>
          </w:p>
        </w:tc>
      </w:tr>
      <w:tr w14:paraId="14F154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1" w:hRule="atLeast"/>
          <w:jc w:val="center"/>
        </w:trPr>
        <w:tc>
          <w:tcPr>
            <w:tcW w:w="144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6C9AC1">
            <w:pPr>
              <w:jc w:val="center"/>
              <w:rPr>
                <w:rFonts w:hint="eastAsia" w:ascii="仿宋_GB2312" w:hAnsi="宋体" w:eastAsia="仿宋_GB2312" w:cs="仿宋_GB2312"/>
                <w:i w:val="0"/>
                <w:color w:val="auto"/>
                <w:sz w:val="22"/>
                <w:szCs w:val="22"/>
                <w:u w:val="none"/>
              </w:rPr>
            </w:pPr>
          </w:p>
        </w:tc>
        <w:tc>
          <w:tcPr>
            <w:tcW w:w="1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CBD335">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工伤医疗补偿金</w:t>
            </w:r>
          </w:p>
        </w:tc>
        <w:tc>
          <w:tcPr>
            <w:tcW w:w="32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B184D3">
            <w:pPr>
              <w:keepNext w:val="0"/>
              <w:keepLines w:val="0"/>
              <w:widowControl/>
              <w:suppressLineNumbers w:val="0"/>
              <w:jc w:val="left"/>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因工伤所产生的医疗费用，符合工伤保险“三个目录”的费用支出，扣除100元免赔后按照85%比例报销，年度最高支付限额2万元。</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8E6FCC">
            <w:pPr>
              <w:jc w:val="center"/>
              <w:rPr>
                <w:rFonts w:hint="eastAsia" w:ascii="仿宋_GB2312" w:hAnsi="宋体" w:eastAsia="仿宋_GB2312" w:cs="仿宋_GB2312"/>
                <w:i w:val="0"/>
                <w:color w:val="auto"/>
                <w:sz w:val="22"/>
                <w:szCs w:val="22"/>
                <w:u w:val="none"/>
              </w:rPr>
            </w:pP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269828">
            <w:pPr>
              <w:keepNext w:val="0"/>
              <w:keepLines w:val="0"/>
              <w:widowControl/>
              <w:suppressLineNumbers w:val="0"/>
              <w:jc w:val="center"/>
              <w:textAlignment w:val="center"/>
              <w:rPr>
                <w:rFonts w:hint="eastAsia" w:ascii="仿宋_GB2312" w:hAnsi="宋体" w:eastAsia="仿宋_GB2312" w:cs="仿宋_GB2312"/>
                <w:i w:val="0"/>
                <w:color w:val="auto"/>
                <w:sz w:val="22"/>
                <w:szCs w:val="22"/>
                <w:u w:val="none"/>
              </w:rPr>
            </w:pPr>
            <w:r>
              <w:rPr>
                <w:rFonts w:hint="eastAsia" w:ascii="仿宋_GB2312" w:hAnsi="宋体" w:eastAsia="仿宋_GB2312" w:cs="仿宋_GB2312"/>
                <w:i w:val="0"/>
                <w:color w:val="auto"/>
                <w:kern w:val="0"/>
                <w:sz w:val="22"/>
                <w:szCs w:val="22"/>
                <w:u w:val="none"/>
                <w:lang w:val="en-US" w:eastAsia="zh-CN" w:bidi="ar"/>
              </w:rPr>
              <w:t>2万</w:t>
            </w:r>
          </w:p>
        </w:tc>
      </w:tr>
      <w:tr w14:paraId="4526E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98" w:hRule="atLeast"/>
          <w:jc w:val="center"/>
        </w:trPr>
        <w:tc>
          <w:tcPr>
            <w:tcW w:w="14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0562C3">
            <w:pPr>
              <w:jc w:val="center"/>
              <w:rPr>
                <w:rFonts w:hint="eastAsia" w:ascii="仿宋_GB2312" w:hAnsi="宋体" w:eastAsia="仿宋_GB2312" w:cs="仿宋_GB2312"/>
                <w:i w:val="0"/>
                <w:color w:val="auto"/>
                <w:kern w:val="2"/>
                <w:sz w:val="22"/>
                <w:szCs w:val="22"/>
                <w:u w:val="none"/>
                <w:lang w:val="en-US" w:eastAsia="zh-CN" w:bidi="ar-SA"/>
              </w:rPr>
            </w:pPr>
            <w:bookmarkStart w:id="0" w:name="_GoBack" w:colFirst="0" w:colLast="4"/>
            <w:r>
              <w:rPr>
                <w:rFonts w:hint="eastAsia" w:ascii="仿宋_GB2312" w:hAnsi="宋体" w:eastAsia="仿宋_GB2312" w:cs="仿宋_GB2312"/>
                <w:i w:val="0"/>
                <w:color w:val="auto"/>
                <w:sz w:val="22"/>
                <w:szCs w:val="22"/>
                <w:u w:val="none"/>
                <w:lang w:eastAsia="zh-CN"/>
              </w:rPr>
              <w:t>备注</w:t>
            </w:r>
          </w:p>
        </w:tc>
        <w:tc>
          <w:tcPr>
            <w:tcW w:w="747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2DE1D5">
            <w:pPr>
              <w:pStyle w:val="10"/>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400" w:lineRule="exact"/>
              <w:ind w:left="0" w:leftChars="0" w:right="0" w:rightChars="0"/>
              <w:jc w:val="both"/>
              <w:textAlignment w:val="auto"/>
              <w:rPr>
                <w:rFonts w:hint="eastAsia" w:ascii="仿宋_GB2312" w:hAnsi="宋体" w:eastAsia="仿宋_GB2312" w:cs="仿宋_GB2312"/>
                <w:i w:val="0"/>
                <w:color w:val="auto"/>
                <w:kern w:val="0"/>
                <w:sz w:val="22"/>
                <w:szCs w:val="22"/>
                <w:u w:val="none"/>
                <w:lang w:val="en-US" w:eastAsia="zh-CN" w:bidi="ar"/>
              </w:rPr>
            </w:pPr>
            <w:r>
              <w:rPr>
                <w:rFonts w:hint="eastAsia" w:ascii="仿宋_GB2312" w:hAnsi="宋体" w:eastAsia="仿宋_GB2312" w:cs="仿宋_GB2312"/>
                <w:i w:val="0"/>
                <w:color w:val="auto"/>
                <w:kern w:val="0"/>
                <w:sz w:val="22"/>
                <w:szCs w:val="22"/>
                <w:u w:val="none"/>
                <w:lang w:val="en-US" w:eastAsia="zh-CN" w:bidi="ar"/>
              </w:rPr>
              <w:t>因以上三个缴费及赔付标准不能满足参保单位需求的，参保单位可与承办单位协商提高缴费标准，达成一致的，可将协商一致的方案向州人力资源和社会保障局报备后执行。</w:t>
            </w:r>
          </w:p>
        </w:tc>
      </w:tr>
      <w:bookmarkEnd w:id="0"/>
    </w:tbl>
    <w:p w14:paraId="2E50AC9D"/>
    <w:sectPr>
      <w:footerReference r:id="rId4"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微软雅黑 Light">
    <w:panose1 w:val="020B0502040204020203"/>
    <w:charset w:val="86"/>
    <w:family w:val="auto"/>
    <w:pitch w:val="default"/>
    <w:sig w:usb0="80000287" w:usb1="2ACF0010" w:usb2="00000016" w:usb3="00000000" w:csb0="0004001F" w:csb1="00000000"/>
  </w:font>
  <w:font w:name="新宋体">
    <w:panose1 w:val="02010609030101010101"/>
    <w:charset w:val="86"/>
    <w:family w:val="auto"/>
    <w:pitch w:val="default"/>
    <w:sig w:usb0="00000203" w:usb1="288F0000" w:usb2="00000006" w:usb3="00000000" w:csb0="00040001" w:csb1="0000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6E8AA8">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EF6517">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3EF6517">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D2666B">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C6F0C9">
                          <w:pPr>
                            <w:pStyle w:val="5"/>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- 2 -</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1FC6F0C9">
                    <w:pPr>
                      <w:pStyle w:val="5"/>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- 2 -</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141267"/>
    <w:rsid w:val="0004178C"/>
    <w:rsid w:val="00A02ABE"/>
    <w:rsid w:val="01FF1E15"/>
    <w:rsid w:val="03AC5DD7"/>
    <w:rsid w:val="03F04E05"/>
    <w:rsid w:val="04461F7D"/>
    <w:rsid w:val="062956B3"/>
    <w:rsid w:val="09093579"/>
    <w:rsid w:val="0A1246B0"/>
    <w:rsid w:val="0A2D5046"/>
    <w:rsid w:val="0B426BFC"/>
    <w:rsid w:val="10345380"/>
    <w:rsid w:val="137D5290"/>
    <w:rsid w:val="16314110"/>
    <w:rsid w:val="17AB1339"/>
    <w:rsid w:val="191952D0"/>
    <w:rsid w:val="199204E8"/>
    <w:rsid w:val="19A03A86"/>
    <w:rsid w:val="20085EE1"/>
    <w:rsid w:val="29141267"/>
    <w:rsid w:val="29915199"/>
    <w:rsid w:val="2C3F0EDD"/>
    <w:rsid w:val="2C567FD4"/>
    <w:rsid w:val="2CBA0563"/>
    <w:rsid w:val="2D095047"/>
    <w:rsid w:val="2D2B1461"/>
    <w:rsid w:val="2E4730BB"/>
    <w:rsid w:val="2E5F156F"/>
    <w:rsid w:val="2EF97A69"/>
    <w:rsid w:val="2F4F7689"/>
    <w:rsid w:val="2FFF3F27"/>
    <w:rsid w:val="309612E7"/>
    <w:rsid w:val="310D15A9"/>
    <w:rsid w:val="33244988"/>
    <w:rsid w:val="39F350B4"/>
    <w:rsid w:val="3A5C0EAC"/>
    <w:rsid w:val="3B007A89"/>
    <w:rsid w:val="3B2C6AD0"/>
    <w:rsid w:val="3F9B4224"/>
    <w:rsid w:val="3FAE3F57"/>
    <w:rsid w:val="41614FF9"/>
    <w:rsid w:val="495427C0"/>
    <w:rsid w:val="4C9149E5"/>
    <w:rsid w:val="4DCC40AD"/>
    <w:rsid w:val="4E7B594C"/>
    <w:rsid w:val="4E7C16C5"/>
    <w:rsid w:val="4FFD2985"/>
    <w:rsid w:val="51D07D5D"/>
    <w:rsid w:val="51FE1F93"/>
    <w:rsid w:val="5257222D"/>
    <w:rsid w:val="5402441A"/>
    <w:rsid w:val="57032983"/>
    <w:rsid w:val="5C983B6D"/>
    <w:rsid w:val="60107EBF"/>
    <w:rsid w:val="6170330B"/>
    <w:rsid w:val="61972646"/>
    <w:rsid w:val="61C827FF"/>
    <w:rsid w:val="63620A31"/>
    <w:rsid w:val="637349EC"/>
    <w:rsid w:val="64D23995"/>
    <w:rsid w:val="651144BD"/>
    <w:rsid w:val="65901886"/>
    <w:rsid w:val="669453A6"/>
    <w:rsid w:val="66B15B81"/>
    <w:rsid w:val="67746F85"/>
    <w:rsid w:val="68994EF5"/>
    <w:rsid w:val="6A627569"/>
    <w:rsid w:val="6A9A6D03"/>
    <w:rsid w:val="6CB247D7"/>
    <w:rsid w:val="6D013069"/>
    <w:rsid w:val="6D261E17"/>
    <w:rsid w:val="70134FD3"/>
    <w:rsid w:val="71464BDB"/>
    <w:rsid w:val="73F73418"/>
    <w:rsid w:val="74B84955"/>
    <w:rsid w:val="75DC4673"/>
    <w:rsid w:val="75F55735"/>
    <w:rsid w:val="77FD48C4"/>
    <w:rsid w:val="7A2D5DFC"/>
    <w:rsid w:val="7ACA7190"/>
    <w:rsid w:val="7BC04950"/>
    <w:rsid w:val="7C1D1FB2"/>
    <w:rsid w:val="7C524072"/>
    <w:rsid w:val="7D372AB0"/>
    <w:rsid w:val="7D8A13ED"/>
    <w:rsid w:val="7FBB35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Lines="100" w:afterLines="100"/>
      <w:jc w:val="center"/>
      <w:outlineLvl w:val="0"/>
    </w:pPr>
    <w:rPr>
      <w:b/>
      <w:bCs/>
      <w:kern w:val="44"/>
      <w:sz w:val="44"/>
      <w:szCs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kern w:val="0"/>
      <w:sz w:val="32"/>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before="0" w:after="140" w:line="276" w:lineRule="auto"/>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1"/>
    <w:basedOn w:val="1"/>
    <w:next w:val="1"/>
    <w:unhideWhenUsed/>
    <w:qFormat/>
    <w:uiPriority w:val="39"/>
    <w:pPr>
      <w:tabs>
        <w:tab w:val="right" w:leader="dot" w:pos="8302"/>
      </w:tabs>
      <w:jc w:val="center"/>
    </w:pPr>
  </w:style>
  <w:style w:type="paragraph" w:styleId="8">
    <w:name w:val="footnote text"/>
    <w:basedOn w:val="1"/>
    <w:unhideWhenUsed/>
    <w:qFormat/>
    <w:uiPriority w:val="0"/>
    <w:pPr>
      <w:snapToGrid w:val="0"/>
      <w:jc w:val="left"/>
    </w:pPr>
    <w:rPr>
      <w:kern w:val="0"/>
      <w:sz w:val="18"/>
    </w:rPr>
  </w:style>
  <w:style w:type="paragraph" w:styleId="9">
    <w:name w:val="toc 2"/>
    <w:basedOn w:val="1"/>
    <w:next w:val="1"/>
    <w:unhideWhenUsed/>
    <w:qFormat/>
    <w:uiPriority w:val="39"/>
    <w:pPr>
      <w:ind w:left="420" w:leftChars="200"/>
    </w:p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character" w:styleId="15">
    <w:name w:val="Hyperlink"/>
    <w:basedOn w:val="13"/>
    <w:qFormat/>
    <w:uiPriority w:val="0"/>
    <w:rPr>
      <w:color w:val="0000FF"/>
      <w:u w:val="single"/>
    </w:rPr>
  </w:style>
  <w:style w:type="character" w:styleId="16">
    <w:name w:val="footnote reference"/>
    <w:unhideWhenUsed/>
    <w:qFormat/>
    <w:uiPriority w:val="0"/>
    <w:rPr>
      <w:vertAlign w:val="superscript"/>
    </w:rPr>
  </w:style>
  <w:style w:type="paragraph" w:styleId="17">
    <w:name w:val="List Paragraph"/>
    <w:basedOn w:val="1"/>
    <w:qFormat/>
    <w:uiPriority w:val="0"/>
  </w:style>
  <w:style w:type="paragraph" w:customStyle="1" w:styleId="18">
    <w:name w:val="p0"/>
    <w:basedOn w:val="1"/>
    <w:qFormat/>
    <w:uiPriority w:val="0"/>
    <w:pPr>
      <w:widowControl/>
      <w:snapToGrid w:val="0"/>
      <w:spacing w:line="360" w:lineRule="auto"/>
      <w:ind w:firstLine="420"/>
    </w:pPr>
    <w:rPr>
      <w:rFonts w:cs="宋体"/>
      <w:kern w:val="0"/>
      <w:sz w:val="32"/>
      <w:szCs w:val="32"/>
    </w:rPr>
  </w:style>
  <w:style w:type="character" w:customStyle="1" w:styleId="19">
    <w:name w:val="font21"/>
    <w:basedOn w:val="13"/>
    <w:qFormat/>
    <w:uiPriority w:val="0"/>
    <w:rPr>
      <w:rFonts w:hint="default" w:ascii="Times New Roman" w:hAnsi="Times New Roman" w:cs="Times New Roman"/>
      <w:b/>
      <w:bCs/>
      <w:color w:val="000000"/>
      <w:sz w:val="24"/>
      <w:szCs w:val="24"/>
      <w:u w:val="none"/>
    </w:rPr>
  </w:style>
  <w:style w:type="character" w:customStyle="1" w:styleId="20">
    <w:name w:val="font61"/>
    <w:basedOn w:val="13"/>
    <w:qFormat/>
    <w:uiPriority w:val="0"/>
    <w:rPr>
      <w:rFonts w:hint="eastAsia" w:ascii="宋体" w:hAnsi="宋体" w:eastAsia="宋体" w:cs="宋体"/>
      <w:b/>
      <w:bCs/>
      <w:color w:val="000000"/>
      <w:sz w:val="24"/>
      <w:szCs w:val="24"/>
      <w:u w:val="none"/>
    </w:rPr>
  </w:style>
  <w:style w:type="character" w:customStyle="1" w:styleId="21">
    <w:name w:val="font101"/>
    <w:basedOn w:val="13"/>
    <w:qFormat/>
    <w:uiPriority w:val="0"/>
    <w:rPr>
      <w:rFonts w:hint="eastAsia" w:ascii="宋体" w:hAnsi="宋体" w:eastAsia="宋体" w:cs="宋体"/>
      <w:b/>
      <w:bCs/>
      <w:color w:val="000000"/>
      <w:sz w:val="20"/>
      <w:szCs w:val="20"/>
      <w:u w:val="none"/>
    </w:rPr>
  </w:style>
  <w:style w:type="character" w:customStyle="1" w:styleId="22">
    <w:name w:val="font11"/>
    <w:basedOn w:val="13"/>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1483</Words>
  <Characters>1498</Characters>
  <Lines>0</Lines>
  <Paragraphs>0</Paragraphs>
  <TotalTime>3</TotalTime>
  <ScaleCrop>false</ScaleCrop>
  <LinksUpToDate>false</LinksUpToDate>
  <CharactersWithSpaces>1529</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2025-06-26T02:04:00Z</dcterms:created>
  <dc:creator>浮光浅夏</dc:creator>
  <cp:lastModifiedBy>浮光浅夏</cp:lastModifiedBy>
  <dcterms:modified xsi:type="dcterms:W3CDTF">2025-06-26T06:21:36Z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BB93030AE1864989AE60A03054F9AC59_11</vt:lpwstr>
  </property>
  <property fmtid="{D5CDD505-2E9C-101B-9397-08002B2CF9AE}" pid="4" name="KSOTemplateDocerSaveRecord">
    <vt:lpwstr>eyJoZGlkIjoiYTVkMDllYWMzNDE1NmUxYmFjNmEwMWUxYjVlOTRiN2MiLCJ1c2VySWQiOiIxMDgwMDU4MDM2In0=</vt:lpwstr>
  </property>
</Properties>
</file>