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tbl>
      <w:tblPr>
        <w:tblStyle w:val="9"/>
        <w:tblW w:w="9116" w:type="dxa"/>
        <w:tblInd w:w="0" w:type="dxa"/>
        <w:tblLayout w:type="fixed"/>
        <w:tblCellMar>
          <w:top w:w="0" w:type="dxa"/>
          <w:left w:w="108" w:type="dxa"/>
          <w:bottom w:w="0" w:type="dxa"/>
          <w:right w:w="108" w:type="dxa"/>
        </w:tblCellMar>
      </w:tblPr>
      <w:tblGrid>
        <w:gridCol w:w="9116"/>
      </w:tblGrid>
      <w:tr>
        <w:tblPrEx>
          <w:tblLayout w:type="fixed"/>
          <w:tblCellMar>
            <w:top w:w="0" w:type="dxa"/>
            <w:left w:w="108" w:type="dxa"/>
            <w:bottom w:w="0" w:type="dxa"/>
            <w:right w:w="108" w:type="dxa"/>
          </w:tblCellMar>
        </w:tblPrEx>
        <w:trPr>
          <w:trHeight w:val="1085" w:hRule="atLeast"/>
        </w:trPr>
        <w:tc>
          <w:tcPr>
            <w:tcW w:w="9116" w:type="dxa"/>
          </w:tcPr>
          <w:p>
            <w:pPr>
              <w:spacing w:line="360" w:lineRule="auto"/>
              <w:jc w:val="center"/>
              <w:rPr>
                <w:rFonts w:ascii="黑体" w:hAnsi="宋体" w:eastAsia="黑体"/>
                <w:spacing w:val="20"/>
                <w:w w:val="105"/>
                <w:sz w:val="48"/>
                <w:szCs w:val="48"/>
              </w:rPr>
            </w:pPr>
            <w:r>
              <w:rPr>
                <w:rFonts w:ascii="黑体" w:hAnsi="宋体" w:eastAsia="黑体"/>
                <w:b/>
                <w:sz w:val="48"/>
                <w:szCs w:val="48"/>
              </w:rPr>
              <mc:AlternateContent>
                <mc:Choice Requires="wps">
                  <w:drawing>
                    <wp:anchor distT="0" distB="0" distL="114300" distR="114300" simplePos="0" relativeHeight="251659264" behindDoc="0" locked="0" layoutInCell="1" allowOverlap="1">
                      <wp:simplePos x="0" y="0"/>
                      <wp:positionH relativeFrom="column">
                        <wp:posOffset>52705</wp:posOffset>
                      </wp:positionH>
                      <wp:positionV relativeFrom="paragraph">
                        <wp:posOffset>515620</wp:posOffset>
                      </wp:positionV>
                      <wp:extent cx="5579745" cy="0"/>
                      <wp:effectExtent l="0" t="7620" r="1905" b="11430"/>
                      <wp:wrapNone/>
                      <wp:docPr id="1" name="直接连接符 3"/>
                      <wp:cNvGraphicFramePr/>
                      <a:graphic xmlns:a="http://schemas.openxmlformats.org/drawingml/2006/main">
                        <a:graphicData uri="http://schemas.microsoft.com/office/word/2010/wordprocessingShape">
                          <wps:wsp>
                            <wps:cNvCnPr/>
                            <wps:spPr>
                              <a:xfrm flipV="1">
                                <a:off x="0" y="0"/>
                                <a:ext cx="5579745"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直接连接符 3" o:spid="_x0000_s1026" o:spt="20" style="position:absolute;left:0pt;flip:y;margin-left:4.15pt;margin-top:40.6pt;height:0pt;width:439.35pt;z-index:251659264;mso-width-relative:page;mso-height-relative:page;" filled="f" stroked="t" coordsize="21600,21600" o:gfxdata="UEsDBAoAAAAAAIdO4kAAAAAAAAAAAAAAAAAEAAAAZHJzL1BLAwQUAAAACACHTuJA/Ycdq9QAAAAH&#10;AQAADwAAAGRycy9kb3ducmV2LnhtbE2PzU7DMBCE70i8g7VI3KidIIEV4lTiT0KCSxseYBubJMJe&#10;h9hpy9uziAM9rXZnNPtNvT4GL/ZuTmMkA8VKgXDURTtSb+C9fb7SIFJGsugjOQPfLsG6OT+rsbLx&#10;QBu33+ZecAilCg0MOU+VlKkbXMC0ipMj1j7iHDDzOvfSznjg8OBlqdSNDDgSfxhwcg+D6z63SzBQ&#10;tot6vX/R0k9f7aZ9esPHMaExlxeFugOR3TH/m+EXn9GhYaZdXMgm4Q3oazbyKEoQLGt9y9V2fwfZ&#10;1PKUv/kBUEsDBBQAAAAIAIdO4kC//+8E4gEAAKEDAAAOAAAAZHJzL2Uyb0RvYy54bWytU0uOEzEQ&#10;3SNxB8t70slAyNBKZxYThg2CSHz2Fdvdbck/uTzp5BJcAIkdrFjOntswHIOyOxN+G4ToRalcVX5V&#10;77l6ebG3hu1URO1dw2eTKWfKCS+16xr+5vXVg3POMIGTYLxTDT8o5Ber+/eWQ6jVme+9kSoyAnFY&#10;D6HhfUqhrioUvbKAEx+Uo2Tro4VEx9hVMsJA6NZUZ9Pp42rwUYbohUKk6HpM8lXBb1sl0su2RZWY&#10;aTjNloqNxW6zrVZLqLsIodfiOAb8wxQWtKOmJ6g1JGDXUf8BZbWIHn2bJsLbyretFqpwIDaz6W9s&#10;XvUQVOFC4mA4yYT/D1a82G0i05LejjMHlp7o9v3N13cfv335QPb28yf2MIs0BKyp9tJt4vGEYRMz&#10;430bLWuNDm8zRo4QK7YvEh9OEqt9YoKC8/niyeLRnDNxl6tGiHwxREzPlLcsOw032mX2UMPuOSZq&#10;S6V3JTlsHBuo5/x8kfGAtqc1kMi1gfig68pl9EbLK21MvoKx216ayHaQ96F8mR0B/1KWu6wB+7Gu&#10;pMZN6RXIp06ydAiklKOV5nkGqyRnRtEfkD0ChDqBNn9TSa2NowmywKOk2dt6eaB3uQ5Rdz1JMStT&#10;5gztQZn3uLN50X4+F6Qff9bqO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P2HHavUAAAABwEAAA8A&#10;AAAAAAAAAQAgAAAAIgAAAGRycy9kb3ducmV2LnhtbFBLAQIUABQAAAAIAIdO4kC//+8E4gEAAKED&#10;AAAOAAAAAAAAAAEAIAAAACMBAABkcnMvZTJvRG9jLnhtbFBLBQYAAAAABgAGAFkBAAB3BQAAAAA=&#10;">
                      <v:fill on="f" focussize="0,0"/>
                      <v:stroke weight="1.25pt" color="#000000" joinstyle="round"/>
                      <v:imagedata o:title=""/>
                      <o:lock v:ext="edit" aspectratio="f"/>
                    </v:line>
                  </w:pict>
                </mc:Fallback>
              </mc:AlternateContent>
            </w:r>
            <w:r>
              <w:rPr>
                <w:rFonts w:hint="eastAsia" w:ascii="黑体" w:hAnsi="宋体" w:eastAsia="黑体"/>
                <w:spacing w:val="20"/>
                <w:w w:val="105"/>
                <w:sz w:val="48"/>
                <w:szCs w:val="48"/>
              </w:rPr>
              <w:t>产品质量监督抽查实施细则</w:t>
            </w:r>
          </w:p>
        </w:tc>
      </w:tr>
    </w:tbl>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spacing w:line="360" w:lineRule="auto"/>
        <w:jc w:val="center"/>
        <w:rPr>
          <w:rFonts w:ascii="黑体" w:hAnsi="黑体" w:eastAsia="黑体" w:cs="黑体"/>
          <w:b/>
          <w:bCs w:val="0"/>
          <w:sz w:val="44"/>
          <w:szCs w:val="44"/>
        </w:rPr>
      </w:pPr>
      <w:r>
        <w:rPr>
          <w:rFonts w:hint="eastAsia" w:ascii="黑体" w:hAnsi="黑体" w:eastAsia="黑体" w:cs="方正仿宋简体"/>
          <w:b/>
          <w:bCs w:val="0"/>
          <w:color w:val="000000"/>
          <w:sz w:val="44"/>
          <w:szCs w:val="44"/>
          <w:lang w:eastAsia="zh-CN"/>
        </w:rPr>
        <w:t>2026</w:t>
      </w:r>
      <w:r>
        <w:rPr>
          <w:rFonts w:hint="eastAsia" w:ascii="黑体" w:hAnsi="黑体" w:eastAsia="黑体" w:cs="方正仿宋简体"/>
          <w:b/>
          <w:bCs w:val="0"/>
          <w:color w:val="000000"/>
          <w:sz w:val="44"/>
          <w:szCs w:val="44"/>
          <w:highlight w:val="none"/>
        </w:rPr>
        <w:t>年</w:t>
      </w:r>
      <w:r>
        <w:rPr>
          <w:rFonts w:hint="eastAsia" w:ascii="黑体" w:hAnsi="黑体" w:eastAsia="黑体" w:cs="黑体"/>
          <w:b/>
          <w:bCs w:val="0"/>
          <w:sz w:val="44"/>
          <w:szCs w:val="44"/>
          <w:highlight w:val="none"/>
          <w:lang w:val="en-US" w:eastAsia="zh-CN"/>
        </w:rPr>
        <w:t>昌吉回族自治州</w:t>
      </w:r>
      <w:r>
        <w:rPr>
          <w:rFonts w:hint="eastAsia" w:ascii="黑体" w:hAnsi="黑体" w:eastAsia="黑体" w:cs="方正仿宋简体"/>
          <w:b/>
          <w:bCs w:val="0"/>
          <w:color w:val="000000"/>
          <w:sz w:val="44"/>
          <w:szCs w:val="44"/>
          <w:highlight w:val="none"/>
        </w:rPr>
        <w:t>绝热用挤塑聚苯乙烯泡沫塑料（XPS）、绝热用模塑聚苯乙烯泡沫塑料（EPS）产品质量监</w:t>
      </w:r>
      <w:r>
        <w:rPr>
          <w:rFonts w:hint="eastAsia" w:ascii="黑体" w:hAnsi="黑体" w:eastAsia="黑体" w:cs="方正仿宋简体"/>
          <w:b/>
          <w:bCs w:val="0"/>
          <w:color w:val="000000"/>
          <w:sz w:val="44"/>
          <w:szCs w:val="44"/>
        </w:rPr>
        <w:t>督抽查实施细则</w:t>
      </w:r>
    </w:p>
    <w:p>
      <w:pPr>
        <w:spacing w:line="360" w:lineRule="auto"/>
        <w:jc w:val="center"/>
        <w:rPr>
          <w:rFonts w:ascii="黑体" w:hAnsi="黑体" w:eastAsia="黑体" w:cs="黑体"/>
          <w:b/>
          <w:bCs/>
          <w:sz w:val="44"/>
          <w:szCs w:val="44"/>
        </w:rPr>
      </w:pPr>
    </w:p>
    <w:p>
      <w:pPr>
        <w:tabs>
          <w:tab w:val="left" w:pos="6930"/>
        </w:tabs>
        <w:adjustRightInd w:val="0"/>
        <w:spacing w:line="480" w:lineRule="exact"/>
        <w:jc w:val="left"/>
        <w:rPr>
          <w:rFonts w:ascii="黑体" w:hAnsi="黑体" w:eastAsia="黑体" w:cs="黑体"/>
          <w:b/>
          <w:bCs/>
          <w:sz w:val="44"/>
          <w:szCs w:val="44"/>
        </w:rPr>
      </w:pPr>
    </w:p>
    <w:p>
      <w:pPr>
        <w:tabs>
          <w:tab w:val="left" w:pos="6930"/>
        </w:tabs>
        <w:adjustRightInd w:val="0"/>
        <w:spacing w:line="480" w:lineRule="exact"/>
        <w:jc w:val="left"/>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rPr>
          <w:rFonts w:ascii="黑体" w:hAnsi="宋体" w:eastAsia="黑体"/>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rPr>
          <w:rFonts w:ascii="黑体" w:hAnsi="宋体" w:eastAsia="黑体"/>
          <w:b/>
          <w:sz w:val="52"/>
          <w:szCs w:val="52"/>
        </w:rPr>
      </w:pPr>
    </w:p>
    <w:p>
      <w:pPr>
        <w:adjustRightInd w:val="0"/>
        <w:spacing w:line="480" w:lineRule="exact"/>
        <w:rPr>
          <w:rFonts w:ascii="黑体" w:hAnsi="宋体" w:eastAsia="黑体"/>
          <w:b/>
          <w:sz w:val="52"/>
          <w:szCs w:val="52"/>
        </w:rPr>
      </w:pPr>
    </w:p>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ascii="黑体" w:hAnsi="宋体" w:eastAsia="黑体"/>
          <w:b/>
          <w:sz w:val="52"/>
          <w:szCs w:val="52"/>
        </w:rPr>
      </w:pPr>
    </w:p>
    <w:p>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ascii="黑体" w:hAnsi="黑体" w:eastAsia="黑体" w:cs="黑体"/>
          <w:bCs/>
          <w:sz w:val="24"/>
          <w:highlight w:val="none"/>
        </w:rPr>
      </w:pPr>
      <w:r>
        <w:rPr>
          <w:rFonts w:hint="eastAsia" w:ascii="黑体" w:hAnsi="黑体" w:eastAsia="黑体" w:cs="黑体"/>
          <w:bCs/>
          <w:sz w:val="24"/>
          <w:highlight w:val="none"/>
          <w:lang w:eastAsia="zh-CN"/>
        </w:rPr>
        <w:t>2026</w:t>
      </w:r>
      <w:r>
        <w:rPr>
          <w:rFonts w:hint="eastAsia" w:ascii="黑体" w:hAnsi="黑体" w:eastAsia="黑体" w:cs="黑体"/>
          <w:bCs/>
          <w:sz w:val="24"/>
          <w:highlight w:val="none"/>
        </w:rPr>
        <w:t>-0</w:t>
      </w:r>
      <w:r>
        <w:rPr>
          <w:rFonts w:hint="eastAsia" w:ascii="黑体" w:hAnsi="黑体" w:eastAsia="黑体" w:cs="黑体"/>
          <w:bCs/>
          <w:sz w:val="24"/>
          <w:highlight w:val="none"/>
          <w:lang w:val="en-US" w:eastAsia="zh-CN"/>
        </w:rPr>
        <w:t>5</w:t>
      </w:r>
      <w:r>
        <w:rPr>
          <w:rFonts w:ascii="黑体" w:hAnsi="黑体" w:eastAsia="黑体" w:cs="黑体"/>
          <w:bCs/>
          <w:sz w:val="24"/>
          <w:highlight w:val="none"/>
        </w:rPr>
        <w:t>-</w:t>
      </w:r>
      <w:r>
        <w:rPr>
          <w:rFonts w:hint="eastAsia" w:ascii="黑体" w:hAnsi="黑体" w:eastAsia="黑体" w:cs="黑体"/>
          <w:bCs/>
          <w:sz w:val="24"/>
          <w:highlight w:val="none"/>
          <w:lang w:val="en-US" w:eastAsia="zh-CN"/>
        </w:rPr>
        <w:t>01</w:t>
      </w:r>
      <w:r>
        <w:rPr>
          <w:rFonts w:hint="eastAsia" w:ascii="黑体" w:hAnsi="黑体" w:eastAsia="黑体" w:cs="黑体"/>
          <w:bCs/>
          <w:sz w:val="24"/>
          <w:highlight w:val="none"/>
        </w:rPr>
        <w:t xml:space="preserve">发布                                           </w:t>
      </w:r>
      <w:r>
        <w:rPr>
          <w:rFonts w:hint="eastAsia" w:ascii="黑体" w:hAnsi="黑体" w:eastAsia="黑体" w:cs="黑体"/>
          <w:bCs/>
          <w:sz w:val="24"/>
          <w:highlight w:val="none"/>
          <w:lang w:eastAsia="zh-CN"/>
        </w:rPr>
        <w:t>2026</w:t>
      </w:r>
      <w:r>
        <w:rPr>
          <w:rFonts w:hint="eastAsia" w:ascii="黑体" w:hAnsi="黑体" w:eastAsia="黑体" w:cs="黑体"/>
          <w:bCs/>
          <w:sz w:val="24"/>
          <w:highlight w:val="none"/>
        </w:rPr>
        <w:t>-0</w:t>
      </w:r>
      <w:r>
        <w:rPr>
          <w:rFonts w:hint="eastAsia" w:ascii="黑体" w:hAnsi="黑体" w:eastAsia="黑体" w:cs="黑体"/>
          <w:bCs/>
          <w:sz w:val="24"/>
          <w:highlight w:val="none"/>
          <w:lang w:val="en-US" w:eastAsia="zh-CN"/>
        </w:rPr>
        <w:t>6</w:t>
      </w:r>
      <w:r>
        <w:rPr>
          <w:rFonts w:ascii="黑体" w:hAnsi="黑体" w:eastAsia="黑体" w:cs="黑体"/>
          <w:bCs/>
          <w:sz w:val="24"/>
          <w:highlight w:val="none"/>
        </w:rPr>
        <w:t>-</w:t>
      </w:r>
      <w:r>
        <w:rPr>
          <w:rFonts w:hint="eastAsia" w:ascii="黑体" w:hAnsi="黑体" w:eastAsia="黑体" w:cs="黑体"/>
          <w:bCs/>
          <w:sz w:val="24"/>
          <w:highlight w:val="none"/>
          <w:lang w:val="en-US" w:eastAsia="zh-CN"/>
        </w:rPr>
        <w:t>01</w:t>
      </w:r>
      <w:r>
        <w:rPr>
          <w:rFonts w:hint="eastAsia" w:ascii="黑体" w:hAnsi="黑体" w:eastAsia="黑体" w:cs="黑体"/>
          <w:bCs/>
          <w:sz w:val="24"/>
          <w:highlight w:val="none"/>
        </w:rPr>
        <w:t>实施</w:t>
      </w:r>
    </w:p>
    <w:p>
      <w:pPr>
        <w:keepNext w:val="0"/>
        <w:keepLines w:val="0"/>
        <w:pageBreakBefore w:val="0"/>
        <w:widowControl w:val="0"/>
        <w:kinsoku/>
        <w:wordWrap/>
        <w:overflowPunct/>
        <w:topLinePunct w:val="0"/>
        <w:autoSpaceDE/>
        <w:autoSpaceDN/>
        <w:bidi w:val="0"/>
        <w:snapToGrid/>
        <w:spacing w:line="360" w:lineRule="auto"/>
        <w:jc w:val="center"/>
        <w:textAlignment w:val="auto"/>
        <w:rPr>
          <w:rFonts w:ascii="黑体" w:hAnsi="宋体" w:eastAsia="黑体" w:cs="黑体"/>
          <w:bCs/>
          <w:sz w:val="32"/>
          <w:szCs w:val="32"/>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18" w:right="1418" w:bottom="1418" w:left="1588" w:header="851" w:footer="992" w:gutter="0"/>
          <w:pgNumType w:start="1"/>
          <w:cols w:space="720" w:num="1"/>
          <w:titlePg/>
          <w:docGrid w:type="lines" w:linePitch="312" w:charSpace="0"/>
        </w:sectPr>
      </w:pPr>
      <w:r>
        <w:rPr>
          <w:rFonts w:ascii="黑体" w:hAnsi="宋体" w:eastAsia="黑体" w:cs="黑体"/>
          <w:bCs/>
          <w:sz w:val="32"/>
          <w:szCs w:val="32"/>
          <w:highlight w:val="none"/>
        </w:rPr>
        <mc:AlternateContent>
          <mc:Choice Requires="wps">
            <w:drawing>
              <wp:anchor distT="0" distB="0" distL="114300" distR="114300" simplePos="0" relativeHeight="251660288" behindDoc="0" locked="0" layoutInCell="1" allowOverlap="1">
                <wp:simplePos x="0" y="0"/>
                <wp:positionH relativeFrom="column">
                  <wp:posOffset>-198755</wp:posOffset>
                </wp:positionH>
                <wp:positionV relativeFrom="paragraph">
                  <wp:posOffset>29845</wp:posOffset>
                </wp:positionV>
                <wp:extent cx="5831205" cy="0"/>
                <wp:effectExtent l="0" t="7620" r="7620" b="11430"/>
                <wp:wrapNone/>
                <wp:docPr id="2" name="自选图形 8"/>
                <wp:cNvGraphicFramePr/>
                <a:graphic xmlns:a="http://schemas.openxmlformats.org/drawingml/2006/main">
                  <a:graphicData uri="http://schemas.microsoft.com/office/word/2010/wordprocessingShape">
                    <wps:wsp>
                      <wps:cNvCnPr/>
                      <wps:spPr>
                        <a:xfrm>
                          <a:off x="0" y="0"/>
                          <a:ext cx="583120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8" o:spid="_x0000_s1026" o:spt="32" type="#_x0000_t32" style="position:absolute;left:0pt;margin-left:-15.65pt;margin-top:2.35pt;height:0pt;width:459.15pt;z-index:251660288;mso-width-relative:page;mso-height-relative:page;" filled="f" stroked="t" coordsize="21600,21600" o:gfxdata="UEsDBAoAAAAAAIdO4kAAAAAAAAAAAAAAAAAEAAAAZHJzL1BLAwQUAAAACACHTuJAy5iOQdYAAAAH&#10;AQAADwAAAGRycy9kb3ducmV2LnhtbE2PS0/DMBCE70j8B2uRuLWbEESjNE4PPHpAtBKl4uwm2zgi&#10;Xkex+4Bfz8IFjqMZzXxTLs6uV0caQ+dZQzpNQBHXvum41bB9e5rkoEI03JjeM2n4pACL6vKiNEXj&#10;T/xKx01slZRwKIwGG+NQIIbakjNh6gdi8fZ+dCaKHFtsRnOSctfjTZLcoTMdy4I1A91bqj82B6fh&#10;Cy0hreO7XWXL7SOuXpYPz0Hr66s0mYOKdI5/YfjBF3SohGnnD9wE1WuYZGkmUQ23M1Di5/lMvu1+&#10;NVYl/uevvgFQSwMEFAAAAAgAh07iQG9xlK/aAQAAlgMAAA4AAABkcnMvZTJvRG9jLnhtbK1TS44T&#10;MRDdI3EHy3vSnaBA1EpnFgnDBkEk4AAV291tyT+5TDrZsUOcgR1L7gC3GWm4BWUnk+GzQYheuMuu&#10;qlf1nsvLq4M1bK8iau9aPp3UnCknvNSub/nbN9ePFpxhAifBeKdaflTIr1YPHyzH0KiZH7yRKjIC&#10;cdiMoeVDSqGpKhSDsoATH5QjZ+ejhUTb2Fcywkjo1lSzun5SjT7KEL1QiHS6OTn5quB3nRLpVdeh&#10;Ssy0nHpLZY1l3eW1Wi2h6SOEQYtzG/APXVjQjopeoDaQgL2L+g8oq0X06Ls0Ed5Wvuu0UIUDsZnW&#10;v7F5PUBQhQuJg+EiE/4/WPFyv41My5bPOHNg6YpuP3z5/v7jzadvN18/s0VWaAzYUODabeN5h2Eb&#10;M91DF23+ExF2KKoeL6qqQ2KCDueLx9NZPedM3Pmq+8QQMT1X3rJstBxTBN0Pae2do7vzcVpUhf0L&#10;TFSaEu8SclXj2EhDN188zehA49MZSGTaQITQ9SUZvdHyWhuTUzD2u7WJbA95IMqXGRLwL2G5ygZw&#10;OMUV12lUBgXymZMsHQNJ5Wimee7BKsmZUfQEskWA0CTQ5m8iqbRx1EEW+SRrtnZeHova5Zwuv/R4&#10;HtQ8XT/vS/b9c1r9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uYjkHWAAAABwEAAA8AAAAAAAAA&#10;AQAgAAAAIgAAAGRycy9kb3ducmV2LnhtbFBLAQIUABQAAAAIAIdO4kBvcZSv2gEAAJYDAAAOAAAA&#10;AAAAAAEAIAAAACUBAABkcnMvZTJvRG9jLnhtbFBLBQYAAAAABgAGAFkBAABxBQAAAAA=&#10;">
                <v:fill on="f" focussize="0,0"/>
                <v:stroke weight="1.25pt" color="#000000" joinstyle="round"/>
                <v:imagedata o:title=""/>
                <o:lock v:ext="edit" aspectratio="f"/>
              </v:shape>
            </w:pict>
          </mc:Fallback>
        </mc:AlternateContent>
      </w:r>
      <w:r>
        <w:rPr>
          <w:rFonts w:hint="eastAsia" w:ascii="黑体" w:hAnsi="宋体" w:eastAsia="黑体" w:cs="黑体"/>
          <w:bCs/>
          <w:sz w:val="32"/>
          <w:szCs w:val="32"/>
          <w:highlight w:val="none"/>
          <w:lang w:val="en-US" w:eastAsia="zh-CN"/>
        </w:rPr>
        <w:t>昌吉回族自治州</w:t>
      </w:r>
      <w:r>
        <w:rPr>
          <w:rFonts w:hint="eastAsia" w:ascii="黑体" w:hAnsi="宋体" w:eastAsia="黑体" w:cs="黑体"/>
          <w:bCs/>
          <w:sz w:val="32"/>
          <w:szCs w:val="32"/>
          <w:highlight w:val="none"/>
        </w:rPr>
        <w:t>市场监督管理局</w:t>
      </w:r>
    </w:p>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方正小标宋简体" w:hAnsi="方正小标宋简体" w:eastAsia="方正小标宋简体" w:cs="方正小标宋简体"/>
          <w:b w:val="0"/>
          <w:bCs/>
          <w:color w:val="000000"/>
          <w:sz w:val="32"/>
          <w:szCs w:val="32"/>
        </w:rPr>
      </w:pPr>
      <w:r>
        <w:rPr>
          <w:rFonts w:hint="eastAsia" w:ascii="方正小标宋简体" w:hAnsi="方正小标宋简体" w:eastAsia="方正小标宋简体" w:cs="方正小标宋简体"/>
          <w:b w:val="0"/>
          <w:bCs/>
          <w:color w:val="000000"/>
          <w:sz w:val="32"/>
          <w:szCs w:val="32"/>
          <w:lang w:eastAsia="zh-CN"/>
        </w:rPr>
        <w:t>2026</w:t>
      </w:r>
      <w:r>
        <w:rPr>
          <w:rFonts w:hint="eastAsia" w:ascii="方正小标宋简体" w:hAnsi="方正小标宋简体" w:eastAsia="方正小标宋简体" w:cs="方正小标宋简体"/>
          <w:b w:val="0"/>
          <w:bCs/>
          <w:color w:val="000000"/>
          <w:sz w:val="32"/>
          <w:szCs w:val="32"/>
          <w:highlight w:val="none"/>
        </w:rPr>
        <w:t>年</w:t>
      </w:r>
      <w:r>
        <w:rPr>
          <w:rFonts w:hint="eastAsia" w:ascii="方正小标宋简体" w:hAnsi="方正小标宋简体" w:eastAsia="方正小标宋简体" w:cs="方正小标宋简体"/>
          <w:b w:val="0"/>
          <w:bCs/>
          <w:color w:val="000000"/>
          <w:sz w:val="32"/>
          <w:szCs w:val="32"/>
          <w:highlight w:val="none"/>
          <w:lang w:val="en-US" w:eastAsia="zh-CN"/>
        </w:rPr>
        <w:t>昌吉回族自治州</w:t>
      </w:r>
      <w:r>
        <w:rPr>
          <w:rFonts w:hint="eastAsia" w:ascii="方正小标宋简体" w:hAnsi="方正小标宋简体" w:eastAsia="方正小标宋简体" w:cs="方正小标宋简体"/>
          <w:b w:val="0"/>
          <w:bCs/>
          <w:color w:val="000000"/>
          <w:sz w:val="32"/>
          <w:szCs w:val="32"/>
          <w:highlight w:val="none"/>
        </w:rPr>
        <w:t>绝热用挤塑聚苯乙烯泡沫塑料（XPS）、绝热用模塑聚苯乙烯泡沫塑</w:t>
      </w:r>
      <w:r>
        <w:rPr>
          <w:rFonts w:hint="eastAsia" w:ascii="方正小标宋简体" w:hAnsi="方正小标宋简体" w:eastAsia="方正小标宋简体" w:cs="方正小标宋简体"/>
          <w:b w:val="0"/>
          <w:bCs/>
          <w:color w:val="000000"/>
          <w:sz w:val="32"/>
          <w:szCs w:val="32"/>
        </w:rPr>
        <w:t>料（EPS）产</w:t>
      </w:r>
      <w:r>
        <w:rPr>
          <w:rFonts w:hint="eastAsia" w:ascii="方正小标宋简体" w:hAnsi="方正小标宋简体" w:eastAsia="方正小标宋简体" w:cs="方正小标宋简体"/>
          <w:b w:val="0"/>
          <w:bCs/>
          <w:color w:val="000000"/>
          <w:sz w:val="32"/>
          <w:szCs w:val="32"/>
          <w:lang w:eastAsia="zh-CN"/>
        </w:rPr>
        <w:t>品</w:t>
      </w:r>
      <w:r>
        <w:rPr>
          <w:rFonts w:hint="eastAsia" w:ascii="方正小标宋简体" w:hAnsi="方正小标宋简体" w:eastAsia="方正小标宋简体" w:cs="方正小标宋简体"/>
          <w:b w:val="0"/>
          <w:bCs/>
          <w:color w:val="000000"/>
          <w:sz w:val="32"/>
          <w:szCs w:val="32"/>
        </w:rPr>
        <w:t>质量监督抽查</w:t>
      </w:r>
    </w:p>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方正小标宋简体" w:hAnsi="方正小标宋简体" w:eastAsia="方正小标宋简体" w:cs="方正小标宋简体"/>
          <w:b/>
          <w:color w:val="000000"/>
          <w:sz w:val="32"/>
          <w:szCs w:val="32"/>
        </w:rPr>
      </w:pPr>
      <w:bookmarkStart w:id="2" w:name="_GoBack"/>
      <w:bookmarkEnd w:id="2"/>
      <w:r>
        <w:rPr>
          <w:rFonts w:hint="eastAsia" w:ascii="方正小标宋简体" w:hAnsi="方正小标宋简体" w:eastAsia="方正小标宋简体" w:cs="方正小标宋简体"/>
          <w:b w:val="0"/>
          <w:bCs/>
          <w:color w:val="000000"/>
          <w:sz w:val="32"/>
          <w:szCs w:val="32"/>
        </w:rPr>
        <w:t>实施细则</w:t>
      </w:r>
    </w:p>
    <w:p>
      <w:pPr>
        <w:adjustRightInd w:val="0"/>
        <w:snapToGrid w:val="0"/>
        <w:spacing w:line="360" w:lineRule="auto"/>
        <w:rPr>
          <w:rFonts w:hint="eastAsia" w:ascii="黑体" w:hAnsi="黑体" w:eastAsia="黑体"/>
          <w:b/>
          <w:szCs w:val="21"/>
        </w:rPr>
      </w:pPr>
    </w:p>
    <w:p>
      <w:pPr>
        <w:adjustRightInd w:val="0"/>
        <w:snapToGrid w:val="0"/>
        <w:spacing w:line="360" w:lineRule="auto"/>
        <w:rPr>
          <w:rFonts w:ascii="黑体" w:hAnsi="黑体" w:eastAsia="黑体"/>
          <w:b/>
          <w:szCs w:val="21"/>
        </w:rPr>
      </w:pPr>
      <w:r>
        <w:rPr>
          <w:rFonts w:hint="eastAsia" w:ascii="黑体" w:hAnsi="黑体" w:eastAsia="黑体"/>
          <w:b/>
          <w:szCs w:val="21"/>
        </w:rPr>
        <w:t>1 抽样方法</w:t>
      </w:r>
    </w:p>
    <w:p>
      <w:pPr>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1.1 抽查产品及抽样领域</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highlight w:val="none"/>
          <w:u w:val="none"/>
        </w:rPr>
      </w:pPr>
      <w:r>
        <w:rPr>
          <w:rFonts w:hint="eastAsia" w:ascii="宋体" w:hAnsi="宋体" w:eastAsia="宋体" w:cs="宋体"/>
          <w:color w:val="000000"/>
          <w:szCs w:val="21"/>
          <w:highlight w:val="none"/>
        </w:rPr>
        <w:t>抽样领域为</w:t>
      </w:r>
      <w:r>
        <w:rPr>
          <w:rFonts w:hint="eastAsia" w:ascii="宋体" w:hAnsi="宋体" w:eastAsia="宋体" w:cs="宋体"/>
          <w:color w:val="000000"/>
          <w:szCs w:val="21"/>
          <w:highlight w:val="none"/>
          <w:lang w:val="en-US" w:eastAsia="zh-CN"/>
        </w:rPr>
        <w:t>昌吉回族自治州</w:t>
      </w:r>
      <w:r>
        <w:rPr>
          <w:rFonts w:hint="eastAsia" w:ascii="Times New Roman" w:hAnsi="Times New Roman" w:eastAsia="宋体" w:cs="Times New Roman"/>
        </w:rPr>
        <w:t>行政区域内</w:t>
      </w:r>
      <w:r>
        <w:rPr>
          <w:rFonts w:hint="eastAsia" w:ascii="宋体" w:hAnsi="宋体" w:eastAsia="宋体" w:cs="宋体"/>
          <w:highlight w:val="none"/>
        </w:rPr>
        <w:t>绝热用模塑聚苯乙烯泡沫塑料（EPS）</w:t>
      </w:r>
      <w:r>
        <w:rPr>
          <w:rFonts w:hint="eastAsia" w:ascii="宋体" w:hAnsi="宋体" w:eastAsia="宋体" w:cs="宋体"/>
          <w:szCs w:val="21"/>
          <w:highlight w:val="none"/>
        </w:rPr>
        <w:t>、</w:t>
      </w:r>
      <w:r>
        <w:rPr>
          <w:rFonts w:hint="eastAsia" w:ascii="宋体" w:hAnsi="宋体" w:eastAsia="宋体" w:cs="宋体"/>
          <w:highlight w:val="none"/>
        </w:rPr>
        <w:t>绝热用挤塑聚苯乙烯泡沫塑料（XPS）</w:t>
      </w:r>
      <w:r>
        <w:rPr>
          <w:rFonts w:hint="eastAsia" w:ascii="宋体" w:hAnsi="宋体" w:eastAsia="宋体" w:cs="宋体"/>
          <w:color w:val="000000"/>
          <w:szCs w:val="21"/>
          <w:highlight w:val="none"/>
        </w:rPr>
        <w:t>生</w:t>
      </w:r>
      <w:r>
        <w:rPr>
          <w:rFonts w:hint="eastAsia" w:ascii="宋体" w:hAnsi="宋体" w:eastAsia="宋体" w:cs="宋体"/>
          <w:color w:val="000000"/>
          <w:szCs w:val="21"/>
          <w:highlight w:val="none"/>
          <w:u w:val="none"/>
        </w:rPr>
        <w:t>产领域。</w:t>
      </w:r>
    </w:p>
    <w:p>
      <w:pPr>
        <w:adjustRightInd w:val="0"/>
        <w:snapToGrid w:val="0"/>
        <w:spacing w:line="360" w:lineRule="auto"/>
        <w:ind w:firstLine="42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抽查产品为</w:t>
      </w:r>
      <w:r>
        <w:rPr>
          <w:rFonts w:hint="eastAsia" w:ascii="宋体" w:hAnsi="宋体" w:eastAsia="宋体" w:cs="宋体"/>
          <w:highlight w:val="none"/>
        </w:rPr>
        <w:t>绝热用挤塑聚苯乙烯泡沫塑料（XPS）</w:t>
      </w:r>
      <w:r>
        <w:rPr>
          <w:rFonts w:hint="eastAsia" w:ascii="宋体" w:hAnsi="宋体" w:eastAsia="宋体" w:cs="宋体"/>
          <w:szCs w:val="21"/>
          <w:highlight w:val="none"/>
        </w:rPr>
        <w:t>、</w:t>
      </w:r>
      <w:r>
        <w:rPr>
          <w:rFonts w:hint="eastAsia" w:ascii="宋体" w:hAnsi="宋体" w:eastAsia="宋体" w:cs="宋体"/>
          <w:highlight w:val="none"/>
        </w:rPr>
        <w:t>绝热用模塑聚苯乙烯泡沫塑料（EPS）</w:t>
      </w:r>
      <w:r>
        <w:rPr>
          <w:rFonts w:hint="eastAsia" w:ascii="宋体" w:hAnsi="宋体" w:eastAsia="宋体" w:cs="宋体"/>
          <w:color w:val="000000"/>
          <w:szCs w:val="21"/>
          <w:highlight w:val="none"/>
        </w:rPr>
        <w:t>。</w:t>
      </w:r>
    </w:p>
    <w:p>
      <w:pPr>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1.2 抽样方法、基数及数量</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themeColor="text1"/>
          <w:szCs w:val="21"/>
          <w:highlight w:val="none"/>
          <w:u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以随机抽样的方式在被抽</w:t>
      </w:r>
      <w:r>
        <w:rPr>
          <w:rFonts w:hint="eastAsia" w:ascii="宋体" w:hAnsi="宋体" w:eastAsia="宋体" w:cs="宋体"/>
          <w:color w:val="000000" w:themeColor="text1"/>
          <w:szCs w:val="21"/>
          <w:highlight w:val="none"/>
          <w:u w:val="none"/>
          <w14:textFill>
            <w14:solidFill>
              <w14:schemeClr w14:val="tx1"/>
            </w14:solidFill>
          </w14:textFill>
        </w:rPr>
        <w:t>样生产者、销售者</w:t>
      </w:r>
      <w:r>
        <w:rPr>
          <w:rFonts w:hint="eastAsia" w:ascii="宋体" w:hAnsi="宋体" w:eastAsia="宋体" w:cs="宋体"/>
          <w:color w:val="000000" w:themeColor="text1"/>
          <w:szCs w:val="21"/>
          <w:highlight w:val="none"/>
          <w:u w:val="none"/>
          <w:lang w:val="en-US" w:eastAsia="zh-CN"/>
          <w14:textFill>
            <w14:solidFill>
              <w14:schemeClr w14:val="tx1"/>
            </w14:solidFill>
          </w14:textFill>
        </w:rPr>
        <w:t>的</w:t>
      </w:r>
      <w:r>
        <w:rPr>
          <w:rFonts w:hint="eastAsia" w:ascii="宋体" w:hAnsi="宋体" w:eastAsia="宋体" w:cs="宋体"/>
          <w:color w:val="000000" w:themeColor="text1"/>
          <w:szCs w:val="21"/>
          <w:highlight w:val="none"/>
          <w:u w:val="none"/>
          <w14:textFill>
            <w14:solidFill>
              <w14:schemeClr w14:val="tx1"/>
            </w14:solidFill>
          </w14:textFill>
        </w:rPr>
        <w:t>待销产品中抽取。</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随机数一般可使用随机数表等方法产生。</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szCs w:val="21"/>
        </w:rPr>
        <w:t>抽取样品应为</w:t>
      </w:r>
      <w:r>
        <w:rPr>
          <w:rFonts w:hint="eastAsia" w:ascii="宋体" w:hAnsi="宋体" w:eastAsia="宋体" w:cs="宋体"/>
          <w:kern w:val="0"/>
          <w:szCs w:val="21"/>
          <w:lang w:val="zh-CN"/>
        </w:rPr>
        <w:t>同一生产企业生产的同一种类、</w:t>
      </w:r>
      <w:r>
        <w:rPr>
          <w:rFonts w:hint="eastAsia" w:ascii="宋体" w:hAnsi="宋体" w:eastAsia="宋体" w:cs="宋体"/>
          <w:szCs w:val="21"/>
        </w:rPr>
        <w:t>同一型号规格、同一批次的产品</w:t>
      </w:r>
      <w:r>
        <w:rPr>
          <w:rFonts w:hint="eastAsia" w:ascii="宋体" w:hAnsi="宋体" w:eastAsia="宋体" w:cs="宋体"/>
          <w:color w:val="000000"/>
          <w:szCs w:val="21"/>
        </w:rPr>
        <w:t>。</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抽样基数满足抽样数量即可。</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000000"/>
          <w:szCs w:val="21"/>
          <w:highlight w:val="none"/>
        </w:rPr>
      </w:pPr>
      <w:r>
        <w:rPr>
          <w:rFonts w:hint="eastAsia" w:ascii="宋体" w:hAnsi="宋体" w:eastAsia="宋体" w:cs="宋体"/>
          <w:color w:val="auto"/>
          <w:highlight w:val="none"/>
        </w:rPr>
        <w:t>绝热用挤塑聚苯乙烯泡沫塑料（XPS）</w:t>
      </w:r>
      <w:r>
        <w:rPr>
          <w:rFonts w:hint="eastAsia" w:ascii="宋体" w:hAnsi="宋体" w:eastAsia="宋体" w:cs="宋体"/>
          <w:color w:val="auto"/>
          <w:szCs w:val="21"/>
          <w:highlight w:val="none"/>
        </w:rPr>
        <w:t>：</w:t>
      </w:r>
      <w:r>
        <w:rPr>
          <w:rFonts w:hint="eastAsia" w:ascii="宋体" w:hAnsi="宋体" w:cs="宋体"/>
          <w:szCs w:val="21"/>
          <w:highlight w:val="none"/>
          <w:lang w:val="en-US" w:eastAsia="zh-CN"/>
        </w:rPr>
        <w:t>所抽</w:t>
      </w:r>
      <w:r>
        <w:rPr>
          <w:rFonts w:hint="eastAsia" w:ascii="宋体" w:hAnsi="宋体" w:eastAsia="宋体" w:cs="宋体"/>
          <w:szCs w:val="21"/>
          <w:highlight w:val="none"/>
          <w:lang w:val="en-US" w:eastAsia="zh-CN"/>
        </w:rPr>
        <w:t>样品</w:t>
      </w:r>
      <w:r>
        <w:rPr>
          <w:rFonts w:hint="eastAsia" w:ascii="宋体" w:hAnsi="宋体" w:eastAsia="宋体" w:cs="宋体"/>
          <w:color w:val="auto"/>
          <w:szCs w:val="21"/>
          <w:highlight w:val="none"/>
          <w:lang w:val="en-US" w:eastAsia="zh-CN"/>
        </w:rPr>
        <w:t>生产日期在</w:t>
      </w:r>
      <w:r>
        <w:rPr>
          <w:rFonts w:hint="eastAsia" w:ascii="宋体" w:hAnsi="宋体" w:eastAsia="宋体" w:cs="宋体"/>
          <w:color w:val="auto"/>
          <w:szCs w:val="21"/>
          <w:highlight w:val="none"/>
        </w:rPr>
        <w:t>2026年07月01日</w:t>
      </w:r>
      <w:r>
        <w:rPr>
          <w:rFonts w:hint="eastAsia" w:ascii="宋体" w:hAnsi="宋体" w:cs="宋体"/>
          <w:color w:val="auto"/>
          <w:szCs w:val="21"/>
          <w:highlight w:val="none"/>
          <w:lang w:val="en-US" w:eastAsia="zh-CN"/>
        </w:rPr>
        <w:t>之</w:t>
      </w:r>
      <w:r>
        <w:rPr>
          <w:rFonts w:hint="eastAsia" w:ascii="宋体" w:hAnsi="宋体" w:eastAsia="宋体" w:cs="宋体"/>
          <w:color w:val="auto"/>
          <w:szCs w:val="21"/>
          <w:highlight w:val="none"/>
        </w:rPr>
        <w:t>前</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且执行标准</w:t>
      </w:r>
      <w:r>
        <w:rPr>
          <w:rFonts w:hint="eastAsia" w:ascii="宋体" w:hAnsi="宋体" w:cs="宋体"/>
          <w:color w:val="auto"/>
          <w:szCs w:val="21"/>
          <w:highlight w:val="none"/>
          <w:lang w:val="en-US" w:eastAsia="zh-CN"/>
        </w:rPr>
        <w:t>为</w:t>
      </w:r>
      <w:r>
        <w:rPr>
          <w:rFonts w:hint="eastAsia" w:ascii="宋体" w:hAnsi="宋体" w:eastAsia="宋体" w:cs="宋体"/>
          <w:color w:val="auto"/>
          <w:highlight w:val="none"/>
        </w:rPr>
        <w:t>GB/T 10801.2-2018，</w:t>
      </w:r>
      <w:r>
        <w:rPr>
          <w:rFonts w:hint="eastAsia" w:ascii="宋体" w:hAnsi="宋体" w:eastAsia="宋体" w:cs="宋体"/>
          <w:color w:val="auto"/>
          <w:szCs w:val="21"/>
          <w:highlight w:val="none"/>
        </w:rPr>
        <w:t>每批次产品抽取样品</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块，其中检样和备样各为2块。</w:t>
      </w:r>
      <w:r>
        <w:rPr>
          <w:rFonts w:hint="eastAsia" w:ascii="宋体" w:hAnsi="宋体" w:cs="宋体"/>
          <w:szCs w:val="21"/>
          <w:highlight w:val="none"/>
          <w:lang w:val="en-US" w:eastAsia="zh-CN"/>
        </w:rPr>
        <w:t>所抽</w:t>
      </w:r>
      <w:r>
        <w:rPr>
          <w:rFonts w:hint="eastAsia" w:ascii="宋体" w:hAnsi="宋体" w:eastAsia="宋体" w:cs="宋体"/>
          <w:szCs w:val="21"/>
          <w:highlight w:val="none"/>
          <w:lang w:val="en-US" w:eastAsia="zh-CN"/>
        </w:rPr>
        <w:t>样品</w:t>
      </w:r>
      <w:r>
        <w:rPr>
          <w:rFonts w:hint="eastAsia" w:ascii="宋体" w:hAnsi="宋体" w:eastAsia="宋体" w:cs="宋体"/>
          <w:color w:val="auto"/>
          <w:szCs w:val="21"/>
          <w:highlight w:val="none"/>
          <w:lang w:val="en-US" w:eastAsia="zh-CN"/>
        </w:rPr>
        <w:t>生产日期在</w:t>
      </w:r>
      <w:r>
        <w:rPr>
          <w:rFonts w:hint="eastAsia" w:ascii="宋体" w:hAnsi="宋体" w:eastAsia="宋体" w:cs="宋体"/>
          <w:color w:val="auto"/>
          <w:szCs w:val="21"/>
          <w:highlight w:val="none"/>
        </w:rPr>
        <w:t>2026年07月01日</w:t>
      </w:r>
      <w:r>
        <w:rPr>
          <w:rFonts w:hint="eastAsia" w:ascii="宋体" w:hAnsi="宋体" w:cs="宋体"/>
          <w:color w:val="auto"/>
          <w:szCs w:val="21"/>
          <w:highlight w:val="none"/>
          <w:lang w:val="en-US" w:eastAsia="zh-CN"/>
        </w:rPr>
        <w:t>之</w:t>
      </w:r>
      <w:r>
        <w:rPr>
          <w:rFonts w:hint="eastAsia" w:ascii="宋体" w:hAnsi="宋体" w:eastAsia="宋体" w:cs="宋体"/>
          <w:color w:val="auto"/>
          <w:szCs w:val="21"/>
          <w:highlight w:val="none"/>
        </w:rPr>
        <w:t>后</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且执行标准</w:t>
      </w:r>
      <w:r>
        <w:rPr>
          <w:rFonts w:hint="eastAsia" w:ascii="宋体" w:hAnsi="宋体" w:cs="宋体"/>
          <w:color w:val="auto"/>
          <w:szCs w:val="21"/>
          <w:highlight w:val="none"/>
          <w:lang w:val="en-US" w:eastAsia="zh-CN"/>
        </w:rPr>
        <w:t>为</w:t>
      </w:r>
      <w:r>
        <w:rPr>
          <w:rFonts w:hint="eastAsia" w:ascii="宋体" w:hAnsi="宋体" w:eastAsia="宋体" w:cs="宋体"/>
          <w:color w:val="auto"/>
          <w:highlight w:val="none"/>
        </w:rPr>
        <w:t>GB/T 10801.2-2025</w:t>
      </w:r>
      <w:r>
        <w:rPr>
          <w:rFonts w:hint="eastAsia" w:ascii="宋体" w:hAnsi="宋体" w:cs="宋体"/>
          <w:color w:val="auto"/>
          <w:highlight w:val="none"/>
          <w:lang w:eastAsia="zh-CN"/>
        </w:rPr>
        <w:t>，</w:t>
      </w:r>
      <w:r>
        <w:rPr>
          <w:rFonts w:hint="eastAsia" w:ascii="宋体" w:hAnsi="宋体" w:eastAsia="宋体" w:cs="宋体"/>
          <w:color w:val="auto"/>
          <w:szCs w:val="21"/>
          <w:highlight w:val="none"/>
        </w:rPr>
        <w:t>每批次产品抽取样品</w:t>
      </w:r>
      <w:r>
        <w:rPr>
          <w:rFonts w:hint="eastAsia" w:ascii="宋体" w:hAnsi="宋体" w:cs="宋体"/>
          <w:szCs w:val="21"/>
          <w:highlight w:val="none"/>
          <w:lang w:val="en-US" w:eastAsia="zh-CN"/>
        </w:rPr>
        <w:t>4</w:t>
      </w:r>
      <w:r>
        <w:rPr>
          <w:rFonts w:hint="eastAsia" w:ascii="宋体" w:hAnsi="宋体" w:eastAsia="宋体" w:cs="宋体"/>
          <w:szCs w:val="21"/>
          <w:highlight w:val="none"/>
        </w:rPr>
        <w:t>块，其中检样和备样各为2块。</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黑体" w:hAnsi="黑体" w:eastAsia="黑体"/>
          <w:b/>
          <w:szCs w:val="21"/>
        </w:rPr>
      </w:pPr>
      <w:r>
        <w:rPr>
          <w:rFonts w:hint="eastAsia" w:ascii="宋体" w:hAnsi="宋体" w:eastAsia="宋体" w:cs="宋体"/>
          <w:highlight w:val="none"/>
        </w:rPr>
        <w:t>绝热用模塑聚苯乙烯泡沫塑料（EPS）</w:t>
      </w:r>
      <w:r>
        <w:rPr>
          <w:rFonts w:hint="eastAsia" w:ascii="宋体" w:hAnsi="宋体" w:eastAsia="宋体" w:cs="宋体"/>
          <w:szCs w:val="21"/>
          <w:highlight w:val="none"/>
        </w:rPr>
        <w:t>：</w:t>
      </w:r>
      <w:r>
        <w:rPr>
          <w:rFonts w:hint="eastAsia" w:ascii="宋体" w:hAnsi="宋体" w:cs="宋体"/>
          <w:szCs w:val="21"/>
          <w:highlight w:val="none"/>
          <w:lang w:val="en-US" w:eastAsia="zh-CN"/>
        </w:rPr>
        <w:t>所抽</w:t>
      </w:r>
      <w:r>
        <w:rPr>
          <w:rFonts w:hint="eastAsia" w:ascii="宋体" w:hAnsi="宋体" w:eastAsia="宋体" w:cs="宋体"/>
          <w:szCs w:val="21"/>
          <w:highlight w:val="none"/>
          <w:lang w:val="en-US" w:eastAsia="zh-CN"/>
        </w:rPr>
        <w:t>样品生产日期在</w:t>
      </w:r>
      <w:r>
        <w:rPr>
          <w:rFonts w:hint="eastAsia" w:ascii="宋体" w:hAnsi="宋体" w:eastAsia="宋体" w:cs="宋体"/>
          <w:szCs w:val="21"/>
          <w:highlight w:val="none"/>
        </w:rPr>
        <w:t>2026年07月01日</w:t>
      </w:r>
      <w:r>
        <w:rPr>
          <w:rFonts w:hint="eastAsia" w:ascii="宋体" w:hAnsi="宋体" w:cs="宋体"/>
          <w:szCs w:val="21"/>
          <w:highlight w:val="none"/>
          <w:lang w:val="en-US" w:eastAsia="zh-CN"/>
        </w:rPr>
        <w:t>之</w:t>
      </w:r>
      <w:r>
        <w:rPr>
          <w:rFonts w:hint="eastAsia" w:ascii="宋体" w:hAnsi="宋体" w:eastAsia="宋体" w:cs="宋体"/>
          <w:szCs w:val="21"/>
          <w:highlight w:val="none"/>
        </w:rPr>
        <w:t>前</w:t>
      </w:r>
      <w:r>
        <w:rPr>
          <w:rFonts w:hint="eastAsia" w:ascii="宋体" w:hAnsi="宋体" w:cs="宋体"/>
          <w:szCs w:val="21"/>
          <w:highlight w:val="none"/>
          <w:lang w:eastAsia="zh-CN"/>
        </w:rPr>
        <w:t>，</w:t>
      </w:r>
      <w:r>
        <w:rPr>
          <w:rFonts w:hint="eastAsia" w:ascii="宋体" w:hAnsi="宋体" w:eastAsia="宋体" w:cs="宋体"/>
          <w:szCs w:val="21"/>
          <w:highlight w:val="none"/>
        </w:rPr>
        <w:t>且执行标准</w:t>
      </w:r>
      <w:r>
        <w:rPr>
          <w:rFonts w:hint="eastAsia" w:ascii="宋体" w:hAnsi="宋体" w:cs="宋体"/>
          <w:szCs w:val="21"/>
          <w:highlight w:val="none"/>
          <w:lang w:val="en-US" w:eastAsia="zh-CN"/>
        </w:rPr>
        <w:t>为</w:t>
      </w:r>
      <w:r>
        <w:rPr>
          <w:rFonts w:hint="eastAsia" w:ascii="宋体" w:hAnsi="宋体" w:eastAsia="宋体" w:cs="宋体"/>
          <w:highlight w:val="none"/>
        </w:rPr>
        <w:t>GB/T 10801.1-2021，</w:t>
      </w:r>
      <w:r>
        <w:rPr>
          <w:rFonts w:hint="eastAsia" w:ascii="宋体" w:hAnsi="宋体" w:eastAsia="宋体" w:cs="宋体"/>
          <w:szCs w:val="21"/>
          <w:highlight w:val="none"/>
        </w:rPr>
        <w:t>每批次产品抽取样品</w:t>
      </w:r>
      <w:r>
        <w:rPr>
          <w:rFonts w:hint="eastAsia" w:ascii="宋体" w:hAnsi="宋体" w:cs="宋体"/>
          <w:szCs w:val="21"/>
          <w:highlight w:val="none"/>
          <w:lang w:val="en-US" w:eastAsia="zh-CN"/>
        </w:rPr>
        <w:t>4</w:t>
      </w:r>
      <w:r>
        <w:rPr>
          <w:rFonts w:hint="eastAsia" w:ascii="宋体" w:hAnsi="宋体" w:eastAsia="宋体" w:cs="宋体"/>
          <w:szCs w:val="21"/>
          <w:highlight w:val="none"/>
        </w:rPr>
        <w:t>块，其中检样和备样各为</w:t>
      </w:r>
      <w:r>
        <w:rPr>
          <w:rFonts w:hint="eastAsia" w:ascii="宋体" w:hAnsi="宋体" w:cs="宋体"/>
          <w:szCs w:val="21"/>
          <w:highlight w:val="none"/>
          <w:lang w:val="en-US" w:eastAsia="zh-CN"/>
        </w:rPr>
        <w:t>2</w:t>
      </w:r>
      <w:r>
        <w:rPr>
          <w:rFonts w:hint="eastAsia" w:ascii="宋体" w:hAnsi="宋体" w:eastAsia="宋体" w:cs="宋体"/>
          <w:szCs w:val="21"/>
          <w:highlight w:val="none"/>
        </w:rPr>
        <w:t>块。</w:t>
      </w:r>
      <w:r>
        <w:rPr>
          <w:rFonts w:hint="eastAsia" w:ascii="宋体" w:hAnsi="宋体" w:cs="宋体"/>
          <w:szCs w:val="21"/>
          <w:highlight w:val="none"/>
          <w:lang w:val="en-US" w:eastAsia="zh-CN"/>
        </w:rPr>
        <w:t>所抽</w:t>
      </w:r>
      <w:r>
        <w:rPr>
          <w:rFonts w:hint="eastAsia" w:ascii="宋体" w:hAnsi="宋体" w:eastAsia="宋体" w:cs="宋体"/>
          <w:szCs w:val="21"/>
          <w:highlight w:val="none"/>
          <w:lang w:val="en-US" w:eastAsia="zh-CN"/>
        </w:rPr>
        <w:t>样品</w:t>
      </w:r>
      <w:r>
        <w:rPr>
          <w:rFonts w:hint="eastAsia" w:ascii="宋体" w:hAnsi="宋体" w:eastAsia="宋体" w:cs="宋体"/>
          <w:color w:val="auto"/>
          <w:szCs w:val="21"/>
          <w:highlight w:val="none"/>
          <w:lang w:val="en-US" w:eastAsia="zh-CN"/>
        </w:rPr>
        <w:t>生产日期在</w:t>
      </w:r>
      <w:r>
        <w:rPr>
          <w:rFonts w:hint="eastAsia" w:ascii="宋体" w:hAnsi="宋体" w:eastAsia="宋体" w:cs="宋体"/>
          <w:color w:val="auto"/>
          <w:szCs w:val="21"/>
          <w:highlight w:val="none"/>
        </w:rPr>
        <w:t>2026年07月01日</w:t>
      </w:r>
      <w:r>
        <w:rPr>
          <w:rFonts w:hint="eastAsia" w:ascii="宋体" w:hAnsi="宋体" w:cs="宋体"/>
          <w:color w:val="auto"/>
          <w:szCs w:val="21"/>
          <w:highlight w:val="none"/>
          <w:lang w:val="en-US" w:eastAsia="zh-CN"/>
        </w:rPr>
        <w:t>之</w:t>
      </w:r>
      <w:r>
        <w:rPr>
          <w:rFonts w:hint="eastAsia" w:ascii="宋体" w:hAnsi="宋体" w:eastAsia="宋体" w:cs="宋体"/>
          <w:color w:val="auto"/>
          <w:szCs w:val="21"/>
          <w:highlight w:val="none"/>
        </w:rPr>
        <w:t>后</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且执行标准</w:t>
      </w:r>
      <w:r>
        <w:rPr>
          <w:rFonts w:hint="eastAsia" w:ascii="宋体" w:hAnsi="宋体" w:cs="宋体"/>
          <w:color w:val="auto"/>
          <w:szCs w:val="21"/>
          <w:highlight w:val="none"/>
          <w:lang w:val="en-US" w:eastAsia="zh-CN"/>
        </w:rPr>
        <w:t>为</w:t>
      </w:r>
      <w:r>
        <w:rPr>
          <w:rFonts w:hint="eastAsia" w:ascii="宋体" w:hAnsi="宋体" w:eastAsia="宋体" w:cs="宋体"/>
          <w:color w:val="auto"/>
          <w:highlight w:val="none"/>
        </w:rPr>
        <w:t>GB/T 10801.1-2025</w:t>
      </w:r>
      <w:r>
        <w:rPr>
          <w:rFonts w:hint="eastAsia" w:ascii="宋体" w:hAnsi="宋体" w:cs="宋体"/>
          <w:color w:val="auto"/>
          <w:highlight w:val="none"/>
          <w:lang w:eastAsia="zh-CN"/>
        </w:rPr>
        <w:t>，</w:t>
      </w:r>
      <w:r>
        <w:rPr>
          <w:rFonts w:hint="eastAsia" w:ascii="宋体" w:hAnsi="宋体" w:eastAsia="宋体" w:cs="宋体"/>
          <w:color w:val="auto"/>
          <w:szCs w:val="21"/>
          <w:highlight w:val="none"/>
        </w:rPr>
        <w:t>每批次产品抽取样品</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块，其中检样和备样各为2块。</w:t>
      </w:r>
    </w:p>
    <w:p>
      <w:pPr>
        <w:adjustRightInd w:val="0"/>
        <w:snapToGrid w:val="0"/>
        <w:spacing w:line="360" w:lineRule="auto"/>
        <w:rPr>
          <w:rFonts w:hint="eastAsia" w:ascii="黑体" w:hAnsi="黑体" w:eastAsia="黑体"/>
          <w:b/>
          <w:szCs w:val="21"/>
        </w:rPr>
      </w:pPr>
    </w:p>
    <w:p>
      <w:pPr>
        <w:adjustRightInd w:val="0"/>
        <w:snapToGrid w:val="0"/>
        <w:spacing w:line="360" w:lineRule="auto"/>
        <w:rPr>
          <w:rFonts w:ascii="黑体" w:hAnsi="黑体" w:eastAsia="黑体"/>
          <w:b/>
          <w:szCs w:val="21"/>
        </w:rPr>
      </w:pPr>
      <w:r>
        <w:rPr>
          <w:rFonts w:hint="eastAsia" w:ascii="黑体" w:hAnsi="黑体" w:eastAsia="黑体"/>
          <w:b/>
          <w:szCs w:val="21"/>
        </w:rPr>
        <w:t xml:space="preserve">2 检验依据 </w:t>
      </w:r>
    </w:p>
    <w:p>
      <w:pPr>
        <w:snapToGrid w:val="0"/>
        <w:spacing w:line="360" w:lineRule="auto"/>
        <w:ind w:firstLine="420" w:firstLineChars="200"/>
        <w:rPr>
          <w:rFonts w:hAnsi="宋体" w:cs="宋体"/>
          <w:szCs w:val="22"/>
        </w:rPr>
      </w:pPr>
      <w:r>
        <w:rPr>
          <w:rFonts w:hint="eastAsia" w:hAnsi="宋体" w:cs="宋体"/>
          <w:szCs w:val="22"/>
        </w:rPr>
        <w:t>绝热用挤塑聚苯乙烯泡沫塑料（XPS）产品检验项目、检验方法见表</w:t>
      </w:r>
      <w:r>
        <w:rPr>
          <w:rFonts w:hint="eastAsia" w:hAnsi="宋体" w:cs="宋体"/>
          <w:szCs w:val="22"/>
          <w:lang w:val="en-US" w:eastAsia="zh-CN"/>
        </w:rPr>
        <w:t>1</w:t>
      </w:r>
      <w:r>
        <w:rPr>
          <w:rFonts w:hint="eastAsia" w:hAnsi="宋体" w:cs="宋体"/>
          <w:szCs w:val="22"/>
        </w:rPr>
        <w:t>。</w:t>
      </w:r>
    </w:p>
    <w:p>
      <w:pPr>
        <w:snapToGrid w:val="0"/>
        <w:spacing w:line="360" w:lineRule="auto"/>
        <w:jc w:val="center"/>
        <w:rPr>
          <w:rFonts w:asciiTheme="minorEastAsia" w:hAnsiTheme="minorEastAsia" w:eastAsiaTheme="minorEastAsia"/>
          <w:bCs/>
          <w:color w:val="000000"/>
          <w:sz w:val="18"/>
          <w:szCs w:val="18"/>
        </w:rPr>
      </w:pPr>
      <w:r>
        <w:rPr>
          <w:rFonts w:hint="eastAsia" w:asciiTheme="minorEastAsia" w:hAnsiTheme="minorEastAsia" w:eastAsiaTheme="minorEastAsia"/>
          <w:bCs/>
          <w:color w:val="000000"/>
          <w:sz w:val="18"/>
          <w:szCs w:val="18"/>
        </w:rPr>
        <w:t xml:space="preserve">表 </w:t>
      </w:r>
      <w:r>
        <w:rPr>
          <w:rFonts w:hint="eastAsia" w:asciiTheme="minorEastAsia" w:hAnsiTheme="minorEastAsia" w:eastAsiaTheme="minorEastAsia"/>
          <w:bCs/>
          <w:color w:val="000000"/>
          <w:sz w:val="18"/>
          <w:szCs w:val="18"/>
          <w:lang w:val="en-US" w:eastAsia="zh-CN"/>
        </w:rPr>
        <w:t>1</w:t>
      </w:r>
      <w:r>
        <w:rPr>
          <w:rFonts w:hint="eastAsia" w:asciiTheme="minorEastAsia" w:hAnsiTheme="minorEastAsia" w:eastAsiaTheme="minorEastAsia"/>
          <w:bCs/>
          <w:color w:val="000000"/>
          <w:sz w:val="18"/>
          <w:szCs w:val="18"/>
        </w:rPr>
        <w:t>绝热用挤塑聚苯乙烯泡沫塑料（XPS）</w:t>
      </w:r>
      <w:r>
        <w:rPr>
          <w:rFonts w:asciiTheme="minorEastAsia" w:hAnsiTheme="minorEastAsia" w:eastAsiaTheme="minorEastAsia"/>
          <w:bCs/>
          <w:color w:val="000000"/>
          <w:sz w:val="18"/>
          <w:szCs w:val="18"/>
        </w:rPr>
        <w:t>检验项目</w:t>
      </w:r>
      <w:r>
        <w:rPr>
          <w:rFonts w:hint="eastAsia" w:asciiTheme="minorEastAsia" w:hAnsiTheme="minorEastAsia" w:eastAsiaTheme="minorEastAsia"/>
          <w:bCs/>
          <w:color w:val="000000"/>
          <w:sz w:val="18"/>
          <w:szCs w:val="18"/>
        </w:rPr>
        <w:t>、检验方法</w:t>
      </w:r>
    </w:p>
    <w:tbl>
      <w:tblPr>
        <w:tblStyle w:val="9"/>
        <w:tblW w:w="91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4475"/>
        <w:gridCol w:w="3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1218" w:type="dxa"/>
            <w:noWrap w:val="0"/>
            <w:vAlign w:val="center"/>
          </w:tcPr>
          <w:p>
            <w:pPr>
              <w:spacing w:line="240" w:lineRule="auto"/>
              <w:jc w:val="center"/>
              <w:rPr>
                <w:rFonts w:hint="eastAsia" w:ascii="宋体" w:hAnsi="宋体" w:eastAsia="宋体" w:cs="宋体"/>
                <w:sz w:val="18"/>
                <w:szCs w:val="18"/>
              </w:rPr>
            </w:pPr>
            <w:r>
              <w:rPr>
                <w:rFonts w:hint="eastAsia" w:ascii="宋体" w:hAnsi="宋体" w:eastAsia="宋体" w:cs="宋体"/>
                <w:sz w:val="18"/>
                <w:szCs w:val="18"/>
              </w:rPr>
              <w:t>序号</w:t>
            </w:r>
          </w:p>
        </w:tc>
        <w:tc>
          <w:tcPr>
            <w:tcW w:w="4475" w:type="dxa"/>
            <w:noWrap w:val="0"/>
            <w:vAlign w:val="center"/>
          </w:tcPr>
          <w:p>
            <w:pPr>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3481" w:type="dxa"/>
            <w:noWrap w:val="0"/>
            <w:vAlign w:val="center"/>
          </w:tcPr>
          <w:p>
            <w:pPr>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8" w:hRule="atLeast"/>
          <w:jc w:val="center"/>
        </w:trPr>
        <w:tc>
          <w:tcPr>
            <w:tcW w:w="1218" w:type="dxa"/>
            <w:noWrap w:val="0"/>
            <w:vAlign w:val="center"/>
          </w:tcPr>
          <w:p>
            <w:pPr>
              <w:spacing w:line="240" w:lineRule="auto"/>
              <w:jc w:val="center"/>
              <w:rPr>
                <w:rFonts w:hint="eastAsia" w:ascii="宋体" w:hAnsi="宋体" w:eastAsia="宋体" w:cs="宋体"/>
                <w:sz w:val="18"/>
                <w:szCs w:val="18"/>
              </w:rPr>
            </w:pPr>
            <w:bookmarkStart w:id="0" w:name="_Hlk172041338"/>
            <w:r>
              <w:rPr>
                <w:rFonts w:hint="eastAsia" w:ascii="宋体" w:hAnsi="宋体" w:eastAsia="宋体" w:cs="宋体"/>
                <w:sz w:val="18"/>
                <w:szCs w:val="18"/>
              </w:rPr>
              <w:t>1</w:t>
            </w:r>
          </w:p>
        </w:tc>
        <w:tc>
          <w:tcPr>
            <w:tcW w:w="4475" w:type="dxa"/>
            <w:noWrap w:val="0"/>
            <w:vAlign w:val="center"/>
          </w:tcPr>
          <w:p>
            <w:pPr>
              <w:spacing w:line="240" w:lineRule="auto"/>
              <w:jc w:val="center"/>
              <w:rPr>
                <w:rFonts w:hint="eastAsia" w:ascii="宋体" w:hAnsi="宋体" w:cs="宋体"/>
                <w:sz w:val="18"/>
                <w:szCs w:val="18"/>
                <w:lang w:val="en-US" w:eastAsia="zh-CN"/>
              </w:rPr>
            </w:pPr>
            <w:r>
              <w:rPr>
                <w:rFonts w:hint="eastAsia" w:ascii="宋体" w:hAnsi="宋体" w:eastAsia="宋体" w:cs="宋体"/>
                <w:sz w:val="18"/>
                <w:szCs w:val="18"/>
              </w:rPr>
              <w:t>导热系数平均温度25℃</w:t>
            </w:r>
            <w:r>
              <w:rPr>
                <w:rFonts w:hint="eastAsia" w:ascii="宋体" w:hAnsi="宋体" w:cs="宋体"/>
                <w:sz w:val="18"/>
                <w:szCs w:val="18"/>
                <w:lang w:val="en-US" w:eastAsia="zh-CN"/>
              </w:rPr>
              <w:t>/</w:t>
            </w:r>
          </w:p>
          <w:p>
            <w:pPr>
              <w:spacing w:line="24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rPr>
              <w:t>导热系数平均温度</w:t>
            </w:r>
            <w:r>
              <w:rPr>
                <w:rFonts w:hint="eastAsia" w:ascii="宋体" w:hAnsi="宋体" w:cs="宋体"/>
                <w:sz w:val="18"/>
                <w:szCs w:val="18"/>
                <w:lang w:val="en-US" w:eastAsia="zh-CN"/>
              </w:rPr>
              <w:t>（25±2）</w:t>
            </w:r>
            <w:r>
              <w:rPr>
                <w:rFonts w:hint="eastAsia" w:ascii="宋体" w:hAnsi="宋体" w:eastAsia="宋体" w:cs="宋体"/>
                <w:sz w:val="18"/>
                <w:szCs w:val="18"/>
              </w:rPr>
              <w:t>℃</w:t>
            </w:r>
          </w:p>
        </w:tc>
        <w:tc>
          <w:tcPr>
            <w:tcW w:w="3481" w:type="dxa"/>
            <w:noWrap w:val="0"/>
            <w:vAlign w:val="center"/>
          </w:tcPr>
          <w:p>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lang w:val="de-DE"/>
              </w:rPr>
              <w:t>GB/T 10801.</w:t>
            </w:r>
            <w:r>
              <w:rPr>
                <w:rFonts w:hint="eastAsia" w:ascii="宋体" w:hAnsi="宋体" w:eastAsia="宋体" w:cs="宋体"/>
                <w:sz w:val="18"/>
                <w:szCs w:val="18"/>
              </w:rPr>
              <w:t>2</w:t>
            </w:r>
            <w:r>
              <w:rPr>
                <w:rFonts w:hint="eastAsia" w:ascii="宋体" w:hAnsi="宋体" w:eastAsia="宋体" w:cs="宋体"/>
                <w:sz w:val="18"/>
                <w:szCs w:val="18"/>
                <w:lang w:val="de-DE"/>
              </w:rPr>
              <w:t>—20</w:t>
            </w:r>
            <w:r>
              <w:rPr>
                <w:rFonts w:hint="eastAsia" w:ascii="宋体" w:hAnsi="宋体" w:eastAsia="宋体" w:cs="宋体"/>
                <w:sz w:val="18"/>
                <w:szCs w:val="18"/>
              </w:rPr>
              <w:t>18</w:t>
            </w:r>
          </w:p>
          <w:p>
            <w:pPr>
              <w:spacing w:line="240" w:lineRule="auto"/>
              <w:jc w:val="center"/>
              <w:rPr>
                <w:rFonts w:hint="eastAsia" w:ascii="宋体" w:hAnsi="宋体" w:eastAsia="宋体" w:cs="宋体"/>
                <w:sz w:val="18"/>
                <w:szCs w:val="18"/>
              </w:rPr>
            </w:pPr>
            <w:r>
              <w:rPr>
                <w:rFonts w:hint="eastAsia" w:ascii="宋体" w:hAnsi="宋体" w:eastAsia="宋体" w:cs="宋体"/>
                <w:sz w:val="18"/>
                <w:szCs w:val="18"/>
                <w:lang w:val="de-DE"/>
              </w:rPr>
              <w:t>GB/T 10801.</w:t>
            </w:r>
            <w:r>
              <w:rPr>
                <w:rFonts w:hint="eastAsia" w:ascii="宋体" w:hAnsi="宋体" w:eastAsia="宋体" w:cs="宋体"/>
                <w:sz w:val="18"/>
                <w:szCs w:val="18"/>
              </w:rPr>
              <w:t>2</w:t>
            </w:r>
            <w:r>
              <w:rPr>
                <w:rFonts w:hint="eastAsia" w:ascii="宋体" w:hAnsi="宋体" w:eastAsia="宋体" w:cs="宋体"/>
                <w:sz w:val="18"/>
                <w:szCs w:val="18"/>
                <w:lang w:val="de-DE"/>
              </w:rPr>
              <w:t>—202</w:t>
            </w:r>
            <w:r>
              <w:rPr>
                <w:rFonts w:hint="eastAsia" w:ascii="宋体" w:hAnsi="宋体" w:eastAsia="宋体" w:cs="宋体"/>
                <w:sz w:val="18"/>
                <w:szCs w:val="18"/>
              </w:rPr>
              <w:t>5</w:t>
            </w:r>
          </w:p>
          <w:p>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 xml:space="preserve">GB/T 10294—2008 </w:t>
            </w:r>
          </w:p>
          <w:p>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GB/T 10295—2008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218" w:type="dxa"/>
            <w:noWrap w:val="0"/>
            <w:vAlign w:val="center"/>
          </w:tcPr>
          <w:p>
            <w:pPr>
              <w:spacing w:line="240" w:lineRule="auto"/>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2</w:t>
            </w:r>
          </w:p>
        </w:tc>
        <w:tc>
          <w:tcPr>
            <w:tcW w:w="4475" w:type="dxa"/>
            <w:shd w:val="clear" w:color="auto" w:fill="auto"/>
            <w:noWrap w:val="0"/>
            <w:vAlign w:val="center"/>
          </w:tcPr>
          <w:p>
            <w:pPr>
              <w:jc w:val="center"/>
              <w:rPr>
                <w:rFonts w:hint="eastAsia"/>
                <w:sz w:val="18"/>
                <w:szCs w:val="18"/>
                <w:lang w:val="en-US" w:eastAsia="zh-CN"/>
              </w:rPr>
            </w:pPr>
            <w:r>
              <w:rPr>
                <w:rFonts w:hint="eastAsia"/>
                <w:sz w:val="18"/>
                <w:szCs w:val="18"/>
                <w:lang w:val="en-US" w:eastAsia="zh-CN"/>
              </w:rPr>
              <w:t>压缩强度/</w:t>
            </w:r>
          </w:p>
          <w:p>
            <w:pPr>
              <w:jc w:val="center"/>
              <w:rPr>
                <w:rFonts w:hint="eastAsia" w:cs="Times New Roman" w:asciiTheme="minorEastAsia" w:hAnsiTheme="minorEastAsia" w:eastAsiaTheme="minorEastAsia"/>
                <w:kern w:val="2"/>
                <w:sz w:val="18"/>
                <w:szCs w:val="18"/>
                <w:lang w:val="en-US" w:eastAsia="zh-CN" w:bidi="ar-SA"/>
              </w:rPr>
            </w:pPr>
            <w:r>
              <w:rPr>
                <w:rFonts w:hint="eastAsia"/>
                <w:sz w:val="18"/>
                <w:szCs w:val="18"/>
                <w:lang w:val="en-US" w:eastAsia="zh-CN"/>
              </w:rPr>
              <w:t>压缩性能</w:t>
            </w:r>
          </w:p>
        </w:tc>
        <w:tc>
          <w:tcPr>
            <w:tcW w:w="3481" w:type="dxa"/>
            <w:shd w:val="clear" w:color="auto" w:fill="auto"/>
            <w:noWrap w:val="0"/>
            <w:vAlign w:val="center"/>
          </w:tcPr>
          <w:p>
            <w:pPr>
              <w:snapToGrid w:val="0"/>
              <w:spacing w:line="300" w:lineRule="exact"/>
              <w:jc w:val="center"/>
              <w:rPr>
                <w:sz w:val="18"/>
                <w:szCs w:val="18"/>
                <w:lang w:val="de-DE"/>
              </w:rPr>
            </w:pPr>
            <w:r>
              <w:rPr>
                <w:rFonts w:hint="eastAsia"/>
                <w:sz w:val="18"/>
                <w:szCs w:val="18"/>
              </w:rPr>
              <w:t>G</w:t>
            </w:r>
            <w:r>
              <w:rPr>
                <w:sz w:val="18"/>
                <w:szCs w:val="18"/>
                <w:lang w:val="de-DE"/>
              </w:rPr>
              <w:t>B/T 10801.</w:t>
            </w:r>
            <w:r>
              <w:rPr>
                <w:rFonts w:hint="eastAsia"/>
                <w:sz w:val="18"/>
                <w:szCs w:val="18"/>
                <w:lang w:val="en-US" w:eastAsia="zh-CN"/>
              </w:rPr>
              <w:t>2</w:t>
            </w:r>
            <w:r>
              <w:rPr>
                <w:sz w:val="18"/>
                <w:szCs w:val="18"/>
                <w:lang w:val="de-DE"/>
              </w:rPr>
              <w:t>—2021</w:t>
            </w:r>
          </w:p>
          <w:p>
            <w:pPr>
              <w:snapToGrid w:val="0"/>
              <w:spacing w:line="300" w:lineRule="exact"/>
              <w:jc w:val="center"/>
              <w:rPr>
                <w:sz w:val="18"/>
                <w:szCs w:val="18"/>
              </w:rPr>
            </w:pPr>
            <w:r>
              <w:rPr>
                <w:sz w:val="18"/>
                <w:szCs w:val="18"/>
                <w:lang w:val="de-DE"/>
              </w:rPr>
              <w:t>GB/T 10801.</w:t>
            </w:r>
            <w:r>
              <w:rPr>
                <w:rFonts w:hint="eastAsia"/>
                <w:sz w:val="18"/>
                <w:szCs w:val="18"/>
                <w:lang w:val="en-US" w:eastAsia="zh-CN"/>
              </w:rPr>
              <w:t>2</w:t>
            </w:r>
            <w:r>
              <w:rPr>
                <w:sz w:val="18"/>
                <w:szCs w:val="18"/>
                <w:lang w:val="de-DE"/>
              </w:rPr>
              <w:t>—202</w:t>
            </w:r>
            <w:r>
              <w:rPr>
                <w:rFonts w:hint="eastAsia"/>
                <w:sz w:val="18"/>
                <w:szCs w:val="18"/>
              </w:rPr>
              <w:t>5</w:t>
            </w:r>
          </w:p>
          <w:p>
            <w:pPr>
              <w:snapToGrid w:val="0"/>
              <w:spacing w:line="300" w:lineRule="exact"/>
              <w:jc w:val="center"/>
              <w:rPr>
                <w:rFonts w:hint="eastAsia" w:ascii="Times New Roman" w:hAnsi="Times New Roman" w:eastAsia="宋体" w:cs="Times New Roman"/>
                <w:kern w:val="2"/>
                <w:sz w:val="18"/>
                <w:szCs w:val="18"/>
                <w:lang w:val="en-US" w:eastAsia="zh-CN" w:bidi="ar-SA"/>
              </w:rPr>
            </w:pPr>
            <w:r>
              <w:rPr>
                <w:rFonts w:hint="eastAsia"/>
                <w:sz w:val="18"/>
                <w:szCs w:val="18"/>
              </w:rPr>
              <w:t>G</w:t>
            </w:r>
            <w:r>
              <w:rPr>
                <w:sz w:val="18"/>
                <w:szCs w:val="18"/>
                <w:lang w:val="de-DE"/>
              </w:rPr>
              <w:t>B/T</w:t>
            </w:r>
            <w:r>
              <w:rPr>
                <w:rFonts w:hint="eastAsia"/>
                <w:sz w:val="18"/>
                <w:szCs w:val="18"/>
                <w:lang w:val="en-US" w:eastAsia="zh-CN"/>
              </w:rPr>
              <w:t xml:space="preserve"> 8813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218" w:type="dxa"/>
            <w:noWrap w:val="0"/>
            <w:vAlign w:val="center"/>
          </w:tcPr>
          <w:p>
            <w:pPr>
              <w:spacing w:line="240" w:lineRule="auto"/>
              <w:jc w:val="center"/>
              <w:rPr>
                <w:rFonts w:hint="default" w:ascii="宋体" w:hAnsi="宋体" w:cs="宋体"/>
                <w:sz w:val="18"/>
                <w:szCs w:val="18"/>
                <w:lang w:val="en-US" w:eastAsia="zh-CN"/>
              </w:rPr>
            </w:pPr>
            <w:r>
              <w:rPr>
                <w:rFonts w:hint="eastAsia" w:ascii="宋体" w:hAnsi="宋体" w:cs="宋体"/>
                <w:sz w:val="18"/>
                <w:szCs w:val="18"/>
                <w:lang w:val="en-US" w:eastAsia="zh-CN"/>
              </w:rPr>
              <w:t>3</w:t>
            </w:r>
          </w:p>
        </w:tc>
        <w:tc>
          <w:tcPr>
            <w:tcW w:w="4475" w:type="dxa"/>
            <w:shd w:val="clear" w:color="auto" w:fill="auto"/>
            <w:noWrap w:val="0"/>
            <w:vAlign w:val="center"/>
          </w:tcPr>
          <w:p>
            <w:pPr>
              <w:jc w:val="center"/>
              <w:rPr>
                <w:rFonts w:hint="default" w:ascii="Times New Roman" w:hAnsi="Times New Roman" w:eastAsia="宋体" w:cs="Times New Roman"/>
                <w:kern w:val="2"/>
                <w:sz w:val="18"/>
                <w:szCs w:val="18"/>
                <w:lang w:val="en-US" w:eastAsia="zh-CN" w:bidi="ar-SA"/>
              </w:rPr>
            </w:pPr>
            <w:r>
              <w:rPr>
                <w:rFonts w:hint="eastAsia"/>
                <w:sz w:val="18"/>
                <w:szCs w:val="18"/>
                <w:highlight w:val="none"/>
                <w:lang w:val="en-US" w:eastAsia="zh-CN"/>
              </w:rPr>
              <w:t>热阻/厚度25mm时平均温度</w:t>
            </w:r>
            <w:r>
              <w:rPr>
                <w:rFonts w:hint="eastAsia" w:ascii="宋体" w:hAnsi="宋体" w:eastAsia="宋体" w:cs="宋体"/>
                <w:sz w:val="18"/>
                <w:szCs w:val="18"/>
                <w:highlight w:val="none"/>
              </w:rPr>
              <w:t>25℃</w:t>
            </w:r>
          </w:p>
        </w:tc>
        <w:tc>
          <w:tcPr>
            <w:tcW w:w="3481" w:type="dxa"/>
            <w:shd w:val="clear" w:color="auto" w:fill="auto"/>
            <w:noWrap w:val="0"/>
            <w:vAlign w:val="center"/>
          </w:tcPr>
          <w:p>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lang w:val="de-DE"/>
              </w:rPr>
              <w:t>GB/T 10801.</w:t>
            </w:r>
            <w:r>
              <w:rPr>
                <w:rFonts w:hint="eastAsia" w:ascii="宋体" w:hAnsi="宋体" w:eastAsia="宋体" w:cs="宋体"/>
                <w:sz w:val="18"/>
                <w:szCs w:val="18"/>
              </w:rPr>
              <w:t>2</w:t>
            </w:r>
            <w:r>
              <w:rPr>
                <w:rFonts w:hint="eastAsia" w:ascii="宋体" w:hAnsi="宋体" w:eastAsia="宋体" w:cs="宋体"/>
                <w:sz w:val="18"/>
                <w:szCs w:val="18"/>
                <w:lang w:val="de-DE"/>
              </w:rPr>
              <w:t>—20</w:t>
            </w:r>
            <w:r>
              <w:rPr>
                <w:rFonts w:hint="eastAsia" w:ascii="宋体" w:hAnsi="宋体" w:eastAsia="宋体" w:cs="宋体"/>
                <w:sz w:val="18"/>
                <w:szCs w:val="18"/>
              </w:rPr>
              <w:t>18</w:t>
            </w:r>
          </w:p>
          <w:p>
            <w:pPr>
              <w:spacing w:line="240" w:lineRule="auto"/>
              <w:jc w:val="center"/>
              <w:rPr>
                <w:rFonts w:hint="eastAsia" w:ascii="宋体" w:hAnsi="宋体" w:eastAsia="宋体" w:cs="宋体"/>
                <w:sz w:val="18"/>
                <w:szCs w:val="18"/>
              </w:rPr>
            </w:pPr>
            <w:r>
              <w:rPr>
                <w:rFonts w:hint="eastAsia" w:ascii="宋体" w:hAnsi="宋体" w:eastAsia="宋体" w:cs="宋体"/>
                <w:sz w:val="18"/>
                <w:szCs w:val="18"/>
                <w:lang w:val="de-DE"/>
              </w:rPr>
              <w:t>GB/T 10801.</w:t>
            </w:r>
            <w:r>
              <w:rPr>
                <w:rFonts w:hint="eastAsia" w:ascii="宋体" w:hAnsi="宋体" w:eastAsia="宋体" w:cs="宋体"/>
                <w:sz w:val="18"/>
                <w:szCs w:val="18"/>
              </w:rPr>
              <w:t>2</w:t>
            </w:r>
            <w:r>
              <w:rPr>
                <w:rFonts w:hint="eastAsia" w:ascii="宋体" w:hAnsi="宋体" w:eastAsia="宋体" w:cs="宋体"/>
                <w:sz w:val="18"/>
                <w:szCs w:val="18"/>
                <w:lang w:val="de-DE"/>
              </w:rPr>
              <w:t>—202</w:t>
            </w:r>
            <w:r>
              <w:rPr>
                <w:rFonts w:hint="eastAsia" w:ascii="宋体" w:hAnsi="宋体" w:eastAsia="宋体" w:cs="宋体"/>
                <w:sz w:val="18"/>
                <w:szCs w:val="18"/>
              </w:rPr>
              <w:t>5</w:t>
            </w:r>
          </w:p>
          <w:p>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 xml:space="preserve">GB/T 10294—2008 </w:t>
            </w:r>
          </w:p>
          <w:p>
            <w:pPr>
              <w:snapToGrid w:val="0"/>
              <w:spacing w:line="300" w:lineRule="exact"/>
              <w:jc w:val="center"/>
              <w:rPr>
                <w:rFonts w:hint="eastAsia" w:ascii="Times New Roman" w:hAnsi="Times New Roman" w:eastAsia="宋体" w:cs="Times New Roman"/>
                <w:kern w:val="2"/>
                <w:sz w:val="18"/>
                <w:szCs w:val="18"/>
                <w:lang w:val="en-US" w:eastAsia="zh-CN" w:bidi="ar-SA"/>
              </w:rPr>
            </w:pPr>
            <w:r>
              <w:rPr>
                <w:rFonts w:hint="eastAsia" w:ascii="宋体" w:hAnsi="宋体" w:eastAsia="宋体" w:cs="宋体"/>
                <w:sz w:val="18"/>
                <w:szCs w:val="18"/>
                <w:lang w:val="de-DE"/>
              </w:rPr>
              <w:t>GB/T 10295—2008</w:t>
            </w:r>
          </w:p>
        </w:tc>
      </w:tr>
      <w:bookmarkEnd w:id="0"/>
    </w:tbl>
    <w:p>
      <w:pPr>
        <w:snapToGrid w:val="0"/>
        <w:spacing w:line="360" w:lineRule="auto"/>
        <w:rPr>
          <w:rFonts w:ascii="宋体" w:hAnsi="宋体"/>
          <w:bCs/>
          <w:color w:val="000000"/>
          <w:sz w:val="10"/>
          <w:szCs w:val="10"/>
        </w:rPr>
      </w:pPr>
    </w:p>
    <w:p>
      <w:pPr>
        <w:snapToGrid w:val="0"/>
        <w:spacing w:line="360" w:lineRule="auto"/>
        <w:ind w:firstLine="420" w:firstLineChars="200"/>
        <w:rPr>
          <w:rFonts w:hAnsi="宋体" w:cs="宋体"/>
          <w:szCs w:val="22"/>
        </w:rPr>
      </w:pPr>
      <w:r>
        <w:rPr>
          <w:rFonts w:hint="eastAsia" w:hAnsi="宋体" w:cs="宋体"/>
          <w:szCs w:val="22"/>
        </w:rPr>
        <w:t>绝热用模塑聚苯乙烯泡沫塑料（EPS）产品检验项目、检验方法见表</w:t>
      </w:r>
      <w:r>
        <w:rPr>
          <w:rFonts w:hint="eastAsia" w:hAnsi="宋体" w:cs="宋体"/>
          <w:szCs w:val="22"/>
          <w:lang w:val="en-US" w:eastAsia="zh-CN"/>
        </w:rPr>
        <w:t>2</w:t>
      </w:r>
      <w:r>
        <w:rPr>
          <w:rFonts w:hint="eastAsia" w:hAnsi="宋体" w:cs="宋体"/>
          <w:szCs w:val="22"/>
        </w:rPr>
        <w:t>。</w:t>
      </w:r>
    </w:p>
    <w:p>
      <w:pPr>
        <w:snapToGrid w:val="0"/>
        <w:jc w:val="center"/>
        <w:rPr>
          <w:rFonts w:asciiTheme="minorEastAsia" w:hAnsiTheme="minorEastAsia" w:eastAsiaTheme="minorEastAsia"/>
          <w:bCs/>
          <w:color w:val="000000"/>
          <w:sz w:val="18"/>
          <w:szCs w:val="18"/>
        </w:rPr>
      </w:pPr>
      <w:r>
        <w:rPr>
          <w:rFonts w:hint="eastAsia" w:asciiTheme="minorEastAsia" w:hAnsiTheme="minorEastAsia" w:eastAsiaTheme="minorEastAsia"/>
          <w:bCs/>
          <w:color w:val="000000"/>
          <w:sz w:val="18"/>
          <w:szCs w:val="18"/>
        </w:rPr>
        <w:t xml:space="preserve">表 </w:t>
      </w:r>
      <w:r>
        <w:rPr>
          <w:rFonts w:hint="eastAsia" w:asciiTheme="minorEastAsia" w:hAnsiTheme="minorEastAsia" w:eastAsiaTheme="minorEastAsia"/>
          <w:bCs/>
          <w:color w:val="000000"/>
          <w:sz w:val="18"/>
          <w:szCs w:val="18"/>
          <w:lang w:val="en-US" w:eastAsia="zh-CN"/>
        </w:rPr>
        <w:t>2</w:t>
      </w:r>
      <w:r>
        <w:rPr>
          <w:rFonts w:hint="eastAsia" w:asciiTheme="minorEastAsia" w:hAnsiTheme="minorEastAsia" w:eastAsiaTheme="minorEastAsia"/>
          <w:bCs/>
          <w:color w:val="000000"/>
          <w:sz w:val="18"/>
          <w:szCs w:val="18"/>
        </w:rPr>
        <w:t>绝热用模塑聚苯乙烯泡沫塑料（EPS）</w:t>
      </w:r>
      <w:r>
        <w:rPr>
          <w:rFonts w:asciiTheme="minorEastAsia" w:hAnsiTheme="minorEastAsia" w:eastAsiaTheme="minorEastAsia"/>
          <w:bCs/>
          <w:color w:val="000000"/>
          <w:sz w:val="18"/>
          <w:szCs w:val="18"/>
        </w:rPr>
        <w:t>检验项目</w:t>
      </w:r>
      <w:r>
        <w:rPr>
          <w:rFonts w:hint="eastAsia" w:asciiTheme="minorEastAsia" w:hAnsiTheme="minorEastAsia" w:eastAsiaTheme="minorEastAsia"/>
          <w:bCs/>
          <w:color w:val="000000"/>
          <w:sz w:val="18"/>
          <w:szCs w:val="18"/>
        </w:rPr>
        <w:t>、检验方法</w:t>
      </w:r>
    </w:p>
    <w:tbl>
      <w:tblPr>
        <w:tblStyle w:val="9"/>
        <w:tblW w:w="91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1"/>
        <w:gridCol w:w="4514"/>
        <w:gridCol w:w="3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blHeader/>
          <w:jc w:val="center"/>
        </w:trPr>
        <w:tc>
          <w:tcPr>
            <w:tcW w:w="1181" w:type="dxa"/>
            <w:noWrap w:val="0"/>
            <w:vAlign w:val="center"/>
          </w:tcPr>
          <w:p>
            <w:pPr>
              <w:spacing w:line="240" w:lineRule="auto"/>
              <w:jc w:val="center"/>
              <w:rPr>
                <w:rFonts w:hint="eastAsia" w:ascii="宋体" w:hAnsi="宋体" w:eastAsia="宋体" w:cs="宋体"/>
                <w:sz w:val="18"/>
                <w:szCs w:val="18"/>
              </w:rPr>
            </w:pPr>
            <w:r>
              <w:rPr>
                <w:rFonts w:hint="eastAsia" w:ascii="宋体" w:hAnsi="宋体" w:eastAsia="宋体" w:cs="宋体"/>
                <w:sz w:val="18"/>
                <w:szCs w:val="18"/>
              </w:rPr>
              <w:t>序号</w:t>
            </w:r>
          </w:p>
        </w:tc>
        <w:tc>
          <w:tcPr>
            <w:tcW w:w="4514" w:type="dxa"/>
            <w:noWrap w:val="0"/>
            <w:vAlign w:val="center"/>
          </w:tcPr>
          <w:p>
            <w:pPr>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3479" w:type="dxa"/>
            <w:noWrap w:val="0"/>
            <w:vAlign w:val="center"/>
          </w:tcPr>
          <w:p>
            <w:pPr>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blHeader/>
          <w:jc w:val="center"/>
        </w:trPr>
        <w:tc>
          <w:tcPr>
            <w:tcW w:w="1181" w:type="dxa"/>
            <w:noWrap w:val="0"/>
            <w:vAlign w:val="center"/>
          </w:tcPr>
          <w:p>
            <w:pPr>
              <w:spacing w:line="240" w:lineRule="auto"/>
              <w:jc w:val="center"/>
              <w:rPr>
                <w:rFonts w:hint="eastAsia" w:ascii="宋体" w:hAnsi="宋体" w:eastAsia="宋体" w:cs="宋体"/>
                <w:sz w:val="18"/>
                <w:szCs w:val="18"/>
              </w:rPr>
            </w:pPr>
            <w:bookmarkStart w:id="1" w:name="_Hlk172041321"/>
            <w:r>
              <w:rPr>
                <w:rFonts w:hint="eastAsia" w:ascii="宋体" w:hAnsi="宋体" w:eastAsia="宋体" w:cs="宋体"/>
                <w:sz w:val="18"/>
                <w:szCs w:val="18"/>
              </w:rPr>
              <w:t>1</w:t>
            </w:r>
          </w:p>
        </w:tc>
        <w:tc>
          <w:tcPr>
            <w:tcW w:w="4514" w:type="dxa"/>
            <w:noWrap w:val="0"/>
            <w:vAlign w:val="center"/>
          </w:tcPr>
          <w:p>
            <w:pPr>
              <w:spacing w:line="240" w:lineRule="auto"/>
              <w:jc w:val="center"/>
              <w:rPr>
                <w:rFonts w:hint="eastAsia" w:ascii="宋体" w:hAnsi="宋体" w:cs="宋体"/>
                <w:sz w:val="18"/>
                <w:szCs w:val="18"/>
                <w:lang w:val="en-US" w:eastAsia="zh-CN"/>
              </w:rPr>
            </w:pPr>
            <w:r>
              <w:rPr>
                <w:rFonts w:hint="eastAsia" w:ascii="宋体" w:hAnsi="宋体" w:eastAsia="宋体" w:cs="宋体"/>
                <w:sz w:val="18"/>
                <w:szCs w:val="18"/>
              </w:rPr>
              <w:t>导热系数（平均温度25℃）</w:t>
            </w:r>
            <w:r>
              <w:rPr>
                <w:rFonts w:hint="eastAsia" w:ascii="宋体" w:hAnsi="宋体" w:cs="宋体"/>
                <w:sz w:val="18"/>
                <w:szCs w:val="18"/>
                <w:lang w:val="en-US" w:eastAsia="zh-CN"/>
              </w:rPr>
              <w:t>/</w:t>
            </w:r>
          </w:p>
          <w:p>
            <w:pPr>
              <w:spacing w:line="240" w:lineRule="auto"/>
              <w:jc w:val="center"/>
              <w:rPr>
                <w:rFonts w:hint="eastAsia" w:ascii="宋体" w:hAnsi="宋体" w:eastAsia="宋体" w:cs="宋体"/>
                <w:sz w:val="18"/>
                <w:szCs w:val="18"/>
              </w:rPr>
            </w:pPr>
            <w:r>
              <w:rPr>
                <w:rFonts w:hint="eastAsia" w:ascii="宋体" w:hAnsi="宋体" w:eastAsia="宋体" w:cs="宋体"/>
                <w:sz w:val="18"/>
                <w:szCs w:val="18"/>
              </w:rPr>
              <w:t>导热系数平均温度</w:t>
            </w:r>
            <w:r>
              <w:rPr>
                <w:rFonts w:hint="eastAsia" w:ascii="宋体" w:hAnsi="宋体" w:cs="宋体"/>
                <w:sz w:val="18"/>
                <w:szCs w:val="18"/>
                <w:lang w:val="en-US" w:eastAsia="zh-CN"/>
              </w:rPr>
              <w:t>为（25±2）</w:t>
            </w:r>
            <w:r>
              <w:rPr>
                <w:rFonts w:hint="eastAsia" w:ascii="宋体" w:hAnsi="宋体" w:eastAsia="宋体" w:cs="宋体"/>
                <w:sz w:val="18"/>
                <w:szCs w:val="18"/>
              </w:rPr>
              <w:t>℃</w:t>
            </w:r>
          </w:p>
        </w:tc>
        <w:tc>
          <w:tcPr>
            <w:tcW w:w="3479" w:type="dxa"/>
            <w:noWrap w:val="0"/>
            <w:vAlign w:val="center"/>
          </w:tcPr>
          <w:p>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lang w:val="de-DE"/>
              </w:rPr>
              <w:t>GB/T 10801.1—2021</w:t>
            </w:r>
          </w:p>
          <w:p>
            <w:pPr>
              <w:spacing w:line="240" w:lineRule="auto"/>
              <w:jc w:val="center"/>
              <w:rPr>
                <w:rFonts w:hint="eastAsia" w:ascii="宋体" w:hAnsi="宋体" w:eastAsia="宋体" w:cs="宋体"/>
                <w:sz w:val="18"/>
                <w:szCs w:val="18"/>
              </w:rPr>
            </w:pPr>
            <w:r>
              <w:rPr>
                <w:rFonts w:hint="eastAsia" w:ascii="宋体" w:hAnsi="宋体" w:eastAsia="宋体" w:cs="宋体"/>
                <w:sz w:val="18"/>
                <w:szCs w:val="18"/>
                <w:lang w:val="de-DE"/>
              </w:rPr>
              <w:t>GB/T 10801.1—202</w:t>
            </w:r>
            <w:r>
              <w:rPr>
                <w:rFonts w:hint="eastAsia" w:ascii="宋体" w:hAnsi="宋体" w:eastAsia="宋体" w:cs="宋体"/>
                <w:sz w:val="18"/>
                <w:szCs w:val="18"/>
              </w:rPr>
              <w:t>5</w:t>
            </w:r>
          </w:p>
          <w:p>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GB/T 10294—2008</w:t>
            </w:r>
          </w:p>
          <w:p>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GB/T 10295—2008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blHeader/>
          <w:jc w:val="center"/>
        </w:trPr>
        <w:tc>
          <w:tcPr>
            <w:tcW w:w="1181" w:type="dxa"/>
            <w:noWrap w:val="0"/>
            <w:vAlign w:val="center"/>
          </w:tcPr>
          <w:p>
            <w:pPr>
              <w:spacing w:line="240" w:lineRule="auto"/>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2</w:t>
            </w:r>
          </w:p>
        </w:tc>
        <w:tc>
          <w:tcPr>
            <w:tcW w:w="4514" w:type="dxa"/>
            <w:shd w:val="clear" w:color="auto" w:fill="auto"/>
            <w:noWrap w:val="0"/>
            <w:vAlign w:val="center"/>
          </w:tcPr>
          <w:p>
            <w:pPr>
              <w:jc w:val="center"/>
              <w:rPr>
                <w:rFonts w:hint="eastAsia"/>
                <w:sz w:val="18"/>
                <w:szCs w:val="18"/>
                <w:lang w:val="en-US" w:eastAsia="zh-CN"/>
              </w:rPr>
            </w:pPr>
            <w:r>
              <w:rPr>
                <w:rFonts w:hint="eastAsia"/>
                <w:sz w:val="18"/>
                <w:szCs w:val="18"/>
                <w:lang w:val="en-US" w:eastAsia="zh-CN"/>
              </w:rPr>
              <w:t>压缩强度/</w:t>
            </w:r>
          </w:p>
          <w:p>
            <w:pPr>
              <w:jc w:val="center"/>
              <w:rPr>
                <w:rFonts w:hint="eastAsia" w:cs="Times New Roman" w:asciiTheme="minorEastAsia" w:hAnsiTheme="minorEastAsia" w:eastAsiaTheme="minorEastAsia"/>
                <w:kern w:val="2"/>
                <w:sz w:val="18"/>
                <w:szCs w:val="18"/>
                <w:lang w:val="en-US" w:eastAsia="zh-CN" w:bidi="ar-SA"/>
              </w:rPr>
            </w:pPr>
            <w:r>
              <w:rPr>
                <w:rFonts w:hint="eastAsia"/>
                <w:sz w:val="18"/>
                <w:szCs w:val="18"/>
                <w:lang w:val="en-US" w:eastAsia="zh-CN"/>
              </w:rPr>
              <w:t>压缩性能</w:t>
            </w:r>
          </w:p>
        </w:tc>
        <w:tc>
          <w:tcPr>
            <w:tcW w:w="3479" w:type="dxa"/>
            <w:shd w:val="clear" w:color="auto" w:fill="auto"/>
            <w:noWrap w:val="0"/>
            <w:vAlign w:val="center"/>
          </w:tcPr>
          <w:p>
            <w:pPr>
              <w:snapToGrid w:val="0"/>
              <w:spacing w:line="300" w:lineRule="exact"/>
              <w:jc w:val="center"/>
              <w:rPr>
                <w:sz w:val="18"/>
                <w:szCs w:val="18"/>
                <w:lang w:val="de-DE"/>
              </w:rPr>
            </w:pPr>
            <w:r>
              <w:rPr>
                <w:rFonts w:hint="eastAsia"/>
                <w:sz w:val="18"/>
                <w:szCs w:val="18"/>
              </w:rPr>
              <w:t>G</w:t>
            </w:r>
            <w:r>
              <w:rPr>
                <w:sz w:val="18"/>
                <w:szCs w:val="18"/>
                <w:lang w:val="de-DE"/>
              </w:rPr>
              <w:t>B/T 10801.1—2021</w:t>
            </w:r>
          </w:p>
          <w:p>
            <w:pPr>
              <w:snapToGrid w:val="0"/>
              <w:spacing w:line="300" w:lineRule="exact"/>
              <w:jc w:val="center"/>
              <w:rPr>
                <w:sz w:val="18"/>
                <w:szCs w:val="18"/>
              </w:rPr>
            </w:pPr>
            <w:r>
              <w:rPr>
                <w:sz w:val="18"/>
                <w:szCs w:val="18"/>
                <w:lang w:val="de-DE"/>
              </w:rPr>
              <w:t>GB/T 10801.1—202</w:t>
            </w:r>
            <w:r>
              <w:rPr>
                <w:rFonts w:hint="eastAsia"/>
                <w:sz w:val="18"/>
                <w:szCs w:val="18"/>
              </w:rPr>
              <w:t>5</w:t>
            </w:r>
          </w:p>
          <w:p>
            <w:pPr>
              <w:snapToGrid w:val="0"/>
              <w:spacing w:line="300" w:lineRule="exact"/>
              <w:jc w:val="center"/>
              <w:rPr>
                <w:rFonts w:hint="eastAsia" w:ascii="Times New Roman" w:hAnsi="Times New Roman" w:eastAsia="宋体" w:cs="Times New Roman"/>
                <w:kern w:val="2"/>
                <w:sz w:val="18"/>
                <w:szCs w:val="18"/>
                <w:lang w:val="en-US" w:eastAsia="zh-CN" w:bidi="ar-SA"/>
              </w:rPr>
            </w:pPr>
            <w:r>
              <w:rPr>
                <w:rFonts w:hint="eastAsia"/>
                <w:sz w:val="18"/>
                <w:szCs w:val="18"/>
              </w:rPr>
              <w:t>G</w:t>
            </w:r>
            <w:r>
              <w:rPr>
                <w:sz w:val="18"/>
                <w:szCs w:val="18"/>
                <w:lang w:val="de-DE"/>
              </w:rPr>
              <w:t>B/T</w:t>
            </w:r>
            <w:r>
              <w:rPr>
                <w:rFonts w:hint="eastAsia"/>
                <w:sz w:val="18"/>
                <w:szCs w:val="18"/>
                <w:lang w:val="en-US" w:eastAsia="zh-CN"/>
              </w:rPr>
              <w:t xml:space="preserve"> 8813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blHeader/>
          <w:jc w:val="center"/>
        </w:trPr>
        <w:tc>
          <w:tcPr>
            <w:tcW w:w="1181" w:type="dxa"/>
            <w:noWrap w:val="0"/>
            <w:vAlign w:val="center"/>
          </w:tcPr>
          <w:p>
            <w:pPr>
              <w:spacing w:line="240" w:lineRule="auto"/>
              <w:jc w:val="center"/>
              <w:rPr>
                <w:rFonts w:hint="default" w:ascii="宋体" w:hAnsi="宋体" w:cs="宋体"/>
                <w:sz w:val="18"/>
                <w:szCs w:val="18"/>
                <w:lang w:val="en-US" w:eastAsia="zh-CN"/>
              </w:rPr>
            </w:pPr>
            <w:r>
              <w:rPr>
                <w:rFonts w:hint="eastAsia" w:ascii="宋体" w:hAnsi="宋体" w:cs="宋体"/>
                <w:sz w:val="18"/>
                <w:szCs w:val="18"/>
                <w:lang w:val="en-US" w:eastAsia="zh-CN"/>
              </w:rPr>
              <w:t>3</w:t>
            </w:r>
          </w:p>
        </w:tc>
        <w:tc>
          <w:tcPr>
            <w:tcW w:w="4514" w:type="dxa"/>
            <w:shd w:val="clear" w:color="auto" w:fill="auto"/>
            <w:noWrap w:val="0"/>
            <w:vAlign w:val="center"/>
          </w:tcPr>
          <w:p>
            <w:pPr>
              <w:jc w:val="center"/>
              <w:rPr>
                <w:rFonts w:hint="default"/>
                <w:sz w:val="18"/>
                <w:szCs w:val="18"/>
                <w:lang w:val="en-US" w:eastAsia="zh-CN"/>
              </w:rPr>
            </w:pPr>
            <w:r>
              <w:rPr>
                <w:rFonts w:hint="eastAsia"/>
                <w:sz w:val="18"/>
                <w:szCs w:val="18"/>
              </w:rPr>
              <w:t>尺寸稳定性</w:t>
            </w:r>
          </w:p>
        </w:tc>
        <w:tc>
          <w:tcPr>
            <w:tcW w:w="3479" w:type="dxa"/>
            <w:shd w:val="clear" w:color="auto" w:fill="auto"/>
            <w:noWrap w:val="0"/>
            <w:vAlign w:val="center"/>
          </w:tcPr>
          <w:p>
            <w:pPr>
              <w:snapToGrid w:val="0"/>
              <w:spacing w:line="300" w:lineRule="exact"/>
              <w:jc w:val="center"/>
              <w:rPr>
                <w:sz w:val="18"/>
                <w:szCs w:val="18"/>
                <w:lang w:val="de-DE"/>
              </w:rPr>
            </w:pPr>
            <w:r>
              <w:rPr>
                <w:rFonts w:hint="eastAsia"/>
                <w:sz w:val="18"/>
                <w:szCs w:val="18"/>
              </w:rPr>
              <w:t>G</w:t>
            </w:r>
            <w:r>
              <w:rPr>
                <w:sz w:val="18"/>
                <w:szCs w:val="18"/>
                <w:lang w:val="de-DE"/>
              </w:rPr>
              <w:t>B/T 10801.1—2021</w:t>
            </w:r>
          </w:p>
          <w:p>
            <w:pPr>
              <w:snapToGrid w:val="0"/>
              <w:spacing w:line="300" w:lineRule="exact"/>
              <w:jc w:val="center"/>
              <w:rPr>
                <w:sz w:val="18"/>
                <w:szCs w:val="18"/>
              </w:rPr>
            </w:pPr>
            <w:r>
              <w:rPr>
                <w:sz w:val="18"/>
                <w:szCs w:val="18"/>
                <w:lang w:val="de-DE"/>
              </w:rPr>
              <w:t>GB/T 10801.1—202</w:t>
            </w:r>
            <w:r>
              <w:rPr>
                <w:rFonts w:hint="eastAsia"/>
                <w:sz w:val="18"/>
                <w:szCs w:val="18"/>
              </w:rPr>
              <w:t>5</w:t>
            </w:r>
          </w:p>
          <w:p>
            <w:pPr>
              <w:snapToGrid w:val="0"/>
              <w:spacing w:line="300" w:lineRule="exact"/>
              <w:jc w:val="center"/>
              <w:rPr>
                <w:rFonts w:hint="default" w:eastAsia="宋体"/>
                <w:sz w:val="18"/>
                <w:szCs w:val="18"/>
                <w:lang w:val="en-US" w:eastAsia="zh-CN"/>
              </w:rPr>
            </w:pPr>
            <w:r>
              <w:rPr>
                <w:rFonts w:hint="eastAsia"/>
                <w:sz w:val="18"/>
                <w:szCs w:val="18"/>
              </w:rPr>
              <w:t>G</w:t>
            </w:r>
            <w:r>
              <w:rPr>
                <w:sz w:val="18"/>
                <w:szCs w:val="18"/>
                <w:lang w:val="de-DE"/>
              </w:rPr>
              <w:t>B/T</w:t>
            </w:r>
            <w:r>
              <w:rPr>
                <w:rFonts w:hint="eastAsia"/>
                <w:sz w:val="18"/>
                <w:szCs w:val="18"/>
                <w:lang w:val="en-US" w:eastAsia="zh-CN"/>
              </w:rPr>
              <w:t xml:space="preserve"> 8811</w:t>
            </w:r>
            <w:r>
              <w:rPr>
                <w:sz w:val="18"/>
                <w:szCs w:val="18"/>
                <w:lang w:val="de-DE"/>
              </w:rPr>
              <w:t>—20</w:t>
            </w:r>
            <w:r>
              <w:rPr>
                <w:rFonts w:hint="eastAsia"/>
                <w:sz w:val="18"/>
                <w:szCs w:val="18"/>
                <w:lang w:val="en-US" w:eastAsia="zh-CN"/>
              </w:rPr>
              <w:t>08</w:t>
            </w:r>
          </w:p>
        </w:tc>
      </w:tr>
      <w:bookmarkEnd w:id="1"/>
    </w:tbl>
    <w:p>
      <w:pPr>
        <w:snapToGrid w:val="0"/>
        <w:jc w:val="center"/>
        <w:rPr>
          <w:rFonts w:asciiTheme="minorEastAsia" w:hAnsiTheme="minorEastAsia" w:eastAsiaTheme="minorEastAsia"/>
          <w:bCs/>
          <w:color w:val="000000"/>
          <w:sz w:val="18"/>
          <w:szCs w:val="18"/>
        </w:rPr>
      </w:pPr>
    </w:p>
    <w:p>
      <w:pPr>
        <w:snapToGrid w:val="0"/>
        <w:spacing w:line="360" w:lineRule="auto"/>
        <w:ind w:firstLine="200" w:firstLineChars="200"/>
        <w:rPr>
          <w:rFonts w:ascii="宋体" w:hAnsi="宋体"/>
          <w:bCs/>
          <w:color w:val="000000"/>
          <w:sz w:val="10"/>
          <w:szCs w:val="10"/>
        </w:rPr>
      </w:pPr>
    </w:p>
    <w:p>
      <w:pPr>
        <w:snapToGrid w:val="0"/>
        <w:spacing w:line="360" w:lineRule="auto"/>
        <w:ind w:firstLine="420" w:firstLineChars="200"/>
      </w:pPr>
      <w:r>
        <w:rPr>
          <w:rFonts w:hint="eastAsia" w:ascii="宋体" w:hAnsi="宋体"/>
          <w:color w:val="000000"/>
          <w:szCs w:val="21"/>
        </w:rPr>
        <w:t>执行企业标准、团体标准、地方标准的产品，检验项目参照上述内容执行。</w:t>
      </w:r>
    </w:p>
    <w:p>
      <w:pPr>
        <w:snapToGrid w:val="0"/>
        <w:spacing w:line="360" w:lineRule="auto"/>
        <w:ind w:firstLine="420" w:firstLineChars="200"/>
        <w:rPr>
          <w:rFonts w:ascii="宋体" w:hAnsi="宋体"/>
          <w:color w:val="000000"/>
          <w:szCs w:val="21"/>
        </w:rPr>
      </w:pPr>
      <w:r>
        <w:rPr>
          <w:rFonts w:hint="eastAsia"/>
        </w:rPr>
        <w:t>凡是注日期的文件，其随后所有的修改单（不包括勘误的内容）或修订版不适用于本细则。</w:t>
      </w:r>
      <w:r>
        <w:rPr>
          <w:rFonts w:hint="eastAsia" w:ascii="宋体" w:hAnsi="宋体"/>
          <w:color w:val="000000"/>
          <w:szCs w:val="21"/>
        </w:rPr>
        <w:t>凡是不注日期的文件，其最新版本适用于本细则。</w:t>
      </w:r>
    </w:p>
    <w:p>
      <w:pPr>
        <w:snapToGrid w:val="0"/>
        <w:spacing w:line="360" w:lineRule="auto"/>
        <w:ind w:firstLine="420" w:firstLineChars="200"/>
        <w:rPr>
          <w:rFonts w:ascii="宋体" w:hAnsi="宋体"/>
          <w:color w:val="000000"/>
          <w:szCs w:val="21"/>
        </w:rPr>
      </w:pPr>
    </w:p>
    <w:p>
      <w:pPr>
        <w:adjustRightInd w:val="0"/>
        <w:snapToGrid w:val="0"/>
        <w:spacing w:line="360" w:lineRule="auto"/>
        <w:rPr>
          <w:rFonts w:ascii="黑体" w:hAnsi="黑体" w:eastAsia="黑体"/>
          <w:b/>
          <w:szCs w:val="21"/>
        </w:rPr>
      </w:pPr>
      <w:r>
        <w:rPr>
          <w:rFonts w:hint="eastAsia" w:ascii="黑体" w:hAnsi="黑体" w:eastAsia="黑体"/>
          <w:b/>
          <w:szCs w:val="21"/>
        </w:rPr>
        <w:t>3 判定规则</w:t>
      </w:r>
    </w:p>
    <w:p>
      <w:pPr>
        <w:snapToGrid w:val="0"/>
        <w:spacing w:line="360" w:lineRule="auto"/>
        <w:rPr>
          <w:rFonts w:ascii="宋体" w:hAnsi="宋体"/>
          <w:b/>
          <w:color w:val="000000"/>
          <w:szCs w:val="21"/>
        </w:rPr>
      </w:pPr>
      <w:r>
        <w:rPr>
          <w:rFonts w:hint="eastAsia" w:ascii="宋体" w:hAnsi="宋体"/>
          <w:b/>
          <w:color w:val="000000"/>
          <w:szCs w:val="21"/>
        </w:rPr>
        <w:t>3.1依据标准</w:t>
      </w:r>
    </w:p>
    <w:p>
      <w:pPr>
        <w:keepNext w:val="0"/>
        <w:keepLines w:val="0"/>
        <w:pageBreakBefore w:val="0"/>
        <w:widowControl w:val="0"/>
        <w:kinsoku/>
        <w:wordWrap/>
        <w:overflowPunct/>
        <w:topLinePunct w:val="0"/>
        <w:autoSpaceDE/>
        <w:autoSpaceDN/>
        <w:bidi w:val="0"/>
        <w:adjustRightInd/>
        <w:spacing w:line="360" w:lineRule="auto"/>
        <w:ind w:right="142" w:firstLine="42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GB/T 10801.1—2021  绝热用模塑聚苯乙烯泡沫塑料（EPS）</w:t>
      </w:r>
    </w:p>
    <w:p>
      <w:pPr>
        <w:keepNext w:val="0"/>
        <w:keepLines w:val="0"/>
        <w:pageBreakBefore w:val="0"/>
        <w:widowControl w:val="0"/>
        <w:kinsoku/>
        <w:wordWrap/>
        <w:overflowPunct/>
        <w:topLinePunct w:val="0"/>
        <w:autoSpaceDE/>
        <w:autoSpaceDN/>
        <w:bidi w:val="0"/>
        <w:adjustRightInd/>
        <w:spacing w:line="360" w:lineRule="auto"/>
        <w:ind w:right="142" w:firstLine="42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GB/T 10801.1—2025 </w:t>
      </w:r>
      <w:r>
        <w:rPr>
          <w:rFonts w:hint="eastAsia" w:ascii="宋体" w:hAnsi="宋体" w:cs="宋体"/>
          <w:color w:val="000000"/>
          <w:szCs w:val="21"/>
          <w:highlight w:val="none"/>
          <w:lang w:val="en-US" w:eastAsia="zh-CN"/>
        </w:rPr>
        <w:t xml:space="preserve"> </w:t>
      </w:r>
      <w:r>
        <w:rPr>
          <w:rFonts w:hint="eastAsia" w:ascii="宋体" w:hAnsi="宋体" w:eastAsia="宋体" w:cs="宋体"/>
          <w:color w:val="000000"/>
          <w:szCs w:val="21"/>
          <w:highlight w:val="none"/>
        </w:rPr>
        <w:t>绝热用模塑聚苯乙烯泡沫塑料（EPS）</w:t>
      </w:r>
    </w:p>
    <w:p>
      <w:pPr>
        <w:keepNext w:val="0"/>
        <w:keepLines w:val="0"/>
        <w:pageBreakBefore w:val="0"/>
        <w:widowControl w:val="0"/>
        <w:kinsoku/>
        <w:wordWrap/>
        <w:overflowPunct/>
        <w:topLinePunct w:val="0"/>
        <w:autoSpaceDE/>
        <w:autoSpaceDN/>
        <w:bidi w:val="0"/>
        <w:adjustRightInd/>
        <w:spacing w:line="360" w:lineRule="auto"/>
        <w:ind w:right="142" w:firstLine="42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GB/T 10801.2—2018  绝热用挤塑聚苯乙烯泡沫塑料（XPS）</w:t>
      </w:r>
    </w:p>
    <w:p>
      <w:pPr>
        <w:keepNext w:val="0"/>
        <w:keepLines w:val="0"/>
        <w:pageBreakBefore w:val="0"/>
        <w:widowControl w:val="0"/>
        <w:kinsoku/>
        <w:wordWrap/>
        <w:overflowPunct/>
        <w:topLinePunct w:val="0"/>
        <w:autoSpaceDE/>
        <w:autoSpaceDN/>
        <w:bidi w:val="0"/>
        <w:adjustRightInd/>
        <w:spacing w:line="360" w:lineRule="auto"/>
        <w:ind w:right="142" w:firstLine="420"/>
        <w:textAlignment w:val="auto"/>
        <w:rPr>
          <w:rFonts w:hint="eastAsia" w:ascii="宋体" w:hAnsi="宋体" w:eastAsia="宋体" w:cs="宋体"/>
          <w:highlight w:val="none"/>
        </w:rPr>
      </w:pPr>
      <w:r>
        <w:rPr>
          <w:rFonts w:hint="eastAsia" w:ascii="宋体" w:hAnsi="宋体" w:eastAsia="宋体" w:cs="宋体"/>
          <w:color w:val="000000"/>
          <w:szCs w:val="21"/>
          <w:highlight w:val="none"/>
        </w:rPr>
        <w:t>GB/T 10801.2—2025  绝热用挤塑聚苯乙烯泡沫塑料（XPS）</w:t>
      </w:r>
    </w:p>
    <w:p>
      <w:pPr>
        <w:snapToGrid w:val="0"/>
        <w:spacing w:line="360" w:lineRule="auto"/>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pPr>
        <w:snapToGrid w:val="0"/>
        <w:spacing w:line="360" w:lineRule="auto"/>
        <w:ind w:firstLine="420" w:firstLineChars="200"/>
        <w:rPr>
          <w:rFonts w:ascii="宋体" w:hAnsi="宋体"/>
          <w:color w:val="000000"/>
          <w:szCs w:val="21"/>
        </w:rPr>
      </w:pPr>
      <w:r>
        <w:rPr>
          <w:rFonts w:ascii="宋体" w:hAnsi="宋体"/>
          <w:color w:val="000000"/>
          <w:szCs w:val="21"/>
        </w:rPr>
        <w:t>现行有效的企业标准、团体标准、地方标准及产品明示质量要求</w:t>
      </w:r>
    </w:p>
    <w:p>
      <w:pPr>
        <w:snapToGrid w:val="0"/>
        <w:spacing w:line="360" w:lineRule="auto"/>
        <w:rPr>
          <w:rFonts w:ascii="宋体" w:hAnsi="宋体"/>
          <w:b/>
          <w:color w:val="000000"/>
          <w:szCs w:val="21"/>
        </w:rPr>
      </w:pPr>
      <w:r>
        <w:rPr>
          <w:rFonts w:hint="eastAsia" w:ascii="宋体" w:hAnsi="宋体"/>
          <w:b/>
          <w:color w:val="000000"/>
          <w:szCs w:val="21"/>
        </w:rPr>
        <w:t>3.2判定原则</w:t>
      </w:r>
    </w:p>
    <w:p>
      <w:pPr>
        <w:snapToGrid w:val="0"/>
        <w:spacing w:line="360" w:lineRule="auto"/>
        <w:ind w:firstLine="417" w:firstLineChars="199"/>
        <w:rPr>
          <w:rFonts w:ascii="宋体" w:hAnsi="宋体"/>
          <w:color w:val="000000"/>
          <w:szCs w:val="21"/>
        </w:rPr>
      </w:pPr>
      <w:r>
        <w:rPr>
          <w:rFonts w:ascii="宋体" w:hAnsi="宋体"/>
          <w:color w:val="000000"/>
          <w:szCs w:val="21"/>
        </w:rPr>
        <w:t>经检验，检验项目全部合格，判定为被抽查产品</w:t>
      </w:r>
      <w:r>
        <w:rPr>
          <w:rFonts w:hint="eastAsia" w:ascii="宋体" w:hAnsi="宋体"/>
          <w:color w:val="000000"/>
          <w:szCs w:val="21"/>
        </w:rPr>
        <w:t>所检项目未发现不合格</w:t>
      </w:r>
      <w:r>
        <w:rPr>
          <w:rFonts w:ascii="宋体" w:hAnsi="宋体"/>
          <w:color w:val="000000"/>
          <w:szCs w:val="21"/>
        </w:rPr>
        <w:t>；检验项目中任一项或一项以上不合格，判定为被抽查产品不合格。</w:t>
      </w:r>
    </w:p>
    <w:p>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360" w:lineRule="auto"/>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r>
        <w:rPr>
          <w:rFonts w:hint="eastAsia" w:ascii="宋体" w:hAnsi="宋体"/>
          <w:color w:val="000000"/>
          <w:szCs w:val="21"/>
        </w:rPr>
        <w:t>，但应在检验报告备注中进行说明</w:t>
      </w:r>
      <w:r>
        <w:rPr>
          <w:rFonts w:hint="eastAsia" w:ascii="宋体" w:hAnsi="宋体"/>
          <w:szCs w:val="21"/>
        </w:rPr>
        <w:t>。</w:t>
      </w:r>
    </w:p>
    <w:p>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pPr>
        <w:snapToGrid w:val="0"/>
        <w:spacing w:line="360" w:lineRule="auto"/>
        <w:ind w:firstLine="417" w:firstLineChars="199"/>
        <w:rPr>
          <w:rFonts w:ascii="宋体" w:hAnsi="宋体"/>
          <w:color w:val="000000"/>
          <w:szCs w:val="21"/>
        </w:rPr>
      </w:pPr>
      <w:r>
        <w:rPr>
          <w:rFonts w:ascii="宋体" w:hAnsi="宋体"/>
          <w:color w:val="000000"/>
          <w:szCs w:val="21"/>
        </w:rPr>
        <mc:AlternateContent>
          <mc:Choice Requires="wps">
            <w:drawing>
              <wp:anchor distT="0" distB="0" distL="114300" distR="114300" simplePos="0" relativeHeight="251661312" behindDoc="0" locked="0" layoutInCell="1" allowOverlap="1">
                <wp:simplePos x="0" y="0"/>
                <wp:positionH relativeFrom="column">
                  <wp:posOffset>1884680</wp:posOffset>
                </wp:positionH>
                <wp:positionV relativeFrom="paragraph">
                  <wp:posOffset>177800</wp:posOffset>
                </wp:positionV>
                <wp:extent cx="1656080" cy="0"/>
                <wp:effectExtent l="0" t="7620" r="1270" b="11430"/>
                <wp:wrapNone/>
                <wp:docPr id="3" name="自选图形 9"/>
                <wp:cNvGraphicFramePr/>
                <a:graphic xmlns:a="http://schemas.openxmlformats.org/drawingml/2006/main">
                  <a:graphicData uri="http://schemas.microsoft.com/office/word/2010/wordprocessingShape">
                    <wps:wsp>
                      <wps:cNvCnPr/>
                      <wps:spPr>
                        <a:xfrm>
                          <a:off x="0" y="0"/>
                          <a:ext cx="1656080"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9" o:spid="_x0000_s1026" o:spt="32" type="#_x0000_t32" style="position:absolute;left:0pt;margin-left:148.4pt;margin-top:14pt;height:0pt;width:130.4pt;z-index:251661312;mso-width-relative:page;mso-height-relative:page;" filled="f" stroked="t" coordsize="21600,21600" o:gfxdata="UEsDBAoAAAAAAIdO4kAAAAAAAAAAAAAAAAAEAAAAZHJzL1BLAwQUAAAACACHTuJAwSbUWdcAAAAJ&#10;AQAADwAAAGRycy9kb3ducmV2LnhtbE2PS0/DMBCE70j8B2uRuNFNixpKiNMDjx4QRepDnN14iSPi&#10;dRS7D/j1LOIAt92d0ew35fzkO3WgIbaBNYxHGSjiOtiWGw3bzdPVDFRMhq3pApOGT4owr87PSlPY&#10;cOQVHdapURLCsTAaXEp9gRhrR97EUeiJRXsPgzdJ1qFBO5ijhPsOJ1mWozctywdnerp3VH+s917D&#10;FzpCek1vbnm92D7i8mXx8By1vrwYZ3egEp3Snxl+8AUdKmHahT3bqDoNk9tc0JMMM+kkhun0Jge1&#10;+z1gVeL/BtU3UEsDBBQAAAAIAIdO4kCqzNlM2wEAAJYDAAAOAAAAZHJzL2Uyb0RvYy54bWytU0uO&#10;EzEQ3SNxB8t70smghEwrnVkkDBsEkYADVGx3tyX/5DLpZMcOcQZ2LLkD3Gak4RaUnUxmgA1C9MJd&#10;dlW9qvdcXlztrWE7FVF71/DJaMyZcsJL7bqGv3t7/WTOGSZwEox3quEHhfxq+fjRYgi1uvC9N1JF&#10;RiAO6yE0vE8p1FWFolcWcOSDcuRsfbSQaBu7SkYYCN2a6mI8nlWDjzJELxQina6PTr4s+G2rRHrd&#10;tqgSMw2n3lJZY1m3ea2WC6i7CKHX4tQG/EMXFrSjomeoNSRg76P+A8pqET36No2Et5VvWy1U4UBs&#10;JuPf2LzpIajChcTBcJYJ/x+seLXbRKZlw59y5sDSFd1+/Prjw6ebz99vvn1hl1mhIWBNgSu3iacd&#10;hk3MdPdttPlPRNi+qHo4q6r2iQk6nMyms/GcxBd3vuo+MURML5S3LBsNxxRBd31aeefo7nycFFVh&#10;9xITlabEu4Rc1Tg2EP50/mxK6EDj0xpIZNpAhNB1JRm90fJaG5NTMHbblYlsB3kgypcZEvAvYbnK&#10;GrA/xhXXcVR6BfK5kywdAknlaKZ57sEqyZlR9ASyRYBQJ9DmbyKptHHUQRb5KGu2tl4eitrlnC6/&#10;9Hga1DxdD/cl+/45LX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wSbUWdcAAAAJAQAADwAAAAAA&#10;AAABACAAAAAiAAAAZHJzL2Rvd25yZXYueG1sUEsBAhQAFAAAAAgAh07iQKrM2UzbAQAAlgMAAA4A&#10;AAAAAAAAAQAgAAAAJgEAAGRycy9lMm9Eb2MueG1sUEsFBgAAAAAGAAYAWQEAAHMFAAAAAA==&#10;">
                <v:fill on="f" focussize="0,0"/>
                <v:stroke weight="1.25pt" color="#000000" joinstyle="round"/>
                <v:imagedata o:title=""/>
                <o:lock v:ext="edit" aspectratio="f"/>
              </v:shape>
            </w:pict>
          </mc:Fallback>
        </mc:AlternateContent>
      </w:r>
    </w:p>
    <w:sectPr>
      <w:pgSz w:w="11906" w:h="16838"/>
      <w:pgMar w:top="1814" w:right="1418" w:bottom="1701"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EF79DD8-0B97-4501-90D1-538916D0D27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FzBookMaker7DlFont70536871171">
    <w:altName w:val="Times New Roman"/>
    <w:panose1 w:val="00000000000000000000"/>
    <w:charset w:val="00"/>
    <w:family w:val="roman"/>
    <w:pitch w:val="default"/>
    <w:sig w:usb0="00000000" w:usb1="00000000" w:usb2="00000000" w:usb3="00000000" w:csb0="00000000" w:csb1="00000000"/>
  </w:font>
  <w:font w:name="FzBookMaker11DlFont110536871175">
    <w:altName w:val="Times New Roman"/>
    <w:panose1 w:val="00000000000000000000"/>
    <w:charset w:val="00"/>
    <w:family w:val="roman"/>
    <w:pitch w:val="default"/>
    <w:sig w:usb0="00000000" w:usb1="00000000" w:usb2="00000000" w:usb3="00000000" w:csb0="00000000" w:csb1="00000000"/>
  </w:font>
  <w:font w:name="FzBookMaker2DlFont20536871173">
    <w:altName w:val="Times New Roman"/>
    <w:panose1 w:val="00000000000000000000"/>
    <w:charset w:val="00"/>
    <w:family w:val="roman"/>
    <w:pitch w:val="default"/>
    <w:sig w:usb0="00000000" w:usb1="00000000" w:usb2="00000000" w:usb3="00000000" w:csb0="00000000" w:csb1="00000000"/>
  </w:font>
  <w:font w:name="方正仿宋简体">
    <w:altName w:val="微软雅黑"/>
    <w:panose1 w:val="02000000000000000000"/>
    <w:charset w:val="86"/>
    <w:family w:val="auto"/>
    <w:pitch w:val="default"/>
    <w:sig w:usb0="00000000" w:usb1="00000000" w:usb2="00000012" w:usb3="00000000" w:csb0="00040001" w:csb1="00000000"/>
    <w:embedRegular r:id="rId2" w:fontKey="{C12C7FCE-D650-4362-A5E6-00C3B8812894}"/>
  </w:font>
  <w:font w:name="方正小标宋简体">
    <w:panose1 w:val="03000509000000000000"/>
    <w:charset w:val="86"/>
    <w:family w:val="auto"/>
    <w:pitch w:val="default"/>
    <w:sig w:usb0="00000001" w:usb1="080E0000" w:usb2="00000000" w:usb3="00000000" w:csb0="00040000" w:csb1="00000000"/>
    <w:embedRegular r:id="rId3" w:fontKey="{DDF387C9-5B3F-482E-B576-934602FA1AE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94746"/>
    </w:sdtPr>
    <w:sdtContent>
      <w:p>
        <w:pPr>
          <w:pStyle w:val="6"/>
          <w:jc w:val="center"/>
        </w:pPr>
        <w:r>
          <w:fldChar w:fldCharType="begin"/>
        </w:r>
        <w:r>
          <w:instrText xml:space="preserve"> PAGE   \* MERGEFORMAT </w:instrText>
        </w:r>
        <w:r>
          <w:fldChar w:fldCharType="separate"/>
        </w:r>
        <w:r>
          <w:rPr>
            <w:lang w:val="zh-CN"/>
          </w:rPr>
          <w:t>1</w:t>
        </w:r>
        <w:r>
          <w:rPr>
            <w:lang w:val="zh-CN"/>
          </w:rPr>
          <w:fldChar w:fldCharType="end"/>
        </w:r>
      </w:p>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2</w:t>
    </w:r>
    <w:r>
      <w:fldChar w:fldCharType="end"/>
    </w:r>
  </w:p>
  <w:p>
    <w:pPr>
      <w:pStyle w:val="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jYTI0ZjM5ODhlMWI5ODAyMDAzYjFhMTE5YmNmYzEifQ=="/>
    <w:docVar w:name="KSO_WPS_MARK_KEY" w:val="4532c9fa-0cb6-441e-af24-5ea6e3f66920"/>
  </w:docVars>
  <w:rsids>
    <w:rsidRoot w:val="00172A27"/>
    <w:rsid w:val="00000B18"/>
    <w:rsid w:val="00006402"/>
    <w:rsid w:val="00023C4E"/>
    <w:rsid w:val="00024BE5"/>
    <w:rsid w:val="00026842"/>
    <w:rsid w:val="000276A9"/>
    <w:rsid w:val="000304C5"/>
    <w:rsid w:val="0003193A"/>
    <w:rsid w:val="00032C67"/>
    <w:rsid w:val="00034DCE"/>
    <w:rsid w:val="00035064"/>
    <w:rsid w:val="00037D8D"/>
    <w:rsid w:val="0004011D"/>
    <w:rsid w:val="00042A3D"/>
    <w:rsid w:val="00042A9B"/>
    <w:rsid w:val="00046143"/>
    <w:rsid w:val="00051A44"/>
    <w:rsid w:val="00060ECF"/>
    <w:rsid w:val="000623A1"/>
    <w:rsid w:val="00062A05"/>
    <w:rsid w:val="0006523C"/>
    <w:rsid w:val="000672B7"/>
    <w:rsid w:val="00071001"/>
    <w:rsid w:val="00080814"/>
    <w:rsid w:val="00081CBD"/>
    <w:rsid w:val="000841A6"/>
    <w:rsid w:val="00090F54"/>
    <w:rsid w:val="0009399B"/>
    <w:rsid w:val="000976DE"/>
    <w:rsid w:val="000C5603"/>
    <w:rsid w:val="000D0007"/>
    <w:rsid w:val="000D3759"/>
    <w:rsid w:val="000D45B9"/>
    <w:rsid w:val="000D7B00"/>
    <w:rsid w:val="000E24C4"/>
    <w:rsid w:val="000F4D03"/>
    <w:rsid w:val="000F64F9"/>
    <w:rsid w:val="000F6E44"/>
    <w:rsid w:val="000F7E56"/>
    <w:rsid w:val="001035C2"/>
    <w:rsid w:val="00106D82"/>
    <w:rsid w:val="00115BC8"/>
    <w:rsid w:val="00115FA1"/>
    <w:rsid w:val="00120204"/>
    <w:rsid w:val="00122CB7"/>
    <w:rsid w:val="00131D65"/>
    <w:rsid w:val="001427FD"/>
    <w:rsid w:val="001437C2"/>
    <w:rsid w:val="00144CD3"/>
    <w:rsid w:val="00146EC3"/>
    <w:rsid w:val="00155096"/>
    <w:rsid w:val="001559F4"/>
    <w:rsid w:val="0015743B"/>
    <w:rsid w:val="001715A9"/>
    <w:rsid w:val="00172A27"/>
    <w:rsid w:val="00175489"/>
    <w:rsid w:val="001754B1"/>
    <w:rsid w:val="001809DD"/>
    <w:rsid w:val="001845E3"/>
    <w:rsid w:val="0018513E"/>
    <w:rsid w:val="0018638C"/>
    <w:rsid w:val="00191171"/>
    <w:rsid w:val="0019605D"/>
    <w:rsid w:val="001A007F"/>
    <w:rsid w:val="001A65B0"/>
    <w:rsid w:val="001B75E3"/>
    <w:rsid w:val="001C1F87"/>
    <w:rsid w:val="001C4F34"/>
    <w:rsid w:val="001D1FBC"/>
    <w:rsid w:val="001D56D3"/>
    <w:rsid w:val="001D5C67"/>
    <w:rsid w:val="001D6824"/>
    <w:rsid w:val="001E4729"/>
    <w:rsid w:val="001E4F8B"/>
    <w:rsid w:val="001E731B"/>
    <w:rsid w:val="001F2D1F"/>
    <w:rsid w:val="00200A91"/>
    <w:rsid w:val="00210539"/>
    <w:rsid w:val="00223317"/>
    <w:rsid w:val="00225BB4"/>
    <w:rsid w:val="00234D1D"/>
    <w:rsid w:val="002369B9"/>
    <w:rsid w:val="002448A3"/>
    <w:rsid w:val="00247749"/>
    <w:rsid w:val="00252101"/>
    <w:rsid w:val="00253624"/>
    <w:rsid w:val="002558BD"/>
    <w:rsid w:val="002605A8"/>
    <w:rsid w:val="002658F4"/>
    <w:rsid w:val="002710B5"/>
    <w:rsid w:val="00274E3E"/>
    <w:rsid w:val="002825C2"/>
    <w:rsid w:val="00287B95"/>
    <w:rsid w:val="00293B52"/>
    <w:rsid w:val="00296190"/>
    <w:rsid w:val="002A02DD"/>
    <w:rsid w:val="002A7719"/>
    <w:rsid w:val="002A7D1C"/>
    <w:rsid w:val="002B50E7"/>
    <w:rsid w:val="002C4DB0"/>
    <w:rsid w:val="002D05F3"/>
    <w:rsid w:val="002D17A5"/>
    <w:rsid w:val="002D48CE"/>
    <w:rsid w:val="002D7F8A"/>
    <w:rsid w:val="002E0D1D"/>
    <w:rsid w:val="002E1EAC"/>
    <w:rsid w:val="002E369A"/>
    <w:rsid w:val="002E68A8"/>
    <w:rsid w:val="002E772A"/>
    <w:rsid w:val="002F49EA"/>
    <w:rsid w:val="00306A87"/>
    <w:rsid w:val="00311DD2"/>
    <w:rsid w:val="003203A3"/>
    <w:rsid w:val="003222A6"/>
    <w:rsid w:val="00323E9A"/>
    <w:rsid w:val="00337D1D"/>
    <w:rsid w:val="00354289"/>
    <w:rsid w:val="0035639F"/>
    <w:rsid w:val="00356723"/>
    <w:rsid w:val="00370830"/>
    <w:rsid w:val="00371567"/>
    <w:rsid w:val="00375E4A"/>
    <w:rsid w:val="00376283"/>
    <w:rsid w:val="003826F9"/>
    <w:rsid w:val="003856BB"/>
    <w:rsid w:val="0039208F"/>
    <w:rsid w:val="00392A15"/>
    <w:rsid w:val="00393DE8"/>
    <w:rsid w:val="003A0FFC"/>
    <w:rsid w:val="003A1E75"/>
    <w:rsid w:val="003B226D"/>
    <w:rsid w:val="003B5E0F"/>
    <w:rsid w:val="003B74F8"/>
    <w:rsid w:val="003B7B88"/>
    <w:rsid w:val="003C3420"/>
    <w:rsid w:val="003C388C"/>
    <w:rsid w:val="003C4CFD"/>
    <w:rsid w:val="003C6F9C"/>
    <w:rsid w:val="003D0118"/>
    <w:rsid w:val="003D4282"/>
    <w:rsid w:val="003E4890"/>
    <w:rsid w:val="003E61BF"/>
    <w:rsid w:val="0040154B"/>
    <w:rsid w:val="004074E8"/>
    <w:rsid w:val="00407F35"/>
    <w:rsid w:val="00427016"/>
    <w:rsid w:val="00427D8E"/>
    <w:rsid w:val="00430520"/>
    <w:rsid w:val="004333F9"/>
    <w:rsid w:val="00436FC0"/>
    <w:rsid w:val="00441CD2"/>
    <w:rsid w:val="00442A9A"/>
    <w:rsid w:val="00444089"/>
    <w:rsid w:val="00445E86"/>
    <w:rsid w:val="00456D8D"/>
    <w:rsid w:val="00457A50"/>
    <w:rsid w:val="00461F0D"/>
    <w:rsid w:val="00474E04"/>
    <w:rsid w:val="004820E0"/>
    <w:rsid w:val="00490A9C"/>
    <w:rsid w:val="00491942"/>
    <w:rsid w:val="00494D4A"/>
    <w:rsid w:val="00495410"/>
    <w:rsid w:val="004A2393"/>
    <w:rsid w:val="004A29CE"/>
    <w:rsid w:val="004A4293"/>
    <w:rsid w:val="004B727B"/>
    <w:rsid w:val="004C379F"/>
    <w:rsid w:val="004C467E"/>
    <w:rsid w:val="004C6A3A"/>
    <w:rsid w:val="004D0C5A"/>
    <w:rsid w:val="004D0E11"/>
    <w:rsid w:val="004D25D5"/>
    <w:rsid w:val="004D3D41"/>
    <w:rsid w:val="004E1396"/>
    <w:rsid w:val="004E1F92"/>
    <w:rsid w:val="004E6582"/>
    <w:rsid w:val="004F23B6"/>
    <w:rsid w:val="004F4DF1"/>
    <w:rsid w:val="004F5A3C"/>
    <w:rsid w:val="0050688A"/>
    <w:rsid w:val="0051308E"/>
    <w:rsid w:val="00515553"/>
    <w:rsid w:val="005160B2"/>
    <w:rsid w:val="00520E09"/>
    <w:rsid w:val="00521D78"/>
    <w:rsid w:val="005317D6"/>
    <w:rsid w:val="005423FF"/>
    <w:rsid w:val="005431BD"/>
    <w:rsid w:val="00546B84"/>
    <w:rsid w:val="00550747"/>
    <w:rsid w:val="005523B4"/>
    <w:rsid w:val="00557DE8"/>
    <w:rsid w:val="005608C8"/>
    <w:rsid w:val="00560BA9"/>
    <w:rsid w:val="00563EBC"/>
    <w:rsid w:val="00577212"/>
    <w:rsid w:val="00582697"/>
    <w:rsid w:val="005846AA"/>
    <w:rsid w:val="00591A3C"/>
    <w:rsid w:val="0059437C"/>
    <w:rsid w:val="005A3370"/>
    <w:rsid w:val="005A51F9"/>
    <w:rsid w:val="005A62EF"/>
    <w:rsid w:val="005B210F"/>
    <w:rsid w:val="005B3DB9"/>
    <w:rsid w:val="005C2A6C"/>
    <w:rsid w:val="005C50E3"/>
    <w:rsid w:val="005C7F5D"/>
    <w:rsid w:val="005E31C0"/>
    <w:rsid w:val="005E6344"/>
    <w:rsid w:val="005F3116"/>
    <w:rsid w:val="005F58C3"/>
    <w:rsid w:val="00602CFB"/>
    <w:rsid w:val="006043EF"/>
    <w:rsid w:val="00617C65"/>
    <w:rsid w:val="006241C7"/>
    <w:rsid w:val="00627861"/>
    <w:rsid w:val="00627B95"/>
    <w:rsid w:val="006371EA"/>
    <w:rsid w:val="00643C90"/>
    <w:rsid w:val="006456DE"/>
    <w:rsid w:val="0065091F"/>
    <w:rsid w:val="00652E25"/>
    <w:rsid w:val="006617E9"/>
    <w:rsid w:val="006632F0"/>
    <w:rsid w:val="00664DE7"/>
    <w:rsid w:val="006661AC"/>
    <w:rsid w:val="00673B5C"/>
    <w:rsid w:val="0067489B"/>
    <w:rsid w:val="006754EA"/>
    <w:rsid w:val="0067550B"/>
    <w:rsid w:val="00683994"/>
    <w:rsid w:val="006A0617"/>
    <w:rsid w:val="006A0D1B"/>
    <w:rsid w:val="006A4981"/>
    <w:rsid w:val="006B091E"/>
    <w:rsid w:val="006B1E8C"/>
    <w:rsid w:val="006B3511"/>
    <w:rsid w:val="006B4E28"/>
    <w:rsid w:val="006B7ACD"/>
    <w:rsid w:val="006C2301"/>
    <w:rsid w:val="006D16E2"/>
    <w:rsid w:val="006E352B"/>
    <w:rsid w:val="006E507D"/>
    <w:rsid w:val="006E67B2"/>
    <w:rsid w:val="006F0971"/>
    <w:rsid w:val="007035AB"/>
    <w:rsid w:val="007064E0"/>
    <w:rsid w:val="007076A7"/>
    <w:rsid w:val="00710D12"/>
    <w:rsid w:val="0071152C"/>
    <w:rsid w:val="00713702"/>
    <w:rsid w:val="00720D95"/>
    <w:rsid w:val="00721C12"/>
    <w:rsid w:val="0072334C"/>
    <w:rsid w:val="007322DF"/>
    <w:rsid w:val="00740BD6"/>
    <w:rsid w:val="0074174D"/>
    <w:rsid w:val="00742470"/>
    <w:rsid w:val="00742B8E"/>
    <w:rsid w:val="00754D56"/>
    <w:rsid w:val="00756A15"/>
    <w:rsid w:val="0076091D"/>
    <w:rsid w:val="007626BB"/>
    <w:rsid w:val="00762707"/>
    <w:rsid w:val="00764B44"/>
    <w:rsid w:val="00765F1D"/>
    <w:rsid w:val="007705B6"/>
    <w:rsid w:val="00772089"/>
    <w:rsid w:val="0077562C"/>
    <w:rsid w:val="00775767"/>
    <w:rsid w:val="007774BA"/>
    <w:rsid w:val="007810C3"/>
    <w:rsid w:val="00785F6C"/>
    <w:rsid w:val="0079319C"/>
    <w:rsid w:val="00796065"/>
    <w:rsid w:val="007A4CBD"/>
    <w:rsid w:val="007B3B1A"/>
    <w:rsid w:val="007B3BBD"/>
    <w:rsid w:val="007C1867"/>
    <w:rsid w:val="007C6565"/>
    <w:rsid w:val="007D29E0"/>
    <w:rsid w:val="007D4454"/>
    <w:rsid w:val="007D5622"/>
    <w:rsid w:val="007E4A72"/>
    <w:rsid w:val="007E57F6"/>
    <w:rsid w:val="007F1AD7"/>
    <w:rsid w:val="007F2050"/>
    <w:rsid w:val="007F26B4"/>
    <w:rsid w:val="00803103"/>
    <w:rsid w:val="00803D87"/>
    <w:rsid w:val="0080654F"/>
    <w:rsid w:val="008070D0"/>
    <w:rsid w:val="008121A2"/>
    <w:rsid w:val="00813968"/>
    <w:rsid w:val="008140AA"/>
    <w:rsid w:val="0081453E"/>
    <w:rsid w:val="00815C30"/>
    <w:rsid w:val="00832480"/>
    <w:rsid w:val="0083350B"/>
    <w:rsid w:val="00833A7C"/>
    <w:rsid w:val="00835F10"/>
    <w:rsid w:val="00841BE1"/>
    <w:rsid w:val="008429D9"/>
    <w:rsid w:val="0084366D"/>
    <w:rsid w:val="00843E4E"/>
    <w:rsid w:val="00854F6E"/>
    <w:rsid w:val="00860F3C"/>
    <w:rsid w:val="00865D04"/>
    <w:rsid w:val="00875457"/>
    <w:rsid w:val="00895BEA"/>
    <w:rsid w:val="008A0055"/>
    <w:rsid w:val="008A0FF4"/>
    <w:rsid w:val="008A1B33"/>
    <w:rsid w:val="008A3497"/>
    <w:rsid w:val="008A3CC9"/>
    <w:rsid w:val="008A5AF6"/>
    <w:rsid w:val="008A5D98"/>
    <w:rsid w:val="008B69C6"/>
    <w:rsid w:val="008B6AA6"/>
    <w:rsid w:val="008E0E2C"/>
    <w:rsid w:val="008E32F0"/>
    <w:rsid w:val="008E406B"/>
    <w:rsid w:val="008E5B49"/>
    <w:rsid w:val="008E5CE4"/>
    <w:rsid w:val="008E73FB"/>
    <w:rsid w:val="008F26CA"/>
    <w:rsid w:val="008F2CA7"/>
    <w:rsid w:val="008F3A1E"/>
    <w:rsid w:val="008F4670"/>
    <w:rsid w:val="00902750"/>
    <w:rsid w:val="009055F7"/>
    <w:rsid w:val="00916A9A"/>
    <w:rsid w:val="00916DA0"/>
    <w:rsid w:val="00917A54"/>
    <w:rsid w:val="00920717"/>
    <w:rsid w:val="00923ED3"/>
    <w:rsid w:val="00925A54"/>
    <w:rsid w:val="009339AE"/>
    <w:rsid w:val="00936209"/>
    <w:rsid w:val="009365BE"/>
    <w:rsid w:val="009400CD"/>
    <w:rsid w:val="00942D8C"/>
    <w:rsid w:val="009439DD"/>
    <w:rsid w:val="0094409B"/>
    <w:rsid w:val="009443F6"/>
    <w:rsid w:val="00951AD0"/>
    <w:rsid w:val="009653CF"/>
    <w:rsid w:val="0096571F"/>
    <w:rsid w:val="009659A3"/>
    <w:rsid w:val="00972E10"/>
    <w:rsid w:val="00973B12"/>
    <w:rsid w:val="00980D7B"/>
    <w:rsid w:val="00981D9D"/>
    <w:rsid w:val="00985E07"/>
    <w:rsid w:val="0098604B"/>
    <w:rsid w:val="00986872"/>
    <w:rsid w:val="009876D6"/>
    <w:rsid w:val="00992BA6"/>
    <w:rsid w:val="009950CE"/>
    <w:rsid w:val="009A15C9"/>
    <w:rsid w:val="009B5EF0"/>
    <w:rsid w:val="009C2364"/>
    <w:rsid w:val="009C32F9"/>
    <w:rsid w:val="009C6576"/>
    <w:rsid w:val="009D1A8A"/>
    <w:rsid w:val="009D29B0"/>
    <w:rsid w:val="009D346B"/>
    <w:rsid w:val="009D44D6"/>
    <w:rsid w:val="009D7B49"/>
    <w:rsid w:val="009E157F"/>
    <w:rsid w:val="009E73FD"/>
    <w:rsid w:val="009F036B"/>
    <w:rsid w:val="009F265F"/>
    <w:rsid w:val="009F5016"/>
    <w:rsid w:val="009F55E6"/>
    <w:rsid w:val="009F561A"/>
    <w:rsid w:val="009F6B32"/>
    <w:rsid w:val="00A05B06"/>
    <w:rsid w:val="00A07BE3"/>
    <w:rsid w:val="00A20994"/>
    <w:rsid w:val="00A255C2"/>
    <w:rsid w:val="00A376F5"/>
    <w:rsid w:val="00A429D5"/>
    <w:rsid w:val="00A43553"/>
    <w:rsid w:val="00A55A75"/>
    <w:rsid w:val="00A62B41"/>
    <w:rsid w:val="00A725DC"/>
    <w:rsid w:val="00A73AFA"/>
    <w:rsid w:val="00A744DD"/>
    <w:rsid w:val="00A821C6"/>
    <w:rsid w:val="00A8284B"/>
    <w:rsid w:val="00A8672C"/>
    <w:rsid w:val="00A8778B"/>
    <w:rsid w:val="00A95167"/>
    <w:rsid w:val="00A976C3"/>
    <w:rsid w:val="00AA2B3B"/>
    <w:rsid w:val="00AA2BE0"/>
    <w:rsid w:val="00AA3905"/>
    <w:rsid w:val="00AA5A4E"/>
    <w:rsid w:val="00AA76EB"/>
    <w:rsid w:val="00AB47A2"/>
    <w:rsid w:val="00AC28AD"/>
    <w:rsid w:val="00AC2C98"/>
    <w:rsid w:val="00AD1654"/>
    <w:rsid w:val="00AD5446"/>
    <w:rsid w:val="00AD5B15"/>
    <w:rsid w:val="00AD7FD3"/>
    <w:rsid w:val="00AE199C"/>
    <w:rsid w:val="00AE6407"/>
    <w:rsid w:val="00AE6DB7"/>
    <w:rsid w:val="00AE701F"/>
    <w:rsid w:val="00AE7281"/>
    <w:rsid w:val="00B00A3B"/>
    <w:rsid w:val="00B014B2"/>
    <w:rsid w:val="00B03AD3"/>
    <w:rsid w:val="00B052CD"/>
    <w:rsid w:val="00B07D2D"/>
    <w:rsid w:val="00B11A9D"/>
    <w:rsid w:val="00B11F7B"/>
    <w:rsid w:val="00B12169"/>
    <w:rsid w:val="00B12D9E"/>
    <w:rsid w:val="00B1607C"/>
    <w:rsid w:val="00B17C91"/>
    <w:rsid w:val="00B213FD"/>
    <w:rsid w:val="00B21ADC"/>
    <w:rsid w:val="00B21F80"/>
    <w:rsid w:val="00B23950"/>
    <w:rsid w:val="00B27010"/>
    <w:rsid w:val="00B3436D"/>
    <w:rsid w:val="00B37BD1"/>
    <w:rsid w:val="00B4421F"/>
    <w:rsid w:val="00B512B6"/>
    <w:rsid w:val="00B51507"/>
    <w:rsid w:val="00B5192F"/>
    <w:rsid w:val="00B54640"/>
    <w:rsid w:val="00B6027C"/>
    <w:rsid w:val="00B60FC4"/>
    <w:rsid w:val="00B64001"/>
    <w:rsid w:val="00B64ECB"/>
    <w:rsid w:val="00B71D32"/>
    <w:rsid w:val="00B913CF"/>
    <w:rsid w:val="00B9297F"/>
    <w:rsid w:val="00B92EA8"/>
    <w:rsid w:val="00B96722"/>
    <w:rsid w:val="00BA1D20"/>
    <w:rsid w:val="00BA29DB"/>
    <w:rsid w:val="00BA39E8"/>
    <w:rsid w:val="00BA444C"/>
    <w:rsid w:val="00BA79C8"/>
    <w:rsid w:val="00BA7AA3"/>
    <w:rsid w:val="00BB21D0"/>
    <w:rsid w:val="00BC013A"/>
    <w:rsid w:val="00BC0F3D"/>
    <w:rsid w:val="00BC11AA"/>
    <w:rsid w:val="00BC2570"/>
    <w:rsid w:val="00BD46C8"/>
    <w:rsid w:val="00BD5E15"/>
    <w:rsid w:val="00BF04E2"/>
    <w:rsid w:val="00BF2499"/>
    <w:rsid w:val="00BF4455"/>
    <w:rsid w:val="00C03A09"/>
    <w:rsid w:val="00C04BB6"/>
    <w:rsid w:val="00C0699E"/>
    <w:rsid w:val="00C07188"/>
    <w:rsid w:val="00C106D7"/>
    <w:rsid w:val="00C11645"/>
    <w:rsid w:val="00C125A7"/>
    <w:rsid w:val="00C14F93"/>
    <w:rsid w:val="00C21133"/>
    <w:rsid w:val="00C24760"/>
    <w:rsid w:val="00C26074"/>
    <w:rsid w:val="00C303D5"/>
    <w:rsid w:val="00C353D5"/>
    <w:rsid w:val="00C4209E"/>
    <w:rsid w:val="00C5014D"/>
    <w:rsid w:val="00C52ED0"/>
    <w:rsid w:val="00C54BC5"/>
    <w:rsid w:val="00C54FB2"/>
    <w:rsid w:val="00C65E8B"/>
    <w:rsid w:val="00C749FE"/>
    <w:rsid w:val="00C75387"/>
    <w:rsid w:val="00C77CE3"/>
    <w:rsid w:val="00C83B0A"/>
    <w:rsid w:val="00C861DC"/>
    <w:rsid w:val="00C871A1"/>
    <w:rsid w:val="00C912FD"/>
    <w:rsid w:val="00C91947"/>
    <w:rsid w:val="00C92162"/>
    <w:rsid w:val="00C94824"/>
    <w:rsid w:val="00CB4CFB"/>
    <w:rsid w:val="00CB6EAC"/>
    <w:rsid w:val="00CC3BFE"/>
    <w:rsid w:val="00CC3F7B"/>
    <w:rsid w:val="00CC7DB2"/>
    <w:rsid w:val="00CD0BD6"/>
    <w:rsid w:val="00CD4A27"/>
    <w:rsid w:val="00CD5E00"/>
    <w:rsid w:val="00CE09EF"/>
    <w:rsid w:val="00CE1E0C"/>
    <w:rsid w:val="00CE277E"/>
    <w:rsid w:val="00CE387D"/>
    <w:rsid w:val="00CF0881"/>
    <w:rsid w:val="00CF146B"/>
    <w:rsid w:val="00CF527F"/>
    <w:rsid w:val="00D0320E"/>
    <w:rsid w:val="00D15D3E"/>
    <w:rsid w:val="00D164BB"/>
    <w:rsid w:val="00D1658A"/>
    <w:rsid w:val="00D17E55"/>
    <w:rsid w:val="00D20525"/>
    <w:rsid w:val="00D20ECC"/>
    <w:rsid w:val="00D31AD0"/>
    <w:rsid w:val="00D3333B"/>
    <w:rsid w:val="00D33345"/>
    <w:rsid w:val="00D3484B"/>
    <w:rsid w:val="00D356AC"/>
    <w:rsid w:val="00D41196"/>
    <w:rsid w:val="00D45E0D"/>
    <w:rsid w:val="00D56338"/>
    <w:rsid w:val="00D56867"/>
    <w:rsid w:val="00D63EE4"/>
    <w:rsid w:val="00D65C59"/>
    <w:rsid w:val="00D66629"/>
    <w:rsid w:val="00D72638"/>
    <w:rsid w:val="00D76329"/>
    <w:rsid w:val="00D84229"/>
    <w:rsid w:val="00D90D2F"/>
    <w:rsid w:val="00D959FB"/>
    <w:rsid w:val="00D9632F"/>
    <w:rsid w:val="00DA04AD"/>
    <w:rsid w:val="00DA7801"/>
    <w:rsid w:val="00DB6411"/>
    <w:rsid w:val="00DB6E0E"/>
    <w:rsid w:val="00DC19FC"/>
    <w:rsid w:val="00DC6844"/>
    <w:rsid w:val="00DC7251"/>
    <w:rsid w:val="00DD70C2"/>
    <w:rsid w:val="00DE57B6"/>
    <w:rsid w:val="00DE5A74"/>
    <w:rsid w:val="00DF02BC"/>
    <w:rsid w:val="00DF135C"/>
    <w:rsid w:val="00DF1849"/>
    <w:rsid w:val="00DF22D8"/>
    <w:rsid w:val="00DF31EF"/>
    <w:rsid w:val="00DF5C6C"/>
    <w:rsid w:val="00DF7CCC"/>
    <w:rsid w:val="00E02A7F"/>
    <w:rsid w:val="00E04433"/>
    <w:rsid w:val="00E07880"/>
    <w:rsid w:val="00E10BE9"/>
    <w:rsid w:val="00E17EDE"/>
    <w:rsid w:val="00E20DE0"/>
    <w:rsid w:val="00E20E35"/>
    <w:rsid w:val="00E21ECC"/>
    <w:rsid w:val="00E2439A"/>
    <w:rsid w:val="00E3317B"/>
    <w:rsid w:val="00E40C3B"/>
    <w:rsid w:val="00E56A1C"/>
    <w:rsid w:val="00E601F3"/>
    <w:rsid w:val="00E611F3"/>
    <w:rsid w:val="00E632FA"/>
    <w:rsid w:val="00E66936"/>
    <w:rsid w:val="00E7249B"/>
    <w:rsid w:val="00E753E6"/>
    <w:rsid w:val="00E75A19"/>
    <w:rsid w:val="00E8159F"/>
    <w:rsid w:val="00E82621"/>
    <w:rsid w:val="00E82AA9"/>
    <w:rsid w:val="00E85E2F"/>
    <w:rsid w:val="00E924BF"/>
    <w:rsid w:val="00E94312"/>
    <w:rsid w:val="00E974E0"/>
    <w:rsid w:val="00EA0905"/>
    <w:rsid w:val="00EB0083"/>
    <w:rsid w:val="00EB023B"/>
    <w:rsid w:val="00EB22EC"/>
    <w:rsid w:val="00EB2BD1"/>
    <w:rsid w:val="00EB353C"/>
    <w:rsid w:val="00EC01EC"/>
    <w:rsid w:val="00ED0164"/>
    <w:rsid w:val="00ED20AB"/>
    <w:rsid w:val="00ED33A1"/>
    <w:rsid w:val="00EE2B1E"/>
    <w:rsid w:val="00EE2F85"/>
    <w:rsid w:val="00EE53BC"/>
    <w:rsid w:val="00EF3A61"/>
    <w:rsid w:val="00EF4D77"/>
    <w:rsid w:val="00F01BEC"/>
    <w:rsid w:val="00F030E4"/>
    <w:rsid w:val="00F0329F"/>
    <w:rsid w:val="00F12212"/>
    <w:rsid w:val="00F1763C"/>
    <w:rsid w:val="00F224B5"/>
    <w:rsid w:val="00F32376"/>
    <w:rsid w:val="00F370D1"/>
    <w:rsid w:val="00F37923"/>
    <w:rsid w:val="00F41F1B"/>
    <w:rsid w:val="00F44DBE"/>
    <w:rsid w:val="00F4747D"/>
    <w:rsid w:val="00F51B27"/>
    <w:rsid w:val="00F5233C"/>
    <w:rsid w:val="00F572D7"/>
    <w:rsid w:val="00F65411"/>
    <w:rsid w:val="00F721D8"/>
    <w:rsid w:val="00F73B94"/>
    <w:rsid w:val="00F74B78"/>
    <w:rsid w:val="00F77C9A"/>
    <w:rsid w:val="00F80F73"/>
    <w:rsid w:val="00F84EF0"/>
    <w:rsid w:val="00F9167B"/>
    <w:rsid w:val="00F9402A"/>
    <w:rsid w:val="00F942DA"/>
    <w:rsid w:val="00F9722A"/>
    <w:rsid w:val="00F9792E"/>
    <w:rsid w:val="00FA72DA"/>
    <w:rsid w:val="00FB2570"/>
    <w:rsid w:val="00FB576C"/>
    <w:rsid w:val="00FD148E"/>
    <w:rsid w:val="00FD14F2"/>
    <w:rsid w:val="00FD2AA6"/>
    <w:rsid w:val="00FD5A2A"/>
    <w:rsid w:val="00FD6E15"/>
    <w:rsid w:val="00FE151E"/>
    <w:rsid w:val="00FE6260"/>
    <w:rsid w:val="00FE746B"/>
    <w:rsid w:val="00FE7E8A"/>
    <w:rsid w:val="00FF477D"/>
    <w:rsid w:val="02BB75B2"/>
    <w:rsid w:val="02FF2889"/>
    <w:rsid w:val="03A3151B"/>
    <w:rsid w:val="063858F6"/>
    <w:rsid w:val="0A034557"/>
    <w:rsid w:val="0AF0485E"/>
    <w:rsid w:val="0CFD3906"/>
    <w:rsid w:val="0F136F00"/>
    <w:rsid w:val="0F4A7D3F"/>
    <w:rsid w:val="101175B4"/>
    <w:rsid w:val="10DB3039"/>
    <w:rsid w:val="11624A06"/>
    <w:rsid w:val="119E5ED3"/>
    <w:rsid w:val="13D824C6"/>
    <w:rsid w:val="15CA4090"/>
    <w:rsid w:val="162163A6"/>
    <w:rsid w:val="188272C6"/>
    <w:rsid w:val="19A2504A"/>
    <w:rsid w:val="19BE3706"/>
    <w:rsid w:val="1A700985"/>
    <w:rsid w:val="1AC15A62"/>
    <w:rsid w:val="1AD97324"/>
    <w:rsid w:val="1B310649"/>
    <w:rsid w:val="1BA004BA"/>
    <w:rsid w:val="1BAC7F86"/>
    <w:rsid w:val="1BDB2B53"/>
    <w:rsid w:val="1BEE0DF3"/>
    <w:rsid w:val="1C4726A2"/>
    <w:rsid w:val="1C9F42B5"/>
    <w:rsid w:val="1DCB4E4A"/>
    <w:rsid w:val="1FCF0C21"/>
    <w:rsid w:val="21271E30"/>
    <w:rsid w:val="21515666"/>
    <w:rsid w:val="21CF782C"/>
    <w:rsid w:val="22A70FE7"/>
    <w:rsid w:val="23560771"/>
    <w:rsid w:val="23730FC9"/>
    <w:rsid w:val="248A3369"/>
    <w:rsid w:val="25901ED5"/>
    <w:rsid w:val="27EE2B60"/>
    <w:rsid w:val="28215D92"/>
    <w:rsid w:val="282807DB"/>
    <w:rsid w:val="28B07116"/>
    <w:rsid w:val="296323DA"/>
    <w:rsid w:val="2A520044"/>
    <w:rsid w:val="2A8F74CE"/>
    <w:rsid w:val="2A97058D"/>
    <w:rsid w:val="2AD934B6"/>
    <w:rsid w:val="2C994A91"/>
    <w:rsid w:val="2D1E1F1D"/>
    <w:rsid w:val="2DA134D1"/>
    <w:rsid w:val="2DBB4593"/>
    <w:rsid w:val="2E2E1209"/>
    <w:rsid w:val="2E764E2B"/>
    <w:rsid w:val="300C37CC"/>
    <w:rsid w:val="308675AA"/>
    <w:rsid w:val="333641BF"/>
    <w:rsid w:val="336D632F"/>
    <w:rsid w:val="35753BC1"/>
    <w:rsid w:val="3628478F"/>
    <w:rsid w:val="37510690"/>
    <w:rsid w:val="380876FB"/>
    <w:rsid w:val="388859B9"/>
    <w:rsid w:val="39331DC9"/>
    <w:rsid w:val="394F6992"/>
    <w:rsid w:val="3A524130"/>
    <w:rsid w:val="3A861495"/>
    <w:rsid w:val="3BA713EC"/>
    <w:rsid w:val="3C0A5EB1"/>
    <w:rsid w:val="3CC66AB0"/>
    <w:rsid w:val="3D4118BE"/>
    <w:rsid w:val="3D4F2850"/>
    <w:rsid w:val="3DE55953"/>
    <w:rsid w:val="3DEE4511"/>
    <w:rsid w:val="3E344619"/>
    <w:rsid w:val="3E6E32C4"/>
    <w:rsid w:val="3ED03C16"/>
    <w:rsid w:val="3F204B9E"/>
    <w:rsid w:val="41197AF6"/>
    <w:rsid w:val="4269060A"/>
    <w:rsid w:val="448259B3"/>
    <w:rsid w:val="45EF0E26"/>
    <w:rsid w:val="477C2B8D"/>
    <w:rsid w:val="4A7E27C2"/>
    <w:rsid w:val="4BEC1766"/>
    <w:rsid w:val="4C224BFA"/>
    <w:rsid w:val="4CA9077F"/>
    <w:rsid w:val="4E2B70BB"/>
    <w:rsid w:val="4F265364"/>
    <w:rsid w:val="4F891FE9"/>
    <w:rsid w:val="4FFE6835"/>
    <w:rsid w:val="50052A51"/>
    <w:rsid w:val="507408A5"/>
    <w:rsid w:val="512E2C0C"/>
    <w:rsid w:val="52133DDD"/>
    <w:rsid w:val="528926AA"/>
    <w:rsid w:val="52DE46FC"/>
    <w:rsid w:val="530A729F"/>
    <w:rsid w:val="54646E83"/>
    <w:rsid w:val="54E3424B"/>
    <w:rsid w:val="555B5F8F"/>
    <w:rsid w:val="56A3467A"/>
    <w:rsid w:val="57514451"/>
    <w:rsid w:val="5A522FD2"/>
    <w:rsid w:val="5B2231C5"/>
    <w:rsid w:val="5C9358D1"/>
    <w:rsid w:val="5E671A49"/>
    <w:rsid w:val="5F6F24F6"/>
    <w:rsid w:val="60387B56"/>
    <w:rsid w:val="60DE1E3F"/>
    <w:rsid w:val="62A10094"/>
    <w:rsid w:val="65D46694"/>
    <w:rsid w:val="65FE742B"/>
    <w:rsid w:val="660202AA"/>
    <w:rsid w:val="668B029F"/>
    <w:rsid w:val="67B51A77"/>
    <w:rsid w:val="690F51B7"/>
    <w:rsid w:val="697414BE"/>
    <w:rsid w:val="698828C6"/>
    <w:rsid w:val="6A1C6093"/>
    <w:rsid w:val="6C846764"/>
    <w:rsid w:val="6D4C69DA"/>
    <w:rsid w:val="6F6A39DC"/>
    <w:rsid w:val="70066F9C"/>
    <w:rsid w:val="7125092A"/>
    <w:rsid w:val="71810C1C"/>
    <w:rsid w:val="7192315C"/>
    <w:rsid w:val="720403EB"/>
    <w:rsid w:val="732166BE"/>
    <w:rsid w:val="74CC21AE"/>
    <w:rsid w:val="755271FF"/>
    <w:rsid w:val="75E34125"/>
    <w:rsid w:val="76595CC1"/>
    <w:rsid w:val="77BB389B"/>
    <w:rsid w:val="782F3180"/>
    <w:rsid w:val="7BF70459"/>
    <w:rsid w:val="7D816CE5"/>
    <w:rsid w:val="7E89659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7"/>
    <w:unhideWhenUsed/>
    <w:qFormat/>
    <w:uiPriority w:val="99"/>
    <w:pPr>
      <w:jc w:val="left"/>
    </w:pPr>
  </w:style>
  <w:style w:type="paragraph" w:styleId="3">
    <w:name w:val="Block Text"/>
    <w:basedOn w:val="1"/>
    <w:qFormat/>
    <w:uiPriority w:val="99"/>
    <w:pPr>
      <w:widowControl/>
      <w:spacing w:before="100" w:beforeAutospacing="1" w:after="100" w:afterAutospacing="1"/>
      <w:jc w:val="left"/>
    </w:pPr>
    <w:rPr>
      <w:rFonts w:ascii="宋体" w:hAnsi="宋体" w:cs="宋体"/>
      <w:kern w:val="0"/>
      <w:sz w:val="24"/>
    </w:rPr>
  </w:style>
  <w:style w:type="paragraph" w:styleId="4">
    <w:name w:val="Date"/>
    <w:basedOn w:val="1"/>
    <w:next w:val="1"/>
    <w:link w:val="15"/>
    <w:unhideWhenUsed/>
    <w:qFormat/>
    <w:uiPriority w:val="99"/>
    <w:pPr>
      <w:ind w:left="100" w:leftChars="2500"/>
    </w:pPr>
  </w:style>
  <w:style w:type="paragraph" w:styleId="5">
    <w:name w:val="Balloon Text"/>
    <w:basedOn w:val="1"/>
    <w:link w:val="19"/>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12">
    <w:name w:val="page number"/>
    <w:basedOn w:val="11"/>
    <w:qFormat/>
    <w:uiPriority w:val="0"/>
  </w:style>
  <w:style w:type="character" w:styleId="13">
    <w:name w:val="annotation reference"/>
    <w:unhideWhenUsed/>
    <w:qFormat/>
    <w:uiPriority w:val="99"/>
    <w:rPr>
      <w:sz w:val="21"/>
      <w:szCs w:val="21"/>
    </w:rPr>
  </w:style>
  <w:style w:type="character" w:customStyle="1" w:styleId="14">
    <w:name w:val="highlight"/>
    <w:basedOn w:val="11"/>
    <w:qFormat/>
    <w:uiPriority w:val="0"/>
  </w:style>
  <w:style w:type="character" w:customStyle="1" w:styleId="15">
    <w:name w:val="日期 Char"/>
    <w:link w:val="4"/>
    <w:semiHidden/>
    <w:qFormat/>
    <w:uiPriority w:val="99"/>
    <w:rPr>
      <w:kern w:val="2"/>
      <w:sz w:val="21"/>
      <w:szCs w:val="24"/>
    </w:rPr>
  </w:style>
  <w:style w:type="character" w:customStyle="1" w:styleId="16">
    <w:name w:val="页脚 Char"/>
    <w:link w:val="6"/>
    <w:qFormat/>
    <w:uiPriority w:val="99"/>
    <w:rPr>
      <w:kern w:val="2"/>
      <w:sz w:val="18"/>
      <w:szCs w:val="18"/>
    </w:rPr>
  </w:style>
  <w:style w:type="character" w:customStyle="1" w:styleId="17">
    <w:name w:val="批注文字 Char"/>
    <w:link w:val="2"/>
    <w:semiHidden/>
    <w:qFormat/>
    <w:uiPriority w:val="99"/>
    <w:rPr>
      <w:kern w:val="2"/>
      <w:sz w:val="21"/>
      <w:szCs w:val="24"/>
    </w:rPr>
  </w:style>
  <w:style w:type="character" w:customStyle="1" w:styleId="18">
    <w:name w:val="页眉 Char"/>
    <w:link w:val="7"/>
    <w:semiHidden/>
    <w:qFormat/>
    <w:uiPriority w:val="99"/>
    <w:rPr>
      <w:kern w:val="2"/>
      <w:sz w:val="18"/>
      <w:szCs w:val="18"/>
    </w:rPr>
  </w:style>
  <w:style w:type="character" w:customStyle="1" w:styleId="19">
    <w:name w:val="批注框文本 Char"/>
    <w:link w:val="5"/>
    <w:semiHidden/>
    <w:qFormat/>
    <w:uiPriority w:val="99"/>
    <w:rPr>
      <w:kern w:val="2"/>
      <w:sz w:val="18"/>
      <w:szCs w:val="18"/>
    </w:rPr>
  </w:style>
  <w:style w:type="paragraph" w:customStyle="1" w:styleId="20">
    <w:name w:val="列出段落1"/>
    <w:basedOn w:val="1"/>
    <w:qFormat/>
    <w:uiPriority w:val="34"/>
    <w:pPr>
      <w:ind w:firstLine="420" w:firstLineChars="200"/>
    </w:pPr>
    <w:rPr>
      <w:rFonts w:ascii="Calibri" w:hAnsi="Calibri"/>
      <w:szCs w:val="22"/>
    </w:rPr>
  </w:style>
  <w:style w:type="character" w:customStyle="1" w:styleId="21">
    <w:name w:val="批注主题 Char"/>
    <w:basedOn w:val="17"/>
    <w:link w:val="8"/>
    <w:semiHidden/>
    <w:qFormat/>
    <w:uiPriority w:val="99"/>
    <w:rPr>
      <w:b/>
      <w:bCs/>
      <w:kern w:val="2"/>
      <w:sz w:val="21"/>
      <w:szCs w:val="24"/>
    </w:rPr>
  </w:style>
  <w:style w:type="character" w:customStyle="1" w:styleId="22">
    <w:name w:val="fontstyle01"/>
    <w:basedOn w:val="11"/>
    <w:qFormat/>
    <w:uiPriority w:val="0"/>
    <w:rPr>
      <w:rFonts w:hint="default" w:ascii="FzBookMaker7DlFont70536871171" w:hAnsi="FzBookMaker7DlFont70536871171"/>
      <w:color w:val="000000"/>
      <w:sz w:val="20"/>
      <w:szCs w:val="20"/>
    </w:rPr>
  </w:style>
  <w:style w:type="character" w:customStyle="1" w:styleId="23">
    <w:name w:val="fontstyle11"/>
    <w:basedOn w:val="11"/>
    <w:qFormat/>
    <w:uiPriority w:val="0"/>
    <w:rPr>
      <w:rFonts w:hint="default" w:ascii="FzBookMaker11DlFont110536871175" w:hAnsi="FzBookMaker11DlFont110536871175"/>
      <w:color w:val="000000"/>
      <w:sz w:val="20"/>
      <w:szCs w:val="20"/>
    </w:rPr>
  </w:style>
  <w:style w:type="character" w:customStyle="1" w:styleId="24">
    <w:name w:val="fontstyle21"/>
    <w:basedOn w:val="11"/>
    <w:qFormat/>
    <w:uiPriority w:val="0"/>
    <w:rPr>
      <w:rFonts w:hint="default" w:ascii="FzBookMaker2DlFont20536871173" w:hAnsi="FzBookMaker2DlFont20536871173"/>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E8001A-57F5-4A27-AF10-C40F0369F39C}">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4</Pages>
  <Words>1555</Words>
  <Characters>1994</Characters>
  <Lines>4</Lines>
  <Paragraphs>3</Paragraphs>
  <TotalTime>0</TotalTime>
  <ScaleCrop>false</ScaleCrop>
  <LinksUpToDate>false</LinksUpToDate>
  <CharactersWithSpaces>2087</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2021-07-04T13:29:00Z</dcterms:created>
  <dc:creator>Legend User</dc:creator>
  <cp:lastModifiedBy>GSJSGK</cp:lastModifiedBy>
  <cp:lastPrinted>2022-05-20T07:44:00Z</cp:lastPrinted>
  <dcterms:modified xsi:type="dcterms:W3CDTF">2026-05-18T05:21:06Z</dcterms:modified>
  <dc:title>××产品质量监督抽查实施细则</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F0B94D2FA01A4A8ABE147CCBA11DB8FA_13</vt:lpwstr>
  </property>
  <property fmtid="{D5CDD505-2E9C-101B-9397-08002B2CF9AE}" pid="4" name="commondata">
    <vt:lpwstr>eyJoZGlkIjoiYTQ3NTQyZmJmYzIyOTQ1MmE5NGM5ODkyNzQ0MmUxMmIifQ==</vt:lpwstr>
  </property>
  <property fmtid="{D5CDD505-2E9C-101B-9397-08002B2CF9AE}" pid="5" name="KSOTemplateDocerSaveRecord">
    <vt:lpwstr>eyJoZGlkIjoiMmE5M2ExYmIxN2NmMmMxNDlhZDZiNDdmYWVkNzhhMmQiLCJ1c2VySWQiOiI1NzI5Mjk2NzAifQ==</vt:lpwstr>
  </property>
</Properties>
</file>