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88" w:firstLineChars="200"/>
        <w:jc w:val="both"/>
        <w:rPr>
          <w:rFonts w:hint="eastAsia" w:ascii="黑体" w:hAnsi="宋体" w:eastAsia="黑体" w:cs="Times New Roman"/>
          <w:spacing w:val="20"/>
          <w:w w:val="105"/>
          <w:sz w:val="48"/>
          <w:szCs w:val="48"/>
        </w:rPr>
      </w:pPr>
      <w:r>
        <w:rPr>
          <w:rFonts w:hint="eastAsia" w:ascii="黑体" w:hAnsi="宋体" w:eastAsia="黑体" w:cs="Times New Roman"/>
          <w:spacing w:val="20"/>
          <w:w w:val="105"/>
          <w:sz w:val="48"/>
          <w:szCs w:val="48"/>
        </w:rPr>
        <w:t>产品质量监督抽查实施细则</w:t>
      </w: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  <w:r>
        <w:rPr>
          <w:rFonts w:hint="eastAsia" w:ascii="黑体" w:hAnsi="宋体" w:eastAsia="黑体"/>
          <w:sz w:val="32"/>
        </w:rPr>
        <w:pict>
          <v:line id="直接连接符 1" o:spid="_x0000_s1026" o:spt="20" style="position:absolute;left:0pt;flip:y;margin-left:5.25pt;margin-top:7.8pt;height:0.15pt;width:409.5pt;z-index:251659264;mso-width-relative:page;mso-height-relative:page;" filled="f" stroked="t" coordsize="21600,21600" o:gfxdata="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3QWmu0wAAAAgBAAAPAAAA&#10;AAAAAAEAIAAAACIAAABkcnMvZG93bnJldi54bWxQSwECFAAUAAAACACHTuJA0RkkTeEBAACkAwAA&#10;DgAAAAAAAAABACAAAAAiAQAAZHJzL2Uyb0RvYy54bWxQSwUGAAAAAAYABgBZAQAAdQUAAAAA&#10;">
            <v:path arrowok="t"/>
            <v:fill on="f" focussize="0,0"/>
            <v:stroke weight="1.25pt" color="#000000" joinstyle="round"/>
            <v:imagedata o:title=""/>
            <o:lock v:ext="edit" aspectratio="f"/>
          </v:line>
        </w:pict>
      </w: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tabs>
          <w:tab w:val="left" w:pos="6930"/>
        </w:tabs>
        <w:adjustRightInd w:val="0"/>
        <w:spacing w:line="360" w:lineRule="auto"/>
        <w:jc w:val="center"/>
        <w:outlineLvl w:val="0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>
      <w:pPr>
        <w:tabs>
          <w:tab w:val="left" w:pos="6930"/>
        </w:tabs>
        <w:adjustRightInd w:val="0"/>
        <w:spacing w:line="360" w:lineRule="auto"/>
        <w:jc w:val="center"/>
        <w:outlineLvl w:val="0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2026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年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昌吉州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环形混凝土电杆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产品</w:t>
      </w:r>
    </w:p>
    <w:p>
      <w:pPr>
        <w:tabs>
          <w:tab w:val="left" w:pos="6930"/>
        </w:tabs>
        <w:adjustRightInd w:val="0"/>
        <w:spacing w:line="360" w:lineRule="auto"/>
        <w:jc w:val="center"/>
        <w:outlineLvl w:val="0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质量监督抽查实施细则</w:t>
      </w: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spacing w:line="440" w:lineRule="exact"/>
        <w:jc w:val="center"/>
        <w:rPr>
          <w:rFonts w:hint="eastAsia" w:ascii="黑体" w:hAnsi="宋体" w:eastAsia="黑体"/>
          <w:sz w:val="32"/>
        </w:rPr>
      </w:pPr>
    </w:p>
    <w:p>
      <w:pPr>
        <w:spacing w:line="440" w:lineRule="exact"/>
        <w:rPr>
          <w:rFonts w:hint="eastAsia" w:ascii="黑体" w:hAnsi="宋体" w:eastAsia="黑体"/>
          <w:sz w:val="32"/>
        </w:rPr>
      </w:pPr>
    </w:p>
    <w:p>
      <w:pPr>
        <w:spacing w:line="440" w:lineRule="exact"/>
        <w:ind w:firstLine="560" w:firstLineChars="200"/>
        <w:rPr>
          <w:rFonts w:hint="eastAsia" w:ascii="黑体" w:hAnsi="宋体" w:eastAsia="黑体"/>
          <w:sz w:val="28"/>
          <w:szCs w:val="21"/>
        </w:rPr>
      </w:pPr>
      <w:r>
        <w:rPr>
          <w:rFonts w:hint="eastAsia" w:ascii="黑体" w:hAnsi="宋体" w:eastAsia="黑体"/>
          <w:sz w:val="28"/>
          <w:szCs w:val="21"/>
        </w:rPr>
        <w:pict>
          <v:line id="直接连接符 2" o:spid="_x0000_s1027" o:spt="20" style="position:absolute;left:0pt;margin-left:26pt;margin-top:20.4pt;height:0pt;width:404.25pt;z-index:251660288;mso-width-relative:page;mso-height-relative:page;" filled="f" stroked="t" coordsize="21600,21600" o:gfxdata="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DRCtF3WAAAACAEAAA8AAAAAAAAA&#10;AQAgAAAAIgAAAGRycy9kb3ducmV2LnhtbFBLAQIUABQAAAAIAIdO4kALQg+72gEAAJcDAAAOAAAA&#10;AAAAAAEAIAAAACUBAABkcnMvZTJvRG9jLnhtbFBLBQYAAAAABgAGAFkBAABxBQAAAAA=&#10;">
            <v:path arrowok="t"/>
            <v:fill on="f" focussize="0,0"/>
            <v:stroke weight="1.25pt" color="#000000" joinstyle="round"/>
            <v:imagedata o:title=""/>
            <o:lock v:ext="edit" aspectratio="f"/>
          </v:line>
        </w:pict>
      </w:r>
      <w:r>
        <w:rPr>
          <w:rFonts w:hint="eastAsia" w:ascii="黑体" w:hAnsi="宋体" w:eastAsia="黑体"/>
          <w:sz w:val="24"/>
          <w:szCs w:val="24"/>
        </w:rPr>
        <w:t>20</w:t>
      </w:r>
      <w:r>
        <w:rPr>
          <w:rFonts w:hint="eastAsia" w:ascii="黑体" w:hAnsi="宋体" w:eastAsia="黑体"/>
          <w:sz w:val="24"/>
          <w:szCs w:val="24"/>
          <w:lang w:val="en-US" w:eastAsia="zh-CN"/>
        </w:rPr>
        <w:t>26</w:t>
      </w:r>
      <w:r>
        <w:rPr>
          <w:rFonts w:hint="eastAsia" w:ascii="黑体" w:hAnsi="宋体" w:eastAsia="黑体"/>
          <w:sz w:val="24"/>
          <w:szCs w:val="24"/>
        </w:rPr>
        <w:t>-0</w:t>
      </w:r>
      <w:r>
        <w:rPr>
          <w:rFonts w:hint="default" w:ascii="黑体" w:hAnsi="宋体" w:eastAsia="黑体"/>
          <w:sz w:val="24"/>
          <w:szCs w:val="24"/>
          <w:lang w:eastAsia="zh-CN"/>
        </w:rPr>
        <w:t>1</w:t>
      </w:r>
      <w:r>
        <w:rPr>
          <w:rFonts w:hint="eastAsia" w:ascii="黑体" w:hAnsi="宋体" w:eastAsia="黑体"/>
          <w:sz w:val="24"/>
          <w:szCs w:val="24"/>
        </w:rPr>
        <w:t>-</w:t>
      </w:r>
      <w:r>
        <w:rPr>
          <w:rFonts w:hint="eastAsia" w:ascii="黑体" w:hAnsi="宋体" w:eastAsia="黑体"/>
          <w:sz w:val="24"/>
          <w:szCs w:val="24"/>
          <w:lang w:val="en-US" w:eastAsia="zh-CN"/>
        </w:rPr>
        <w:t>01</w:t>
      </w:r>
      <w:r>
        <w:rPr>
          <w:rFonts w:hint="eastAsia" w:ascii="黑体" w:hAnsi="宋体" w:eastAsia="黑体"/>
          <w:sz w:val="24"/>
          <w:szCs w:val="24"/>
        </w:rPr>
        <w:t xml:space="preserve">发布              </w:t>
      </w:r>
      <w:r>
        <w:rPr>
          <w:rFonts w:hint="eastAsia" w:ascii="黑体" w:hAnsi="宋体" w:eastAsia="黑体"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宋体" w:eastAsia="黑体"/>
          <w:sz w:val="24"/>
          <w:szCs w:val="24"/>
        </w:rPr>
        <w:t xml:space="preserve">          20</w:t>
      </w:r>
      <w:r>
        <w:rPr>
          <w:rFonts w:hint="eastAsia" w:ascii="黑体" w:hAnsi="宋体" w:eastAsia="黑体"/>
          <w:sz w:val="24"/>
          <w:szCs w:val="24"/>
          <w:lang w:val="en-US" w:eastAsia="zh-CN"/>
        </w:rPr>
        <w:t>26</w:t>
      </w:r>
      <w:r>
        <w:rPr>
          <w:rFonts w:hint="eastAsia" w:ascii="黑体" w:hAnsi="宋体" w:eastAsia="黑体"/>
          <w:sz w:val="24"/>
          <w:szCs w:val="24"/>
        </w:rPr>
        <w:t>-0</w:t>
      </w:r>
      <w:r>
        <w:rPr>
          <w:rFonts w:hint="default" w:ascii="黑体" w:hAnsi="宋体" w:eastAsia="黑体"/>
          <w:sz w:val="24"/>
          <w:szCs w:val="24"/>
          <w:lang w:eastAsia="zh-CN"/>
        </w:rPr>
        <w:t>2</w:t>
      </w:r>
      <w:r>
        <w:rPr>
          <w:rFonts w:hint="eastAsia" w:ascii="黑体" w:hAnsi="宋体" w:eastAsia="黑体"/>
          <w:sz w:val="24"/>
          <w:szCs w:val="24"/>
        </w:rPr>
        <w:t>-</w:t>
      </w:r>
      <w:r>
        <w:rPr>
          <w:rFonts w:hint="eastAsia" w:ascii="黑体" w:hAnsi="宋体" w:eastAsia="黑体"/>
          <w:sz w:val="24"/>
          <w:szCs w:val="24"/>
          <w:lang w:val="en-US" w:eastAsia="zh-CN"/>
        </w:rPr>
        <w:t>10</w:t>
      </w:r>
      <w:bookmarkStart w:id="0" w:name="_GoBack"/>
      <w:bookmarkEnd w:id="0"/>
      <w:r>
        <w:rPr>
          <w:rFonts w:hint="eastAsia" w:ascii="黑体" w:hAnsi="宋体" w:eastAsia="黑体"/>
          <w:sz w:val="24"/>
          <w:szCs w:val="24"/>
        </w:rPr>
        <w:t>实施</w:t>
      </w:r>
    </w:p>
    <w:p>
      <w:pPr>
        <w:spacing w:line="280" w:lineRule="atLeast"/>
        <w:jc w:val="center"/>
        <w:rPr>
          <w:rFonts w:hint="eastAsia" w:ascii="黑体" w:hAnsi="宋体" w:eastAsia="黑体"/>
          <w:bCs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bCs/>
          <w:sz w:val="32"/>
          <w:szCs w:val="32"/>
          <w:lang w:val="en-US" w:eastAsia="zh-CN"/>
        </w:rPr>
        <w:t>昌吉州市场监督管理局</w:t>
      </w:r>
    </w:p>
    <w:p>
      <w:pPr>
        <w:spacing w:line="440" w:lineRule="exact"/>
        <w:jc w:val="center"/>
        <w:rPr>
          <w:rFonts w:hint="eastAsia" w:ascii="Times New Roman" w:hAnsi="Times New Roman" w:eastAsia="方正小标宋简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color w:val="000000"/>
          <w:sz w:val="32"/>
          <w:szCs w:val="32"/>
          <w:lang w:val="en-US" w:eastAsia="zh-CN"/>
        </w:rPr>
        <w:t>2026年昌吉州环形混凝土电杆产品质量</w:t>
      </w:r>
    </w:p>
    <w:p>
      <w:pPr>
        <w:spacing w:line="440" w:lineRule="exact"/>
        <w:jc w:val="center"/>
        <w:rPr>
          <w:rFonts w:hint="eastAsia" w:ascii="Times New Roman" w:hAnsi="Times New Roman" w:eastAsia="方正小标宋简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color w:val="000000"/>
          <w:sz w:val="32"/>
          <w:szCs w:val="32"/>
          <w:lang w:val="en-US" w:eastAsia="zh-CN"/>
        </w:rPr>
        <w:t>监督抽查实施细则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snapToGrid w:val="0"/>
        <w:spacing w:line="440" w:lineRule="exact"/>
        <w:rPr>
          <w:rFonts w:hint="eastAsia" w:ascii="黑体" w:hAnsi="黑体" w:eastAsia="黑体" w:cs="黑体"/>
          <w:b/>
          <w:bCs/>
          <w:color w:val="000000"/>
          <w:szCs w:val="21"/>
        </w:rPr>
      </w:pPr>
      <w:r>
        <w:rPr>
          <w:rFonts w:hint="eastAsia" w:ascii="黑体" w:hAnsi="黑体" w:eastAsia="黑体" w:cs="黑体"/>
          <w:b/>
          <w:bCs/>
          <w:color w:val="000000"/>
          <w:szCs w:val="21"/>
        </w:rPr>
        <w:t>1</w:t>
      </w:r>
      <w:r>
        <w:rPr>
          <w:rFonts w:hint="eastAsia" w:ascii="黑体" w:hAnsi="黑体" w:eastAsia="黑体" w:cs="黑体"/>
          <w:b/>
          <w:bCs/>
          <w:color w:val="000000"/>
          <w:szCs w:val="21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000000"/>
          <w:szCs w:val="21"/>
        </w:rPr>
        <w:t>抽样方法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textAlignment w:val="auto"/>
      </w:pPr>
      <w:r>
        <w:t>以随机抽样的方式在</w:t>
      </w:r>
      <w:r>
        <w:rPr>
          <w:color w:val="000000"/>
          <w:szCs w:val="21"/>
        </w:rPr>
        <w:t>被抽样</w:t>
      </w:r>
      <w:r>
        <w:rPr>
          <w:rFonts w:hint="eastAsia"/>
          <w:color w:val="000000"/>
          <w:szCs w:val="21"/>
          <w:lang w:val="en-US" w:eastAsia="zh-CN"/>
        </w:rPr>
        <w:t>生产</w:t>
      </w:r>
      <w:r>
        <w:t>者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销售者</w:t>
      </w:r>
      <w:r>
        <w:t>的待销产品中抽取</w:t>
      </w:r>
      <w:r>
        <w:rPr>
          <w:rFonts w:hint="eastAsia"/>
        </w:rPr>
        <w:t>。</w:t>
      </w:r>
    </w:p>
    <w:p>
      <w:pPr>
        <w:snapToGrid w:val="0"/>
        <w:spacing w:line="440" w:lineRule="exact"/>
        <w:ind w:firstLine="420" w:firstLineChars="200"/>
        <w:rPr>
          <w:rFonts w:hint="default" w:ascii="Times New Roman" w:hAnsi="Times New Roman" w:eastAsia="宋体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随机数一般可使用随机数表等方法产生。</w:t>
      </w:r>
    </w:p>
    <w:p>
      <w:pPr>
        <w:snapToGrid w:val="0"/>
        <w:spacing w:line="440" w:lineRule="exact"/>
        <w:ind w:firstLine="420" w:firstLineChars="200"/>
        <w:rPr>
          <w:rFonts w:hint="eastAsia" w:ascii="Times New Roman" w:hAnsi="Times New Roman" w:eastAsia="宋体" w:cs="Times New Roman"/>
          <w:color w:val="000000"/>
          <w:szCs w:val="21"/>
        </w:rPr>
      </w:pPr>
      <w:r>
        <w:rPr>
          <w:rFonts w:hint="eastAsia" w:ascii="Times New Roman" w:hAnsi="Times New Roman" w:eastAsia="宋体" w:cs="Times New Roman"/>
          <w:color w:val="000000"/>
          <w:szCs w:val="21"/>
        </w:rPr>
        <w:t>抽取企业生产的同一型号的产品，优先抽取12m（含12m）以下G级至M级中最高荷载级别的产品。从受件批次中抽取10根电杆逐根进行外观质量及尺寸偏差检验，抽取</w:t>
      </w:r>
      <w:r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根进行力学性能检验。拟被抽查规格产品的抽样基数应不少于10根。</w:t>
      </w:r>
    </w:p>
    <w:p>
      <w:pPr>
        <w:snapToGrid w:val="0"/>
        <w:spacing w:line="440" w:lineRule="exact"/>
        <w:rPr>
          <w:rFonts w:hint="eastAsia" w:ascii="黑体" w:hAnsi="黑体" w:eastAsia="黑体" w:cs="黑体"/>
          <w:b/>
          <w:bCs/>
          <w:color w:val="000000"/>
          <w:szCs w:val="21"/>
        </w:rPr>
      </w:pPr>
      <w:r>
        <w:rPr>
          <w:rFonts w:hint="eastAsia" w:ascii="黑体" w:hAnsi="黑体" w:eastAsia="黑体" w:cs="黑体"/>
          <w:b/>
          <w:bCs/>
          <w:color w:val="000000"/>
          <w:szCs w:val="21"/>
          <w:lang w:val="en-US" w:eastAsia="zh-CN"/>
        </w:rPr>
        <w:t xml:space="preserve">2 </w:t>
      </w:r>
      <w:r>
        <w:rPr>
          <w:rFonts w:hint="eastAsia" w:ascii="黑体" w:hAnsi="黑体" w:eastAsia="黑体" w:cs="黑体"/>
          <w:b/>
          <w:bCs/>
          <w:color w:val="000000"/>
          <w:szCs w:val="21"/>
        </w:rPr>
        <w:t>检验依据</w:t>
      </w:r>
    </w:p>
    <w:p>
      <w:pPr>
        <w:snapToGrid w:val="0"/>
        <w:spacing w:line="440" w:lineRule="exact"/>
        <w:ind w:firstLine="420" w:firstLineChars="200"/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Cs w:val="21"/>
        </w:rPr>
        <w:t>检验项目及试验方法</w:t>
      </w:r>
      <w:r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  <w:t>见表1.</w:t>
      </w:r>
    </w:p>
    <w:p>
      <w:pPr>
        <w:snapToGrid w:val="0"/>
        <w:jc w:val="center"/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color w:val="000000"/>
          <w:sz w:val="21"/>
          <w:szCs w:val="21"/>
        </w:rPr>
        <w:t>表</w:t>
      </w:r>
      <w:r>
        <w:rPr>
          <w:rFonts w:hint="eastAsia" w:asciiTheme="minorEastAsia" w:hAnsiTheme="minorEastAsia"/>
          <w:b w:val="0"/>
          <w:bCs/>
          <w:color w:val="000000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/>
          <w:b w:val="0"/>
          <w:bCs/>
          <w:color w:val="000000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b w:val="0"/>
          <w:bCs/>
          <w:color w:val="000000"/>
          <w:sz w:val="21"/>
          <w:szCs w:val="21"/>
        </w:rPr>
        <w:t>检验项目</w:t>
      </w:r>
      <w:r>
        <w:rPr>
          <w:rFonts w:hint="eastAsia" w:cs="宋体" w:asciiTheme="minorEastAsia" w:hAnsiTheme="minorEastAsia" w:eastAsiaTheme="minorEastAsia"/>
          <w:b w:val="0"/>
          <w:bCs/>
          <w:kern w:val="0"/>
          <w:sz w:val="21"/>
          <w:szCs w:val="21"/>
        </w:rPr>
        <w:t>及</w:t>
      </w:r>
      <w:r>
        <w:rPr>
          <w:rFonts w:hint="eastAsia" w:cs="宋体" w:asciiTheme="minorEastAsia" w:hAnsiTheme="minorEastAsia" w:eastAsiaTheme="minorEastAsia"/>
          <w:b w:val="0"/>
          <w:bCs/>
          <w:color w:val="000000"/>
          <w:kern w:val="0"/>
          <w:sz w:val="21"/>
          <w:szCs w:val="21"/>
        </w:rPr>
        <w:t>检验方法</w:t>
      </w:r>
    </w:p>
    <w:tbl>
      <w:tblPr>
        <w:tblStyle w:val="5"/>
        <w:tblpPr w:leftFromText="180" w:rightFromText="180" w:vertAnchor="text" w:horzAnchor="page" w:tblpX="1957" w:tblpY="287"/>
        <w:tblOverlap w:val="never"/>
        <w:tblW w:w="88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3060"/>
        <w:gridCol w:w="810"/>
        <w:gridCol w:w="4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序号</w:t>
            </w:r>
          </w:p>
        </w:tc>
        <w:tc>
          <w:tcPr>
            <w:tcW w:w="3060" w:type="dxa"/>
          </w:tcPr>
          <w:p>
            <w:pPr>
              <w:spacing w:line="520" w:lineRule="exac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检验项目</w:t>
            </w:r>
          </w:p>
        </w:tc>
        <w:tc>
          <w:tcPr>
            <w:tcW w:w="810" w:type="dxa"/>
          </w:tcPr>
          <w:p>
            <w:pPr>
              <w:spacing w:line="520" w:lineRule="exact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类别</w:t>
            </w:r>
          </w:p>
        </w:tc>
        <w:tc>
          <w:tcPr>
            <w:tcW w:w="4203" w:type="dxa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检验方法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外观质量</w:t>
            </w: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FF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203" w:type="dxa"/>
            <w:vMerge w:val="restart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 xml:space="preserve">     </w:t>
            </w:r>
          </w:p>
          <w:p>
            <w:pPr>
              <w:spacing w:line="520" w:lineRule="exact"/>
              <w:ind w:firstLine="1260" w:firstLineChars="600"/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GB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 xml:space="preserve">/T 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4623-2014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top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1.1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表面裂缝</w:t>
            </w: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4203" w:type="dxa"/>
            <w:vMerge w:val="continue"/>
          </w:tcPr>
          <w:p>
            <w:pPr>
              <w:spacing w:line="52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top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漏浆</w:t>
            </w: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4203" w:type="dxa"/>
            <w:vMerge w:val="continue"/>
          </w:tcPr>
          <w:p>
            <w:pPr>
              <w:spacing w:line="52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top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1.3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局部碰伤</w:t>
            </w: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4203" w:type="dxa"/>
            <w:vMerge w:val="continue"/>
          </w:tcPr>
          <w:p>
            <w:pPr>
              <w:spacing w:line="52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top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1.4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内、外表面露筋</w:t>
            </w: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4203" w:type="dxa"/>
            <w:vMerge w:val="continue"/>
          </w:tcPr>
          <w:p>
            <w:pPr>
              <w:spacing w:line="52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1.5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内表面混凝土塌落</w:t>
            </w: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4203" w:type="dxa"/>
            <w:vMerge w:val="continue"/>
          </w:tcPr>
          <w:p>
            <w:pPr>
              <w:spacing w:line="52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1.6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蜂窝</w:t>
            </w: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4203" w:type="dxa"/>
            <w:vMerge w:val="continue"/>
          </w:tcPr>
          <w:p>
            <w:pPr>
              <w:spacing w:line="52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1.7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麻面、粘皮</w:t>
            </w: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4203" w:type="dxa"/>
            <w:vMerge w:val="continue"/>
          </w:tcPr>
          <w:p>
            <w:pPr>
              <w:spacing w:line="520" w:lineRule="exact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尺寸偏差</w:t>
            </w: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4203" w:type="dxa"/>
            <w:vMerge w:val="continue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2.1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杆长</w:t>
            </w: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4203" w:type="dxa"/>
            <w:vMerge w:val="continue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2.2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壁厚</w:t>
            </w: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4203" w:type="dxa"/>
            <w:vMerge w:val="continue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2.3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外径</w:t>
            </w: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4203" w:type="dxa"/>
            <w:vMerge w:val="continue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2.4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保护层厚度</w:t>
            </w: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4203" w:type="dxa"/>
            <w:vMerge w:val="continue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2.5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杆段弯曲度</w:t>
            </w: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4203" w:type="dxa"/>
            <w:vMerge w:val="continue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2.6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杆底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端部倾斜</w:t>
            </w: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4203" w:type="dxa"/>
            <w:vMerge w:val="continue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68" w:type="dxa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3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  <w:t>力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eastAsia="zh-CN"/>
              </w:rPr>
              <w:t>学性能</w:t>
            </w: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4203" w:type="dxa"/>
            <w:vMerge w:val="continue"/>
          </w:tcPr>
          <w:p>
            <w:pPr>
              <w:spacing w:line="520" w:lineRule="exac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</w:tbl>
    <w:p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执行企业标准、团体标准、地方标准的产品，检验项目参照上述内容执行。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凡是注日期的文件，其随后所有的修改单（不包括勘误的内容）或修订版不适用于本细则。凡是不注日期的文件，其最新版本适用于本细则。</w:t>
      </w:r>
    </w:p>
    <w:p>
      <w:pPr>
        <w:snapToGrid w:val="0"/>
        <w:spacing w:line="440" w:lineRule="exact"/>
        <w:rPr>
          <w:rFonts w:hint="default" w:ascii="黑体" w:hAnsi="黑体" w:eastAsia="黑体" w:cs="黑体"/>
          <w:b/>
          <w:bCs/>
          <w:color w:val="000000"/>
          <w:szCs w:val="21"/>
          <w:lang w:val="en-US" w:eastAsia="zh-CN"/>
        </w:rPr>
      </w:pPr>
      <w:r>
        <w:rPr>
          <w:rFonts w:hint="default" w:ascii="黑体" w:hAnsi="黑体" w:eastAsia="黑体" w:cs="黑体"/>
          <w:b/>
          <w:bCs/>
          <w:color w:val="000000"/>
          <w:szCs w:val="21"/>
          <w:lang w:val="en-US" w:eastAsia="zh-CN"/>
        </w:rPr>
        <w:t>3 判定规则</w:t>
      </w:r>
    </w:p>
    <w:p>
      <w:pPr>
        <w:snapToGrid w:val="0"/>
        <w:spacing w:line="440" w:lineRule="exact"/>
        <w:rPr>
          <w:rFonts w:hint="default" w:ascii="Times New Roman" w:hAnsi="Times New Roman" w:cs="Times New Roman"/>
          <w:b/>
          <w:bCs/>
          <w:color w:val="000000"/>
          <w:szCs w:val="21"/>
        </w:rPr>
      </w:pPr>
      <w:r>
        <w:rPr>
          <w:rFonts w:hint="default" w:ascii="Times New Roman" w:hAnsi="Times New Roman" w:cs="Times New Roman"/>
          <w:b/>
          <w:bCs/>
          <w:color w:val="000000"/>
          <w:szCs w:val="21"/>
        </w:rPr>
        <w:t>3.1依据标准</w:t>
      </w:r>
    </w:p>
    <w:p>
      <w:pPr>
        <w:pStyle w:val="9"/>
        <w:spacing w:line="560" w:lineRule="exact"/>
        <w:ind w:firstLine="640"/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  <w:t>GB/T 4623-2014</w:t>
      </w:r>
      <w:r>
        <w:rPr>
          <w:rFonts w:hint="eastAsia" w:asci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  <w:t xml:space="preserve">  </w:t>
      </w:r>
      <w:r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  <w:t>环形混凝土电杆</w:t>
      </w:r>
    </w:p>
    <w:p>
      <w:pPr>
        <w:snapToGrid w:val="0"/>
        <w:spacing w:line="440" w:lineRule="exact"/>
        <w:ind w:firstLine="359" w:firstLineChars="171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现行有效的企业标准、团体标准、地方标准及产品明示质量要求</w:t>
      </w:r>
    </w:p>
    <w:p>
      <w:pPr>
        <w:snapToGrid w:val="0"/>
        <w:spacing w:line="440" w:lineRule="exact"/>
        <w:rPr>
          <w:rFonts w:hint="default" w:ascii="Times New Roman" w:hAnsi="Times New Roman" w:cs="Times New Roman"/>
          <w:b/>
          <w:bCs/>
          <w:color w:val="000000"/>
          <w:szCs w:val="21"/>
        </w:rPr>
      </w:pPr>
      <w:r>
        <w:rPr>
          <w:rFonts w:hint="default" w:ascii="Times New Roman" w:hAnsi="Times New Roman" w:cs="Times New Roman"/>
          <w:b/>
          <w:bCs/>
          <w:color w:val="000000"/>
          <w:szCs w:val="21"/>
        </w:rPr>
        <w:t>3.2判定原则</w:t>
      </w:r>
    </w:p>
    <w:p>
      <w:pPr>
        <w:snapToGrid w:val="0"/>
        <w:spacing w:line="440" w:lineRule="exact"/>
        <w:ind w:firstLine="359" w:firstLineChars="171"/>
        <w:rPr>
          <w:rFonts w:hint="eastAsia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Cs w:val="21"/>
        </w:rPr>
        <w:t>外观质量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和</w:t>
      </w:r>
      <w:r>
        <w:rPr>
          <w:rFonts w:hint="eastAsia" w:ascii="Times New Roman" w:hAnsi="Times New Roman" w:cs="Times New Roman"/>
          <w:color w:val="000000"/>
          <w:szCs w:val="21"/>
        </w:rPr>
        <w:t>尺寸偏差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按以下规定判定：</w:t>
      </w:r>
    </w:p>
    <w:p>
      <w:pPr>
        <w:snapToGrid w:val="0"/>
        <w:spacing w:line="440" w:lineRule="exact"/>
        <w:ind w:firstLine="359" w:firstLineChars="171"/>
        <w:rPr>
          <w:rFonts w:hint="eastAsia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10根受检电杆（或组装杆单节最长杆段）中A类项目应全部合格；每项B类项目的超差不超过2根，B类项目的超差不超过2项，则判定该批产品的外观质量和尺寸偏差合格。</w:t>
      </w:r>
    </w:p>
    <w:p>
      <w:pPr>
        <w:snapToGrid w:val="0"/>
        <w:spacing w:line="440" w:lineRule="exact"/>
        <w:ind w:firstLine="359" w:firstLineChars="171"/>
        <w:rPr>
          <w:rFonts w:hint="eastAsia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力学性能按以下规定判定：</w:t>
      </w:r>
    </w:p>
    <w:p>
      <w:pPr>
        <w:numPr>
          <w:ilvl w:val="0"/>
          <w:numId w:val="1"/>
        </w:numPr>
        <w:snapToGrid w:val="0"/>
        <w:spacing w:line="440" w:lineRule="exact"/>
        <w:ind w:firstLine="359" w:firstLineChars="171"/>
        <w:rPr>
          <w:rFonts w:hint="eastAsia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抗裂、裂缝宽度、挠度和承载力检验弯矩检验，2根电杆均符合规定时，则判该批产品力学性能合格；</w:t>
      </w:r>
    </w:p>
    <w:p>
      <w:pPr>
        <w:numPr>
          <w:ilvl w:val="0"/>
          <w:numId w:val="1"/>
        </w:numPr>
        <w:snapToGrid w:val="0"/>
        <w:spacing w:line="440" w:lineRule="exact"/>
        <w:ind w:firstLine="359" w:firstLineChars="171"/>
        <w:rPr>
          <w:rFonts w:hint="eastAsia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2根电杆中有1根不符合规定时，允许从同批产品中再抽取2根电杆进行复检。2根复检电杆复检结果如全部符合规定时，则剔除原不合格的1根，判该批产品力学性能合格；复检结果如仍有1根电杆不符合规定，则判该批产品力学性能不合格；</w:t>
      </w:r>
    </w:p>
    <w:p>
      <w:pPr>
        <w:numPr>
          <w:ilvl w:val="0"/>
          <w:numId w:val="1"/>
        </w:numPr>
        <w:snapToGrid w:val="0"/>
        <w:spacing w:line="440" w:lineRule="exact"/>
        <w:ind w:firstLine="359" w:firstLineChars="171"/>
        <w:rPr>
          <w:rFonts w:hint="eastAsia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2根电杆都不符合规定时，不得复检，判该批产品力学性能不合格。</w:t>
      </w:r>
    </w:p>
    <w:p>
      <w:pPr>
        <w:snapToGrid w:val="0"/>
        <w:spacing w:line="440" w:lineRule="exact"/>
        <w:ind w:firstLine="359" w:firstLineChars="171"/>
        <w:rPr>
          <w:rFonts w:hint="eastAsia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Cs w:val="21"/>
          <w:lang w:eastAsia="zh-CN"/>
        </w:rPr>
        <w:t>保护层厚度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按以下规定判定：</w:t>
      </w:r>
    </w:p>
    <w:p>
      <w:pPr>
        <w:numPr>
          <w:ilvl w:val="0"/>
          <w:numId w:val="2"/>
        </w:numPr>
        <w:snapToGrid w:val="0"/>
        <w:spacing w:line="440" w:lineRule="exact"/>
        <w:ind w:firstLine="359" w:firstLineChars="171"/>
        <w:rPr>
          <w:rFonts w:hint="eastAsia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被测的3点</w:t>
      </w:r>
      <w:r>
        <w:rPr>
          <w:rFonts w:hint="eastAsia" w:ascii="Times New Roman" w:hAnsi="Times New Roman" w:cs="Times New Roman"/>
          <w:color w:val="000000"/>
          <w:szCs w:val="21"/>
          <w:lang w:eastAsia="zh-CN"/>
        </w:rPr>
        <w:t>保护层，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均符合规定时，则判该批产品</w:t>
      </w:r>
      <w:r>
        <w:rPr>
          <w:rFonts w:hint="eastAsia" w:ascii="Times New Roman" w:hAnsi="Times New Roman" w:cs="Times New Roman"/>
          <w:color w:val="000000"/>
          <w:szCs w:val="21"/>
          <w:lang w:eastAsia="zh-CN"/>
        </w:rPr>
        <w:t>保护层厚度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合格；</w:t>
      </w:r>
    </w:p>
    <w:p>
      <w:pPr>
        <w:numPr>
          <w:ilvl w:val="0"/>
          <w:numId w:val="2"/>
        </w:numPr>
        <w:snapToGrid w:val="0"/>
        <w:spacing w:line="440" w:lineRule="exact"/>
        <w:ind w:firstLine="359" w:firstLineChars="171"/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3点中有1点不符合规定时，允许从同批产品中再抽取2根电杆进行复检。2根复检电杆复检结果如全部符合规定时，则剔除原不合格的1根，判该批产品</w:t>
      </w:r>
      <w:r>
        <w:rPr>
          <w:rFonts w:hint="eastAsia" w:ascii="Times New Roman" w:hAnsi="Times New Roman" w:cs="Times New Roman"/>
          <w:color w:val="000000"/>
          <w:szCs w:val="21"/>
          <w:lang w:eastAsia="zh-CN"/>
        </w:rPr>
        <w:t>保护层厚度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合格；复检结果如仍有1根电杆不符合规定，则判该批产品</w:t>
      </w:r>
      <w:r>
        <w:rPr>
          <w:rFonts w:hint="eastAsia" w:ascii="Times New Roman" w:hAnsi="Times New Roman" w:cs="Times New Roman"/>
          <w:color w:val="000000"/>
          <w:szCs w:val="21"/>
          <w:lang w:eastAsia="zh-CN"/>
        </w:rPr>
        <w:t>保护层厚度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不合格；</w:t>
      </w:r>
    </w:p>
    <w:p>
      <w:pPr>
        <w:numPr>
          <w:ilvl w:val="0"/>
          <w:numId w:val="2"/>
        </w:numPr>
        <w:snapToGrid w:val="0"/>
        <w:spacing w:line="440" w:lineRule="exact"/>
        <w:ind w:firstLine="359" w:firstLineChars="171"/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3点中有2点不符合规定时，不得复检，判该批产品</w:t>
      </w:r>
      <w:r>
        <w:rPr>
          <w:rFonts w:hint="eastAsia" w:ascii="Times New Roman" w:hAnsi="Times New Roman" w:cs="Times New Roman"/>
          <w:color w:val="000000"/>
          <w:szCs w:val="21"/>
          <w:lang w:eastAsia="zh-CN"/>
        </w:rPr>
        <w:t>保护层厚度</w:t>
      </w: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不合格。</w:t>
      </w:r>
    </w:p>
    <w:p>
      <w:pPr>
        <w:snapToGrid w:val="0"/>
        <w:spacing w:line="440" w:lineRule="exact"/>
        <w:ind w:firstLine="359" w:firstLineChars="171"/>
        <w:rPr>
          <w:rFonts w:hint="default" w:ascii="Times New Roman" w:hAnsi="Times New Roman" w:cs="Times New Roman"/>
          <w:color w:val="000000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总判定：外观质量、尺寸偏差、力学性能均符合本细则要求时，则判定为未发现不合格。</w:t>
      </w:r>
    </w:p>
    <w:p>
      <w:pPr>
        <w:rPr>
          <w:rFonts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EA9089"/>
    <w:multiLevelType w:val="singleLevel"/>
    <w:tmpl w:val="5DEA9089"/>
    <w:lvl w:ilvl="0" w:tentative="0">
      <w:start w:val="1"/>
      <w:numFmt w:val="lowerLetter"/>
      <w:suff w:val="nothing"/>
      <w:lvlText w:val="%1）"/>
      <w:lvlJc w:val="left"/>
    </w:lvl>
  </w:abstractNum>
  <w:abstractNum w:abstractNumId="1">
    <w:nsid w:val="750757E1"/>
    <w:multiLevelType w:val="singleLevel"/>
    <w:tmpl w:val="750757E1"/>
    <w:lvl w:ilvl="0" w:tentative="0">
      <w:start w:val="1"/>
      <w:numFmt w:val="lowerLetter"/>
      <w:suff w:val="nothing"/>
      <w:lvlText w:val="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A6514"/>
    <w:rsid w:val="005A6514"/>
    <w:rsid w:val="00790685"/>
    <w:rsid w:val="00962B8B"/>
    <w:rsid w:val="00D12585"/>
    <w:rsid w:val="0778789E"/>
    <w:rsid w:val="096B498E"/>
    <w:rsid w:val="0E2865FE"/>
    <w:rsid w:val="0ED97E5A"/>
    <w:rsid w:val="0F8F09B2"/>
    <w:rsid w:val="0FA03406"/>
    <w:rsid w:val="115346C1"/>
    <w:rsid w:val="15C35389"/>
    <w:rsid w:val="15F33AF4"/>
    <w:rsid w:val="16580853"/>
    <w:rsid w:val="172F16D3"/>
    <w:rsid w:val="1A0104E8"/>
    <w:rsid w:val="1D10257F"/>
    <w:rsid w:val="1DCA3AFA"/>
    <w:rsid w:val="21EC7EBB"/>
    <w:rsid w:val="22941EC1"/>
    <w:rsid w:val="22AA3418"/>
    <w:rsid w:val="22FE4166"/>
    <w:rsid w:val="232B05CA"/>
    <w:rsid w:val="232C4A4C"/>
    <w:rsid w:val="25BB6ED1"/>
    <w:rsid w:val="270E2615"/>
    <w:rsid w:val="28610CFE"/>
    <w:rsid w:val="289F150F"/>
    <w:rsid w:val="29C51170"/>
    <w:rsid w:val="2A995D54"/>
    <w:rsid w:val="2B4D215F"/>
    <w:rsid w:val="314752F6"/>
    <w:rsid w:val="31AE4E7A"/>
    <w:rsid w:val="3206796A"/>
    <w:rsid w:val="32BE526A"/>
    <w:rsid w:val="3821478D"/>
    <w:rsid w:val="38386A5D"/>
    <w:rsid w:val="39A94681"/>
    <w:rsid w:val="3A7B09DF"/>
    <w:rsid w:val="40163DE7"/>
    <w:rsid w:val="4208420D"/>
    <w:rsid w:val="436C1D40"/>
    <w:rsid w:val="43D034B6"/>
    <w:rsid w:val="48072AB7"/>
    <w:rsid w:val="49EA4D26"/>
    <w:rsid w:val="4AC31575"/>
    <w:rsid w:val="4AFD0BAD"/>
    <w:rsid w:val="4D8C7AC0"/>
    <w:rsid w:val="51036FCE"/>
    <w:rsid w:val="58A63363"/>
    <w:rsid w:val="5D444DAD"/>
    <w:rsid w:val="5E0F5DC3"/>
    <w:rsid w:val="61FB122F"/>
    <w:rsid w:val="62D34BAC"/>
    <w:rsid w:val="65AD4DF1"/>
    <w:rsid w:val="6D383E06"/>
    <w:rsid w:val="70C302E6"/>
    <w:rsid w:val="72536EC2"/>
    <w:rsid w:val="72FC14FF"/>
    <w:rsid w:val="75E57EB2"/>
    <w:rsid w:val="7A875C90"/>
    <w:rsid w:val="7D9C35E8"/>
    <w:rsid w:val="7EFD0B4C"/>
    <w:rsid w:val="7F35759B"/>
    <w:rsid w:val="7F9164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1424</Words>
  <Characters>1556</Characters>
  <Lines>8</Lines>
  <Paragraphs>2</Paragraphs>
  <TotalTime>3</TotalTime>
  <ScaleCrop>false</ScaleCrop>
  <LinksUpToDate>false</LinksUpToDate>
  <CharactersWithSpaces>1653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2021-04-25T03:01:00Z</dcterms:created>
  <dc:creator>Administrator</dc:creator>
  <cp:lastModifiedBy>GSJSGK</cp:lastModifiedBy>
  <cp:lastPrinted>2021-04-25T11:20:00Z</cp:lastPrinted>
  <dcterms:modified xsi:type="dcterms:W3CDTF">2026-05-19T03:26:09Z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KSOTemplateDocerSaveRecord">
    <vt:lpwstr>eyJoZGlkIjoiMmE5M2ExYmIxN2NmMmMxNDlhZDZiNDdmYWVkNzhhMmQiLCJ1c2VySWQiOiI1NzI5Mjk2NzAifQ==</vt:lpwstr>
  </property>
  <property fmtid="{D5CDD505-2E9C-101B-9397-08002B2CF9AE}" pid="4" name="ICV">
    <vt:lpwstr>B3EEC3824E4B4A7F8FC99A15427359D7_12</vt:lpwstr>
  </property>
</Properties>
</file>