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09CCF">
      <w:pPr>
        <w:widowControl w:val="0"/>
        <w:adjustRightInd/>
        <w:snapToGrid/>
        <w:spacing w:after="0" w:line="360" w:lineRule="auto"/>
        <w:jc w:val="center"/>
        <w:rPr>
          <w:rFonts w:hint="eastAsia" w:ascii="Times New Roman" w:hAnsi="Times New Roman" w:eastAsia="黑体" w:cs="Times New Roman"/>
          <w:kern w:val="2"/>
          <w:sz w:val="48"/>
          <w:szCs w:val="48"/>
        </w:rPr>
      </w:pPr>
      <w:bookmarkStart w:id="0" w:name="_GoBack"/>
      <w:bookmarkEnd w:id="0"/>
      <w:r>
        <w:rPr>
          <w:rFonts w:hint="eastAsia" w:ascii="Times New Roman" w:hAnsi="Times New Roman" w:eastAsia="黑体" w:cs="Times New Roman"/>
          <w:kern w:val="2"/>
          <w:sz w:val="48"/>
          <w:szCs w:val="48"/>
        </w:rPr>
        <w:t>产品质量监督抽查实施细则</w:t>
      </w:r>
    </w:p>
    <w:p w14:paraId="28BFEE95">
      <w:pPr>
        <w:keepNext w:val="0"/>
        <w:keepLines w:val="0"/>
        <w:pageBreakBefore w:val="0"/>
        <w:kinsoku/>
        <w:wordWrap/>
        <w:overflowPunct/>
        <w:topLinePunct w:val="0"/>
        <w:bidi w:val="0"/>
        <w:spacing w:line="560" w:lineRule="exact"/>
        <w:jc w:val="center"/>
        <w:textAlignment w:val="auto"/>
        <w:rPr>
          <w:rFonts w:hint="eastAsia" w:ascii="黑体" w:hAnsi="宋体" w:eastAsia="黑体"/>
          <w:sz w:val="32"/>
        </w:rPr>
      </w:pPr>
      <w:r>
        <w:rPr>
          <w:rFonts w:hint="eastAsia" w:ascii="黑体" w:hAnsi="宋体" w:eastAsia="黑体"/>
          <w:sz w:val="32"/>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paragraph">
                  <wp:posOffset>99060</wp:posOffset>
                </wp:positionV>
                <wp:extent cx="5200650" cy="190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200650" cy="1905"/>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5.25pt;margin-top:7.8pt;height:0.15pt;width:409.5pt;z-index:251659264;mso-width-relative:page;mso-height-relative:page;" filled="f" stroked="t" coordsize="21600,21600" o:gfxdata="UEsDBAoAAAAAAIdO4kAAAAAAAAAAAAAAAAAEAAAAZHJzL1BLAwQUAAAACACHTuJA90FprtMAAAAI&#10;AQAADwAAAGRycy9kb3ducmV2LnhtbE1Py07DMBC8I/EP1iJxo3YjtUpDnEq8JCS4tOEDtvGSRMTr&#10;EDtt+Xu2Jzit5qHZmXJ79oM60hT7wBaWCwOKuAmu59bCR/1yl4OKCdnhEJgs/FCEbXV9VWLhwol3&#10;dNynVkkIxwItdCmNhdax6chjXISRWLTPMHlMAqdWuwlPEu4HnRmz1h57lg8djvTYUfO1n72FrJ7N&#10;28Nrrofxu97Vz+/41Ee09vZmae5BJTqnPzNc6kt1qKTTIczsohoEm5U45a7WoETPs40QhwuxAV2V&#10;+v+A6hdQSwMEFAAAAAgAh07iQP0tA9P7AQAA8gMAAA4AAABkcnMvZTJvRG9jLnhtbK1TvY4TMRDu&#10;kXgHyz3Z5KTAscrmigtHgyASP/3E9u5a8p88TjZ5CV4AiQ4qSnrehuMxGHtD7jiaFLiwxuPPn+f7&#10;PF5c7a1hOxVRe9fw2WTKmXLCS+26hr9/d/PkkjNM4CQY71TDDwr51fLxo8UQanXhe2+kioxIHNZD&#10;aHifUqirCkWvLODEB+Vos/XRQqJl7CoZYSB2a6qL6fRpNfgoQ/RCIVJ2NW7yI2M8h9C3rRZq5cXW&#10;KpdG1qgMJJKEvQ7Il6XatlUivWlbVImZhpPSVGa6hOJNnqvlAuouQui1OJYA55TwQJMF7ejSE9UK&#10;ErBt1P9QWS2iR9+mifC2GoUUR0jFbPrAm7c9BFW0kNUYTqbj/6MVr3fryLSkTuDMgaUHv/30/efH&#10;L79+fKb59ttXNssmDQFrwl67dTyuMKxjVrxvo2Wt0eFD5sgZUsX2xeLDyWK1T0xQcp5bYE7uC9qb&#10;PZ/OM3k1suSzIWJ6qbxlOWi40S4bADXsXmEaoX8gOW0cG4hnfvlsTpRA7dhSG1BoA0lC15XD6I2W&#10;N9qYfARjt7k2ke0gt0QZxxr+guVbVoD9iCtbGQZ1r0C+cJKlQyCzHP0RnmuwSnJmFH2pHBVkAm3O&#10;QZJ848iF7PHoao42Xh7oabYh6q4nK8ozFAy1QvHs2La51+6vC9PdV13+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dBaa7TAAAACAEAAA8AAAAAAAAAAQAgAAAAIgAAAGRycy9kb3ducmV2LnhtbFBL&#10;AQIUABQAAAAIAIdO4kD9LQPT+wEAAPIDAAAOAAAAAAAAAAEAIAAAACIBAABkcnMvZTJvRG9jLnht&#10;bFBLBQYAAAAABgAGAFkBAACPBQAAAAA=&#10;">
                <v:fill on="f" focussize="0,0"/>
                <v:stroke weight="1.25pt" color="#000000" joinstyle="round"/>
                <v:imagedata o:title=""/>
                <o:lock v:ext="edit" aspectratio="f"/>
              </v:line>
            </w:pict>
          </mc:Fallback>
        </mc:AlternateContent>
      </w:r>
    </w:p>
    <w:p w14:paraId="6BF0B08A">
      <w:pPr>
        <w:keepNext w:val="0"/>
        <w:keepLines w:val="0"/>
        <w:pageBreakBefore w:val="0"/>
        <w:kinsoku/>
        <w:wordWrap/>
        <w:overflowPunct/>
        <w:topLinePunct w:val="0"/>
        <w:bidi w:val="0"/>
        <w:spacing w:line="560" w:lineRule="exact"/>
        <w:jc w:val="center"/>
        <w:textAlignment w:val="auto"/>
        <w:rPr>
          <w:rFonts w:hint="eastAsia" w:ascii="黑体" w:hAnsi="宋体" w:eastAsia="黑体"/>
          <w:sz w:val="32"/>
        </w:rPr>
      </w:pPr>
    </w:p>
    <w:p w14:paraId="2D16A345">
      <w:pPr>
        <w:keepNext w:val="0"/>
        <w:keepLines w:val="0"/>
        <w:pageBreakBefore w:val="0"/>
        <w:kinsoku/>
        <w:wordWrap/>
        <w:overflowPunct/>
        <w:topLinePunct w:val="0"/>
        <w:bidi w:val="0"/>
        <w:spacing w:line="560" w:lineRule="exact"/>
        <w:jc w:val="center"/>
        <w:textAlignment w:val="auto"/>
        <w:rPr>
          <w:rFonts w:hint="eastAsia" w:ascii="黑体" w:hAnsi="宋体" w:eastAsia="黑体"/>
          <w:sz w:val="32"/>
        </w:rPr>
      </w:pPr>
    </w:p>
    <w:p w14:paraId="07C73F07">
      <w:pPr>
        <w:keepNext w:val="0"/>
        <w:keepLines w:val="0"/>
        <w:pageBreakBefore w:val="0"/>
        <w:kinsoku/>
        <w:wordWrap/>
        <w:overflowPunct/>
        <w:topLinePunct w:val="0"/>
        <w:bidi w:val="0"/>
        <w:spacing w:line="560" w:lineRule="exact"/>
        <w:jc w:val="center"/>
        <w:textAlignment w:val="auto"/>
        <w:rPr>
          <w:rFonts w:hint="eastAsia" w:ascii="黑体" w:hAnsi="宋体" w:eastAsia="黑体"/>
          <w:sz w:val="32"/>
        </w:rPr>
      </w:pPr>
    </w:p>
    <w:p w14:paraId="213D78CB">
      <w:pPr>
        <w:keepNext w:val="0"/>
        <w:keepLines w:val="0"/>
        <w:pageBreakBefore w:val="0"/>
        <w:kinsoku/>
        <w:wordWrap/>
        <w:overflowPunct/>
        <w:topLinePunct w:val="0"/>
        <w:bidi w:val="0"/>
        <w:spacing w:line="560" w:lineRule="exact"/>
        <w:jc w:val="center"/>
        <w:textAlignment w:val="auto"/>
        <w:rPr>
          <w:rFonts w:hint="eastAsia" w:ascii="黑体" w:hAnsi="宋体" w:eastAsia="黑体"/>
          <w:sz w:val="32"/>
        </w:rPr>
      </w:pPr>
    </w:p>
    <w:p w14:paraId="618B2688">
      <w:pPr>
        <w:keepNext w:val="0"/>
        <w:keepLines w:val="0"/>
        <w:pageBreakBefore w:val="0"/>
        <w:widowControl w:val="0"/>
        <w:tabs>
          <w:tab w:val="left" w:pos="6930"/>
        </w:tabs>
        <w:kinsoku/>
        <w:wordWrap/>
        <w:overflowPunct/>
        <w:topLinePunct w:val="0"/>
        <w:autoSpaceDE/>
        <w:autoSpaceDN/>
        <w:bidi w:val="0"/>
        <w:adjustRightInd w:val="0"/>
        <w:snapToGrid/>
        <w:spacing w:after="0" w:line="600" w:lineRule="exact"/>
        <w:jc w:val="center"/>
        <w:textAlignment w:val="auto"/>
        <w:rPr>
          <w:rFonts w:hint="eastAsia" w:ascii="Times New Roman" w:hAnsi="Times New Roman" w:eastAsia="黑体" w:cs="Times New Roman"/>
          <w:b/>
          <w:bCs/>
          <w:kern w:val="2"/>
          <w:sz w:val="44"/>
          <w:szCs w:val="44"/>
          <w:lang w:val="en-US" w:eastAsia="zh-CN"/>
        </w:rPr>
      </w:pPr>
      <w:r>
        <w:rPr>
          <w:rFonts w:hint="eastAsia" w:ascii="Times New Roman" w:hAnsi="Times New Roman" w:eastAsia="黑体" w:cs="Times New Roman"/>
          <w:b/>
          <w:bCs/>
          <w:kern w:val="2"/>
          <w:sz w:val="44"/>
          <w:szCs w:val="44"/>
          <w:lang w:val="en-US" w:eastAsia="zh-CN"/>
        </w:rPr>
        <w:t>2026年昌吉州给水用聚乙烯（PE）管材</w:t>
      </w:r>
    </w:p>
    <w:p w14:paraId="02D7D543">
      <w:pPr>
        <w:keepNext w:val="0"/>
        <w:keepLines w:val="0"/>
        <w:pageBreakBefore w:val="0"/>
        <w:widowControl w:val="0"/>
        <w:tabs>
          <w:tab w:val="left" w:pos="6930"/>
        </w:tabs>
        <w:kinsoku/>
        <w:wordWrap/>
        <w:overflowPunct/>
        <w:topLinePunct w:val="0"/>
        <w:autoSpaceDE/>
        <w:autoSpaceDN/>
        <w:bidi w:val="0"/>
        <w:adjustRightInd w:val="0"/>
        <w:snapToGrid/>
        <w:spacing w:after="0" w:line="600" w:lineRule="exact"/>
        <w:jc w:val="center"/>
        <w:textAlignment w:val="auto"/>
        <w:rPr>
          <w:rFonts w:hint="eastAsia" w:ascii="Times New Roman" w:hAnsi="Times New Roman" w:eastAsia="黑体" w:cs="Times New Roman"/>
          <w:b/>
          <w:bCs/>
          <w:kern w:val="2"/>
          <w:sz w:val="44"/>
          <w:szCs w:val="44"/>
          <w:lang w:val="en-US" w:eastAsia="zh-CN"/>
        </w:rPr>
      </w:pPr>
      <w:r>
        <w:rPr>
          <w:rFonts w:hint="eastAsia" w:ascii="Times New Roman" w:hAnsi="Times New Roman" w:eastAsia="黑体" w:cs="Times New Roman"/>
          <w:b/>
          <w:bCs/>
          <w:kern w:val="2"/>
          <w:sz w:val="44"/>
          <w:szCs w:val="44"/>
          <w:lang w:val="en-US" w:eastAsia="zh-CN"/>
        </w:rPr>
        <w:t>产品质量监督抽查实施细则</w:t>
      </w:r>
    </w:p>
    <w:p w14:paraId="6EC6466C">
      <w:pPr>
        <w:keepNext w:val="0"/>
        <w:keepLines w:val="0"/>
        <w:pageBreakBefore w:val="0"/>
        <w:kinsoku/>
        <w:wordWrap/>
        <w:overflowPunct/>
        <w:topLinePunct w:val="0"/>
        <w:bidi w:val="0"/>
        <w:spacing w:line="560" w:lineRule="exact"/>
        <w:jc w:val="center"/>
        <w:textAlignment w:val="auto"/>
        <w:rPr>
          <w:rFonts w:hint="eastAsia" w:ascii="黑体" w:hAnsi="宋体" w:eastAsia="黑体"/>
          <w:sz w:val="44"/>
          <w:szCs w:val="44"/>
        </w:rPr>
      </w:pPr>
    </w:p>
    <w:p w14:paraId="702CA350">
      <w:pPr>
        <w:keepNext w:val="0"/>
        <w:keepLines w:val="0"/>
        <w:pageBreakBefore w:val="0"/>
        <w:kinsoku/>
        <w:wordWrap/>
        <w:overflowPunct/>
        <w:topLinePunct w:val="0"/>
        <w:bidi w:val="0"/>
        <w:spacing w:line="560" w:lineRule="exact"/>
        <w:jc w:val="both"/>
        <w:textAlignment w:val="auto"/>
        <w:rPr>
          <w:rFonts w:hint="eastAsia" w:ascii="黑体" w:hAnsi="宋体" w:eastAsia="黑体"/>
          <w:sz w:val="32"/>
        </w:rPr>
      </w:pPr>
    </w:p>
    <w:p w14:paraId="7E747A4B">
      <w:pPr>
        <w:keepNext w:val="0"/>
        <w:keepLines w:val="0"/>
        <w:pageBreakBefore w:val="0"/>
        <w:kinsoku/>
        <w:wordWrap/>
        <w:overflowPunct/>
        <w:topLinePunct w:val="0"/>
        <w:bidi w:val="0"/>
        <w:spacing w:line="560" w:lineRule="exact"/>
        <w:jc w:val="both"/>
        <w:textAlignment w:val="auto"/>
        <w:rPr>
          <w:rFonts w:hint="eastAsia" w:ascii="黑体" w:hAnsi="宋体" w:eastAsia="黑体"/>
          <w:sz w:val="32"/>
        </w:rPr>
      </w:pPr>
    </w:p>
    <w:p w14:paraId="55A97014">
      <w:pPr>
        <w:keepNext w:val="0"/>
        <w:keepLines w:val="0"/>
        <w:pageBreakBefore w:val="0"/>
        <w:kinsoku/>
        <w:wordWrap/>
        <w:overflowPunct/>
        <w:topLinePunct w:val="0"/>
        <w:bidi w:val="0"/>
        <w:spacing w:line="560" w:lineRule="exact"/>
        <w:jc w:val="both"/>
        <w:textAlignment w:val="auto"/>
        <w:rPr>
          <w:rFonts w:hint="eastAsia" w:ascii="黑体" w:hAnsi="宋体" w:eastAsia="黑体"/>
          <w:sz w:val="32"/>
        </w:rPr>
      </w:pPr>
    </w:p>
    <w:p w14:paraId="400BA6D9">
      <w:pPr>
        <w:keepNext w:val="0"/>
        <w:keepLines w:val="0"/>
        <w:pageBreakBefore w:val="0"/>
        <w:kinsoku/>
        <w:wordWrap/>
        <w:overflowPunct/>
        <w:topLinePunct w:val="0"/>
        <w:bidi w:val="0"/>
        <w:spacing w:line="560" w:lineRule="exact"/>
        <w:textAlignment w:val="auto"/>
        <w:rPr>
          <w:rFonts w:hint="eastAsia" w:ascii="黑体" w:hAnsi="宋体" w:eastAsia="黑体"/>
          <w:sz w:val="32"/>
        </w:rPr>
      </w:pPr>
    </w:p>
    <w:p w14:paraId="164974C2">
      <w:pPr>
        <w:keepNext w:val="0"/>
        <w:keepLines w:val="0"/>
        <w:pageBreakBefore w:val="0"/>
        <w:kinsoku/>
        <w:wordWrap/>
        <w:overflowPunct/>
        <w:topLinePunct w:val="0"/>
        <w:bidi w:val="0"/>
        <w:spacing w:line="560" w:lineRule="exact"/>
        <w:textAlignment w:val="auto"/>
        <w:rPr>
          <w:rFonts w:hint="eastAsia" w:ascii="黑体" w:hAnsi="宋体" w:eastAsia="黑体"/>
          <w:sz w:val="32"/>
        </w:rPr>
      </w:pPr>
    </w:p>
    <w:p w14:paraId="11715FB9">
      <w:pPr>
        <w:keepNext w:val="0"/>
        <w:keepLines w:val="0"/>
        <w:pageBreakBefore w:val="0"/>
        <w:kinsoku/>
        <w:wordWrap/>
        <w:overflowPunct/>
        <w:topLinePunct w:val="0"/>
        <w:bidi w:val="0"/>
        <w:spacing w:line="560" w:lineRule="exact"/>
        <w:textAlignment w:val="auto"/>
        <w:rPr>
          <w:rFonts w:hint="eastAsia" w:ascii="黑体" w:hAnsi="宋体" w:eastAsia="黑体"/>
          <w:sz w:val="32"/>
        </w:rPr>
      </w:pPr>
    </w:p>
    <w:p w14:paraId="2396887B">
      <w:pPr>
        <w:keepNext w:val="0"/>
        <w:keepLines w:val="0"/>
        <w:pageBreakBefore w:val="0"/>
        <w:kinsoku/>
        <w:wordWrap/>
        <w:overflowPunct/>
        <w:topLinePunct w:val="0"/>
        <w:bidi w:val="0"/>
        <w:spacing w:line="560" w:lineRule="exact"/>
        <w:textAlignment w:val="auto"/>
        <w:rPr>
          <w:rFonts w:hint="eastAsia" w:ascii="黑体" w:hAnsi="宋体" w:eastAsia="黑体"/>
          <w:sz w:val="32"/>
        </w:rPr>
      </w:pPr>
    </w:p>
    <w:p w14:paraId="6B0ECF77">
      <w:pPr>
        <w:keepNext w:val="0"/>
        <w:keepLines w:val="0"/>
        <w:pageBreakBefore w:val="0"/>
        <w:kinsoku/>
        <w:wordWrap/>
        <w:overflowPunct/>
        <w:topLinePunct w:val="0"/>
        <w:bidi w:val="0"/>
        <w:spacing w:line="560" w:lineRule="exact"/>
        <w:ind w:firstLine="240" w:firstLineChars="100"/>
        <w:textAlignment w:val="auto"/>
        <w:rPr>
          <w:rFonts w:hint="eastAsia" w:ascii="黑体" w:hAnsi="宋体" w:eastAsia="黑体"/>
          <w:sz w:val="24"/>
          <w:szCs w:val="24"/>
        </w:rPr>
      </w:pPr>
      <w:r>
        <w:rPr>
          <w:rFonts w:hint="eastAsia" w:ascii="黑体" w:hAnsi="宋体" w:eastAsia="黑体"/>
          <w:sz w:val="24"/>
          <w:szCs w:val="24"/>
          <w:lang w:eastAsia="zh-CN"/>
        </w:rPr>
        <w:t>202</w:t>
      </w:r>
      <w:r>
        <w:rPr>
          <w:rFonts w:hint="eastAsia" w:ascii="黑体" w:hAnsi="宋体" w:eastAsia="黑体"/>
          <w:sz w:val="24"/>
          <w:szCs w:val="24"/>
          <w:lang w:val="en-US" w:eastAsia="zh-CN"/>
        </w:rPr>
        <w:t>6</w:t>
      </w:r>
      <w:r>
        <w:rPr>
          <w:rFonts w:hint="eastAsia" w:ascii="黑体" w:hAnsi="宋体" w:eastAsia="黑体"/>
          <w:sz w:val="24"/>
          <w:szCs w:val="24"/>
          <w:highlight w:val="none"/>
        </w:rPr>
        <w:t>-</w:t>
      </w:r>
      <w:r>
        <w:rPr>
          <w:rFonts w:hint="eastAsia" w:ascii="黑体" w:hAnsi="宋体" w:eastAsia="黑体"/>
          <w:sz w:val="24"/>
          <w:szCs w:val="24"/>
          <w:highlight w:val="none"/>
          <w:lang w:val="en-US" w:eastAsia="zh-CN"/>
        </w:rPr>
        <w:t>01</w:t>
      </w:r>
      <w:r>
        <w:rPr>
          <w:rFonts w:hint="eastAsia" w:ascii="黑体" w:hAnsi="宋体" w:eastAsia="黑体"/>
          <w:sz w:val="24"/>
          <w:szCs w:val="24"/>
          <w:highlight w:val="none"/>
        </w:rPr>
        <w:t>-</w:t>
      </w:r>
      <w:r>
        <w:rPr>
          <w:rFonts w:hint="eastAsia" w:ascii="黑体" w:hAnsi="宋体" w:eastAsia="黑体"/>
          <w:sz w:val="24"/>
          <w:szCs w:val="24"/>
          <w:highlight w:val="none"/>
          <w:lang w:val="en-US" w:eastAsia="zh-CN"/>
        </w:rPr>
        <w:t>05</w:t>
      </w:r>
      <w:r>
        <w:rPr>
          <w:rFonts w:hint="eastAsia" w:ascii="黑体" w:hAnsi="宋体" w:eastAsia="黑体"/>
          <w:sz w:val="24"/>
          <w:szCs w:val="24"/>
        </w:rPr>
        <w:t xml:space="preserve">发布               </w:t>
      </w:r>
      <w:r>
        <w:rPr>
          <w:rFonts w:hint="eastAsia" w:ascii="黑体" w:hAnsi="宋体" w:eastAsia="黑体"/>
          <w:sz w:val="24"/>
          <w:szCs w:val="24"/>
          <w:lang w:val="en-US" w:eastAsia="zh-CN"/>
        </w:rPr>
        <w:t xml:space="preserve">                 </w:t>
      </w:r>
      <w:r>
        <w:rPr>
          <w:rFonts w:hint="eastAsia" w:ascii="黑体" w:hAnsi="宋体" w:eastAsia="黑体"/>
          <w:sz w:val="24"/>
          <w:szCs w:val="24"/>
        </w:rPr>
        <w:t xml:space="preserve">   </w:t>
      </w:r>
      <w:r>
        <w:rPr>
          <w:rFonts w:hint="eastAsia" w:ascii="黑体" w:hAnsi="宋体" w:eastAsia="黑体"/>
          <w:sz w:val="24"/>
          <w:szCs w:val="24"/>
          <w:lang w:val="en-US" w:eastAsia="zh-CN"/>
        </w:rPr>
        <w:t xml:space="preserve">   </w:t>
      </w:r>
      <w:r>
        <w:rPr>
          <w:rFonts w:hint="eastAsia" w:ascii="黑体" w:hAnsi="宋体" w:eastAsia="黑体"/>
          <w:sz w:val="24"/>
          <w:szCs w:val="24"/>
          <w:lang w:eastAsia="zh-CN"/>
        </w:rPr>
        <w:t>202</w:t>
      </w:r>
      <w:r>
        <w:rPr>
          <w:rFonts w:hint="eastAsia" w:ascii="黑体" w:hAnsi="宋体" w:eastAsia="黑体"/>
          <w:sz w:val="24"/>
          <w:szCs w:val="24"/>
          <w:lang w:val="en-US" w:eastAsia="zh-CN"/>
        </w:rPr>
        <w:t>6</w:t>
      </w:r>
      <w:r>
        <w:rPr>
          <w:rFonts w:hint="eastAsia" w:ascii="黑体" w:hAnsi="宋体" w:eastAsia="黑体"/>
          <w:sz w:val="24"/>
          <w:szCs w:val="24"/>
          <w:highlight w:val="none"/>
        </w:rPr>
        <w:t>-</w:t>
      </w:r>
      <w:r>
        <w:rPr>
          <w:rFonts w:hint="eastAsia" w:ascii="黑体" w:hAnsi="宋体" w:eastAsia="黑体"/>
          <w:sz w:val="24"/>
          <w:szCs w:val="24"/>
          <w:highlight w:val="none"/>
          <w:lang w:val="en-US" w:eastAsia="zh-CN"/>
        </w:rPr>
        <w:t>02</w:t>
      </w:r>
      <w:r>
        <w:rPr>
          <w:rFonts w:hint="eastAsia" w:ascii="黑体" w:hAnsi="宋体" w:eastAsia="黑体"/>
          <w:sz w:val="24"/>
          <w:szCs w:val="24"/>
          <w:highlight w:val="none"/>
        </w:rPr>
        <w:t>-</w:t>
      </w:r>
      <w:r>
        <w:rPr>
          <w:rFonts w:hint="eastAsia" w:ascii="黑体" w:hAnsi="宋体" w:eastAsia="黑体"/>
          <w:sz w:val="24"/>
          <w:szCs w:val="24"/>
          <w:highlight w:val="none"/>
          <w:lang w:val="en-US" w:eastAsia="zh-CN"/>
        </w:rPr>
        <w:t>10</w:t>
      </w:r>
      <w:r>
        <w:rPr>
          <w:rFonts w:hint="eastAsia" w:ascii="黑体" w:hAnsi="宋体" w:eastAsia="黑体"/>
          <w:sz w:val="24"/>
          <w:szCs w:val="24"/>
          <w:highlight w:val="none"/>
        </w:rPr>
        <w:t>实</w:t>
      </w:r>
      <w:r>
        <w:rPr>
          <w:rFonts w:hint="eastAsia" w:ascii="黑体" w:hAnsi="宋体" w:eastAsia="黑体"/>
          <w:sz w:val="24"/>
          <w:szCs w:val="24"/>
        </w:rPr>
        <w:t>施</w:t>
      </w:r>
    </w:p>
    <w:p w14:paraId="2C7DD404">
      <w:pPr>
        <w:keepNext w:val="0"/>
        <w:keepLines w:val="0"/>
        <w:pageBreakBefore w:val="0"/>
        <w:kinsoku/>
        <w:wordWrap/>
        <w:overflowPunct/>
        <w:topLinePunct w:val="0"/>
        <w:bidi w:val="0"/>
        <w:spacing w:line="560" w:lineRule="exact"/>
        <w:jc w:val="center"/>
        <w:textAlignment w:val="auto"/>
        <w:rPr>
          <w:rFonts w:hint="eastAsia" w:ascii="黑体" w:hAnsi="宋体" w:eastAsia="黑体"/>
          <w:bCs/>
          <w:sz w:val="30"/>
          <w:szCs w:val="30"/>
          <w:lang w:val="en-US" w:eastAsia="zh-CN"/>
        </w:rPr>
      </w:pPr>
      <w:r>
        <w:rPr>
          <w:rFonts w:hint="eastAsia" w:ascii="黑体" w:hAnsi="宋体" w:eastAsia="黑体"/>
          <w:sz w:val="30"/>
          <w:szCs w:val="30"/>
        </w:rPr>
        <mc:AlternateContent>
          <mc:Choice Requires="wps">
            <w:drawing>
              <wp:anchor distT="0" distB="0" distL="114300" distR="114300" simplePos="0" relativeHeight="251660288" behindDoc="0" locked="0" layoutInCell="1" allowOverlap="1">
                <wp:simplePos x="0" y="0"/>
                <wp:positionH relativeFrom="column">
                  <wp:posOffset>53340</wp:posOffset>
                </wp:positionH>
                <wp:positionV relativeFrom="paragraph">
                  <wp:posOffset>12700</wp:posOffset>
                </wp:positionV>
                <wp:extent cx="5276850" cy="635"/>
                <wp:effectExtent l="0" t="0" r="0" b="0"/>
                <wp:wrapNone/>
                <wp:docPr id="2" name="直接连接符 2"/>
                <wp:cNvGraphicFramePr/>
                <a:graphic xmlns:a="http://schemas.openxmlformats.org/drawingml/2006/main">
                  <a:graphicData uri="http://schemas.microsoft.com/office/word/2010/wordprocessingShape">
                    <wps:wsp>
                      <wps:cNvCnPr/>
                      <wps:spPr>
                        <a:xfrm>
                          <a:off x="0" y="0"/>
                          <a:ext cx="5276850" cy="635"/>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2pt;margin-top:1pt;height:0.05pt;width:415.5pt;z-index:251660288;mso-width-relative:page;mso-height-relative:page;" filled="f" stroked="t" coordsize="21600,21600" o:gfxdata="UEsDBAoAAAAAAIdO4kAAAAAAAAAAAAAAAAAEAAAAZHJzL1BLAwQUAAAACACHTuJAt/ilmdQAAAAF&#10;AQAADwAAAGRycy9kb3ducmV2LnhtbE2P3UrDQBCF7wXfYZmCd3aTWmyM2RQpCN5YafUBptlpEpqd&#10;DdntT/r0jlf28uMcznxTLC+uUycaQuvZQDpNQBFX3rZcG/j5fn/MQIWIbLHzTAZGCrAs7+8KzK0/&#10;84ZO21grGeGQo4Emxj7XOlQNOQxT3xNLtveDwyg41NoOeJZx1+lZkjxrhy3LhQZ7WjVUHbZHZ2Cz&#10;8uvFWz//+ljHz/3ieh2pqkdjHiZp8goq0iX+l+FPX9ShFKedP7INqjOQzaVoYCYPSZo9vQjvhFPQ&#10;ZaFv7ctfUEsDBBQAAAAIAIdO4kBd50JM9gEAAOcDAAAOAAAAZHJzL2Uyb0RvYy54bWytU0uOEzEQ&#10;3SNxB8t70klQMlErnVlMGDYIIgEHqLjd3Zb8k8tJJ5fgAkjsYMWSPbdhOAZld8h82GRBL9xl1/Nz&#10;vefy8vpgNNvLgMrZik9GY86kFa5Wtq34xw+3LxacYQRbg3ZWVvwokV+vnj9b9r6UU9c5XcvAiMRi&#10;2fuKdzH6sihQdNIAjpyXlpKNCwYiTUNb1AF6Yje6mI7H86J3ofbBCYlIq+shyU+M4RJC1zRKyLUT&#10;OyNtHFiD1BBJEnbKI1/laptGiviuaVBGpitOSmMe6RCKt2ksVkso2wC+U+JUAlxSwhNNBpSlQ89U&#10;a4jAdkH9Q2WUCA5dE0fCmWIQkh0hFZPxE2/ed+Bl1kJWoz+bjv+PVrzdbwJTdcWnnFkwdOF3n3/8&#10;+vT1988vNN59/8amyaTeY0nYG7sJpxn6TUiKD00w6U9a2CEbezwbKw+RCVqcTa/mixl5Lig3fzlL&#10;jMX9Vh8wvpbOsBRUXCubVEMJ+zcYB+hfSFrWlvXUubPF1YwYgXqwobun0HjSgbbNm9FpVd8qrdMW&#10;DO32Rge2h9QH+TvV8AiWTlkDdgMupxIMyk5C/crWLB49OWTpYfBUg5E1Z1rSO0pRRkZQ+hIkydeW&#10;XEjGDlamaOvqI93HzgfVdmTFJFeZMnT/2bNTr6YGezjPTPfvc/U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ilmdQAAAAFAQAADwAAAAAAAAABACAAAAAiAAAAZHJzL2Rvd25yZXYueG1sUEsBAhQA&#10;FAAAAAgAh07iQF3nQkz2AQAA5wMAAA4AAAAAAAAAAQAgAAAAIwEAAGRycy9lMm9Eb2MueG1sUEsF&#10;BgAAAAAGAAYAWQEAAIsFAAAAAA==&#10;">
                <v:fill on="f" focussize="0,0"/>
                <v:stroke weight="1.25pt" color="#000000" joinstyle="round"/>
                <v:imagedata o:title=""/>
                <o:lock v:ext="edit" aspectratio="f"/>
              </v:line>
            </w:pict>
          </mc:Fallback>
        </mc:AlternateContent>
      </w:r>
      <w:r>
        <w:rPr>
          <w:rFonts w:hint="eastAsia" w:ascii="黑体" w:hAnsi="宋体" w:eastAsia="黑体"/>
          <w:bCs/>
          <w:sz w:val="30"/>
          <w:szCs w:val="30"/>
          <w:lang w:val="en-US" w:eastAsia="zh-CN"/>
        </w:rPr>
        <w:t>昌吉州市场监督管理局</w:t>
      </w:r>
    </w:p>
    <w:p w14:paraId="0F4FC818">
      <w:pPr>
        <w:pStyle w:val="3"/>
        <w:keepNext w:val="0"/>
        <w:keepLines w:val="0"/>
        <w:widowControl/>
        <w:suppressLineNumbers w:val="0"/>
        <w:spacing w:before="406" w:beforeAutospacing="0" w:after="106" w:afterAutospacing="0" w:line="23" w:lineRule="atLeast"/>
        <w:ind w:right="376"/>
        <w:jc w:val="center"/>
        <w:rPr>
          <w:rFonts w:hint="eastAsia" w:ascii="黑体" w:hAnsi="黑体" w:eastAsia="黑体" w:cs="黑体"/>
          <w:b w:val="0"/>
          <w:bCs/>
          <w:color w:val="333333"/>
          <w:sz w:val="36"/>
          <w:szCs w:val="36"/>
          <w:shd w:val="clear" w:fill="FFFFFF"/>
          <w:lang w:val="en-US" w:eastAsia="zh-CN"/>
        </w:rPr>
      </w:pPr>
    </w:p>
    <w:p w14:paraId="13879D06">
      <w:pPr>
        <w:widowControl w:val="0"/>
        <w:tabs>
          <w:tab w:val="left" w:pos="6930"/>
        </w:tabs>
        <w:adjustRightInd w:val="0"/>
        <w:snapToGrid/>
        <w:spacing w:after="0" w:line="480" w:lineRule="exact"/>
        <w:jc w:val="center"/>
        <w:rPr>
          <w:rFonts w:hint="eastAsia" w:ascii="黑体" w:hAnsi="黑体" w:eastAsia="黑体" w:cs="黑体"/>
          <w:b/>
          <w:bCs w:val="0"/>
          <w:color w:val="333333"/>
          <w:sz w:val="36"/>
          <w:szCs w:val="36"/>
          <w:shd w:val="clear" w:fill="FFFFFF"/>
          <w:lang w:val="en-US" w:eastAsia="zh-CN"/>
        </w:rPr>
      </w:pPr>
      <w:r>
        <w:rPr>
          <w:rFonts w:hint="eastAsia" w:ascii="黑体" w:hAnsi="黑体" w:eastAsia="黑体" w:cs="黑体"/>
          <w:b/>
          <w:bCs w:val="0"/>
          <w:color w:val="333333"/>
          <w:sz w:val="32"/>
          <w:szCs w:val="32"/>
          <w:shd w:val="clear" w:fill="FFFFFF"/>
          <w:lang w:val="en-US" w:eastAsia="zh-CN"/>
        </w:rPr>
        <w:t>2</w:t>
      </w:r>
      <w:r>
        <w:rPr>
          <w:rFonts w:hint="eastAsia" w:ascii="方正小标宋简体" w:hAnsi="仿宋" w:eastAsia="方正小标宋简体" w:cs="方正仿宋简体"/>
          <w:bCs/>
          <w:kern w:val="2"/>
          <w:sz w:val="32"/>
          <w:szCs w:val="32"/>
          <w:lang w:val="en-US" w:eastAsia="zh-CN"/>
        </w:rPr>
        <w:t>026年昌吉州给水用聚乙烯（PE）管材产品质量监督抽查实施细则</w:t>
      </w:r>
    </w:p>
    <w:p w14:paraId="494A5DF5">
      <w:pPr>
        <w:keepNext w:val="0"/>
        <w:keepLines w:val="0"/>
        <w:pageBreakBefore w:val="0"/>
        <w:widowControl w:val="0"/>
        <w:kinsoku/>
        <w:wordWrap/>
        <w:overflowPunct/>
        <w:topLinePunct w:val="0"/>
        <w:autoSpaceDE/>
        <w:autoSpaceDN/>
        <w:bidi w:val="0"/>
        <w:adjustRightInd/>
        <w:snapToGrid/>
        <w:spacing w:after="0" w:line="460" w:lineRule="exact"/>
        <w:textAlignment w:val="auto"/>
        <w:rPr>
          <w:rFonts w:hint="eastAsia" w:ascii="黑体" w:hAnsi="黑体" w:eastAsia="黑体" w:cs="黑体"/>
          <w:b/>
          <w:bCs/>
          <w:color w:val="333333"/>
          <w:sz w:val="28"/>
          <w:szCs w:val="28"/>
          <w:shd w:val="clear" w:fill="FFFFFF"/>
        </w:rPr>
      </w:pPr>
    </w:p>
    <w:p w14:paraId="1EC7837F">
      <w:pPr>
        <w:widowControl w:val="0"/>
        <w:adjustRightInd/>
        <w:snapToGrid/>
        <w:spacing w:after="0" w:line="360" w:lineRule="auto"/>
        <w:jc w:val="both"/>
        <w:rPr>
          <w:rFonts w:hint="eastAsia" w:ascii="黑体" w:hAnsi="黑体" w:eastAsia="黑体" w:cs="黑体"/>
          <w:b/>
          <w:bCs/>
          <w:color w:val="000000"/>
          <w:kern w:val="2"/>
          <w:sz w:val="21"/>
          <w:szCs w:val="21"/>
        </w:rPr>
      </w:pPr>
      <w:r>
        <w:rPr>
          <w:rFonts w:hint="eastAsia" w:ascii="黑体" w:hAnsi="黑体" w:eastAsia="黑体" w:cs="黑体"/>
          <w:b/>
          <w:bCs/>
          <w:color w:val="000000"/>
          <w:kern w:val="2"/>
          <w:sz w:val="21"/>
          <w:szCs w:val="21"/>
        </w:rPr>
        <w:t>1 抽样方法</w:t>
      </w:r>
    </w:p>
    <w:p w14:paraId="52CA6742">
      <w:pPr>
        <w:widowControl w:val="0"/>
        <w:adjustRightInd/>
        <w:snapToGrid w:val="0"/>
        <w:spacing w:after="0" w:line="440" w:lineRule="exact"/>
        <w:ind w:firstLine="420" w:firstLineChars="200"/>
        <w:jc w:val="both"/>
        <w:rPr>
          <w:rFonts w:hint="eastAsia" w:ascii="宋体" w:hAnsi="宋体" w:eastAsia="宋体" w:cs="Times New Roman"/>
          <w:kern w:val="2"/>
          <w:sz w:val="21"/>
          <w:szCs w:val="21"/>
        </w:rPr>
      </w:pPr>
      <w:r>
        <w:rPr>
          <w:rFonts w:hint="eastAsia" w:ascii="宋体" w:hAnsi="宋体" w:eastAsia="宋体" w:cs="Times New Roman"/>
          <w:kern w:val="2"/>
          <w:sz w:val="21"/>
          <w:szCs w:val="21"/>
        </w:rPr>
        <w:t>给水用聚乙烯（PE）管材在生产</w:t>
      </w:r>
      <w:r>
        <w:rPr>
          <w:rFonts w:hint="eastAsia" w:ascii="宋体" w:hAnsi="宋体" w:eastAsia="宋体" w:cs="Times New Roman"/>
          <w:kern w:val="2"/>
          <w:sz w:val="21"/>
          <w:szCs w:val="21"/>
          <w:lang w:val="en-US" w:eastAsia="zh-CN"/>
        </w:rPr>
        <w:t>及</w:t>
      </w:r>
      <w:r>
        <w:rPr>
          <w:rFonts w:hint="eastAsia" w:ascii="宋体" w:hAnsi="宋体" w:eastAsia="宋体" w:cs="Times New Roman"/>
          <w:kern w:val="2"/>
          <w:sz w:val="21"/>
          <w:szCs w:val="21"/>
        </w:rPr>
        <w:t>流通领域抽样，在</w:t>
      </w:r>
      <w:r>
        <w:rPr>
          <w:rFonts w:hint="eastAsia" w:ascii="宋体" w:hAnsi="宋体" w:eastAsia="宋体" w:cs="Times New Roman"/>
          <w:kern w:val="2"/>
          <w:sz w:val="21"/>
          <w:szCs w:val="21"/>
          <w:lang w:val="en-US" w:eastAsia="zh-CN"/>
        </w:rPr>
        <w:t>企业</w:t>
      </w:r>
      <w:r>
        <w:rPr>
          <w:rFonts w:hint="eastAsia" w:ascii="宋体" w:hAnsi="宋体" w:eastAsia="宋体" w:cs="Times New Roman"/>
          <w:kern w:val="2"/>
          <w:sz w:val="21"/>
          <w:szCs w:val="21"/>
        </w:rPr>
        <w:t>待销产品中随机抽取有产品质量检验合格证明或者以其他形式表明合格的产品。</w:t>
      </w:r>
    </w:p>
    <w:p w14:paraId="36D66A4E">
      <w:pPr>
        <w:widowControl w:val="0"/>
        <w:adjustRightInd/>
        <w:snapToGrid w:val="0"/>
        <w:spacing w:after="0" w:line="440" w:lineRule="exact"/>
        <w:ind w:firstLine="420" w:firstLineChars="200"/>
        <w:jc w:val="both"/>
        <w:rPr>
          <w:rFonts w:hint="eastAsia" w:ascii="宋体" w:hAnsi="宋体" w:eastAsia="宋体" w:cs="Times New Roman"/>
          <w:kern w:val="2"/>
          <w:sz w:val="21"/>
          <w:szCs w:val="21"/>
        </w:rPr>
      </w:pPr>
      <w:r>
        <w:rPr>
          <w:rFonts w:hint="eastAsia" w:ascii="宋体" w:hAnsi="宋体" w:eastAsia="宋体" w:cs="Times New Roman"/>
          <w:kern w:val="2"/>
          <w:sz w:val="21"/>
          <w:szCs w:val="21"/>
        </w:rPr>
        <w:t>抽样基数满足抽样数量即可。</w:t>
      </w:r>
    </w:p>
    <w:p w14:paraId="53175AC1">
      <w:pPr>
        <w:widowControl w:val="0"/>
        <w:adjustRightInd/>
        <w:snapToGrid w:val="0"/>
        <w:spacing w:after="0" w:line="440" w:lineRule="exact"/>
        <w:ind w:firstLine="420" w:firstLineChars="200"/>
        <w:jc w:val="both"/>
        <w:rPr>
          <w:rFonts w:hint="eastAsia" w:ascii="宋体" w:hAnsi="宋体" w:eastAsia="宋体" w:cs="Times New Roman"/>
          <w:kern w:val="2"/>
          <w:sz w:val="21"/>
          <w:szCs w:val="21"/>
        </w:rPr>
      </w:pPr>
      <w:r>
        <w:rPr>
          <w:rFonts w:hint="eastAsia" w:ascii="宋体" w:hAnsi="宋体" w:eastAsia="宋体" w:cs="Times New Roman"/>
          <w:kern w:val="2"/>
          <w:sz w:val="21"/>
          <w:szCs w:val="21"/>
        </w:rPr>
        <w:t>随机数使用随机数表等方法产生。</w:t>
      </w:r>
    </w:p>
    <w:p w14:paraId="309B5455">
      <w:pPr>
        <w:widowControl w:val="0"/>
        <w:adjustRightInd/>
        <w:snapToGrid w:val="0"/>
        <w:spacing w:after="0" w:line="440" w:lineRule="exact"/>
        <w:ind w:firstLine="420" w:firstLineChars="200"/>
        <w:jc w:val="both"/>
        <w:rPr>
          <w:rFonts w:hint="eastAsia" w:ascii="宋体" w:hAnsi="宋体" w:eastAsia="宋体" w:cs="Times New Roman"/>
          <w:kern w:val="2"/>
          <w:sz w:val="21"/>
          <w:szCs w:val="21"/>
        </w:rPr>
      </w:pPr>
      <w:r>
        <w:rPr>
          <w:rFonts w:hint="eastAsia" w:ascii="宋体" w:hAnsi="宋体" w:eastAsia="宋体" w:cs="Times New Roman"/>
          <w:kern w:val="2"/>
          <w:sz w:val="21"/>
          <w:szCs w:val="21"/>
        </w:rPr>
        <w:t>直管（单根原始长度≥5米）：抽样数量为</w:t>
      </w:r>
      <w:r>
        <w:rPr>
          <w:rFonts w:hint="eastAsia" w:ascii="宋体" w:hAnsi="宋体" w:eastAsia="宋体" w:cs="Times New Roman"/>
          <w:kern w:val="2"/>
          <w:sz w:val="21"/>
          <w:szCs w:val="21"/>
          <w:lang w:val="en-US" w:eastAsia="zh-CN"/>
        </w:rPr>
        <w:t>3</w:t>
      </w:r>
      <w:r>
        <w:rPr>
          <w:rFonts w:hint="eastAsia" w:ascii="宋体" w:hAnsi="宋体" w:eastAsia="宋体" w:cs="Times New Roman"/>
          <w:kern w:val="2"/>
          <w:sz w:val="21"/>
          <w:szCs w:val="21"/>
        </w:rPr>
        <w:t>根，每根截取5段，每段1米，其中3段作为检验样品，2段作为备用样品。</w:t>
      </w:r>
    </w:p>
    <w:p w14:paraId="00257470">
      <w:pPr>
        <w:widowControl w:val="0"/>
        <w:adjustRightInd/>
        <w:snapToGrid w:val="0"/>
        <w:spacing w:after="0" w:line="440" w:lineRule="exact"/>
        <w:ind w:firstLine="420" w:firstLineChars="200"/>
        <w:jc w:val="both"/>
        <w:rPr>
          <w:rFonts w:hint="eastAsia" w:ascii="宋体" w:hAnsi="宋体" w:eastAsia="宋体" w:cs="Times New Roman"/>
          <w:kern w:val="2"/>
          <w:sz w:val="21"/>
          <w:szCs w:val="21"/>
        </w:rPr>
      </w:pPr>
      <w:r>
        <w:rPr>
          <w:rFonts w:hint="eastAsia" w:ascii="宋体" w:hAnsi="宋体" w:eastAsia="宋体" w:cs="Times New Roman"/>
          <w:kern w:val="2"/>
          <w:sz w:val="21"/>
          <w:szCs w:val="21"/>
        </w:rPr>
        <w:t>直管（单根原始长度＜5米）：抽样数量为</w:t>
      </w:r>
      <w:r>
        <w:rPr>
          <w:rFonts w:hint="eastAsia" w:ascii="宋体" w:hAnsi="宋体" w:eastAsia="宋体" w:cs="Times New Roman"/>
          <w:kern w:val="2"/>
          <w:sz w:val="21"/>
          <w:szCs w:val="21"/>
          <w:lang w:val="en-US" w:eastAsia="zh-CN"/>
        </w:rPr>
        <w:t>4</w:t>
      </w:r>
      <w:r>
        <w:rPr>
          <w:rFonts w:hint="eastAsia" w:ascii="宋体" w:hAnsi="宋体" w:eastAsia="宋体" w:cs="Times New Roman"/>
          <w:kern w:val="2"/>
          <w:sz w:val="21"/>
          <w:szCs w:val="21"/>
        </w:rPr>
        <w:t>根，每根截取4段，每段1米，其中2段作为检验样品，2段作为备用样品。</w:t>
      </w:r>
    </w:p>
    <w:p w14:paraId="0E25AD03">
      <w:pPr>
        <w:widowControl w:val="0"/>
        <w:adjustRightInd/>
        <w:snapToGrid w:val="0"/>
        <w:spacing w:after="0" w:line="440" w:lineRule="exact"/>
        <w:ind w:firstLine="420" w:firstLineChars="200"/>
        <w:jc w:val="both"/>
        <w:rPr>
          <w:rFonts w:hint="eastAsia" w:ascii="宋体" w:hAnsi="宋体" w:eastAsia="宋体" w:cs="Times New Roman"/>
          <w:kern w:val="2"/>
          <w:sz w:val="21"/>
          <w:szCs w:val="21"/>
        </w:rPr>
      </w:pPr>
      <w:r>
        <w:rPr>
          <w:rFonts w:hint="eastAsia" w:ascii="宋体" w:hAnsi="宋体" w:eastAsia="宋体" w:cs="Times New Roman"/>
          <w:kern w:val="2"/>
          <w:sz w:val="21"/>
          <w:szCs w:val="21"/>
        </w:rPr>
        <w:t>盘管：抽样数量为</w:t>
      </w:r>
      <w:r>
        <w:rPr>
          <w:rFonts w:hint="eastAsia" w:ascii="宋体" w:hAnsi="宋体" w:eastAsia="宋体" w:cs="Times New Roman"/>
          <w:kern w:val="2"/>
          <w:sz w:val="21"/>
          <w:szCs w:val="21"/>
          <w:lang w:val="en-US" w:eastAsia="zh-CN"/>
        </w:rPr>
        <w:t>3</w:t>
      </w:r>
      <w:r>
        <w:rPr>
          <w:rFonts w:hint="eastAsia" w:ascii="宋体" w:hAnsi="宋体" w:eastAsia="宋体" w:cs="Times New Roman"/>
          <w:kern w:val="2"/>
          <w:sz w:val="21"/>
          <w:szCs w:val="21"/>
        </w:rPr>
        <w:t>盘，每盘截取</w:t>
      </w:r>
      <w:r>
        <w:rPr>
          <w:rFonts w:hint="eastAsia" w:ascii="宋体" w:hAnsi="宋体" w:eastAsia="宋体" w:cs="Times New Roman"/>
          <w:kern w:val="2"/>
          <w:sz w:val="21"/>
          <w:szCs w:val="21"/>
          <w:lang w:val="en-US" w:eastAsia="zh-CN"/>
        </w:rPr>
        <w:t>5</w:t>
      </w:r>
      <w:r>
        <w:rPr>
          <w:rFonts w:hint="eastAsia" w:ascii="宋体" w:hAnsi="宋体" w:eastAsia="宋体" w:cs="Times New Roman"/>
          <w:kern w:val="2"/>
          <w:sz w:val="21"/>
          <w:szCs w:val="21"/>
        </w:rPr>
        <w:t>段，每段1米，其中</w:t>
      </w:r>
      <w:r>
        <w:rPr>
          <w:rFonts w:hint="eastAsia" w:ascii="宋体" w:hAnsi="宋体" w:eastAsia="宋体" w:cs="Times New Roman"/>
          <w:kern w:val="2"/>
          <w:sz w:val="21"/>
          <w:szCs w:val="21"/>
          <w:lang w:val="en-US" w:eastAsia="zh-CN"/>
        </w:rPr>
        <w:t>3</w:t>
      </w:r>
      <w:r>
        <w:rPr>
          <w:rFonts w:hint="eastAsia" w:ascii="宋体" w:hAnsi="宋体" w:eastAsia="宋体" w:cs="Times New Roman"/>
          <w:kern w:val="2"/>
          <w:sz w:val="21"/>
          <w:szCs w:val="21"/>
        </w:rPr>
        <w:t>段作为检验样品，2段作为备用样品。</w:t>
      </w:r>
    </w:p>
    <w:p w14:paraId="04D227F5">
      <w:pPr>
        <w:widowControl w:val="0"/>
        <w:adjustRightInd/>
        <w:snapToGrid w:val="0"/>
        <w:spacing w:after="0" w:line="440" w:lineRule="exact"/>
        <w:ind w:firstLine="420" w:firstLineChars="200"/>
        <w:jc w:val="both"/>
        <w:rPr>
          <w:rFonts w:hint="eastAsia" w:ascii="宋体" w:hAnsi="宋体" w:eastAsia="宋体" w:cs="Times New Roman"/>
          <w:kern w:val="2"/>
          <w:sz w:val="21"/>
          <w:szCs w:val="21"/>
        </w:rPr>
      </w:pPr>
    </w:p>
    <w:p w14:paraId="66B846D5">
      <w:pPr>
        <w:widowControl w:val="0"/>
        <w:adjustRightInd/>
        <w:snapToGrid/>
        <w:spacing w:after="0" w:line="360" w:lineRule="auto"/>
        <w:jc w:val="both"/>
        <w:rPr>
          <w:rFonts w:hint="eastAsia" w:ascii="黑体" w:hAnsi="黑体" w:eastAsia="黑体" w:cs="黑体"/>
          <w:b/>
          <w:bCs/>
          <w:color w:val="000000"/>
          <w:kern w:val="2"/>
          <w:sz w:val="21"/>
          <w:szCs w:val="21"/>
        </w:rPr>
      </w:pPr>
      <w:r>
        <w:rPr>
          <w:rFonts w:hint="eastAsia" w:ascii="黑体" w:hAnsi="黑体" w:eastAsia="黑体" w:cs="黑体"/>
          <w:b/>
          <w:bCs/>
          <w:color w:val="000000"/>
          <w:kern w:val="2"/>
          <w:sz w:val="21"/>
          <w:szCs w:val="21"/>
          <w:lang w:val="en-US" w:eastAsia="zh-CN"/>
        </w:rPr>
        <w:t xml:space="preserve">2 </w:t>
      </w:r>
      <w:r>
        <w:rPr>
          <w:rFonts w:hint="eastAsia" w:ascii="黑体" w:hAnsi="黑体" w:eastAsia="黑体" w:cs="黑体"/>
          <w:b/>
          <w:bCs/>
          <w:color w:val="000000"/>
          <w:kern w:val="2"/>
          <w:sz w:val="21"/>
          <w:szCs w:val="21"/>
        </w:rPr>
        <w:t>检验依据</w:t>
      </w:r>
    </w:p>
    <w:p w14:paraId="0B67C09C">
      <w:pPr>
        <w:snapToGrid w:val="0"/>
        <w:spacing w:line="440" w:lineRule="exact"/>
        <w:ind w:firstLine="440" w:firstLineChars="200"/>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rPr>
        <w:t>检验项目及试验方法</w:t>
      </w:r>
      <w:r>
        <w:rPr>
          <w:rFonts w:hint="eastAsia" w:ascii="Times New Roman" w:hAnsi="Times New Roman" w:eastAsia="宋体" w:cs="Times New Roman"/>
          <w:color w:val="000000"/>
          <w:szCs w:val="21"/>
          <w:lang w:val="en-US" w:eastAsia="zh-CN"/>
        </w:rPr>
        <w:t>见表1.</w:t>
      </w:r>
    </w:p>
    <w:p w14:paraId="4DF3AACE">
      <w:pPr>
        <w:snapToGrid w:val="0"/>
        <w:jc w:val="center"/>
        <w:rPr>
          <w:rFonts w:hint="eastAsia" w:ascii="Times New Roman" w:hAnsi="Times New Roman" w:eastAsia="宋体" w:cs="Times New Roman"/>
          <w:b w:val="0"/>
          <w:bCs/>
          <w:color w:val="000000"/>
          <w:sz w:val="21"/>
          <w:szCs w:val="21"/>
        </w:rPr>
      </w:pPr>
      <w:r>
        <w:rPr>
          <w:rFonts w:hint="eastAsia" w:asciiTheme="minorEastAsia" w:hAnsiTheme="minorEastAsia" w:eastAsiaTheme="minorEastAsia"/>
          <w:b w:val="0"/>
          <w:bCs/>
          <w:color w:val="000000"/>
          <w:sz w:val="21"/>
          <w:szCs w:val="21"/>
        </w:rPr>
        <w:t>表</w:t>
      </w:r>
      <w:r>
        <w:rPr>
          <w:rFonts w:hint="eastAsia" w:asciiTheme="minorEastAsia" w:hAnsiTheme="minorEastAsia"/>
          <w:b w:val="0"/>
          <w:bCs/>
          <w:color w:val="000000"/>
          <w:sz w:val="21"/>
          <w:szCs w:val="21"/>
          <w:lang w:val="en-US" w:eastAsia="zh-CN"/>
        </w:rPr>
        <w:t>1</w:t>
      </w:r>
      <w:r>
        <w:rPr>
          <w:rFonts w:hint="eastAsia" w:asciiTheme="minorEastAsia" w:hAnsiTheme="minorEastAsia" w:eastAsiaTheme="minorEastAsia"/>
          <w:b w:val="0"/>
          <w:bCs/>
          <w:color w:val="000000"/>
          <w:sz w:val="21"/>
          <w:szCs w:val="21"/>
        </w:rPr>
        <w:t xml:space="preserve"> </w:t>
      </w:r>
      <w:r>
        <w:rPr>
          <w:rFonts w:asciiTheme="minorEastAsia" w:hAnsiTheme="minorEastAsia" w:eastAsiaTheme="minorEastAsia"/>
          <w:b w:val="0"/>
          <w:bCs/>
          <w:color w:val="000000"/>
          <w:sz w:val="21"/>
          <w:szCs w:val="21"/>
        </w:rPr>
        <w:t>检验项目</w:t>
      </w:r>
      <w:r>
        <w:rPr>
          <w:rFonts w:hint="eastAsia" w:cs="宋体" w:asciiTheme="minorEastAsia" w:hAnsiTheme="minorEastAsia" w:eastAsiaTheme="minorEastAsia"/>
          <w:b w:val="0"/>
          <w:bCs/>
          <w:kern w:val="0"/>
          <w:sz w:val="21"/>
          <w:szCs w:val="21"/>
        </w:rPr>
        <w:t>及</w:t>
      </w:r>
      <w:r>
        <w:rPr>
          <w:rFonts w:hint="eastAsia" w:cs="宋体" w:asciiTheme="minorEastAsia" w:hAnsiTheme="minorEastAsia" w:eastAsiaTheme="minorEastAsia"/>
          <w:b w:val="0"/>
          <w:bCs/>
          <w:color w:val="000000"/>
          <w:kern w:val="0"/>
          <w:sz w:val="21"/>
          <w:szCs w:val="21"/>
        </w:rPr>
        <w:t>检验方法</w:t>
      </w:r>
    </w:p>
    <w:tbl>
      <w:tblPr>
        <w:tblStyle w:val="4"/>
        <w:tblW w:w="8765"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1286"/>
        <w:gridCol w:w="2100"/>
        <w:gridCol w:w="2612"/>
        <w:gridCol w:w="2767"/>
      </w:tblGrid>
      <w:tr w14:paraId="287773D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24" w:hRule="exact"/>
          <w:jc w:val="center"/>
        </w:trPr>
        <w:tc>
          <w:tcPr>
            <w:tcW w:w="1286"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75956944">
            <w:pPr>
              <w:pStyle w:val="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60" w:lineRule="exact"/>
              <w:ind w:right="374"/>
              <w:jc w:val="center"/>
              <w:textAlignment w:val="auto"/>
              <w:rPr>
                <w:rFonts w:hint="eastAsia" w:asciiTheme="majorEastAsia" w:hAnsiTheme="majorEastAsia" w:eastAsiaTheme="majorEastAsia" w:cstheme="majorEastAsia"/>
                <w:color w:val="333333"/>
                <w:sz w:val="21"/>
                <w:szCs w:val="21"/>
                <w:shd w:val="clear" w:fill="FFFFFF"/>
              </w:rPr>
            </w:pPr>
            <w:r>
              <w:rPr>
                <w:rFonts w:hint="eastAsia" w:asciiTheme="majorEastAsia" w:hAnsiTheme="majorEastAsia" w:eastAsiaTheme="majorEastAsia" w:cstheme="majorEastAsia"/>
                <w:color w:val="333333"/>
                <w:sz w:val="21"/>
                <w:szCs w:val="21"/>
                <w:shd w:val="clear" w:fill="FFFFFF"/>
                <w:lang w:val="en-US" w:eastAsia="zh-CN"/>
              </w:rPr>
              <w:t>序</w:t>
            </w:r>
            <w:r>
              <w:rPr>
                <w:rFonts w:hint="eastAsia" w:asciiTheme="majorEastAsia" w:hAnsiTheme="majorEastAsia" w:eastAsiaTheme="majorEastAsia" w:cstheme="majorEastAsia"/>
                <w:color w:val="333333"/>
                <w:sz w:val="21"/>
                <w:szCs w:val="21"/>
                <w:shd w:val="clear" w:fill="FFFFFF"/>
              </w:rPr>
              <w:t>号</w:t>
            </w:r>
          </w:p>
        </w:tc>
        <w:tc>
          <w:tcPr>
            <w:tcW w:w="2100"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5E6931EF">
            <w:pPr>
              <w:pStyle w:val="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60" w:lineRule="exact"/>
              <w:ind w:right="374"/>
              <w:jc w:val="center"/>
              <w:textAlignment w:val="auto"/>
              <w:rPr>
                <w:rFonts w:hint="eastAsia" w:asciiTheme="majorEastAsia" w:hAnsiTheme="majorEastAsia" w:eastAsiaTheme="majorEastAsia" w:cstheme="majorEastAsia"/>
                <w:color w:val="333333"/>
                <w:sz w:val="21"/>
                <w:szCs w:val="21"/>
                <w:shd w:val="clear" w:fill="FFFFFF"/>
              </w:rPr>
            </w:pPr>
            <w:r>
              <w:rPr>
                <w:rFonts w:hint="eastAsia" w:asciiTheme="majorEastAsia" w:hAnsiTheme="majorEastAsia" w:eastAsiaTheme="majorEastAsia" w:cstheme="majorEastAsia"/>
                <w:color w:val="333333"/>
                <w:sz w:val="21"/>
                <w:szCs w:val="21"/>
                <w:shd w:val="clear" w:fill="FFFFFF"/>
              </w:rPr>
              <w:t>检验项目</w:t>
            </w:r>
          </w:p>
        </w:tc>
        <w:tc>
          <w:tcPr>
            <w:tcW w:w="2612"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2EC4E83D">
            <w:pPr>
              <w:pStyle w:val="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60" w:lineRule="exact"/>
              <w:ind w:right="374"/>
              <w:jc w:val="center"/>
              <w:textAlignment w:val="auto"/>
              <w:rPr>
                <w:rFonts w:hint="eastAsia" w:asciiTheme="majorEastAsia" w:hAnsiTheme="majorEastAsia" w:eastAsiaTheme="majorEastAsia" w:cstheme="majorEastAsia"/>
                <w:color w:val="333333"/>
                <w:sz w:val="21"/>
                <w:szCs w:val="21"/>
                <w:shd w:val="clear" w:fill="FFFFFF"/>
                <w:lang w:eastAsia="zh-CN"/>
              </w:rPr>
            </w:pPr>
            <w:r>
              <w:rPr>
                <w:rFonts w:hint="eastAsia" w:asciiTheme="majorEastAsia" w:hAnsiTheme="majorEastAsia" w:eastAsiaTheme="majorEastAsia" w:cstheme="majorEastAsia"/>
                <w:color w:val="333333"/>
                <w:sz w:val="21"/>
                <w:szCs w:val="21"/>
                <w:shd w:val="clear" w:fill="FFFFFF"/>
                <w:lang w:val="en-US" w:eastAsia="zh-CN"/>
              </w:rPr>
              <w:t>检验</w:t>
            </w:r>
            <w:r>
              <w:rPr>
                <w:rFonts w:hint="eastAsia" w:asciiTheme="majorEastAsia" w:hAnsiTheme="majorEastAsia" w:eastAsiaTheme="majorEastAsia" w:cstheme="majorEastAsia"/>
                <w:color w:val="333333"/>
                <w:sz w:val="21"/>
                <w:szCs w:val="21"/>
                <w:shd w:val="clear" w:fill="FFFFFF"/>
                <w:lang w:eastAsia="zh-CN"/>
              </w:rPr>
              <w:t>依据</w:t>
            </w:r>
          </w:p>
        </w:tc>
        <w:tc>
          <w:tcPr>
            <w:tcW w:w="2767"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4749FEE3">
            <w:pPr>
              <w:pStyle w:val="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60" w:lineRule="exact"/>
              <w:ind w:right="374"/>
              <w:jc w:val="center"/>
              <w:textAlignment w:val="auto"/>
              <w:rPr>
                <w:rFonts w:hint="eastAsia" w:asciiTheme="majorEastAsia" w:hAnsiTheme="majorEastAsia" w:eastAsiaTheme="majorEastAsia" w:cstheme="majorEastAsia"/>
                <w:color w:val="333333"/>
                <w:sz w:val="21"/>
                <w:szCs w:val="21"/>
                <w:shd w:val="clear" w:fill="FFFFFF"/>
                <w:lang w:eastAsia="zh-CN"/>
              </w:rPr>
            </w:pPr>
            <w:r>
              <w:rPr>
                <w:rFonts w:hint="eastAsia" w:asciiTheme="majorEastAsia" w:hAnsiTheme="majorEastAsia" w:eastAsiaTheme="majorEastAsia" w:cstheme="majorEastAsia"/>
                <w:color w:val="333333"/>
                <w:sz w:val="21"/>
                <w:szCs w:val="21"/>
                <w:shd w:val="clear" w:fill="FFFFFF"/>
                <w:lang w:eastAsia="zh-CN"/>
              </w:rPr>
              <w:t>检验方法</w:t>
            </w:r>
          </w:p>
        </w:tc>
      </w:tr>
      <w:tr w14:paraId="5EEEC28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12" w:hRule="atLeast"/>
          <w:jc w:val="center"/>
        </w:trPr>
        <w:tc>
          <w:tcPr>
            <w:tcW w:w="1286" w:type="dxa"/>
            <w:vMerge w:val="continue"/>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1BE62BDC">
            <w:pPr>
              <w:keepNext w:val="0"/>
              <w:keepLines w:val="0"/>
              <w:pageBreakBefore w:val="0"/>
              <w:widowControl/>
              <w:kinsoku/>
              <w:wordWrap/>
              <w:overflowPunct/>
              <w:topLinePunct w:val="0"/>
              <w:autoSpaceDE/>
              <w:autoSpaceDN/>
              <w:bidi w:val="0"/>
              <w:adjustRightInd w:val="0"/>
              <w:snapToGrid w:val="0"/>
              <w:spacing w:after="0" w:line="46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p>
        </w:tc>
        <w:tc>
          <w:tcPr>
            <w:tcW w:w="2100" w:type="dxa"/>
            <w:vMerge w:val="continue"/>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4D83BF4C">
            <w:pPr>
              <w:keepNext w:val="0"/>
              <w:keepLines w:val="0"/>
              <w:pageBreakBefore w:val="0"/>
              <w:widowControl/>
              <w:kinsoku/>
              <w:wordWrap/>
              <w:overflowPunct/>
              <w:topLinePunct w:val="0"/>
              <w:autoSpaceDE/>
              <w:autoSpaceDN/>
              <w:bidi w:val="0"/>
              <w:adjustRightInd w:val="0"/>
              <w:snapToGrid w:val="0"/>
              <w:spacing w:after="0" w:line="46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p>
        </w:tc>
        <w:tc>
          <w:tcPr>
            <w:tcW w:w="2612" w:type="dxa"/>
            <w:vMerge w:val="continue"/>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6E1A6EB7">
            <w:pPr>
              <w:keepNext w:val="0"/>
              <w:keepLines w:val="0"/>
              <w:pageBreakBefore w:val="0"/>
              <w:widowControl/>
              <w:kinsoku/>
              <w:wordWrap/>
              <w:overflowPunct/>
              <w:topLinePunct w:val="0"/>
              <w:autoSpaceDE/>
              <w:autoSpaceDN/>
              <w:bidi w:val="0"/>
              <w:adjustRightInd w:val="0"/>
              <w:snapToGrid w:val="0"/>
              <w:spacing w:after="0" w:line="46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p>
        </w:tc>
        <w:tc>
          <w:tcPr>
            <w:tcW w:w="2767" w:type="dxa"/>
            <w:vMerge w:val="continue"/>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2990C4AE">
            <w:pPr>
              <w:keepNext w:val="0"/>
              <w:keepLines w:val="0"/>
              <w:pageBreakBefore w:val="0"/>
              <w:widowControl/>
              <w:kinsoku/>
              <w:wordWrap/>
              <w:overflowPunct/>
              <w:topLinePunct w:val="0"/>
              <w:autoSpaceDE/>
              <w:autoSpaceDN/>
              <w:bidi w:val="0"/>
              <w:adjustRightInd w:val="0"/>
              <w:snapToGrid w:val="0"/>
              <w:spacing w:after="0" w:line="46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p>
        </w:tc>
      </w:tr>
      <w:tr w14:paraId="79D6AAB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39" w:hRule="atLeast"/>
          <w:jc w:val="center"/>
        </w:trPr>
        <w:tc>
          <w:tcPr>
            <w:tcW w:w="128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72CB3E9A">
            <w:pPr>
              <w:pStyle w:val="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60" w:lineRule="exact"/>
              <w:ind w:right="374"/>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1</w:t>
            </w:r>
          </w:p>
        </w:tc>
        <w:tc>
          <w:tcPr>
            <w:tcW w:w="210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179899B2">
            <w:pPr>
              <w:keepNext w:val="0"/>
              <w:keepLines w:val="0"/>
              <w:pageBreakBefore w:val="0"/>
              <w:widowControl/>
              <w:kinsoku/>
              <w:wordWrap/>
              <w:overflowPunct/>
              <w:topLinePunct w:val="0"/>
              <w:autoSpaceDE/>
              <w:autoSpaceDN/>
              <w:bidi w:val="0"/>
              <w:adjustRightInd w:val="0"/>
              <w:snapToGrid w:val="0"/>
              <w:spacing w:after="0" w:line="460" w:lineRule="exact"/>
              <w:ind w:firstLine="210" w:firstLineChars="100"/>
              <w:jc w:val="both"/>
              <w:textAlignment w:val="auto"/>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平均外径</w:t>
            </w:r>
          </w:p>
        </w:tc>
        <w:tc>
          <w:tcPr>
            <w:tcW w:w="2612" w:type="dxa"/>
            <w:vMerge w:val="restart"/>
            <w:tcBorders>
              <w:top w:val="single" w:color="auto" w:sz="8" w:space="0"/>
              <w:left w:val="single" w:color="auto" w:sz="8" w:space="0"/>
              <w:right w:val="single" w:color="auto" w:sz="8" w:space="0"/>
            </w:tcBorders>
            <w:shd w:val="clear" w:color="auto" w:fill="auto"/>
            <w:tcMar>
              <w:left w:w="108" w:type="dxa"/>
              <w:right w:w="108" w:type="dxa"/>
            </w:tcMar>
            <w:vAlign w:val="top"/>
          </w:tcPr>
          <w:p w14:paraId="424C4B45">
            <w:pPr>
              <w:pStyle w:val="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60" w:lineRule="exact"/>
              <w:ind w:right="374"/>
              <w:jc w:val="both"/>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p>
          <w:p w14:paraId="7A2A2D8E">
            <w:pPr>
              <w:pStyle w:val="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60" w:lineRule="exact"/>
              <w:ind w:right="374"/>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GB/T 13663.2-2018</w:t>
            </w:r>
          </w:p>
          <w:p w14:paraId="6EA2BD6A">
            <w:pPr>
              <w:pStyle w:val="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60" w:lineRule="exact"/>
              <w:ind w:right="374"/>
              <w:jc w:val="both"/>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p>
        </w:tc>
        <w:tc>
          <w:tcPr>
            <w:tcW w:w="2767" w:type="dxa"/>
            <w:vMerge w:val="restart"/>
            <w:tcBorders>
              <w:top w:val="single" w:color="auto" w:sz="8" w:space="0"/>
              <w:left w:val="single" w:color="auto" w:sz="8" w:space="0"/>
              <w:right w:val="single" w:color="auto" w:sz="8" w:space="0"/>
            </w:tcBorders>
            <w:shd w:val="clear" w:color="auto" w:fill="auto"/>
            <w:tcMar>
              <w:left w:w="108" w:type="dxa"/>
              <w:right w:w="108" w:type="dxa"/>
            </w:tcMar>
            <w:vAlign w:val="center"/>
          </w:tcPr>
          <w:p w14:paraId="68CB90C4">
            <w:pPr>
              <w:pStyle w:val="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60" w:lineRule="exact"/>
              <w:ind w:right="374"/>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GB/T 8806-2008</w:t>
            </w:r>
          </w:p>
        </w:tc>
      </w:tr>
      <w:tr w14:paraId="6877A12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58" w:hRule="atLeast"/>
          <w:jc w:val="center"/>
        </w:trPr>
        <w:tc>
          <w:tcPr>
            <w:tcW w:w="128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5A5B30CC">
            <w:pPr>
              <w:pStyle w:val="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60" w:lineRule="exact"/>
              <w:ind w:right="374"/>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2</w:t>
            </w:r>
          </w:p>
        </w:tc>
        <w:tc>
          <w:tcPr>
            <w:tcW w:w="210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7F8ADFC7">
            <w:pPr>
              <w:keepNext w:val="0"/>
              <w:keepLines w:val="0"/>
              <w:pageBreakBefore w:val="0"/>
              <w:widowControl/>
              <w:kinsoku/>
              <w:wordWrap/>
              <w:overflowPunct/>
              <w:topLinePunct w:val="0"/>
              <w:autoSpaceDE/>
              <w:autoSpaceDN/>
              <w:bidi w:val="0"/>
              <w:adjustRightInd w:val="0"/>
              <w:snapToGrid w:val="0"/>
              <w:spacing w:after="0" w:line="460" w:lineRule="exact"/>
              <w:ind w:firstLine="210" w:firstLineChars="100"/>
              <w:jc w:val="both"/>
              <w:textAlignment w:val="auto"/>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壁厚公差</w:t>
            </w:r>
          </w:p>
        </w:tc>
        <w:tc>
          <w:tcPr>
            <w:tcW w:w="2612" w:type="dxa"/>
            <w:vMerge w:val="continue"/>
            <w:tcBorders>
              <w:left w:val="single" w:color="auto" w:sz="8" w:space="0"/>
              <w:right w:val="single" w:color="auto" w:sz="8" w:space="0"/>
            </w:tcBorders>
            <w:shd w:val="clear" w:color="auto" w:fill="auto"/>
            <w:tcMar>
              <w:left w:w="108" w:type="dxa"/>
              <w:right w:w="108" w:type="dxa"/>
            </w:tcMar>
            <w:vAlign w:val="center"/>
          </w:tcPr>
          <w:p w14:paraId="35266FFA">
            <w:pPr>
              <w:pStyle w:val="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60" w:lineRule="exact"/>
              <w:ind w:right="374"/>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p>
        </w:tc>
        <w:tc>
          <w:tcPr>
            <w:tcW w:w="2767" w:type="dxa"/>
            <w:vMerge w:val="continue"/>
            <w:tcBorders>
              <w:left w:val="single" w:color="auto" w:sz="8" w:space="0"/>
              <w:bottom w:val="single" w:color="auto" w:sz="8" w:space="0"/>
              <w:right w:val="single" w:color="auto" w:sz="8" w:space="0"/>
            </w:tcBorders>
            <w:shd w:val="clear" w:color="auto" w:fill="auto"/>
            <w:tcMar>
              <w:left w:w="108" w:type="dxa"/>
              <w:right w:w="108" w:type="dxa"/>
            </w:tcMar>
            <w:vAlign w:val="center"/>
          </w:tcPr>
          <w:p w14:paraId="2ED0088E">
            <w:pPr>
              <w:pStyle w:val="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60" w:lineRule="exact"/>
              <w:ind w:right="374"/>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p>
        </w:tc>
      </w:tr>
      <w:tr w14:paraId="007E5F2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54" w:hRule="atLeast"/>
          <w:jc w:val="center"/>
        </w:trPr>
        <w:tc>
          <w:tcPr>
            <w:tcW w:w="128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08A90624">
            <w:pPr>
              <w:pStyle w:val="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60" w:lineRule="exact"/>
              <w:ind w:right="374"/>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3</w:t>
            </w:r>
          </w:p>
        </w:tc>
        <w:tc>
          <w:tcPr>
            <w:tcW w:w="210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325D86E6">
            <w:pPr>
              <w:pStyle w:val="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60" w:lineRule="exact"/>
              <w:ind w:right="374" w:firstLine="210" w:firstLineChars="100"/>
              <w:jc w:val="both"/>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静液压度</w:t>
            </w:r>
          </w:p>
        </w:tc>
        <w:tc>
          <w:tcPr>
            <w:tcW w:w="2612" w:type="dxa"/>
            <w:vMerge w:val="continue"/>
            <w:tcBorders>
              <w:left w:val="single" w:color="auto" w:sz="8" w:space="0"/>
              <w:right w:val="single" w:color="auto" w:sz="8" w:space="0"/>
            </w:tcBorders>
            <w:shd w:val="clear" w:color="auto" w:fill="auto"/>
            <w:tcMar>
              <w:left w:w="108" w:type="dxa"/>
              <w:right w:w="108" w:type="dxa"/>
            </w:tcMar>
            <w:vAlign w:val="center"/>
          </w:tcPr>
          <w:p w14:paraId="00D42EE7">
            <w:pPr>
              <w:pStyle w:val="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60" w:lineRule="exact"/>
              <w:ind w:right="374"/>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p>
        </w:tc>
        <w:tc>
          <w:tcPr>
            <w:tcW w:w="2767"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056CDAEE">
            <w:pPr>
              <w:pStyle w:val="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60" w:lineRule="exact"/>
              <w:ind w:right="374"/>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GB/T 6111-2003</w:t>
            </w:r>
          </w:p>
        </w:tc>
      </w:tr>
      <w:tr w14:paraId="765D557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54" w:hRule="atLeast"/>
          <w:jc w:val="center"/>
        </w:trPr>
        <w:tc>
          <w:tcPr>
            <w:tcW w:w="1286"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5A151E9B">
            <w:pPr>
              <w:pStyle w:val="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60" w:lineRule="exact"/>
              <w:ind w:right="374"/>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4</w:t>
            </w:r>
          </w:p>
        </w:tc>
        <w:tc>
          <w:tcPr>
            <w:tcW w:w="210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791D20D8">
            <w:pPr>
              <w:pStyle w:val="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60" w:lineRule="exact"/>
              <w:ind w:right="374"/>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氧化诱导时间</w:t>
            </w:r>
          </w:p>
        </w:tc>
        <w:tc>
          <w:tcPr>
            <w:tcW w:w="2612" w:type="dxa"/>
            <w:vMerge w:val="continue"/>
            <w:tcBorders>
              <w:left w:val="single" w:color="auto" w:sz="8" w:space="0"/>
              <w:right w:val="single" w:color="auto" w:sz="8" w:space="0"/>
            </w:tcBorders>
            <w:shd w:val="clear" w:color="auto" w:fill="auto"/>
            <w:tcMar>
              <w:left w:w="108" w:type="dxa"/>
              <w:right w:w="108" w:type="dxa"/>
            </w:tcMar>
            <w:vAlign w:val="center"/>
          </w:tcPr>
          <w:p w14:paraId="13340EE4">
            <w:pPr>
              <w:pStyle w:val="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60" w:lineRule="exact"/>
              <w:ind w:right="374"/>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p>
        </w:tc>
        <w:tc>
          <w:tcPr>
            <w:tcW w:w="2767"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6CFF8E40">
            <w:pPr>
              <w:pStyle w:val="3"/>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60" w:lineRule="exact"/>
              <w:ind w:right="374"/>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sz w:val="21"/>
                <w:szCs w:val="21"/>
                <w:vertAlign w:val="baseline"/>
                <w:lang w:val="en-US" w:eastAsia="zh-CN"/>
              </w:rPr>
              <w:t>GB/T 19466.6-2009</w:t>
            </w:r>
          </w:p>
        </w:tc>
      </w:tr>
    </w:tbl>
    <w:p w14:paraId="1F1C58B1">
      <w:pPr>
        <w:widowControl w:val="0"/>
        <w:adjustRightInd/>
        <w:snapToGrid w:val="0"/>
        <w:spacing w:after="0" w:line="440" w:lineRule="exact"/>
        <w:ind w:firstLine="420" w:firstLineChars="200"/>
        <w:jc w:val="both"/>
        <w:rPr>
          <w:rFonts w:hint="eastAsia" w:ascii="宋体" w:hAnsi="宋体" w:eastAsia="宋体" w:cs="Times New Roman"/>
          <w:kern w:val="2"/>
          <w:sz w:val="21"/>
          <w:szCs w:val="21"/>
        </w:rPr>
      </w:pPr>
      <w:r>
        <w:rPr>
          <w:rFonts w:hint="eastAsia" w:ascii="宋体" w:hAnsi="宋体" w:eastAsia="宋体" w:cs="Times New Roman"/>
          <w:kern w:val="2"/>
          <w:sz w:val="21"/>
          <w:szCs w:val="21"/>
        </w:rPr>
        <w:t>执行企业标准、团体标准、地方标准的产品，检验项目参照上述内容执行。</w:t>
      </w:r>
    </w:p>
    <w:p w14:paraId="03381C27">
      <w:pPr>
        <w:widowControl w:val="0"/>
        <w:adjustRightInd/>
        <w:snapToGrid w:val="0"/>
        <w:spacing w:after="0" w:line="440" w:lineRule="exact"/>
        <w:ind w:firstLine="420" w:firstLineChars="200"/>
        <w:jc w:val="both"/>
        <w:rPr>
          <w:rFonts w:hint="eastAsia" w:ascii="宋体" w:hAnsi="宋体" w:eastAsia="宋体" w:cs="Times New Roman"/>
          <w:kern w:val="2"/>
          <w:sz w:val="21"/>
          <w:szCs w:val="21"/>
        </w:rPr>
      </w:pPr>
      <w:r>
        <w:rPr>
          <w:rFonts w:hint="eastAsia" w:ascii="宋体" w:hAnsi="宋体" w:eastAsia="宋体" w:cs="Times New Roman"/>
          <w:kern w:val="2"/>
          <w:sz w:val="21"/>
          <w:szCs w:val="21"/>
        </w:rPr>
        <w:t>凡是注日期的文件，其随后所有的修改单（不包括勘误的内容）或修订版不适用于本细则。凡是不注日期的文件，其最新版本适用于本细则。</w:t>
      </w:r>
    </w:p>
    <w:p w14:paraId="6B98E995">
      <w:pPr>
        <w:widowControl w:val="0"/>
        <w:adjustRightInd/>
        <w:snapToGrid/>
        <w:spacing w:after="0" w:line="360" w:lineRule="auto"/>
        <w:jc w:val="both"/>
        <w:rPr>
          <w:rFonts w:hint="default" w:ascii="Times New Roman" w:hAnsi="Times New Roman" w:eastAsia="黑体" w:cs="Times New Roman"/>
          <w:color w:val="000000"/>
          <w:kern w:val="2"/>
          <w:sz w:val="21"/>
          <w:szCs w:val="21"/>
        </w:rPr>
      </w:pPr>
    </w:p>
    <w:p w14:paraId="79D96F6C">
      <w:pPr>
        <w:widowControl w:val="0"/>
        <w:adjustRightInd/>
        <w:snapToGrid/>
        <w:spacing w:after="0" w:line="360" w:lineRule="auto"/>
        <w:jc w:val="both"/>
        <w:rPr>
          <w:rFonts w:hint="default" w:ascii="黑体" w:hAnsi="黑体" w:eastAsia="黑体" w:cs="黑体"/>
          <w:b/>
          <w:bCs/>
          <w:color w:val="000000"/>
          <w:kern w:val="2"/>
          <w:sz w:val="21"/>
          <w:szCs w:val="21"/>
          <w:lang w:val="en-US" w:eastAsia="zh-CN"/>
        </w:rPr>
      </w:pPr>
      <w:r>
        <w:rPr>
          <w:rFonts w:hint="default" w:ascii="黑体" w:hAnsi="黑体" w:eastAsia="黑体" w:cs="黑体"/>
          <w:b/>
          <w:bCs/>
          <w:color w:val="000000"/>
          <w:kern w:val="2"/>
          <w:sz w:val="21"/>
          <w:szCs w:val="21"/>
          <w:lang w:val="en-US" w:eastAsia="zh-CN"/>
        </w:rPr>
        <w:t>3 判定规则</w:t>
      </w:r>
    </w:p>
    <w:p w14:paraId="08BF4416">
      <w:pPr>
        <w:snapToGrid w:val="0"/>
        <w:spacing w:line="360" w:lineRule="auto"/>
        <w:rPr>
          <w:rFonts w:hint="eastAsia" w:ascii="宋体" w:hAnsi="宋体" w:eastAsia="宋体" w:cs="Times New Roman"/>
          <w:b/>
          <w:bCs/>
          <w:kern w:val="2"/>
          <w:sz w:val="21"/>
          <w:szCs w:val="21"/>
        </w:rPr>
      </w:pPr>
      <w:r>
        <w:rPr>
          <w:rFonts w:hint="eastAsia" w:ascii="宋体" w:hAnsi="宋体" w:eastAsia="宋体" w:cs="Times New Roman"/>
          <w:b/>
          <w:bCs/>
          <w:kern w:val="2"/>
          <w:sz w:val="21"/>
          <w:szCs w:val="21"/>
        </w:rPr>
        <w:t>3.1</w:t>
      </w:r>
      <w:r>
        <w:rPr>
          <w:rFonts w:hint="eastAsia" w:ascii="宋体" w:hAnsi="宋体" w:eastAsia="宋体" w:cs="Times New Roman"/>
          <w:b/>
          <w:bCs/>
          <w:kern w:val="2"/>
          <w:sz w:val="21"/>
          <w:szCs w:val="21"/>
          <w:lang w:val="en-US" w:eastAsia="zh-CN"/>
        </w:rPr>
        <w:t xml:space="preserve"> </w:t>
      </w:r>
      <w:r>
        <w:rPr>
          <w:rFonts w:hint="eastAsia" w:ascii="宋体" w:hAnsi="宋体" w:eastAsia="宋体" w:cs="Times New Roman"/>
          <w:b/>
          <w:bCs/>
          <w:kern w:val="2"/>
          <w:sz w:val="21"/>
          <w:szCs w:val="21"/>
        </w:rPr>
        <w:t>依据标准</w:t>
      </w:r>
    </w:p>
    <w:p w14:paraId="5299B1ED">
      <w:pPr>
        <w:snapToGrid w:val="0"/>
        <w:spacing w:line="360" w:lineRule="auto"/>
        <w:ind w:firstLine="420" w:firstLineChars="200"/>
        <w:rPr>
          <w:rFonts w:hint="eastAsia" w:ascii="宋体" w:hAnsi="宋体" w:eastAsia="宋体" w:cs="Times New Roman"/>
          <w:kern w:val="2"/>
          <w:sz w:val="21"/>
          <w:szCs w:val="21"/>
        </w:rPr>
      </w:pPr>
      <w:r>
        <w:rPr>
          <w:rFonts w:hint="eastAsia" w:ascii="宋体" w:hAnsi="宋体" w:eastAsia="宋体" w:cs="Times New Roman"/>
          <w:kern w:val="2"/>
          <w:sz w:val="21"/>
          <w:szCs w:val="21"/>
        </w:rPr>
        <w:t>GB/T 13663.2—2018 给水用聚乙烯（PE）管道系统</w:t>
      </w:r>
      <w:r>
        <w:rPr>
          <w:rFonts w:hint="eastAsia" w:ascii="宋体" w:hAnsi="宋体" w:eastAsia="宋体" w:cs="Times New Roman"/>
          <w:kern w:val="2"/>
          <w:sz w:val="21"/>
          <w:szCs w:val="21"/>
          <w:lang w:val="en-US" w:eastAsia="zh-CN"/>
        </w:rPr>
        <w:t xml:space="preserve"> </w:t>
      </w:r>
      <w:r>
        <w:rPr>
          <w:rFonts w:hint="eastAsia" w:ascii="宋体" w:hAnsi="宋体" w:eastAsia="宋体" w:cs="Times New Roman"/>
          <w:kern w:val="2"/>
          <w:sz w:val="21"/>
          <w:szCs w:val="21"/>
        </w:rPr>
        <w:t>第2部分：管材</w:t>
      </w:r>
    </w:p>
    <w:p w14:paraId="57784CAF">
      <w:pPr>
        <w:snapToGrid w:val="0"/>
        <w:spacing w:line="360" w:lineRule="auto"/>
        <w:ind w:firstLine="420" w:firstLineChars="200"/>
        <w:rPr>
          <w:rFonts w:hint="eastAsia" w:ascii="宋体" w:hAnsi="宋体" w:eastAsia="宋体" w:cs="Times New Roman"/>
          <w:kern w:val="2"/>
          <w:sz w:val="21"/>
          <w:szCs w:val="21"/>
        </w:rPr>
      </w:pPr>
      <w:r>
        <w:rPr>
          <w:rFonts w:hint="eastAsia" w:ascii="宋体" w:hAnsi="宋体" w:eastAsia="宋体" w:cs="Times New Roman"/>
          <w:kern w:val="2"/>
          <w:sz w:val="21"/>
          <w:szCs w:val="21"/>
        </w:rPr>
        <w:t>现行有效的企业标准、团体标准、地方标准及产品明示质量要求</w:t>
      </w:r>
    </w:p>
    <w:p w14:paraId="65DB2305">
      <w:pPr>
        <w:snapToGrid w:val="0"/>
        <w:spacing w:line="360" w:lineRule="auto"/>
        <w:rPr>
          <w:rFonts w:hint="eastAsia" w:ascii="宋体" w:hAnsi="宋体" w:eastAsia="宋体" w:cs="Times New Roman"/>
          <w:b/>
          <w:bCs/>
          <w:kern w:val="2"/>
          <w:sz w:val="21"/>
          <w:szCs w:val="21"/>
        </w:rPr>
      </w:pPr>
      <w:r>
        <w:rPr>
          <w:rFonts w:hint="eastAsia" w:ascii="宋体" w:hAnsi="宋体" w:eastAsia="宋体" w:cs="Times New Roman"/>
          <w:b/>
          <w:bCs/>
          <w:kern w:val="2"/>
          <w:sz w:val="21"/>
          <w:szCs w:val="21"/>
        </w:rPr>
        <w:t>3.2 判定原则</w:t>
      </w:r>
    </w:p>
    <w:p w14:paraId="7033281B">
      <w:pPr>
        <w:snapToGrid w:val="0"/>
        <w:spacing w:line="360" w:lineRule="auto"/>
        <w:ind w:firstLine="420" w:firstLineChars="200"/>
        <w:rPr>
          <w:rFonts w:hint="eastAsia" w:ascii="宋体" w:hAnsi="宋体" w:eastAsia="宋体" w:cs="Times New Roman"/>
          <w:kern w:val="2"/>
          <w:sz w:val="21"/>
          <w:szCs w:val="21"/>
        </w:rPr>
      </w:pPr>
      <w:r>
        <w:rPr>
          <w:rFonts w:hint="eastAsia" w:ascii="宋体" w:hAnsi="宋体" w:eastAsia="宋体" w:cs="Times New Roman"/>
          <w:kern w:val="2"/>
          <w:sz w:val="21"/>
          <w:szCs w:val="21"/>
        </w:rPr>
        <w:t>经检验，检验项目全部合格，判定为被抽查产品未发现不合格；检验项目中任1项或1项以上不合格，判定为被抽查产品不合格。</w:t>
      </w:r>
    </w:p>
    <w:p w14:paraId="63D18C58">
      <w:pPr>
        <w:snapToGrid w:val="0"/>
        <w:spacing w:line="360" w:lineRule="auto"/>
        <w:ind w:firstLine="420" w:firstLineChars="200"/>
        <w:rPr>
          <w:rFonts w:hint="eastAsia" w:ascii="宋体" w:hAnsi="宋体" w:eastAsia="宋体" w:cs="Times New Roman"/>
          <w:kern w:val="2"/>
          <w:sz w:val="21"/>
          <w:szCs w:val="21"/>
        </w:rPr>
      </w:pPr>
      <w:r>
        <w:rPr>
          <w:rFonts w:hint="eastAsia" w:ascii="宋体" w:hAnsi="宋体" w:eastAsia="宋体" w:cs="Times New Roman"/>
          <w:kern w:val="2"/>
          <w:sz w:val="21"/>
          <w:szCs w:val="21"/>
        </w:rPr>
        <w:t>若被检产品明示的质量要求高于本细则中检验项目依据的标准要求时，应按被检产品明示的质量要求判定。</w:t>
      </w:r>
    </w:p>
    <w:p w14:paraId="13A7E6A1">
      <w:pPr>
        <w:snapToGrid w:val="0"/>
        <w:spacing w:line="360" w:lineRule="auto"/>
        <w:ind w:firstLine="420" w:firstLineChars="200"/>
        <w:rPr>
          <w:rFonts w:hint="eastAsia" w:ascii="宋体" w:hAnsi="宋体" w:eastAsia="宋体" w:cs="Times New Roman"/>
          <w:kern w:val="2"/>
          <w:sz w:val="21"/>
          <w:szCs w:val="21"/>
        </w:rPr>
      </w:pPr>
      <w:r>
        <w:rPr>
          <w:rFonts w:hint="eastAsia" w:ascii="宋体" w:hAnsi="宋体" w:eastAsia="宋体" w:cs="Times New Roman"/>
          <w:kern w:val="2"/>
          <w:sz w:val="21"/>
          <w:szCs w:val="21"/>
        </w:rPr>
        <w:t>若被检产品明示的质量要求低于本细则中检验项目依据的强制性标准要求时，应按照强制性标准要求判定。</w:t>
      </w:r>
    </w:p>
    <w:p w14:paraId="2207EAC0">
      <w:pPr>
        <w:snapToGrid w:val="0"/>
        <w:spacing w:line="360" w:lineRule="auto"/>
        <w:ind w:firstLine="420" w:firstLineChars="200"/>
        <w:rPr>
          <w:rFonts w:hint="eastAsia" w:ascii="宋体" w:hAnsi="宋体" w:eastAsia="宋体" w:cs="Times New Roman"/>
          <w:kern w:val="2"/>
          <w:sz w:val="21"/>
          <w:szCs w:val="21"/>
        </w:rPr>
      </w:pPr>
      <w:r>
        <w:rPr>
          <w:rFonts w:hint="eastAsia" w:ascii="宋体" w:hAnsi="宋体" w:eastAsia="宋体" w:cs="Times New Roman"/>
          <w:kern w:val="2"/>
          <w:sz w:val="21"/>
          <w:szCs w:val="21"/>
        </w:rPr>
        <w:t>若被检产品明示的质量要求低于或包含本细则中检验项目依据的推荐性标准要求时，应以被检产品明示的质量要求判定。</w:t>
      </w:r>
    </w:p>
    <w:p w14:paraId="682C79A6">
      <w:pPr>
        <w:snapToGrid w:val="0"/>
        <w:spacing w:line="360" w:lineRule="auto"/>
        <w:ind w:firstLine="420" w:firstLineChars="200"/>
        <w:rPr>
          <w:rFonts w:hint="eastAsia" w:ascii="宋体" w:hAnsi="宋体" w:eastAsia="宋体" w:cs="Times New Roman"/>
          <w:kern w:val="2"/>
          <w:sz w:val="21"/>
          <w:szCs w:val="21"/>
        </w:rPr>
      </w:pPr>
      <w:r>
        <w:rPr>
          <w:rFonts w:hint="eastAsia" w:ascii="宋体" w:hAnsi="宋体" w:eastAsia="宋体" w:cs="Times New Roman"/>
          <w:kern w:val="2"/>
          <w:sz w:val="21"/>
          <w:szCs w:val="21"/>
        </w:rPr>
        <w:t>若被检产品明示的质量要求缺少本细则中检验项目依据的强制性</w:t>
      </w:r>
      <w:r>
        <w:rPr>
          <w:rFonts w:hint="eastAsia" w:ascii="宋体" w:hAnsi="宋体" w:eastAsia="宋体" w:cs="Times New Roman"/>
          <w:kern w:val="2"/>
          <w:sz w:val="21"/>
          <w:szCs w:val="21"/>
          <w:lang w:eastAsia="zh-CN"/>
        </w:rPr>
        <w:t>标准</w:t>
      </w:r>
      <w:r>
        <w:rPr>
          <w:rFonts w:hint="eastAsia" w:ascii="宋体" w:hAnsi="宋体" w:eastAsia="宋体" w:cs="Times New Roman"/>
          <w:kern w:val="2"/>
          <w:sz w:val="21"/>
          <w:szCs w:val="21"/>
        </w:rPr>
        <w:t>要求时，应按照强制性标准要求判定。</w:t>
      </w:r>
    </w:p>
    <w:p w14:paraId="2AC53968">
      <w:pPr>
        <w:snapToGrid w:val="0"/>
        <w:spacing w:line="360" w:lineRule="auto"/>
        <w:ind w:firstLine="420" w:firstLineChars="200"/>
        <w:rPr>
          <w:rFonts w:hint="eastAsia" w:ascii="宋体" w:hAnsi="宋体" w:eastAsia="宋体" w:cs="Times New Roman"/>
          <w:kern w:val="2"/>
          <w:sz w:val="21"/>
          <w:szCs w:val="21"/>
        </w:rPr>
      </w:pPr>
      <w:r>
        <w:rPr>
          <w:rFonts w:hint="eastAsia" w:ascii="宋体" w:hAnsi="宋体" w:eastAsia="宋体" w:cs="Times New Roman"/>
          <w:kern w:val="2"/>
          <w:sz w:val="21"/>
          <w:szCs w:val="21"/>
        </w:rPr>
        <w:t>若被检产品明示的质量要求缺少本细则中检验项目依据的推荐性标准要求时。该项目不参与判定，但应在检验报告备注中进行说明。</w:t>
      </w:r>
    </w:p>
    <w:p w14:paraId="0948958D">
      <w:pPr>
        <w:pStyle w:val="3"/>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right="376"/>
        <w:textAlignment w:val="auto"/>
        <w:rPr>
          <w:sz w:val="32"/>
          <w:szCs w:val="32"/>
        </w:rPr>
      </w:pPr>
    </w:p>
    <w:sectPr>
      <w:pgSz w:w="11906" w:h="16838"/>
      <w:pgMar w:top="1440" w:right="1800" w:bottom="1440" w:left="1800" w:header="708" w:footer="708" w:gutter="0"/>
      <w:pgBorders>
        <w:top w:val="none" w:sz="0" w:space="0"/>
        <w:left w:val="none" w:sz="0" w:space="0"/>
        <w:bottom w:val="none" w:sz="0" w:space="0"/>
        <w:right w:val="none" w:sz="0" w:space="0"/>
      </w:pgBorders>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876E9D-2C76-4484-A236-B7D40E163A5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85CA285-0022-4980-A8B8-F941883C20F1}"/>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embedRegular r:id="rId3" w:fontKey="{3F970C5C-9B79-4EF5-A1E2-96AD1911205C}"/>
  </w:font>
  <w:font w:name="仿宋">
    <w:panose1 w:val="02010609060101010101"/>
    <w:charset w:val="86"/>
    <w:family w:val="auto"/>
    <w:pitch w:val="default"/>
    <w:sig w:usb0="800002BF" w:usb1="38CF7CFA" w:usb2="00000016" w:usb3="00000000" w:csb0="00040001" w:csb1="00000000"/>
    <w:embedRegular r:id="rId4" w:fontKey="{EAD3E195-48F6-4A32-8EF8-FCB0762F47B3}"/>
  </w:font>
  <w:font w:name="方正仿宋简体">
    <w:altName w:val="微软雅黑"/>
    <w:panose1 w:val="02010601030101010101"/>
    <w:charset w:val="86"/>
    <w:family w:val="auto"/>
    <w:pitch w:val="default"/>
    <w:sig w:usb0="00000000" w:usb1="00000000" w:usb2="00000010" w:usb3="00000000" w:csb0="00040000" w:csb1="00000000"/>
    <w:embedRegular r:id="rId5" w:fontKey="{FB0FC396-3A75-4992-BFE2-F2AC78156E17}"/>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A500F"/>
    <w:rsid w:val="00503EEA"/>
    <w:rsid w:val="007F16E8"/>
    <w:rsid w:val="00862B8F"/>
    <w:rsid w:val="00FB5344"/>
    <w:rsid w:val="015E4AD6"/>
    <w:rsid w:val="01A40BF9"/>
    <w:rsid w:val="01E92622"/>
    <w:rsid w:val="022339A2"/>
    <w:rsid w:val="02D359A4"/>
    <w:rsid w:val="03034D61"/>
    <w:rsid w:val="037A23FA"/>
    <w:rsid w:val="03AA746F"/>
    <w:rsid w:val="03CA1CD3"/>
    <w:rsid w:val="04125DA0"/>
    <w:rsid w:val="049C1B9D"/>
    <w:rsid w:val="05FC42EB"/>
    <w:rsid w:val="063063FC"/>
    <w:rsid w:val="07707F38"/>
    <w:rsid w:val="084A131B"/>
    <w:rsid w:val="08F47973"/>
    <w:rsid w:val="09153CCC"/>
    <w:rsid w:val="093536C9"/>
    <w:rsid w:val="09B23647"/>
    <w:rsid w:val="09D7086E"/>
    <w:rsid w:val="0B1D330C"/>
    <w:rsid w:val="0B6703C0"/>
    <w:rsid w:val="0B874DAC"/>
    <w:rsid w:val="0BD6497D"/>
    <w:rsid w:val="0D4D32D4"/>
    <w:rsid w:val="0D70513E"/>
    <w:rsid w:val="0D7D3DE5"/>
    <w:rsid w:val="0D83604E"/>
    <w:rsid w:val="0DFF6F4A"/>
    <w:rsid w:val="0E573DA2"/>
    <w:rsid w:val="0E7D4A03"/>
    <w:rsid w:val="0EDE288A"/>
    <w:rsid w:val="0F5C2014"/>
    <w:rsid w:val="0FF1610C"/>
    <w:rsid w:val="109C1579"/>
    <w:rsid w:val="10B916BE"/>
    <w:rsid w:val="11636881"/>
    <w:rsid w:val="117619C8"/>
    <w:rsid w:val="12002DDA"/>
    <w:rsid w:val="127E0B34"/>
    <w:rsid w:val="129C545E"/>
    <w:rsid w:val="133B1CD0"/>
    <w:rsid w:val="135950FD"/>
    <w:rsid w:val="13C24FF9"/>
    <w:rsid w:val="143A6575"/>
    <w:rsid w:val="145E6AA2"/>
    <w:rsid w:val="14F65AD8"/>
    <w:rsid w:val="154B0FBD"/>
    <w:rsid w:val="15CB3254"/>
    <w:rsid w:val="16273D65"/>
    <w:rsid w:val="186B3511"/>
    <w:rsid w:val="19A34A4E"/>
    <w:rsid w:val="19A52AA6"/>
    <w:rsid w:val="1A4449B0"/>
    <w:rsid w:val="1AC31361"/>
    <w:rsid w:val="1ADE1D17"/>
    <w:rsid w:val="1AF9662D"/>
    <w:rsid w:val="1B064921"/>
    <w:rsid w:val="1B102545"/>
    <w:rsid w:val="1BFA1EAC"/>
    <w:rsid w:val="1C422BD3"/>
    <w:rsid w:val="1C6C3E05"/>
    <w:rsid w:val="1C9E1029"/>
    <w:rsid w:val="1CEA3E1E"/>
    <w:rsid w:val="1D1F1ACD"/>
    <w:rsid w:val="1D6F3E9D"/>
    <w:rsid w:val="1E266CA5"/>
    <w:rsid w:val="1E804BC0"/>
    <w:rsid w:val="1E94585D"/>
    <w:rsid w:val="1F0D3508"/>
    <w:rsid w:val="1F3C5DAC"/>
    <w:rsid w:val="1F613055"/>
    <w:rsid w:val="1FE159BD"/>
    <w:rsid w:val="201C5EBF"/>
    <w:rsid w:val="201D7E88"/>
    <w:rsid w:val="20482782"/>
    <w:rsid w:val="20A25451"/>
    <w:rsid w:val="20C0285E"/>
    <w:rsid w:val="20C60BBA"/>
    <w:rsid w:val="20F42056"/>
    <w:rsid w:val="21593433"/>
    <w:rsid w:val="219D0D1D"/>
    <w:rsid w:val="21F26C4D"/>
    <w:rsid w:val="2219022E"/>
    <w:rsid w:val="22325497"/>
    <w:rsid w:val="22CC5F33"/>
    <w:rsid w:val="23377209"/>
    <w:rsid w:val="23693833"/>
    <w:rsid w:val="24352756"/>
    <w:rsid w:val="244A72CD"/>
    <w:rsid w:val="246342B6"/>
    <w:rsid w:val="24D37F2E"/>
    <w:rsid w:val="2503311B"/>
    <w:rsid w:val="2525265D"/>
    <w:rsid w:val="25B13DF5"/>
    <w:rsid w:val="25B93E61"/>
    <w:rsid w:val="25C1100C"/>
    <w:rsid w:val="25EC3728"/>
    <w:rsid w:val="25F85CEC"/>
    <w:rsid w:val="264F7EE8"/>
    <w:rsid w:val="2666610C"/>
    <w:rsid w:val="26724AF7"/>
    <w:rsid w:val="27090EBD"/>
    <w:rsid w:val="27160C50"/>
    <w:rsid w:val="272C7672"/>
    <w:rsid w:val="277501BD"/>
    <w:rsid w:val="277E5912"/>
    <w:rsid w:val="27EC5F2A"/>
    <w:rsid w:val="27FF5042"/>
    <w:rsid w:val="28DB7708"/>
    <w:rsid w:val="28E63D6D"/>
    <w:rsid w:val="2916682E"/>
    <w:rsid w:val="299F1664"/>
    <w:rsid w:val="2A5A558B"/>
    <w:rsid w:val="2A781EB5"/>
    <w:rsid w:val="2A8B0E07"/>
    <w:rsid w:val="2BDF685C"/>
    <w:rsid w:val="2C5E6A74"/>
    <w:rsid w:val="2CA06E0B"/>
    <w:rsid w:val="2CC46E01"/>
    <w:rsid w:val="2CD9335F"/>
    <w:rsid w:val="2D214715"/>
    <w:rsid w:val="2D4C4787"/>
    <w:rsid w:val="2D74557A"/>
    <w:rsid w:val="2DF95627"/>
    <w:rsid w:val="2DFE6DAC"/>
    <w:rsid w:val="2E6D1244"/>
    <w:rsid w:val="2E8C71E8"/>
    <w:rsid w:val="2F641544"/>
    <w:rsid w:val="2F837CE8"/>
    <w:rsid w:val="2F8E5187"/>
    <w:rsid w:val="301F2BB6"/>
    <w:rsid w:val="302D3EBA"/>
    <w:rsid w:val="30BC1D86"/>
    <w:rsid w:val="31222C59"/>
    <w:rsid w:val="312B7339"/>
    <w:rsid w:val="324B4650"/>
    <w:rsid w:val="329A63AD"/>
    <w:rsid w:val="33013FDA"/>
    <w:rsid w:val="338A3496"/>
    <w:rsid w:val="34477DED"/>
    <w:rsid w:val="3503065F"/>
    <w:rsid w:val="35750F56"/>
    <w:rsid w:val="362F0352"/>
    <w:rsid w:val="37281025"/>
    <w:rsid w:val="374A7FBE"/>
    <w:rsid w:val="375B525E"/>
    <w:rsid w:val="379303A8"/>
    <w:rsid w:val="39634603"/>
    <w:rsid w:val="399C796E"/>
    <w:rsid w:val="39CE38A0"/>
    <w:rsid w:val="39DC4656"/>
    <w:rsid w:val="3A0177D1"/>
    <w:rsid w:val="3A882199"/>
    <w:rsid w:val="3B6C27D4"/>
    <w:rsid w:val="3BB06E17"/>
    <w:rsid w:val="3C40690D"/>
    <w:rsid w:val="3D514FBD"/>
    <w:rsid w:val="3D9F7B69"/>
    <w:rsid w:val="3DA9286B"/>
    <w:rsid w:val="3DC14A8F"/>
    <w:rsid w:val="3EA36362"/>
    <w:rsid w:val="3EC84D62"/>
    <w:rsid w:val="3F1102B7"/>
    <w:rsid w:val="3FC27AFD"/>
    <w:rsid w:val="3FE559B0"/>
    <w:rsid w:val="403473DC"/>
    <w:rsid w:val="40512183"/>
    <w:rsid w:val="40920B61"/>
    <w:rsid w:val="409C49BE"/>
    <w:rsid w:val="41766CF7"/>
    <w:rsid w:val="41872CB2"/>
    <w:rsid w:val="41AB135E"/>
    <w:rsid w:val="427D2273"/>
    <w:rsid w:val="42C34BC3"/>
    <w:rsid w:val="43D105FE"/>
    <w:rsid w:val="44132F42"/>
    <w:rsid w:val="444150EE"/>
    <w:rsid w:val="444971FB"/>
    <w:rsid w:val="44EF4E80"/>
    <w:rsid w:val="44F801B9"/>
    <w:rsid w:val="45000F84"/>
    <w:rsid w:val="453E4901"/>
    <w:rsid w:val="457411BA"/>
    <w:rsid w:val="45B222C8"/>
    <w:rsid w:val="45DB1C34"/>
    <w:rsid w:val="469048DA"/>
    <w:rsid w:val="46A91FE4"/>
    <w:rsid w:val="46E67B30"/>
    <w:rsid w:val="471825FE"/>
    <w:rsid w:val="47EB2F00"/>
    <w:rsid w:val="47EE3B5E"/>
    <w:rsid w:val="484F3DFE"/>
    <w:rsid w:val="485A1120"/>
    <w:rsid w:val="49ED1B20"/>
    <w:rsid w:val="49FA7BA7"/>
    <w:rsid w:val="4A726F3F"/>
    <w:rsid w:val="4A9D52F4"/>
    <w:rsid w:val="4AD55E00"/>
    <w:rsid w:val="4BAB3BF0"/>
    <w:rsid w:val="4DB0312C"/>
    <w:rsid w:val="4DC7214C"/>
    <w:rsid w:val="4DE576C0"/>
    <w:rsid w:val="4E355D4C"/>
    <w:rsid w:val="4E36644E"/>
    <w:rsid w:val="4E8542CB"/>
    <w:rsid w:val="4EB76183"/>
    <w:rsid w:val="4F2D3325"/>
    <w:rsid w:val="4F2E425F"/>
    <w:rsid w:val="4F4B4666"/>
    <w:rsid w:val="50462DD4"/>
    <w:rsid w:val="51071C7F"/>
    <w:rsid w:val="51CE322F"/>
    <w:rsid w:val="52B6106F"/>
    <w:rsid w:val="53617464"/>
    <w:rsid w:val="53AB6038"/>
    <w:rsid w:val="544D6911"/>
    <w:rsid w:val="54CC1B2C"/>
    <w:rsid w:val="550854BD"/>
    <w:rsid w:val="551478D8"/>
    <w:rsid w:val="55937A20"/>
    <w:rsid w:val="55F01C8D"/>
    <w:rsid w:val="55F3462F"/>
    <w:rsid w:val="56780CF8"/>
    <w:rsid w:val="569A3AB5"/>
    <w:rsid w:val="56BB3C78"/>
    <w:rsid w:val="56EA6BFF"/>
    <w:rsid w:val="572A75BB"/>
    <w:rsid w:val="572B26CF"/>
    <w:rsid w:val="576C0528"/>
    <w:rsid w:val="583538E9"/>
    <w:rsid w:val="59505698"/>
    <w:rsid w:val="59C7609A"/>
    <w:rsid w:val="59DE71BE"/>
    <w:rsid w:val="59E71BE9"/>
    <w:rsid w:val="5A241888"/>
    <w:rsid w:val="5A2E75EF"/>
    <w:rsid w:val="5A742949"/>
    <w:rsid w:val="5AFD1DA6"/>
    <w:rsid w:val="5C5A5875"/>
    <w:rsid w:val="5CB77B17"/>
    <w:rsid w:val="5CC23C6A"/>
    <w:rsid w:val="5D594833"/>
    <w:rsid w:val="5D5F468B"/>
    <w:rsid w:val="5E0F7AD9"/>
    <w:rsid w:val="5EAD1D31"/>
    <w:rsid w:val="5EB16933"/>
    <w:rsid w:val="5ECB45CF"/>
    <w:rsid w:val="5EF227D6"/>
    <w:rsid w:val="5FA977DB"/>
    <w:rsid w:val="5FC85963"/>
    <w:rsid w:val="5FCF654D"/>
    <w:rsid w:val="60145C01"/>
    <w:rsid w:val="604C539B"/>
    <w:rsid w:val="60577C59"/>
    <w:rsid w:val="605D3104"/>
    <w:rsid w:val="60CF7AE2"/>
    <w:rsid w:val="60E12503"/>
    <w:rsid w:val="6111553F"/>
    <w:rsid w:val="61D7742F"/>
    <w:rsid w:val="628D5E9F"/>
    <w:rsid w:val="635E4864"/>
    <w:rsid w:val="63A612D8"/>
    <w:rsid w:val="645A6D62"/>
    <w:rsid w:val="647C3D75"/>
    <w:rsid w:val="64F839D1"/>
    <w:rsid w:val="65234F7C"/>
    <w:rsid w:val="656A46A7"/>
    <w:rsid w:val="6658735A"/>
    <w:rsid w:val="66D3637E"/>
    <w:rsid w:val="67793E8D"/>
    <w:rsid w:val="67C948CC"/>
    <w:rsid w:val="68026661"/>
    <w:rsid w:val="684335D5"/>
    <w:rsid w:val="6859064E"/>
    <w:rsid w:val="686314D3"/>
    <w:rsid w:val="689D6A71"/>
    <w:rsid w:val="69253831"/>
    <w:rsid w:val="69BA314F"/>
    <w:rsid w:val="6A456AF7"/>
    <w:rsid w:val="6A831286"/>
    <w:rsid w:val="6B3963ED"/>
    <w:rsid w:val="6B3B1966"/>
    <w:rsid w:val="6B451351"/>
    <w:rsid w:val="6B7F461B"/>
    <w:rsid w:val="6B805C43"/>
    <w:rsid w:val="6B844867"/>
    <w:rsid w:val="6BBB297C"/>
    <w:rsid w:val="6C8436B0"/>
    <w:rsid w:val="6CB00E49"/>
    <w:rsid w:val="6D893595"/>
    <w:rsid w:val="6DA76F5B"/>
    <w:rsid w:val="6DFD7CD4"/>
    <w:rsid w:val="6E2444C0"/>
    <w:rsid w:val="6E6D75E6"/>
    <w:rsid w:val="6EA6233A"/>
    <w:rsid w:val="6F396F79"/>
    <w:rsid w:val="6F7F26D9"/>
    <w:rsid w:val="6FE162D9"/>
    <w:rsid w:val="6FFA3123"/>
    <w:rsid w:val="704D1E7E"/>
    <w:rsid w:val="70C04A6B"/>
    <w:rsid w:val="70D246B2"/>
    <w:rsid w:val="710F58A5"/>
    <w:rsid w:val="716A77D4"/>
    <w:rsid w:val="71DD4924"/>
    <w:rsid w:val="724E1933"/>
    <w:rsid w:val="726A45AE"/>
    <w:rsid w:val="72AA6286"/>
    <w:rsid w:val="7323551A"/>
    <w:rsid w:val="732538B5"/>
    <w:rsid w:val="73C97CCF"/>
    <w:rsid w:val="747C0908"/>
    <w:rsid w:val="755D54FC"/>
    <w:rsid w:val="75671BD5"/>
    <w:rsid w:val="760C7E42"/>
    <w:rsid w:val="764B78DA"/>
    <w:rsid w:val="767F69C2"/>
    <w:rsid w:val="77B67640"/>
    <w:rsid w:val="77CF1F17"/>
    <w:rsid w:val="78180D49"/>
    <w:rsid w:val="79442C5B"/>
    <w:rsid w:val="79542FE2"/>
    <w:rsid w:val="797F08D1"/>
    <w:rsid w:val="7A83470D"/>
    <w:rsid w:val="7AB271B4"/>
    <w:rsid w:val="7B166879"/>
    <w:rsid w:val="7B4A207F"/>
    <w:rsid w:val="7B895D45"/>
    <w:rsid w:val="7BC9090D"/>
    <w:rsid w:val="7D1229BB"/>
    <w:rsid w:val="7D5207F8"/>
    <w:rsid w:val="7DAB4509"/>
    <w:rsid w:val="7E77234B"/>
    <w:rsid w:val="7E8970DD"/>
    <w:rsid w:val="7E963363"/>
    <w:rsid w:val="7EB55A06"/>
    <w:rsid w:val="7EC73D35"/>
    <w:rsid w:val="7EE3205E"/>
    <w:rsid w:val="7EF00B66"/>
    <w:rsid w:val="7F6F29CF"/>
    <w:rsid w:val="7FB96291"/>
    <w:rsid w:val="7FF148B3"/>
    <w:rsid w:val="7FF314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Normal (Web)"/>
    <w:basedOn w:val="1"/>
    <w:semiHidden/>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871</Words>
  <Characters>966</Characters>
  <Lines>0</Lines>
  <Paragraphs>0</Paragraphs>
  <TotalTime>3</TotalTime>
  <ScaleCrop>false</ScaleCrop>
  <LinksUpToDate>false</LinksUpToDate>
  <CharactersWithSpaces>1017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小麦啾</cp:lastModifiedBy>
  <cp:lastPrinted>2025-06-20T09:17:00Z</cp:lastPrinted>
  <dcterms:modified xsi:type="dcterms:W3CDTF">2026-05-21T10:51:41Z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B904C597A9A945748CF9A9440C697590</vt:lpwstr>
  </property>
  <property fmtid="{D5CDD505-2E9C-101B-9397-08002B2CF9AE}" pid="4" name="KSOTemplateDocerSaveRecord">
    <vt:lpwstr>eyJoZGlkIjoiM2Q5NDlmNDc3N2ZkYzk3ZGJmOTUwNTM0Mzc5MTVlNDMiLCJ1c2VySWQiOiIzMjQ5NjUzODcifQ==</vt:lpwstr>
  </property>
</Properties>
</file>