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ascii="黑体" w:hAnsi="宋体" w:eastAsia="黑体"/>
          <w:sz w:val="52"/>
          <w:szCs w:val="52"/>
        </w:rPr>
      </w:pPr>
    </w:p>
    <w:p>
      <w:pPr>
        <w:spacing w:line="360" w:lineRule="auto"/>
        <w:jc w:val="center"/>
        <w:rPr>
          <w:rFonts w:hint="eastAsia" w:ascii="黑体" w:hAnsi="宋体" w:eastAsia="黑体" w:cs="Times New Roman"/>
          <w:spacing w:val="20"/>
          <w:w w:val="105"/>
          <w:sz w:val="48"/>
          <w:szCs w:val="48"/>
        </w:rPr>
      </w:pPr>
      <w:r>
        <w:rPr>
          <w:rFonts w:hint="eastAsia" w:ascii="黑体" w:hAnsi="宋体" w:eastAsia="黑体" w:cs="Times New Roman"/>
          <w:spacing w:val="20"/>
          <w:w w:val="105"/>
          <w:sz w:val="48"/>
          <w:szCs w:val="48"/>
        </w:rPr>
        <w:t>产品质量监督抽查实施细则</w:t>
      </w:r>
    </w:p>
    <w:p>
      <w:pPr>
        <w:spacing w:line="600" w:lineRule="exact"/>
        <w:jc w:val="center"/>
        <w:rPr>
          <w:rFonts w:ascii="黑体" w:hAnsi="宋体" w:eastAsia="黑体"/>
          <w:sz w:val="32"/>
        </w:rPr>
      </w:pPr>
      <w:r>
        <w:rPr>
          <w:rFonts w:ascii="黑体" w:hAnsi="宋体" w:eastAsia="黑体"/>
          <w:sz w:val="32"/>
        </w:rPr>
        <w:pict>
          <v:line id="直线 3" o:spid="_x0000_s1026" o:spt="20" style="position:absolute;left:0pt;flip:y;margin-left:5.25pt;margin-top:7.8pt;height:0.15pt;width:409.5pt;z-index:251659264;mso-width-relative:page;mso-height-relative:page;" coordsize="21600,21600" o:gfxdata="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D3QWmu0wAAAAgBAAAPAAAAAAAAAAEAIAAAACIA&#10;AABkcnMvZG93bnJldi54bWxQSwECFAAUAAAACACHTuJAuOeSBdUBAACbAwAADgAAAAAAAAABACAA&#10;AAAiAQAAZHJzL2Uyb0RvYy54bWxQSwUGAAAAAAYABgBZAQAAaQUAAAAA&#10;">
            <v:path arrowok="t"/>
            <v:fill focussize="0,0"/>
            <v:stroke weight="1.25pt"/>
            <v:imagedata o:title=""/>
            <o:lock v:ext="edit"/>
          </v:line>
        </w:pict>
      </w:r>
    </w:p>
    <w:p>
      <w:pPr>
        <w:spacing w:line="600" w:lineRule="exact"/>
        <w:jc w:val="center"/>
        <w:rPr>
          <w:rFonts w:ascii="黑体" w:hAnsi="宋体" w:eastAsia="黑体"/>
          <w:sz w:val="32"/>
        </w:rPr>
      </w:pPr>
    </w:p>
    <w:p>
      <w:pPr>
        <w:spacing w:line="600" w:lineRule="exact"/>
        <w:jc w:val="center"/>
        <w:rPr>
          <w:rFonts w:ascii="黑体" w:hAnsi="宋体" w:eastAsia="黑体"/>
          <w:sz w:val="32"/>
        </w:rPr>
      </w:pPr>
    </w:p>
    <w:p>
      <w:pPr>
        <w:spacing w:line="600" w:lineRule="exact"/>
        <w:jc w:val="center"/>
        <w:rPr>
          <w:rFonts w:ascii="黑体" w:hAnsi="宋体" w:eastAsia="黑体"/>
          <w:sz w:val="32"/>
        </w:rPr>
      </w:pPr>
    </w:p>
    <w:p>
      <w:pPr>
        <w:spacing w:line="600" w:lineRule="exact"/>
        <w:jc w:val="center"/>
        <w:rPr>
          <w:rFonts w:ascii="黑体" w:hAnsi="宋体" w:eastAsia="黑体"/>
          <w:sz w:val="32"/>
        </w:rPr>
      </w:pPr>
    </w:p>
    <w:p>
      <w:pPr>
        <w:spacing w:line="600" w:lineRule="exact"/>
        <w:jc w:val="center"/>
        <w:rPr>
          <w:rFonts w:ascii="黑体" w:hAnsi="宋体" w:eastAsia="黑体"/>
          <w:sz w:val="32"/>
        </w:rPr>
      </w:pPr>
    </w:p>
    <w:p>
      <w:pPr>
        <w:spacing w:line="600" w:lineRule="exact"/>
        <w:jc w:val="center"/>
        <w:rPr>
          <w:rFonts w:ascii="黑体" w:hAnsi="黑体" w:eastAsia="黑体" w:cs="黑体"/>
          <w:sz w:val="32"/>
        </w:rPr>
      </w:pPr>
    </w:p>
    <w:p>
      <w:pPr>
        <w:tabs>
          <w:tab w:val="left" w:pos="6930"/>
        </w:tabs>
        <w:adjustRightInd w:val="0"/>
        <w:spacing w:line="360" w:lineRule="auto"/>
        <w:jc w:val="center"/>
        <w:outlineLvl w:val="0"/>
        <w:rPr>
          <w:rFonts w:hint="eastAsia" w:ascii="黑体" w:hAnsi="黑体" w:eastAsia="黑体" w:cs="黑体"/>
          <w:b/>
          <w:bCs/>
          <w:sz w:val="44"/>
          <w:szCs w:val="44"/>
        </w:rPr>
      </w:pPr>
      <w:r>
        <w:rPr>
          <w:rFonts w:hint="eastAsia" w:ascii="黑体" w:hAnsi="黑体" w:eastAsia="黑体" w:cs="黑体"/>
          <w:b/>
          <w:bCs/>
          <w:sz w:val="44"/>
          <w:szCs w:val="44"/>
        </w:rPr>
        <w:t>2026年昌吉州蒸压加气混凝土砌块产品质量监督抽查实施细则</w:t>
      </w:r>
    </w:p>
    <w:p>
      <w:pPr>
        <w:spacing w:line="600" w:lineRule="exact"/>
        <w:jc w:val="center"/>
        <w:rPr>
          <w:rFonts w:ascii="黑体" w:hAnsi="宋体" w:eastAsia="黑体"/>
          <w:bCs/>
          <w:sz w:val="32"/>
        </w:rPr>
      </w:pPr>
    </w:p>
    <w:p>
      <w:pPr>
        <w:spacing w:line="600" w:lineRule="exact"/>
        <w:jc w:val="center"/>
        <w:rPr>
          <w:rFonts w:ascii="黑体" w:hAnsi="宋体" w:eastAsia="黑体"/>
          <w:bCs/>
          <w:sz w:val="32"/>
        </w:rPr>
      </w:pPr>
    </w:p>
    <w:p>
      <w:pPr>
        <w:spacing w:line="600" w:lineRule="exact"/>
        <w:jc w:val="center"/>
        <w:rPr>
          <w:rFonts w:ascii="黑体" w:hAnsi="宋体" w:eastAsia="黑体"/>
          <w:sz w:val="32"/>
        </w:rPr>
      </w:pPr>
    </w:p>
    <w:p>
      <w:pPr>
        <w:spacing w:line="600" w:lineRule="exact"/>
        <w:jc w:val="center"/>
        <w:rPr>
          <w:rFonts w:ascii="黑体" w:hAnsi="宋体" w:eastAsia="黑体"/>
          <w:sz w:val="32"/>
        </w:rPr>
      </w:pPr>
    </w:p>
    <w:p>
      <w:pPr>
        <w:spacing w:line="600" w:lineRule="exact"/>
        <w:jc w:val="center"/>
        <w:rPr>
          <w:rFonts w:ascii="黑体" w:hAnsi="宋体" w:eastAsia="黑体"/>
          <w:sz w:val="32"/>
        </w:rPr>
      </w:pPr>
    </w:p>
    <w:p>
      <w:pPr>
        <w:spacing w:line="600" w:lineRule="exact"/>
        <w:jc w:val="center"/>
        <w:rPr>
          <w:rFonts w:ascii="黑体" w:hAnsi="宋体" w:eastAsia="黑体"/>
          <w:sz w:val="32"/>
        </w:rPr>
      </w:pPr>
    </w:p>
    <w:p>
      <w:pPr>
        <w:spacing w:line="600" w:lineRule="exact"/>
        <w:jc w:val="center"/>
        <w:rPr>
          <w:rFonts w:ascii="黑体" w:hAnsi="宋体" w:eastAsia="黑体"/>
          <w:sz w:val="32"/>
        </w:rPr>
      </w:pPr>
    </w:p>
    <w:p>
      <w:pPr>
        <w:spacing w:line="600" w:lineRule="exact"/>
        <w:rPr>
          <w:rFonts w:ascii="黑体" w:hAnsi="宋体" w:eastAsia="黑体"/>
          <w:sz w:val="32"/>
        </w:rPr>
      </w:pPr>
    </w:p>
    <w:p>
      <w:pPr>
        <w:spacing w:line="600" w:lineRule="exact"/>
        <w:rPr>
          <w:rFonts w:ascii="黑体" w:hAnsi="宋体" w:eastAsia="黑体"/>
          <w:sz w:val="32"/>
        </w:rPr>
      </w:pPr>
    </w:p>
    <w:p>
      <w:pPr>
        <w:spacing w:line="600" w:lineRule="exact"/>
        <w:rPr>
          <w:rFonts w:ascii="黑体" w:hAnsi="宋体" w:eastAsia="黑体"/>
          <w:sz w:val="32"/>
        </w:rPr>
      </w:pPr>
    </w:p>
    <w:p>
      <w:pPr>
        <w:spacing w:line="600" w:lineRule="exact"/>
        <w:rPr>
          <w:rFonts w:ascii="黑体" w:hAnsi="宋体" w:eastAsia="黑体"/>
          <w:sz w:val="24"/>
          <w:szCs w:val="24"/>
        </w:rPr>
      </w:pPr>
      <w:r>
        <w:rPr>
          <w:rFonts w:hint="eastAsia" w:ascii="黑体" w:hAnsi="宋体" w:eastAsia="黑体"/>
          <w:sz w:val="24"/>
          <w:szCs w:val="24"/>
        </w:rPr>
        <w:t>2026-0</w:t>
      </w:r>
      <w:r>
        <w:rPr>
          <w:rFonts w:ascii="黑体" w:hAnsi="宋体" w:eastAsia="黑体"/>
          <w:sz w:val="24"/>
          <w:szCs w:val="24"/>
        </w:rPr>
        <w:t>1</w:t>
      </w:r>
      <w:r>
        <w:rPr>
          <w:rFonts w:hint="eastAsia" w:ascii="黑体" w:hAnsi="宋体" w:eastAsia="黑体"/>
          <w:sz w:val="24"/>
          <w:szCs w:val="24"/>
        </w:rPr>
        <w:t xml:space="preserve">-15发布                     </w:t>
      </w:r>
      <w:r>
        <w:rPr>
          <w:rFonts w:hint="eastAsia" w:ascii="黑体" w:hAnsi="宋体" w:eastAsia="黑体"/>
          <w:sz w:val="24"/>
          <w:szCs w:val="24"/>
          <w:lang w:val="en-US" w:eastAsia="zh-CN"/>
        </w:rPr>
        <w:t xml:space="preserve">          </w:t>
      </w:r>
      <w:r>
        <w:rPr>
          <w:rFonts w:hint="eastAsia" w:ascii="黑体" w:hAnsi="宋体" w:eastAsia="黑体"/>
          <w:sz w:val="24"/>
          <w:szCs w:val="24"/>
        </w:rPr>
        <w:t xml:space="preserve">     2026-0</w:t>
      </w:r>
      <w:r>
        <w:rPr>
          <w:rFonts w:ascii="黑体" w:hAnsi="宋体" w:eastAsia="黑体"/>
          <w:sz w:val="24"/>
          <w:szCs w:val="24"/>
        </w:rPr>
        <w:t>2</w:t>
      </w:r>
      <w:r>
        <w:rPr>
          <w:rFonts w:hint="eastAsia" w:ascii="黑体" w:hAnsi="宋体" w:eastAsia="黑体"/>
          <w:sz w:val="24"/>
          <w:szCs w:val="24"/>
        </w:rPr>
        <w:t>-10实施</w:t>
      </w:r>
    </w:p>
    <w:p>
      <w:pPr>
        <w:spacing w:line="600" w:lineRule="exact"/>
        <w:jc w:val="center"/>
        <w:rPr>
          <w:rFonts w:hint="eastAsia" w:ascii="Times New Roman" w:hAnsi="Times New Roman" w:eastAsia="方正小标宋简体" w:cs="Times New Roman"/>
          <w:color w:val="000000"/>
          <w:sz w:val="32"/>
          <w:szCs w:val="32"/>
          <w:lang w:val="en-US" w:eastAsia="zh-CN"/>
        </w:rPr>
      </w:pPr>
      <w:r>
        <w:rPr>
          <w:rFonts w:ascii="黑体" w:hAnsi="宋体" w:eastAsia="黑体"/>
          <w:sz w:val="32"/>
        </w:rPr>
        <w:pict>
          <v:line id="直线 4" o:spid="_x0000_s2051" o:spt="20" style="position:absolute;left:0pt;margin-left:-3.3pt;margin-top:1.75pt;height:0pt;width:404.25pt;z-index:251660288;mso-width-relative:page;mso-height-relative:page;" coordsize="21600,21600" o:gfxdata="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">
            <v:path arrowok="t"/>
            <v:fill focussize="0,0"/>
            <v:stroke weight="1.25pt"/>
            <v:imagedata o:title=""/>
            <o:lock v:ext="edit"/>
          </v:line>
        </w:pict>
      </w:r>
      <w:r>
        <w:rPr>
          <w:rFonts w:hint="eastAsia" w:ascii="黑体" w:hAnsi="宋体" w:eastAsia="黑体"/>
          <w:bCs/>
          <w:sz w:val="32"/>
          <w:szCs w:val="32"/>
        </w:rPr>
        <w:t>昌吉州市场监督管理局</w:t>
      </w:r>
    </w:p>
    <w:p>
      <w:pPr>
        <w:spacing w:line="440" w:lineRule="exact"/>
        <w:jc w:val="center"/>
        <w:rPr>
          <w:rFonts w:hint="eastAsia" w:ascii="Times New Roman" w:hAnsi="Times New Roman" w:eastAsia="方正小标宋简体" w:cs="Times New Roman"/>
          <w:color w:val="000000"/>
          <w:sz w:val="32"/>
          <w:szCs w:val="32"/>
          <w:lang w:val="en-US" w:eastAsia="zh-CN"/>
        </w:rPr>
      </w:pPr>
      <w:bookmarkStart w:id="0" w:name="_GoBack"/>
      <w:r>
        <w:rPr>
          <w:rFonts w:hint="eastAsia" w:ascii="Times New Roman" w:hAnsi="Times New Roman" w:eastAsia="方正小标宋简体" w:cs="Times New Roman"/>
          <w:color w:val="000000"/>
          <w:sz w:val="32"/>
          <w:szCs w:val="32"/>
          <w:lang w:val="en-US" w:eastAsia="zh-CN"/>
        </w:rPr>
        <w:t>2026年昌吉州蒸压加气混凝土砌块产品</w:t>
      </w:r>
    </w:p>
    <w:p>
      <w:pPr>
        <w:spacing w:line="440" w:lineRule="exact"/>
        <w:jc w:val="center"/>
        <w:rPr>
          <w:rFonts w:hint="eastAsia" w:ascii="Times New Roman" w:hAnsi="Times New Roman" w:eastAsia="方正小标宋简体" w:cs="Times New Roman"/>
          <w:color w:val="00000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小标宋简体" w:cs="Times New Roman"/>
          <w:color w:val="000000"/>
          <w:sz w:val="32"/>
          <w:szCs w:val="32"/>
          <w:lang w:val="en-US" w:eastAsia="zh-CN"/>
        </w:rPr>
        <w:t>质量监督抽查实施细则</w:t>
      </w:r>
      <w:bookmarkEnd w:id="0"/>
    </w:p>
    <w:p>
      <w:pPr>
        <w:snapToGrid w:val="0"/>
        <w:spacing w:line="440" w:lineRule="exact"/>
        <w:rPr>
          <w:rFonts w:hint="eastAsia" w:ascii="黑体" w:hAnsi="黑体" w:eastAsia="黑体" w:cs="黑体"/>
          <w:b/>
          <w:bCs/>
          <w:color w:val="000000"/>
          <w:szCs w:val="21"/>
        </w:rPr>
      </w:pPr>
    </w:p>
    <w:p>
      <w:pPr>
        <w:snapToGrid w:val="0"/>
        <w:spacing w:line="440" w:lineRule="exact"/>
        <w:rPr>
          <w:rFonts w:hint="eastAsia" w:ascii="黑体" w:hAnsi="黑体" w:eastAsia="黑体" w:cs="黑体"/>
          <w:b/>
          <w:bCs/>
          <w:color w:val="000000"/>
          <w:szCs w:val="21"/>
        </w:rPr>
      </w:pPr>
      <w:r>
        <w:rPr>
          <w:rFonts w:hint="eastAsia" w:ascii="黑体" w:hAnsi="黑体" w:eastAsia="黑体" w:cs="黑体"/>
          <w:b/>
          <w:bCs/>
          <w:color w:val="000000"/>
          <w:szCs w:val="21"/>
        </w:rPr>
        <w:t>1</w:t>
      </w:r>
      <w:r>
        <w:rPr>
          <w:rFonts w:hint="eastAsia" w:ascii="黑体" w:hAnsi="黑体" w:eastAsia="黑体" w:cs="黑体"/>
          <w:b/>
          <w:bCs/>
          <w:color w:val="000000"/>
          <w:szCs w:val="21"/>
          <w:lang w:val="en-US" w:eastAsia="zh-CN"/>
        </w:rPr>
        <w:t xml:space="preserve"> </w:t>
      </w:r>
      <w:r>
        <w:rPr>
          <w:rFonts w:hint="eastAsia" w:ascii="黑体" w:hAnsi="黑体" w:eastAsia="黑体" w:cs="黑体"/>
          <w:b/>
          <w:bCs/>
          <w:color w:val="000000"/>
          <w:szCs w:val="21"/>
        </w:rPr>
        <w:t>抽样方法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420" w:firstLineChars="200"/>
        <w:textAlignment w:val="auto"/>
      </w:pPr>
      <w:r>
        <w:t>以随机抽样的方式在</w:t>
      </w:r>
      <w:r>
        <w:rPr>
          <w:color w:val="000000"/>
          <w:szCs w:val="21"/>
        </w:rPr>
        <w:t>被抽样</w:t>
      </w:r>
      <w:r>
        <w:rPr>
          <w:rFonts w:hint="eastAsia"/>
          <w:color w:val="000000"/>
          <w:szCs w:val="21"/>
          <w:lang w:val="en-US" w:eastAsia="zh-CN"/>
        </w:rPr>
        <w:t>生产</w:t>
      </w:r>
      <w:r>
        <w:t>者的待销产品中抽取</w:t>
      </w:r>
      <w:r>
        <w:rPr>
          <w:rFonts w:hint="eastAsia"/>
        </w:rPr>
        <w:t>。</w:t>
      </w:r>
    </w:p>
    <w:p>
      <w:pPr>
        <w:snapToGrid w:val="0"/>
        <w:spacing w:line="440" w:lineRule="exact"/>
        <w:ind w:firstLine="420" w:firstLineChars="200"/>
        <w:rPr>
          <w:rFonts w:hint="default" w:ascii="Times New Roman" w:hAnsi="Times New Roman" w:eastAsia="宋体" w:cs="Times New Roman"/>
          <w:color w:val="000000"/>
          <w:szCs w:val="21"/>
        </w:rPr>
      </w:pPr>
      <w:r>
        <w:rPr>
          <w:rFonts w:hint="default" w:ascii="Times New Roman" w:hAnsi="Times New Roman" w:cs="Times New Roman"/>
          <w:color w:val="000000"/>
          <w:szCs w:val="21"/>
        </w:rPr>
        <w:t>随机数一般可使用随机数表等方法产生。</w:t>
      </w:r>
    </w:p>
    <w:p>
      <w:pPr>
        <w:snapToGrid w:val="0"/>
        <w:spacing w:line="440" w:lineRule="exact"/>
        <w:ind w:firstLine="420" w:firstLineChars="200"/>
        <w:rPr>
          <w:rFonts w:hint="eastAsia" w:ascii="Times New Roman" w:hAnsi="Times New Roman" w:eastAsia="宋体" w:cs="Times New Roman"/>
          <w:color w:val="000000"/>
          <w:kern w:val="2"/>
          <w:sz w:val="21"/>
          <w:szCs w:val="21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color w:val="000000"/>
          <w:szCs w:val="21"/>
        </w:rPr>
        <w:t>同</w:t>
      </w:r>
      <w:r>
        <w:rPr>
          <w:rFonts w:hint="eastAsia" w:ascii="Times New Roman" w:hAnsi="Times New Roman" w:eastAsia="宋体" w:cs="Times New Roman"/>
          <w:color w:val="000000"/>
          <w:szCs w:val="21"/>
          <w:lang w:val="en-US" w:eastAsia="zh-CN"/>
        </w:rPr>
        <w:t>一规格、</w:t>
      </w:r>
      <w:r>
        <w:rPr>
          <w:rFonts w:hint="eastAsia" w:ascii="Times New Roman" w:hAnsi="Times New Roman" w:eastAsia="宋体" w:cs="Times New Roman"/>
          <w:color w:val="000000"/>
          <w:szCs w:val="21"/>
        </w:rPr>
        <w:t>同</w:t>
      </w:r>
      <w:r>
        <w:rPr>
          <w:rFonts w:hint="eastAsia" w:ascii="Times New Roman" w:hAnsi="Times New Roman" w:eastAsia="宋体" w:cs="Times New Roman"/>
          <w:color w:val="000000"/>
          <w:szCs w:val="21"/>
          <w:lang w:val="en-US" w:eastAsia="zh-CN"/>
        </w:rPr>
        <w:t>一</w:t>
      </w:r>
      <w:r>
        <w:rPr>
          <w:rFonts w:hint="eastAsia" w:ascii="Times New Roman" w:hAnsi="Times New Roman" w:eastAsia="宋体" w:cs="Times New Roman"/>
          <w:color w:val="000000"/>
          <w:szCs w:val="21"/>
        </w:rPr>
        <w:t>生产批次的产品为一批，</w:t>
      </w:r>
      <w:r>
        <w:rPr>
          <w:rFonts w:hint="eastAsia" w:ascii="Times New Roman" w:hAnsi="Times New Roman" w:eastAsia="宋体" w:cs="Times New Roman"/>
          <w:color w:val="000000"/>
          <w:kern w:val="2"/>
          <w:sz w:val="21"/>
          <w:szCs w:val="21"/>
          <w:lang w:val="en-US" w:eastAsia="zh-CN" w:bidi="ar-SA"/>
        </w:rPr>
        <w:t>30000块为一批，不足30000块按一批计</w:t>
      </w:r>
      <w:r>
        <w:rPr>
          <w:rFonts w:hint="eastAsia" w:ascii="Times New Roman" w:hAnsi="Times New Roman" w:eastAsia="宋体" w:cs="Times New Roman"/>
          <w:color w:val="000000"/>
          <w:szCs w:val="21"/>
        </w:rPr>
        <w:t>。</w:t>
      </w:r>
      <w:r>
        <w:rPr>
          <w:rFonts w:hint="eastAsia" w:ascii="Times New Roman" w:hAnsi="Times New Roman" w:eastAsia="宋体" w:cs="Times New Roman"/>
          <w:color w:val="000000"/>
          <w:kern w:val="2"/>
          <w:sz w:val="21"/>
          <w:szCs w:val="21"/>
          <w:lang w:val="en-US" w:eastAsia="zh-CN" w:bidi="ar-SA"/>
        </w:rPr>
        <w:t>随机抽取样品数15块。</w:t>
      </w:r>
    </w:p>
    <w:p>
      <w:pPr>
        <w:snapToGrid w:val="0"/>
        <w:spacing w:line="440" w:lineRule="exact"/>
        <w:rPr>
          <w:rFonts w:hint="eastAsia" w:ascii="黑体" w:hAnsi="黑体" w:eastAsia="黑体" w:cs="黑体"/>
          <w:b/>
          <w:bCs/>
          <w:color w:val="000000"/>
          <w:szCs w:val="21"/>
        </w:rPr>
      </w:pPr>
      <w:r>
        <w:rPr>
          <w:rFonts w:hint="eastAsia" w:ascii="黑体" w:hAnsi="黑体" w:eastAsia="黑体" w:cs="黑体"/>
          <w:b/>
          <w:bCs/>
          <w:color w:val="000000"/>
          <w:szCs w:val="21"/>
          <w:lang w:val="en-US" w:eastAsia="zh-CN"/>
        </w:rPr>
        <w:t xml:space="preserve">2 </w:t>
      </w:r>
      <w:r>
        <w:rPr>
          <w:rFonts w:hint="eastAsia" w:ascii="黑体" w:hAnsi="黑体" w:eastAsia="黑体" w:cs="黑体"/>
          <w:b/>
          <w:bCs/>
          <w:color w:val="000000"/>
          <w:szCs w:val="21"/>
        </w:rPr>
        <w:t>检验依据</w:t>
      </w:r>
    </w:p>
    <w:p>
      <w:pPr>
        <w:snapToGrid w:val="0"/>
        <w:spacing w:line="440" w:lineRule="exact"/>
        <w:ind w:firstLine="420" w:firstLineChars="200"/>
        <w:rPr>
          <w:rFonts w:hint="eastAsia" w:ascii="Times New Roman" w:hAnsi="Times New Roman" w:eastAsia="宋体" w:cs="Times New Roman"/>
          <w:color w:val="000000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color w:val="000000"/>
          <w:szCs w:val="21"/>
        </w:rPr>
        <w:t>检验项目及试验方法</w:t>
      </w:r>
      <w:r>
        <w:rPr>
          <w:rFonts w:hint="eastAsia" w:ascii="Times New Roman" w:hAnsi="Times New Roman" w:eastAsia="宋体" w:cs="Times New Roman"/>
          <w:color w:val="000000"/>
          <w:szCs w:val="21"/>
          <w:lang w:val="en-US" w:eastAsia="zh-CN"/>
        </w:rPr>
        <w:t>见表1。</w:t>
      </w:r>
    </w:p>
    <w:p>
      <w:pPr>
        <w:snapToGrid w:val="0"/>
        <w:jc w:val="center"/>
        <w:rPr>
          <w:rFonts w:hint="eastAsia" w:ascii="Times New Roman" w:hAnsi="Times New Roman" w:eastAsia="宋体" w:cs="Times New Roman"/>
          <w:b w:val="0"/>
          <w:bCs/>
          <w:color w:val="000000"/>
          <w:sz w:val="21"/>
          <w:szCs w:val="21"/>
        </w:rPr>
      </w:pPr>
      <w:r>
        <w:rPr>
          <w:rFonts w:hint="eastAsia" w:asciiTheme="minorEastAsia" w:hAnsiTheme="minorEastAsia" w:eastAsiaTheme="minorEastAsia"/>
          <w:b w:val="0"/>
          <w:bCs/>
          <w:color w:val="000000"/>
          <w:sz w:val="21"/>
          <w:szCs w:val="21"/>
        </w:rPr>
        <w:t>表</w:t>
      </w:r>
      <w:r>
        <w:rPr>
          <w:rFonts w:hint="eastAsia" w:asciiTheme="minorEastAsia" w:hAnsiTheme="minorEastAsia"/>
          <w:b w:val="0"/>
          <w:bCs/>
          <w:color w:val="000000"/>
          <w:sz w:val="21"/>
          <w:szCs w:val="21"/>
          <w:lang w:val="en-US" w:eastAsia="zh-CN"/>
        </w:rPr>
        <w:t>1</w:t>
      </w:r>
      <w:r>
        <w:rPr>
          <w:rFonts w:hint="eastAsia" w:asciiTheme="minorEastAsia" w:hAnsiTheme="minorEastAsia" w:eastAsiaTheme="minorEastAsia"/>
          <w:b w:val="0"/>
          <w:bCs/>
          <w:color w:val="000000"/>
          <w:sz w:val="21"/>
          <w:szCs w:val="21"/>
        </w:rPr>
        <w:t xml:space="preserve"> </w:t>
      </w:r>
      <w:r>
        <w:rPr>
          <w:rFonts w:asciiTheme="minorEastAsia" w:hAnsiTheme="minorEastAsia" w:eastAsiaTheme="minorEastAsia"/>
          <w:b w:val="0"/>
          <w:bCs/>
          <w:color w:val="000000"/>
          <w:sz w:val="21"/>
          <w:szCs w:val="21"/>
        </w:rPr>
        <w:t>检验项目</w:t>
      </w:r>
      <w:r>
        <w:rPr>
          <w:rFonts w:hint="eastAsia" w:cs="宋体" w:asciiTheme="minorEastAsia" w:hAnsiTheme="minorEastAsia" w:eastAsiaTheme="minorEastAsia"/>
          <w:b w:val="0"/>
          <w:bCs/>
          <w:kern w:val="0"/>
          <w:sz w:val="21"/>
          <w:szCs w:val="21"/>
        </w:rPr>
        <w:t>及</w:t>
      </w:r>
      <w:r>
        <w:rPr>
          <w:rFonts w:hint="eastAsia" w:cs="宋体" w:asciiTheme="minorEastAsia" w:hAnsiTheme="minorEastAsia" w:eastAsiaTheme="minorEastAsia"/>
          <w:b w:val="0"/>
          <w:bCs/>
          <w:color w:val="000000"/>
          <w:kern w:val="0"/>
          <w:sz w:val="21"/>
          <w:szCs w:val="21"/>
        </w:rPr>
        <w:t>检验方法</w:t>
      </w:r>
    </w:p>
    <w:tbl>
      <w:tblPr>
        <w:tblStyle w:val="6"/>
        <w:tblW w:w="83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0"/>
        <w:gridCol w:w="3084"/>
        <w:gridCol w:w="2220"/>
        <w:gridCol w:w="22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5" w:hRule="atLeast"/>
        </w:trPr>
        <w:tc>
          <w:tcPr>
            <w:tcW w:w="810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序号</w:t>
            </w:r>
          </w:p>
        </w:tc>
        <w:tc>
          <w:tcPr>
            <w:tcW w:w="3084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检验项目</w:t>
            </w:r>
          </w:p>
        </w:tc>
        <w:tc>
          <w:tcPr>
            <w:tcW w:w="2220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  <w:t>检验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依据</w:t>
            </w:r>
          </w:p>
        </w:tc>
        <w:tc>
          <w:tcPr>
            <w:tcW w:w="2250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检验方法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10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1</w:t>
            </w:r>
          </w:p>
        </w:tc>
        <w:tc>
          <w:tcPr>
            <w:tcW w:w="3084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抗压强度和干密度</w:t>
            </w:r>
          </w:p>
        </w:tc>
        <w:tc>
          <w:tcPr>
            <w:tcW w:w="2220" w:type="dxa"/>
            <w:vMerge w:val="restart"/>
            <w:vAlign w:val="center"/>
          </w:tcPr>
          <w:p>
            <w:pPr>
              <w:spacing w:line="360" w:lineRule="exact"/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</w:rPr>
              <w:t>GB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 xml:space="preserve">/T </w:t>
            </w: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</w:rPr>
              <w:t xml:space="preserve">11968-2020 </w:t>
            </w:r>
          </w:p>
        </w:tc>
        <w:tc>
          <w:tcPr>
            <w:tcW w:w="2250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GB/T 11969-2020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10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2</w:t>
            </w:r>
          </w:p>
        </w:tc>
        <w:tc>
          <w:tcPr>
            <w:tcW w:w="3084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抗冻性</w:t>
            </w:r>
          </w:p>
        </w:tc>
        <w:tc>
          <w:tcPr>
            <w:tcW w:w="2220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2250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GB/T 11969-2020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10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3</w:t>
            </w:r>
          </w:p>
        </w:tc>
        <w:tc>
          <w:tcPr>
            <w:tcW w:w="3084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导热系数</w:t>
            </w:r>
          </w:p>
        </w:tc>
        <w:tc>
          <w:tcPr>
            <w:tcW w:w="2220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2250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GB/T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10294-2008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/>
          <w:color w:val="000000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执行企业标准、团体标准、地方标准的产品，检验项目参照上述内容执行。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凡是注日期的文件，其随后所有的修改单（不包括勘误的内容）或修订版不适用于本细则。凡是不注日期的文件，其最新版本适用于本细则。</w:t>
      </w:r>
    </w:p>
    <w:p>
      <w:pPr>
        <w:snapToGrid w:val="0"/>
        <w:spacing w:line="440" w:lineRule="exact"/>
        <w:rPr>
          <w:rFonts w:hint="default" w:ascii="黑体" w:hAnsi="黑体" w:eastAsia="黑体" w:cs="黑体"/>
          <w:b/>
          <w:bCs/>
          <w:color w:val="000000"/>
          <w:szCs w:val="21"/>
          <w:lang w:val="en-US" w:eastAsia="zh-CN"/>
        </w:rPr>
      </w:pPr>
      <w:r>
        <w:rPr>
          <w:rFonts w:hint="default" w:ascii="黑体" w:hAnsi="黑体" w:eastAsia="黑体" w:cs="黑体"/>
          <w:b/>
          <w:bCs/>
          <w:color w:val="000000"/>
          <w:szCs w:val="21"/>
          <w:lang w:val="en-US" w:eastAsia="zh-CN"/>
        </w:rPr>
        <w:t>3 判定规则</w:t>
      </w:r>
    </w:p>
    <w:p>
      <w:pPr>
        <w:snapToGrid w:val="0"/>
        <w:spacing w:line="440" w:lineRule="exact"/>
        <w:rPr>
          <w:rFonts w:hint="default" w:ascii="Times New Roman" w:hAnsi="Times New Roman" w:cs="Times New Roman"/>
          <w:b/>
          <w:bCs/>
          <w:color w:val="000000"/>
          <w:szCs w:val="21"/>
        </w:rPr>
      </w:pPr>
      <w:r>
        <w:rPr>
          <w:rFonts w:hint="default" w:ascii="Times New Roman" w:hAnsi="Times New Roman" w:cs="Times New Roman"/>
          <w:b/>
          <w:bCs/>
          <w:color w:val="000000"/>
          <w:szCs w:val="21"/>
        </w:rPr>
        <w:t>3.1依据标准</w:t>
      </w:r>
    </w:p>
    <w:p>
      <w:pPr>
        <w:spacing w:line="560" w:lineRule="exact"/>
        <w:ind w:firstLine="420" w:firstLineChars="200"/>
        <w:rPr>
          <w:rFonts w:hint="eastAsia" w:ascii="Times New Roman" w:hAnsi="Times New Roman" w:cs="Times New Roman" w:eastAsiaTheme="minorEastAsia"/>
          <w:color w:val="000000"/>
          <w:kern w:val="2"/>
          <w:sz w:val="21"/>
          <w:szCs w:val="21"/>
          <w:lang w:val="en-US" w:eastAsia="zh-CN" w:bidi="ar-SA"/>
        </w:rPr>
      </w:pPr>
      <w:r>
        <w:rPr>
          <w:rFonts w:hint="eastAsia" w:ascii="Times New Roman" w:hAnsi="Times New Roman" w:cs="Times New Roman" w:eastAsiaTheme="minorEastAsia"/>
          <w:color w:val="000000"/>
          <w:kern w:val="2"/>
          <w:sz w:val="21"/>
          <w:szCs w:val="21"/>
          <w:lang w:val="en-US" w:eastAsia="zh-CN" w:bidi="ar-SA"/>
        </w:rPr>
        <w:t>GB/T 11968-2020   蒸压加气混凝土砌块</w:t>
      </w:r>
    </w:p>
    <w:p>
      <w:pPr>
        <w:spacing w:line="560" w:lineRule="exact"/>
        <w:ind w:firstLine="420" w:firstLineChars="200"/>
        <w:rPr>
          <w:rFonts w:hint="eastAsia" w:ascii="Times New Roman" w:hAnsi="Times New Roman" w:cs="Times New Roman" w:eastAsiaTheme="minorEastAsia"/>
          <w:color w:val="000000"/>
          <w:kern w:val="2"/>
          <w:sz w:val="21"/>
          <w:szCs w:val="21"/>
          <w:lang w:val="en-US" w:eastAsia="zh-CN" w:bidi="ar-SA"/>
        </w:rPr>
      </w:pPr>
      <w:r>
        <w:rPr>
          <w:rFonts w:hint="eastAsia" w:ascii="Times New Roman" w:hAnsi="Times New Roman" w:cs="Times New Roman" w:eastAsiaTheme="minorEastAsia"/>
          <w:color w:val="000000"/>
          <w:kern w:val="2"/>
          <w:sz w:val="21"/>
          <w:szCs w:val="21"/>
          <w:lang w:val="en-US" w:eastAsia="zh-CN" w:bidi="ar-SA"/>
        </w:rPr>
        <w:t xml:space="preserve">GB/T 11969-2020  </w:t>
      </w:r>
      <w:r>
        <w:rPr>
          <w:rFonts w:hint="eastAsia" w:ascii="Times New Roman" w:hAnsi="Times New Roman" w:cs="Times New Roman"/>
          <w:color w:val="000000"/>
          <w:kern w:val="2"/>
          <w:sz w:val="21"/>
          <w:szCs w:val="21"/>
          <w:lang w:val="en-US" w:eastAsia="zh-CN" w:bidi="ar-SA"/>
        </w:rPr>
        <w:t xml:space="preserve"> </w:t>
      </w:r>
      <w:r>
        <w:rPr>
          <w:rFonts w:hint="eastAsia" w:ascii="Times New Roman" w:hAnsi="Times New Roman" w:cs="Times New Roman" w:eastAsiaTheme="minorEastAsia"/>
          <w:color w:val="000000"/>
          <w:kern w:val="2"/>
          <w:sz w:val="21"/>
          <w:szCs w:val="21"/>
          <w:lang w:val="en-US" w:eastAsia="zh-CN" w:bidi="ar-SA"/>
        </w:rPr>
        <w:t>蒸压加气混凝土性能试验方法</w:t>
      </w:r>
    </w:p>
    <w:p>
      <w:pPr>
        <w:pStyle w:val="10"/>
        <w:spacing w:line="560" w:lineRule="exact"/>
        <w:ind w:firstLine="640"/>
        <w:rPr>
          <w:rFonts w:hint="eastAsia" w:ascii="Times New Roman" w:hAnsi="Times New Roman" w:cs="Times New Roman" w:eastAsiaTheme="minorEastAsia"/>
          <w:color w:val="000000"/>
          <w:kern w:val="2"/>
          <w:sz w:val="21"/>
          <w:szCs w:val="21"/>
          <w:lang w:val="en-US" w:eastAsia="zh-CN" w:bidi="ar-SA"/>
        </w:rPr>
      </w:pPr>
      <w:r>
        <w:rPr>
          <w:rFonts w:hint="eastAsia" w:ascii="Times New Roman" w:hAnsi="Times New Roman" w:cs="Times New Roman" w:eastAsiaTheme="minorEastAsia"/>
          <w:color w:val="000000"/>
          <w:kern w:val="2"/>
          <w:sz w:val="21"/>
          <w:szCs w:val="21"/>
          <w:lang w:val="en-US" w:eastAsia="zh-CN" w:bidi="ar-SA"/>
        </w:rPr>
        <w:t xml:space="preserve">GB/T 10294-2008  </w:t>
      </w:r>
      <w:r>
        <w:rPr>
          <w:rFonts w:hint="eastAsia" w:ascii="Times New Roman" w:cs="Times New Roman" w:eastAsiaTheme="minorEastAsia"/>
          <w:color w:val="000000"/>
          <w:kern w:val="2"/>
          <w:sz w:val="21"/>
          <w:szCs w:val="21"/>
          <w:lang w:val="en-US" w:eastAsia="zh-CN" w:bidi="ar-SA"/>
        </w:rPr>
        <w:t xml:space="preserve"> </w:t>
      </w:r>
      <w:r>
        <w:rPr>
          <w:rFonts w:hint="eastAsia" w:ascii="Times New Roman" w:hAnsi="Times New Roman" w:cs="Times New Roman" w:eastAsiaTheme="minorEastAsia"/>
          <w:color w:val="000000"/>
          <w:kern w:val="2"/>
          <w:sz w:val="21"/>
          <w:szCs w:val="21"/>
          <w:lang w:val="en-US" w:eastAsia="zh-CN" w:bidi="ar-SA"/>
        </w:rPr>
        <w:t>绝缘材料稳态热阻及有关特性的测定 防护热板法</w:t>
      </w:r>
    </w:p>
    <w:p>
      <w:pPr>
        <w:snapToGrid w:val="0"/>
        <w:spacing w:line="440" w:lineRule="exact"/>
        <w:ind w:firstLine="420" w:firstLineChars="200"/>
        <w:rPr>
          <w:rFonts w:hint="default" w:ascii="Times New Roman" w:hAnsi="Times New Roman" w:cs="Times New Roman"/>
          <w:color w:val="000000"/>
          <w:szCs w:val="21"/>
        </w:rPr>
      </w:pPr>
      <w:r>
        <w:rPr>
          <w:rFonts w:hint="default" w:ascii="Times New Roman" w:hAnsi="Times New Roman" w:cs="Times New Roman"/>
          <w:color w:val="000000"/>
          <w:szCs w:val="21"/>
        </w:rPr>
        <w:t>现行有效的企业标准、团体标准、地方标准及产品明示质量要求</w:t>
      </w:r>
    </w:p>
    <w:p>
      <w:pPr>
        <w:snapToGrid w:val="0"/>
        <w:spacing w:line="440" w:lineRule="exact"/>
        <w:rPr>
          <w:rFonts w:hint="default" w:ascii="Times New Roman" w:hAnsi="Times New Roman" w:cs="Times New Roman"/>
          <w:b/>
          <w:bCs/>
          <w:color w:val="000000"/>
          <w:szCs w:val="21"/>
        </w:rPr>
      </w:pPr>
      <w:r>
        <w:rPr>
          <w:rFonts w:hint="default" w:ascii="Times New Roman" w:hAnsi="Times New Roman" w:cs="Times New Roman"/>
          <w:b/>
          <w:bCs/>
          <w:color w:val="000000"/>
          <w:szCs w:val="21"/>
        </w:rPr>
        <w:t>3.2判定原则</w:t>
      </w:r>
    </w:p>
    <w:p>
      <w:pPr>
        <w:numPr>
          <w:ilvl w:val="0"/>
          <w:numId w:val="1"/>
        </w:numPr>
        <w:snapToGrid w:val="0"/>
        <w:spacing w:line="440" w:lineRule="exact"/>
        <w:ind w:firstLine="420" w:firstLineChars="200"/>
        <w:rPr>
          <w:rFonts w:hint="eastAsia" w:ascii="Times New Roman" w:hAnsi="Times New Roman" w:cs="Times New Roman"/>
          <w:color w:val="000000"/>
          <w:szCs w:val="21"/>
          <w:lang w:val="en-US" w:eastAsia="zh-CN"/>
        </w:rPr>
      </w:pPr>
      <w:r>
        <w:rPr>
          <w:rFonts w:hint="eastAsia" w:ascii="Times New Roman" w:hAnsi="Times New Roman" w:cs="Times New Roman"/>
          <w:color w:val="000000"/>
          <w:szCs w:val="21"/>
        </w:rPr>
        <w:t>以5组抗压强度试件测定结果判定抗压强度级别，以3组干密度试件的测定结果判定干密度级别。抗压强度平均值和最小值、干密度平均值均符合GB</w:t>
      </w:r>
      <w:r>
        <w:rPr>
          <w:rFonts w:hint="eastAsia" w:ascii="Times New Roman" w:hAnsi="Times New Roman" w:cs="Times New Roman"/>
          <w:color w:val="000000"/>
          <w:szCs w:val="21"/>
          <w:lang w:val="en-US" w:eastAsia="zh-CN"/>
        </w:rPr>
        <w:t>/T</w:t>
      </w:r>
      <w:r>
        <w:rPr>
          <w:rFonts w:hint="eastAsia" w:ascii="Times New Roman" w:hAnsi="Times New Roman" w:cs="Times New Roman"/>
          <w:color w:val="000000"/>
          <w:szCs w:val="21"/>
        </w:rPr>
        <w:t>11968-2020</w:t>
      </w:r>
      <w:r>
        <w:rPr>
          <w:rFonts w:hint="eastAsia" w:ascii="Times New Roman" w:hAnsi="Times New Roman" w:cs="Times New Roman"/>
          <w:color w:val="000000"/>
          <w:szCs w:val="21"/>
          <w:lang w:val="en-US" w:eastAsia="zh-CN"/>
        </w:rPr>
        <w:t>中</w:t>
      </w:r>
      <w:r>
        <w:rPr>
          <w:rFonts w:hint="eastAsia" w:ascii="Times New Roman" w:hAnsi="Times New Roman" w:cs="Times New Roman"/>
          <w:color w:val="000000"/>
          <w:szCs w:val="21"/>
        </w:rPr>
        <w:t>表4规定，判定该批砌块抗压强度和干密度合格；否则判定该批砌块抗压强度和干密度不合格</w:t>
      </w:r>
      <w:r>
        <w:rPr>
          <w:rFonts w:hint="eastAsia" w:ascii="Times New Roman" w:hAnsi="Times New Roman" w:cs="Times New Roman"/>
          <w:color w:val="000000"/>
          <w:szCs w:val="21"/>
          <w:lang w:val="en-US" w:eastAsia="zh-CN"/>
        </w:rPr>
        <w:t>；</w:t>
      </w:r>
    </w:p>
    <w:p>
      <w:pPr>
        <w:numPr>
          <w:ilvl w:val="0"/>
          <w:numId w:val="1"/>
        </w:numPr>
        <w:snapToGrid w:val="0"/>
        <w:spacing w:line="440" w:lineRule="exact"/>
        <w:ind w:firstLine="420" w:firstLineChars="200"/>
        <w:rPr>
          <w:rFonts w:hint="default" w:ascii="Times New Roman" w:hAnsi="Times New Roman" w:cs="Times New Roman"/>
          <w:color w:val="000000"/>
          <w:szCs w:val="21"/>
        </w:rPr>
      </w:pPr>
      <w:r>
        <w:rPr>
          <w:rFonts w:hint="eastAsia" w:ascii="Times New Roman" w:hAnsi="Times New Roman" w:cs="Times New Roman"/>
          <w:color w:val="000000"/>
          <w:szCs w:val="21"/>
        </w:rPr>
        <w:t>抗冻性测定结果，当冻融质量损失和冻后强度损失符合GB</w:t>
      </w:r>
      <w:r>
        <w:rPr>
          <w:rFonts w:hint="eastAsia" w:ascii="Times New Roman" w:hAnsi="Times New Roman" w:cs="Times New Roman"/>
          <w:color w:val="000000"/>
          <w:szCs w:val="21"/>
          <w:lang w:val="en-US" w:eastAsia="zh-CN"/>
        </w:rPr>
        <w:t>/T</w:t>
      </w:r>
      <w:r>
        <w:rPr>
          <w:rFonts w:hint="eastAsia" w:ascii="Times New Roman" w:hAnsi="Times New Roman" w:cs="Times New Roman"/>
          <w:color w:val="000000"/>
          <w:szCs w:val="21"/>
        </w:rPr>
        <w:t>11968-2020</w:t>
      </w:r>
      <w:r>
        <w:rPr>
          <w:rFonts w:hint="eastAsia" w:ascii="Times New Roman" w:hAnsi="Times New Roman" w:cs="Times New Roman"/>
          <w:color w:val="000000"/>
          <w:szCs w:val="21"/>
          <w:lang w:val="en-US" w:eastAsia="zh-CN"/>
        </w:rPr>
        <w:t>中</w:t>
      </w:r>
      <w:r>
        <w:rPr>
          <w:rFonts w:hint="eastAsia" w:ascii="Times New Roman" w:hAnsi="Times New Roman" w:cs="Times New Roman"/>
          <w:color w:val="000000"/>
          <w:szCs w:val="21"/>
        </w:rPr>
        <w:t>表5规定时，判定该批砌块抗冻性合格；否则判定不合格</w:t>
      </w:r>
      <w:r>
        <w:rPr>
          <w:rFonts w:hint="eastAsia" w:ascii="Times New Roman" w:hAnsi="Times New Roman" w:cs="Times New Roman"/>
          <w:color w:val="000000"/>
          <w:szCs w:val="21"/>
          <w:lang w:val="en-US" w:eastAsia="zh-CN"/>
        </w:rPr>
        <w:t>；</w:t>
      </w:r>
    </w:p>
    <w:p>
      <w:pPr>
        <w:numPr>
          <w:ilvl w:val="0"/>
          <w:numId w:val="1"/>
        </w:numPr>
        <w:snapToGrid w:val="0"/>
        <w:spacing w:line="440" w:lineRule="exact"/>
        <w:ind w:firstLine="420" w:firstLineChars="200"/>
        <w:rPr>
          <w:rFonts w:hint="default" w:ascii="Times New Roman" w:hAnsi="Times New Roman" w:cs="Times New Roman"/>
          <w:color w:val="000000"/>
          <w:szCs w:val="21"/>
        </w:rPr>
      </w:pPr>
      <w:r>
        <w:rPr>
          <w:rFonts w:hint="eastAsia" w:ascii="Times New Roman" w:hAnsi="Times New Roman" w:cs="Times New Roman"/>
          <w:color w:val="000000"/>
          <w:szCs w:val="21"/>
        </w:rPr>
        <w:t>导热系数符合GB</w:t>
      </w:r>
      <w:r>
        <w:rPr>
          <w:rFonts w:hint="eastAsia" w:ascii="Times New Roman" w:hAnsi="Times New Roman" w:cs="Times New Roman"/>
          <w:color w:val="000000"/>
          <w:szCs w:val="21"/>
          <w:lang w:val="en-US" w:eastAsia="zh-CN"/>
        </w:rPr>
        <w:t>/T</w:t>
      </w:r>
      <w:r>
        <w:rPr>
          <w:rFonts w:hint="eastAsia" w:ascii="Times New Roman" w:hAnsi="Times New Roman" w:cs="Times New Roman"/>
          <w:color w:val="000000"/>
          <w:szCs w:val="21"/>
        </w:rPr>
        <w:t>11968-2020</w:t>
      </w:r>
      <w:r>
        <w:rPr>
          <w:rFonts w:hint="eastAsia" w:ascii="Times New Roman" w:hAnsi="Times New Roman" w:cs="Times New Roman"/>
          <w:color w:val="000000"/>
          <w:szCs w:val="21"/>
          <w:lang w:val="en-US" w:eastAsia="zh-CN"/>
        </w:rPr>
        <w:t>中</w:t>
      </w:r>
      <w:r>
        <w:rPr>
          <w:rFonts w:hint="eastAsia" w:ascii="Times New Roman" w:hAnsi="Times New Roman" w:cs="Times New Roman"/>
          <w:color w:val="000000"/>
          <w:szCs w:val="21"/>
        </w:rPr>
        <w:t>表5规定，判定该批砌块导热系数合格；否则判定不合格。</w:t>
      </w:r>
    </w:p>
    <w:p>
      <w:pPr>
        <w:snapToGrid w:val="0"/>
        <w:spacing w:line="440" w:lineRule="exact"/>
        <w:ind w:firstLine="420" w:firstLineChars="200"/>
        <w:rPr>
          <w:rFonts w:hint="default" w:ascii="Times New Roman" w:hAnsi="Times New Roman" w:cs="Times New Roman"/>
          <w:color w:val="000000"/>
          <w:szCs w:val="21"/>
        </w:rPr>
      </w:pPr>
    </w:p>
    <w:p>
      <w:pPr>
        <w:snapToGrid w:val="0"/>
        <w:spacing w:line="440" w:lineRule="exact"/>
        <w:ind w:firstLine="420" w:firstLineChars="200"/>
        <w:rPr>
          <w:rFonts w:hint="default" w:ascii="Times New Roman" w:hAnsi="Times New Roman" w:cs="Times New Roman"/>
          <w:color w:val="000000"/>
          <w:szCs w:val="21"/>
        </w:rPr>
      </w:pPr>
    </w:p>
    <w:p>
      <w:pPr>
        <w:spacing w:beforeLines="100" w:line="560" w:lineRule="exact"/>
        <w:rPr>
          <w:rFonts w:hint="eastAsia" w:ascii="黑体" w:hAnsi="黑体" w:eastAsia="黑体" w:cs="黑体"/>
          <w:sz w:val="32"/>
          <w:szCs w:val="32"/>
        </w:rPr>
      </w:pPr>
    </w:p>
    <w:p>
      <w:pPr>
        <w:spacing w:line="500" w:lineRule="exact"/>
        <w:rPr>
          <w:rFonts w:ascii="仿宋_GB2312" w:hAnsi="仿宋_GB2312" w:eastAsia="仿宋_GB2312" w:cs="仿宋_GB2312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DC376F"/>
    <w:multiLevelType w:val="singleLevel"/>
    <w:tmpl w:val="5EDC376F"/>
    <w:lvl w:ilvl="0" w:tentative="0">
      <w:start w:val="1"/>
      <w:numFmt w:val="lowerLetter"/>
      <w:lvlText w:val="%1)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36D1A"/>
    <w:rsid w:val="00045826"/>
    <w:rsid w:val="00067134"/>
    <w:rsid w:val="000E2BAB"/>
    <w:rsid w:val="001161FA"/>
    <w:rsid w:val="00174CB8"/>
    <w:rsid w:val="00177895"/>
    <w:rsid w:val="001B34E8"/>
    <w:rsid w:val="00237882"/>
    <w:rsid w:val="00267465"/>
    <w:rsid w:val="0028157B"/>
    <w:rsid w:val="002847A0"/>
    <w:rsid w:val="002D30E2"/>
    <w:rsid w:val="00300A07"/>
    <w:rsid w:val="00326CAC"/>
    <w:rsid w:val="00364830"/>
    <w:rsid w:val="003822A9"/>
    <w:rsid w:val="00391E4F"/>
    <w:rsid w:val="0042474D"/>
    <w:rsid w:val="004716E2"/>
    <w:rsid w:val="00481993"/>
    <w:rsid w:val="004A4390"/>
    <w:rsid w:val="0056153E"/>
    <w:rsid w:val="005E590D"/>
    <w:rsid w:val="006D6720"/>
    <w:rsid w:val="007149E7"/>
    <w:rsid w:val="00742527"/>
    <w:rsid w:val="00761755"/>
    <w:rsid w:val="007710EA"/>
    <w:rsid w:val="007C2F91"/>
    <w:rsid w:val="00805B5D"/>
    <w:rsid w:val="00885D72"/>
    <w:rsid w:val="008928F2"/>
    <w:rsid w:val="008B186E"/>
    <w:rsid w:val="008F0DD0"/>
    <w:rsid w:val="009673D0"/>
    <w:rsid w:val="00997F73"/>
    <w:rsid w:val="00A072D5"/>
    <w:rsid w:val="00C36D1A"/>
    <w:rsid w:val="00C6166C"/>
    <w:rsid w:val="00CB40E2"/>
    <w:rsid w:val="00CF72A9"/>
    <w:rsid w:val="00D45C37"/>
    <w:rsid w:val="00D761AF"/>
    <w:rsid w:val="00E01685"/>
    <w:rsid w:val="00E11422"/>
    <w:rsid w:val="00E32845"/>
    <w:rsid w:val="00E53604"/>
    <w:rsid w:val="00EB61DB"/>
    <w:rsid w:val="00ED5C69"/>
    <w:rsid w:val="014C41D6"/>
    <w:rsid w:val="01615590"/>
    <w:rsid w:val="023161C2"/>
    <w:rsid w:val="02A14644"/>
    <w:rsid w:val="032803F0"/>
    <w:rsid w:val="03786608"/>
    <w:rsid w:val="0384693E"/>
    <w:rsid w:val="03CC5BB6"/>
    <w:rsid w:val="047573EF"/>
    <w:rsid w:val="05C12F02"/>
    <w:rsid w:val="05C77F81"/>
    <w:rsid w:val="05FA3278"/>
    <w:rsid w:val="06EE0C42"/>
    <w:rsid w:val="06F10521"/>
    <w:rsid w:val="0735409F"/>
    <w:rsid w:val="076F0E13"/>
    <w:rsid w:val="07E14C75"/>
    <w:rsid w:val="0870641F"/>
    <w:rsid w:val="08A52858"/>
    <w:rsid w:val="095227DD"/>
    <w:rsid w:val="0A0147D0"/>
    <w:rsid w:val="0A0E11B1"/>
    <w:rsid w:val="0A6E4DAC"/>
    <w:rsid w:val="0B426B32"/>
    <w:rsid w:val="0B561327"/>
    <w:rsid w:val="0B783336"/>
    <w:rsid w:val="0CB16937"/>
    <w:rsid w:val="0D1062D1"/>
    <w:rsid w:val="0D351AC4"/>
    <w:rsid w:val="0EDE5B2F"/>
    <w:rsid w:val="0F5D6A0B"/>
    <w:rsid w:val="0F5E661D"/>
    <w:rsid w:val="0F993F63"/>
    <w:rsid w:val="10356372"/>
    <w:rsid w:val="1082221B"/>
    <w:rsid w:val="10DF2EFF"/>
    <w:rsid w:val="10F676F2"/>
    <w:rsid w:val="117659AC"/>
    <w:rsid w:val="11B97063"/>
    <w:rsid w:val="121D6F1B"/>
    <w:rsid w:val="12BE4B15"/>
    <w:rsid w:val="12E05570"/>
    <w:rsid w:val="137703A6"/>
    <w:rsid w:val="13903475"/>
    <w:rsid w:val="13E736AC"/>
    <w:rsid w:val="14043936"/>
    <w:rsid w:val="14B63F91"/>
    <w:rsid w:val="15593380"/>
    <w:rsid w:val="15FA7CBD"/>
    <w:rsid w:val="169E4096"/>
    <w:rsid w:val="16A26DFF"/>
    <w:rsid w:val="16C31C1E"/>
    <w:rsid w:val="178F6BA1"/>
    <w:rsid w:val="181D24A2"/>
    <w:rsid w:val="182C6005"/>
    <w:rsid w:val="18FB5338"/>
    <w:rsid w:val="19017518"/>
    <w:rsid w:val="191A1F28"/>
    <w:rsid w:val="19274543"/>
    <w:rsid w:val="19CF3A5F"/>
    <w:rsid w:val="19EC46AE"/>
    <w:rsid w:val="19FA666B"/>
    <w:rsid w:val="1B614A86"/>
    <w:rsid w:val="1B614A8B"/>
    <w:rsid w:val="1B7C4B0B"/>
    <w:rsid w:val="1BA53117"/>
    <w:rsid w:val="1C683EF3"/>
    <w:rsid w:val="1D42262A"/>
    <w:rsid w:val="1DCA1223"/>
    <w:rsid w:val="1E3E546E"/>
    <w:rsid w:val="1F3667EC"/>
    <w:rsid w:val="1F5C07AE"/>
    <w:rsid w:val="1FEA5926"/>
    <w:rsid w:val="1FFD429F"/>
    <w:rsid w:val="20EA6938"/>
    <w:rsid w:val="214C1A77"/>
    <w:rsid w:val="22C31F3F"/>
    <w:rsid w:val="22D94179"/>
    <w:rsid w:val="22FA741E"/>
    <w:rsid w:val="22FF71E9"/>
    <w:rsid w:val="246722E2"/>
    <w:rsid w:val="24F06EBD"/>
    <w:rsid w:val="254C6149"/>
    <w:rsid w:val="256116BB"/>
    <w:rsid w:val="26E02373"/>
    <w:rsid w:val="270766C8"/>
    <w:rsid w:val="270D71B5"/>
    <w:rsid w:val="27736945"/>
    <w:rsid w:val="27C87446"/>
    <w:rsid w:val="28870FBC"/>
    <w:rsid w:val="288815CE"/>
    <w:rsid w:val="29174D98"/>
    <w:rsid w:val="29B23667"/>
    <w:rsid w:val="2A2617FB"/>
    <w:rsid w:val="2A34034A"/>
    <w:rsid w:val="2A855293"/>
    <w:rsid w:val="2AAF325D"/>
    <w:rsid w:val="2ABD6980"/>
    <w:rsid w:val="2AD631A0"/>
    <w:rsid w:val="2B624CE5"/>
    <w:rsid w:val="2C481B42"/>
    <w:rsid w:val="2C621D12"/>
    <w:rsid w:val="2C957745"/>
    <w:rsid w:val="2CCC4CC6"/>
    <w:rsid w:val="2D2C713D"/>
    <w:rsid w:val="2DC708CF"/>
    <w:rsid w:val="2E191C83"/>
    <w:rsid w:val="2E401D74"/>
    <w:rsid w:val="2EF86356"/>
    <w:rsid w:val="2F4152FB"/>
    <w:rsid w:val="2F723CB0"/>
    <w:rsid w:val="2FEA70B6"/>
    <w:rsid w:val="30534CFE"/>
    <w:rsid w:val="309061FF"/>
    <w:rsid w:val="30E8389F"/>
    <w:rsid w:val="31D408C6"/>
    <w:rsid w:val="31FC547C"/>
    <w:rsid w:val="32A767C5"/>
    <w:rsid w:val="32AA3CF8"/>
    <w:rsid w:val="32CE6A2E"/>
    <w:rsid w:val="333E20F0"/>
    <w:rsid w:val="33454257"/>
    <w:rsid w:val="33E22EB1"/>
    <w:rsid w:val="341A6A69"/>
    <w:rsid w:val="34470655"/>
    <w:rsid w:val="34476CD8"/>
    <w:rsid w:val="346F293E"/>
    <w:rsid w:val="34E347CE"/>
    <w:rsid w:val="34FE0751"/>
    <w:rsid w:val="350B426B"/>
    <w:rsid w:val="35CD1B4D"/>
    <w:rsid w:val="364A7995"/>
    <w:rsid w:val="36B31DA2"/>
    <w:rsid w:val="36C43C7A"/>
    <w:rsid w:val="370B6410"/>
    <w:rsid w:val="372620CC"/>
    <w:rsid w:val="37A31FDE"/>
    <w:rsid w:val="398D10D6"/>
    <w:rsid w:val="3A325E31"/>
    <w:rsid w:val="3A9A025B"/>
    <w:rsid w:val="3AA202BD"/>
    <w:rsid w:val="3B456A0F"/>
    <w:rsid w:val="3B650F71"/>
    <w:rsid w:val="3B81582D"/>
    <w:rsid w:val="3BCB249F"/>
    <w:rsid w:val="3BF17540"/>
    <w:rsid w:val="3C2C41FE"/>
    <w:rsid w:val="3F264C8F"/>
    <w:rsid w:val="406C405F"/>
    <w:rsid w:val="40FC12C8"/>
    <w:rsid w:val="413F04E6"/>
    <w:rsid w:val="418C1EA1"/>
    <w:rsid w:val="41FF3F2E"/>
    <w:rsid w:val="424A2089"/>
    <w:rsid w:val="44032AEC"/>
    <w:rsid w:val="44F72C6A"/>
    <w:rsid w:val="458C6ACF"/>
    <w:rsid w:val="45F33844"/>
    <w:rsid w:val="4611062F"/>
    <w:rsid w:val="46543AD1"/>
    <w:rsid w:val="47576F54"/>
    <w:rsid w:val="492E195B"/>
    <w:rsid w:val="49C079A5"/>
    <w:rsid w:val="49CF05C1"/>
    <w:rsid w:val="4AA80FD4"/>
    <w:rsid w:val="4B6A6D72"/>
    <w:rsid w:val="4C083FD2"/>
    <w:rsid w:val="4C086BA0"/>
    <w:rsid w:val="4C2F24F5"/>
    <w:rsid w:val="4CA339CB"/>
    <w:rsid w:val="4CA52B61"/>
    <w:rsid w:val="4CDE790C"/>
    <w:rsid w:val="4D5D74F9"/>
    <w:rsid w:val="4FFA30A6"/>
    <w:rsid w:val="503D1D18"/>
    <w:rsid w:val="505451A1"/>
    <w:rsid w:val="509167E7"/>
    <w:rsid w:val="517A7B6C"/>
    <w:rsid w:val="520B6780"/>
    <w:rsid w:val="52FF6E52"/>
    <w:rsid w:val="5315338E"/>
    <w:rsid w:val="54C839A6"/>
    <w:rsid w:val="559F71B7"/>
    <w:rsid w:val="55B1318E"/>
    <w:rsid w:val="55C00BB8"/>
    <w:rsid w:val="56151AFA"/>
    <w:rsid w:val="564601DA"/>
    <w:rsid w:val="57260FA2"/>
    <w:rsid w:val="57B83E3F"/>
    <w:rsid w:val="58082FFF"/>
    <w:rsid w:val="588E67CD"/>
    <w:rsid w:val="58CD2917"/>
    <w:rsid w:val="58CF43AA"/>
    <w:rsid w:val="58ED15C2"/>
    <w:rsid w:val="59744131"/>
    <w:rsid w:val="5A0C6F4A"/>
    <w:rsid w:val="5B0A5C9B"/>
    <w:rsid w:val="5B131B8A"/>
    <w:rsid w:val="5BB87D59"/>
    <w:rsid w:val="5BB9234C"/>
    <w:rsid w:val="5BE765EA"/>
    <w:rsid w:val="5BF1020E"/>
    <w:rsid w:val="5C444013"/>
    <w:rsid w:val="5CC73D79"/>
    <w:rsid w:val="5CE17170"/>
    <w:rsid w:val="5D451B0C"/>
    <w:rsid w:val="5D5733FF"/>
    <w:rsid w:val="5E457179"/>
    <w:rsid w:val="5E923D93"/>
    <w:rsid w:val="5EE31746"/>
    <w:rsid w:val="5F5249C7"/>
    <w:rsid w:val="5F5632FD"/>
    <w:rsid w:val="5F91022F"/>
    <w:rsid w:val="5F9F6265"/>
    <w:rsid w:val="5FC105A5"/>
    <w:rsid w:val="5FFE67B9"/>
    <w:rsid w:val="602A6008"/>
    <w:rsid w:val="60744F8A"/>
    <w:rsid w:val="608B3E3C"/>
    <w:rsid w:val="60924109"/>
    <w:rsid w:val="60E01971"/>
    <w:rsid w:val="61A27C01"/>
    <w:rsid w:val="61EE4348"/>
    <w:rsid w:val="621033D5"/>
    <w:rsid w:val="62CE57DC"/>
    <w:rsid w:val="634E31D6"/>
    <w:rsid w:val="63566F6E"/>
    <w:rsid w:val="65304829"/>
    <w:rsid w:val="65845ED1"/>
    <w:rsid w:val="6588137F"/>
    <w:rsid w:val="65947862"/>
    <w:rsid w:val="65953168"/>
    <w:rsid w:val="6634137F"/>
    <w:rsid w:val="669F14E5"/>
    <w:rsid w:val="66AD5EC1"/>
    <w:rsid w:val="67610859"/>
    <w:rsid w:val="67633FC4"/>
    <w:rsid w:val="67BC125A"/>
    <w:rsid w:val="67D10F41"/>
    <w:rsid w:val="681E433F"/>
    <w:rsid w:val="68CC7073"/>
    <w:rsid w:val="697B489B"/>
    <w:rsid w:val="69A34727"/>
    <w:rsid w:val="6AD86E0B"/>
    <w:rsid w:val="6B97760E"/>
    <w:rsid w:val="6BE2698F"/>
    <w:rsid w:val="6C2827B8"/>
    <w:rsid w:val="6C3C74E0"/>
    <w:rsid w:val="6CD03F79"/>
    <w:rsid w:val="6D426B63"/>
    <w:rsid w:val="6D7F429D"/>
    <w:rsid w:val="6DA97686"/>
    <w:rsid w:val="6E490F03"/>
    <w:rsid w:val="70044790"/>
    <w:rsid w:val="70506431"/>
    <w:rsid w:val="70525540"/>
    <w:rsid w:val="705F57C2"/>
    <w:rsid w:val="70E6031A"/>
    <w:rsid w:val="713773AE"/>
    <w:rsid w:val="72643DCD"/>
    <w:rsid w:val="727E794C"/>
    <w:rsid w:val="72D533D4"/>
    <w:rsid w:val="72DB2D3D"/>
    <w:rsid w:val="730B1D2D"/>
    <w:rsid w:val="738B364B"/>
    <w:rsid w:val="73973216"/>
    <w:rsid w:val="73C56341"/>
    <w:rsid w:val="73C6000E"/>
    <w:rsid w:val="743957E6"/>
    <w:rsid w:val="748C7A4C"/>
    <w:rsid w:val="750D76B7"/>
    <w:rsid w:val="75796A6C"/>
    <w:rsid w:val="75A01FCA"/>
    <w:rsid w:val="75A37F33"/>
    <w:rsid w:val="764F4DE6"/>
    <w:rsid w:val="76EF22B4"/>
    <w:rsid w:val="772211B3"/>
    <w:rsid w:val="772E66E7"/>
    <w:rsid w:val="777F2193"/>
    <w:rsid w:val="77862F59"/>
    <w:rsid w:val="795C2506"/>
    <w:rsid w:val="797377EF"/>
    <w:rsid w:val="79D34692"/>
    <w:rsid w:val="7A277B6C"/>
    <w:rsid w:val="7A792247"/>
    <w:rsid w:val="7B032E49"/>
    <w:rsid w:val="7B077482"/>
    <w:rsid w:val="7B194931"/>
    <w:rsid w:val="7B1E26F6"/>
    <w:rsid w:val="7B744479"/>
    <w:rsid w:val="7C4160DD"/>
    <w:rsid w:val="7C865860"/>
    <w:rsid w:val="7CC970D7"/>
    <w:rsid w:val="7D271ECB"/>
    <w:rsid w:val="7D380503"/>
    <w:rsid w:val="7D477829"/>
    <w:rsid w:val="7DB94D60"/>
    <w:rsid w:val="7E6C6821"/>
    <w:rsid w:val="7E8230EC"/>
    <w:rsid w:val="7F36185A"/>
    <w:rsid w:val="7F405D5C"/>
    <w:rsid w:val="7F4D6125"/>
    <w:rsid w:val="7FC61E3D"/>
    <w:rsid w:val="7FF3406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,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1"/>
    <w:qFormat/>
    <w:uiPriority w:val="0"/>
    <w:pPr>
      <w:snapToGrid w:val="0"/>
      <w:spacing w:line="440" w:lineRule="exact"/>
      <w:ind w:firstLine="420" w:firstLineChars="200"/>
    </w:pPr>
    <w:rPr>
      <w:rFonts w:ascii="宋体" w:hAnsi="宋体"/>
      <w:szCs w:val="21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qFormat/>
    <w:uiPriority w:val="99"/>
    <w:rPr>
      <w:sz w:val="18"/>
      <w:szCs w:val="18"/>
    </w:rPr>
  </w:style>
  <w:style w:type="paragraph" w:customStyle="1" w:styleId="10">
    <w:name w:val="段"/>
    <w:qFormat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character" w:customStyle="1" w:styleId="11">
    <w:name w:val="正文文本缩进 Char"/>
    <w:basedOn w:val="7"/>
    <w:link w:val="2"/>
    <w:qFormat/>
    <w:uiPriority w:val="0"/>
    <w:rPr>
      <w:rFonts w:ascii="宋体" w:hAnsi="宋体"/>
      <w:kern w:val="2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205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3</Pages>
  <Words>1015</Words>
  <Characters>1254</Characters>
  <Lines>9</Lines>
  <Paragraphs>2</Paragraphs>
  <TotalTime>5</TotalTime>
  <ScaleCrop>false</ScaleCrop>
  <LinksUpToDate>false</LinksUpToDate>
  <CharactersWithSpaces>1316</CharactersWithSpaces>
  <Application>WPS Office_11.8.2.8555_F1E327BC-269C-435d-A152-05C5408002CA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2022-02-09T03:57:00Z</dcterms:created>
  <dc:creator>NTKO</dc:creator>
  <cp:lastModifiedBy>GSJSGK</cp:lastModifiedBy>
  <dcterms:modified xsi:type="dcterms:W3CDTF">2026-05-18T10:18:17Z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2052-11.8.2.8555</vt:lpwstr>
  </property>
  <property fmtid="{D5CDD505-2E9C-101B-9397-08002B2CF9AE}" pid="3" name="KSOTemplateDocerSaveRecord">
    <vt:lpwstr>eyJoZGlkIjoiMmE5M2ExYmIxN2NmMmMxNDlhZDZiNDdmYWVkNzhhMmQiLCJ1c2VySWQiOiI1NzI5Mjk2NzAifQ==</vt:lpwstr>
  </property>
  <property fmtid="{D5CDD505-2E9C-101B-9397-08002B2CF9AE}" pid="4" name="ICV">
    <vt:lpwstr>F774672C96F743A79D0D37B864DA1353_12</vt:lpwstr>
  </property>
</Properties>
</file>