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4999"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0" w:type="dxa"/>
          <w:bottom w:w="0" w:type="dxa"/>
          <w:right w:w="0" w:type="dxa"/>
        </w:tblCellMar>
      </w:tblPr>
      <w:tblGrid>
        <w:gridCol w:w="4075"/>
        <w:gridCol w:w="214"/>
        <w:gridCol w:w="4045"/>
      </w:tblGrid>
      <w:tr w14:paraId="18E8D0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097" w:hRule="atLeast"/>
          <w:jc w:val="center"/>
        </w:trPr>
        <w:tc>
          <w:tcPr>
            <w:tcW w:w="2432" w:type="pct"/>
            <w:tcBorders>
              <w:tl2br w:val="nil"/>
              <w:tr2bl w:val="nil"/>
            </w:tcBorders>
            <w:noWrap w:val="0"/>
            <w:vAlign w:val="center"/>
          </w:tcPr>
          <w:p w14:paraId="2CED332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 w:val="28"/>
                <w:szCs w:val="28"/>
                <w:lang w:eastAsia="zh-CN"/>
              </w:rPr>
            </w:pPr>
            <w:r>
              <w:rPr>
                <w:rFonts w:hint="default" w:ascii="Times New Roman" w:hAnsi="Times New Roman" w:eastAsia="宋体" w:cs="Times New Roman"/>
                <w:b/>
                <w:color w:val="000000"/>
                <w:sz w:val="28"/>
                <w:szCs w:val="28"/>
                <w:lang w:eastAsia="zh-CN"/>
              </w:rPr>
              <w:drawing>
                <wp:inline distT="0" distB="0" distL="114300" distR="114300">
                  <wp:extent cx="2545080" cy="2478405"/>
                  <wp:effectExtent l="0" t="0" r="7620" b="17145"/>
                  <wp:docPr id="47" name="图片 47" descr="f7e41c1af8fd5aa247507ba02f2c9c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f7e41c1af8fd5aa247507ba02f2c9c2a"/>
                          <pic:cNvPicPr>
                            <a:picLocks noChangeAspect="1"/>
                          </pic:cNvPicPr>
                        </pic:nvPicPr>
                        <pic:blipFill>
                          <a:blip r:embed="rId7"/>
                          <a:stretch>
                            <a:fillRect/>
                          </a:stretch>
                        </pic:blipFill>
                        <pic:spPr>
                          <a:xfrm>
                            <a:off x="0" y="0"/>
                            <a:ext cx="2545080" cy="2478405"/>
                          </a:xfrm>
                          <a:prstGeom prst="rect">
                            <a:avLst/>
                          </a:prstGeom>
                        </pic:spPr>
                      </pic:pic>
                    </a:graphicData>
                  </a:graphic>
                </wp:inline>
              </w:drawing>
            </w:r>
          </w:p>
        </w:tc>
        <w:tc>
          <w:tcPr>
            <w:tcW w:w="136" w:type="pct"/>
            <w:tcBorders>
              <w:tl2br w:val="nil"/>
              <w:tr2bl w:val="nil"/>
            </w:tcBorders>
            <w:noWrap w:val="0"/>
            <w:vAlign w:val="center"/>
          </w:tcPr>
          <w:p w14:paraId="5D830A9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 w:val="28"/>
                <w:szCs w:val="28"/>
              </w:rPr>
            </w:pPr>
          </w:p>
        </w:tc>
        <w:tc>
          <w:tcPr>
            <w:tcW w:w="2431" w:type="pct"/>
            <w:tcBorders>
              <w:tl2br w:val="nil"/>
              <w:tr2bl w:val="nil"/>
            </w:tcBorders>
            <w:noWrap w:val="0"/>
            <w:vAlign w:val="center"/>
          </w:tcPr>
          <w:p w14:paraId="11AE8C5B">
            <w:pPr>
              <w:keepNext w:val="0"/>
              <w:keepLines w:val="0"/>
              <w:suppressLineNumbers w:val="0"/>
              <w:adjustRightInd w:val="0"/>
              <w:snapToGrid w:val="0"/>
              <w:spacing w:before="0" w:beforeAutospacing="0" w:after="0" w:afterAutospacing="0"/>
              <w:ind w:left="0" w:right="0"/>
              <w:jc w:val="both"/>
              <w:rPr>
                <w:rFonts w:hint="default" w:ascii="Times New Roman" w:hAnsi="Times New Roman" w:eastAsia="宋体" w:cs="Times New Roman"/>
                <w:color w:val="000000"/>
                <w:lang w:eastAsia="zh-CN"/>
              </w:rPr>
            </w:pPr>
            <w:r>
              <w:rPr>
                <w:rFonts w:hint="default" w:ascii="Times New Roman" w:hAnsi="Times New Roman" w:eastAsia="宋体" w:cs="Times New Roman"/>
                <w:color w:val="000000"/>
                <w:lang w:eastAsia="zh-CN"/>
              </w:rPr>
              <w:drawing>
                <wp:inline distT="0" distB="0" distL="114300" distR="114300">
                  <wp:extent cx="2545080" cy="2453005"/>
                  <wp:effectExtent l="0" t="0" r="7620" b="4445"/>
                  <wp:docPr id="53" name="图片 53" descr="54cf4c2d6d37835e9582cda54e28b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54cf4c2d6d37835e9582cda54e28b147"/>
                          <pic:cNvPicPr>
                            <a:picLocks noChangeAspect="1"/>
                          </pic:cNvPicPr>
                        </pic:nvPicPr>
                        <pic:blipFill>
                          <a:blip r:embed="rId8"/>
                          <a:stretch>
                            <a:fillRect/>
                          </a:stretch>
                        </pic:blipFill>
                        <pic:spPr>
                          <a:xfrm>
                            <a:off x="0" y="0"/>
                            <a:ext cx="2545080" cy="2453005"/>
                          </a:xfrm>
                          <a:prstGeom prst="rect">
                            <a:avLst/>
                          </a:prstGeom>
                        </pic:spPr>
                      </pic:pic>
                    </a:graphicData>
                  </a:graphic>
                </wp:inline>
              </w:drawing>
            </w:r>
          </w:p>
        </w:tc>
      </w:tr>
      <w:tr w14:paraId="11BFEF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2432" w:type="pct"/>
            <w:tcBorders>
              <w:tl2br w:val="nil"/>
              <w:tr2bl w:val="nil"/>
            </w:tcBorders>
            <w:noWrap w:val="0"/>
            <w:vAlign w:val="center"/>
          </w:tcPr>
          <w:p w14:paraId="5B2C3DC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r>
              <w:rPr>
                <w:rFonts w:hint="default" w:ascii="Times New Roman" w:hAnsi="Times New Roman" w:eastAsia="宋体" w:cs="Times New Roman"/>
                <w:b/>
                <w:color w:val="000000"/>
                <w:szCs w:val="21"/>
                <w:lang w:val="en-US" w:eastAsia="zh-CN"/>
              </w:rPr>
              <w:t>燃煤锅炉房（停用）</w:t>
            </w:r>
          </w:p>
        </w:tc>
        <w:tc>
          <w:tcPr>
            <w:tcW w:w="136" w:type="pct"/>
            <w:tcBorders>
              <w:tl2br w:val="nil"/>
              <w:tr2bl w:val="nil"/>
            </w:tcBorders>
            <w:noWrap w:val="0"/>
            <w:vAlign w:val="center"/>
          </w:tcPr>
          <w:p w14:paraId="01429A3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p>
        </w:tc>
        <w:tc>
          <w:tcPr>
            <w:tcW w:w="2431" w:type="pct"/>
            <w:tcBorders>
              <w:tl2br w:val="nil"/>
              <w:tr2bl w:val="nil"/>
            </w:tcBorders>
            <w:noWrap w:val="0"/>
            <w:vAlign w:val="center"/>
          </w:tcPr>
          <w:p w14:paraId="121AC7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r>
              <w:rPr>
                <w:rFonts w:hint="eastAsia" w:cs="Times New Roman"/>
                <w:b/>
                <w:color w:val="000000"/>
                <w:szCs w:val="21"/>
                <w:lang w:val="en-US" w:eastAsia="zh-CN"/>
              </w:rPr>
              <w:t>6吨</w:t>
            </w:r>
            <w:r>
              <w:rPr>
                <w:rFonts w:hint="default" w:ascii="Times New Roman" w:hAnsi="Times New Roman" w:eastAsia="宋体" w:cs="Times New Roman"/>
                <w:b/>
                <w:color w:val="000000"/>
                <w:szCs w:val="21"/>
                <w:lang w:val="en-US" w:eastAsia="zh-CN"/>
              </w:rPr>
              <w:t>锅炉房内部</w:t>
            </w:r>
          </w:p>
        </w:tc>
      </w:tr>
      <w:tr w14:paraId="445894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064" w:hRule="atLeast"/>
          <w:jc w:val="center"/>
        </w:trPr>
        <w:tc>
          <w:tcPr>
            <w:tcW w:w="2432" w:type="pct"/>
            <w:tcBorders>
              <w:tl2br w:val="nil"/>
              <w:tr2bl w:val="nil"/>
            </w:tcBorders>
            <w:noWrap w:val="0"/>
            <w:vAlign w:val="center"/>
          </w:tcPr>
          <w:p w14:paraId="60944ECF">
            <w:pPr>
              <w:keepNext w:val="0"/>
              <w:keepLines w:val="0"/>
              <w:suppressLineNumbers w:val="0"/>
              <w:adjustRightInd w:val="0"/>
              <w:snapToGrid w:val="0"/>
              <w:spacing w:before="0" w:beforeAutospacing="0" w:after="0" w:afterAutospacing="0"/>
              <w:ind w:left="0" w:right="0"/>
              <w:jc w:val="both"/>
              <w:rPr>
                <w:rFonts w:hint="default" w:ascii="Times New Roman" w:hAnsi="Times New Roman" w:eastAsia="宋体" w:cs="Times New Roman"/>
                <w:b/>
                <w:color w:val="000000"/>
                <w:szCs w:val="21"/>
                <w:lang w:eastAsia="zh-CN"/>
              </w:rPr>
            </w:pPr>
            <w:r>
              <w:rPr>
                <w:rFonts w:hint="default" w:ascii="Times New Roman" w:hAnsi="Times New Roman" w:eastAsia="宋体" w:cs="Times New Roman"/>
                <w:lang w:val="en-US" w:eastAsia="zh-CN"/>
              </w:rPr>
              <w:drawing>
                <wp:inline distT="0" distB="0" distL="114300" distR="114300">
                  <wp:extent cx="2553335" cy="1826895"/>
                  <wp:effectExtent l="0" t="0" r="18415" b="1905"/>
                  <wp:docPr id="14" name="图片 14" descr="a9016ea57336eb76a52fceccc5e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a9016ea57336eb76a52fceccc5ee026"/>
                          <pic:cNvPicPr>
                            <a:picLocks noChangeAspect="1"/>
                          </pic:cNvPicPr>
                        </pic:nvPicPr>
                        <pic:blipFill>
                          <a:blip r:embed="rId9"/>
                          <a:srcRect l="49492"/>
                          <a:stretch>
                            <a:fillRect/>
                          </a:stretch>
                        </pic:blipFill>
                        <pic:spPr>
                          <a:xfrm>
                            <a:off x="0" y="0"/>
                            <a:ext cx="2553335" cy="1826895"/>
                          </a:xfrm>
                          <a:prstGeom prst="rect">
                            <a:avLst/>
                          </a:prstGeom>
                        </pic:spPr>
                      </pic:pic>
                    </a:graphicData>
                  </a:graphic>
                </wp:inline>
              </w:drawing>
            </w:r>
          </w:p>
        </w:tc>
        <w:tc>
          <w:tcPr>
            <w:tcW w:w="136" w:type="pct"/>
            <w:tcBorders>
              <w:tl2br w:val="nil"/>
              <w:tr2bl w:val="nil"/>
            </w:tcBorders>
            <w:noWrap w:val="0"/>
            <w:vAlign w:val="center"/>
          </w:tcPr>
          <w:p w14:paraId="792C641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 w:val="28"/>
                <w:szCs w:val="28"/>
              </w:rPr>
            </w:pPr>
          </w:p>
        </w:tc>
        <w:tc>
          <w:tcPr>
            <w:tcW w:w="2431" w:type="pct"/>
            <w:tcBorders>
              <w:tl2br w:val="nil"/>
              <w:tr2bl w:val="nil"/>
            </w:tcBorders>
            <w:noWrap w:val="0"/>
            <w:vAlign w:val="center"/>
          </w:tcPr>
          <w:p w14:paraId="7D6113D5">
            <w:pPr>
              <w:keepNext w:val="0"/>
              <w:keepLines w:val="0"/>
              <w:suppressLineNumbers w:val="0"/>
              <w:adjustRightInd w:val="0"/>
              <w:snapToGrid w:val="0"/>
              <w:spacing w:before="0" w:beforeAutospacing="0" w:after="0" w:afterAutospacing="0"/>
              <w:ind w:left="0" w:right="0"/>
              <w:jc w:val="both"/>
              <w:rPr>
                <w:rFonts w:hint="default" w:ascii="Times New Roman" w:hAnsi="Times New Roman" w:eastAsia="宋体" w:cs="Times New Roman"/>
                <w:b/>
                <w:color w:val="000000"/>
                <w:sz w:val="28"/>
                <w:szCs w:val="28"/>
                <w:lang w:eastAsia="zh-CN"/>
              </w:rPr>
            </w:pPr>
            <w:r>
              <w:rPr>
                <w:rFonts w:hint="default" w:ascii="Times New Roman" w:hAnsi="Times New Roman" w:eastAsia="宋体" w:cs="Times New Roman"/>
                <w:b/>
                <w:color w:val="000000"/>
                <w:sz w:val="28"/>
                <w:szCs w:val="28"/>
                <w:lang w:eastAsia="zh-CN"/>
              </w:rPr>
              <w:drawing>
                <wp:inline distT="0" distB="0" distL="114300" distR="114300">
                  <wp:extent cx="2545080" cy="1908175"/>
                  <wp:effectExtent l="0" t="0" r="7620" b="15875"/>
                  <wp:docPr id="45" name="图片 45" descr="16b7c895848ecd7363b88d1d217f5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6b7c895848ecd7363b88d1d217f5dbe"/>
                          <pic:cNvPicPr>
                            <a:picLocks noChangeAspect="1"/>
                          </pic:cNvPicPr>
                        </pic:nvPicPr>
                        <pic:blipFill>
                          <a:blip r:embed="rId10"/>
                          <a:stretch>
                            <a:fillRect/>
                          </a:stretch>
                        </pic:blipFill>
                        <pic:spPr>
                          <a:xfrm>
                            <a:off x="0" y="0"/>
                            <a:ext cx="2545080" cy="1908175"/>
                          </a:xfrm>
                          <a:prstGeom prst="rect">
                            <a:avLst/>
                          </a:prstGeom>
                        </pic:spPr>
                      </pic:pic>
                    </a:graphicData>
                  </a:graphic>
                </wp:inline>
              </w:drawing>
            </w:r>
          </w:p>
        </w:tc>
      </w:tr>
      <w:tr w14:paraId="2411B8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8" w:hRule="atLeast"/>
          <w:jc w:val="center"/>
        </w:trPr>
        <w:tc>
          <w:tcPr>
            <w:tcW w:w="2432" w:type="pct"/>
            <w:tcBorders>
              <w:tl2br w:val="nil"/>
              <w:tr2bl w:val="nil"/>
            </w:tcBorders>
            <w:noWrap w:val="0"/>
            <w:vAlign w:val="center"/>
          </w:tcPr>
          <w:p w14:paraId="6A3B14D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r>
              <w:rPr>
                <w:rFonts w:hint="default" w:ascii="Times New Roman" w:hAnsi="Times New Roman" w:eastAsia="宋体" w:cs="Times New Roman"/>
                <w:b/>
                <w:color w:val="000000"/>
                <w:szCs w:val="21"/>
                <w:lang w:val="en-US" w:eastAsia="zh-CN"/>
              </w:rPr>
              <w:t>项目区东侧</w:t>
            </w:r>
          </w:p>
        </w:tc>
        <w:tc>
          <w:tcPr>
            <w:tcW w:w="136" w:type="pct"/>
            <w:tcBorders>
              <w:tl2br w:val="nil"/>
              <w:tr2bl w:val="nil"/>
            </w:tcBorders>
            <w:noWrap w:val="0"/>
            <w:vAlign w:val="center"/>
          </w:tcPr>
          <w:p w14:paraId="23AA906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p>
        </w:tc>
        <w:tc>
          <w:tcPr>
            <w:tcW w:w="2431" w:type="pct"/>
            <w:tcBorders>
              <w:tl2br w:val="nil"/>
              <w:tr2bl w:val="nil"/>
            </w:tcBorders>
            <w:noWrap w:val="0"/>
            <w:vAlign w:val="center"/>
          </w:tcPr>
          <w:p w14:paraId="7BEEECA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r>
              <w:rPr>
                <w:rFonts w:hint="default" w:ascii="Times New Roman" w:hAnsi="Times New Roman" w:eastAsia="宋体" w:cs="Times New Roman"/>
                <w:b/>
                <w:color w:val="000000"/>
                <w:szCs w:val="21"/>
                <w:lang w:val="en-US" w:eastAsia="zh-CN"/>
              </w:rPr>
              <w:t>项目区南侧</w:t>
            </w:r>
          </w:p>
        </w:tc>
      </w:tr>
      <w:tr w14:paraId="79F290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795" w:hRule="atLeast"/>
          <w:jc w:val="center"/>
        </w:trPr>
        <w:tc>
          <w:tcPr>
            <w:tcW w:w="2432" w:type="pct"/>
            <w:tcBorders>
              <w:tl2br w:val="nil"/>
              <w:tr2bl w:val="nil"/>
            </w:tcBorders>
            <w:noWrap w:val="0"/>
            <w:vAlign w:val="center"/>
          </w:tcPr>
          <w:p w14:paraId="37793D1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 w:val="28"/>
                <w:szCs w:val="28"/>
                <w:lang w:eastAsia="zh-CN"/>
              </w:rPr>
            </w:pPr>
            <w:r>
              <w:rPr>
                <w:rFonts w:hint="default" w:ascii="Times New Roman" w:hAnsi="Times New Roman" w:eastAsia="宋体" w:cs="Times New Roman"/>
                <w:b/>
                <w:color w:val="000000"/>
                <w:sz w:val="28"/>
                <w:szCs w:val="28"/>
                <w:lang w:eastAsia="zh-CN"/>
              </w:rPr>
              <w:drawing>
                <wp:inline distT="0" distB="0" distL="114300" distR="114300">
                  <wp:extent cx="2545080" cy="2348230"/>
                  <wp:effectExtent l="0" t="0" r="7620" b="13970"/>
                  <wp:docPr id="44" name="图片 44" descr="954d77efc01705e317a79868643c5b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954d77efc01705e317a79868643c5b86"/>
                          <pic:cNvPicPr>
                            <a:picLocks noChangeAspect="1"/>
                          </pic:cNvPicPr>
                        </pic:nvPicPr>
                        <pic:blipFill>
                          <a:blip r:embed="rId11"/>
                          <a:stretch>
                            <a:fillRect/>
                          </a:stretch>
                        </pic:blipFill>
                        <pic:spPr>
                          <a:xfrm>
                            <a:off x="0" y="0"/>
                            <a:ext cx="2545080" cy="2348230"/>
                          </a:xfrm>
                          <a:prstGeom prst="rect">
                            <a:avLst/>
                          </a:prstGeom>
                        </pic:spPr>
                      </pic:pic>
                    </a:graphicData>
                  </a:graphic>
                </wp:inline>
              </w:drawing>
            </w:r>
          </w:p>
        </w:tc>
        <w:tc>
          <w:tcPr>
            <w:tcW w:w="136" w:type="pct"/>
            <w:tcBorders>
              <w:tl2br w:val="nil"/>
              <w:tr2bl w:val="nil"/>
            </w:tcBorders>
            <w:noWrap w:val="0"/>
            <w:vAlign w:val="center"/>
          </w:tcPr>
          <w:p w14:paraId="6721BFD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 w:val="28"/>
                <w:szCs w:val="28"/>
                <w:lang w:eastAsia="zh-CN"/>
              </w:rPr>
            </w:pPr>
          </w:p>
        </w:tc>
        <w:tc>
          <w:tcPr>
            <w:tcW w:w="2431" w:type="pct"/>
            <w:tcBorders>
              <w:tl2br w:val="nil"/>
              <w:tr2bl w:val="nil"/>
            </w:tcBorders>
            <w:noWrap w:val="0"/>
            <w:vAlign w:val="center"/>
          </w:tcPr>
          <w:p w14:paraId="573B09CE">
            <w:pPr>
              <w:keepNext w:val="0"/>
              <w:keepLines w:val="0"/>
              <w:suppressLineNumbers w:val="0"/>
              <w:adjustRightInd w:val="0"/>
              <w:snapToGrid w:val="0"/>
              <w:spacing w:before="0" w:beforeAutospacing="0" w:after="0" w:afterAutospacing="0"/>
              <w:ind w:left="0" w:right="0"/>
              <w:jc w:val="both"/>
              <w:rPr>
                <w:rFonts w:hint="default" w:ascii="Times New Roman" w:hAnsi="Times New Roman" w:eastAsia="宋体" w:cs="Times New Roman"/>
                <w:b/>
                <w:color w:val="000000"/>
                <w:sz w:val="28"/>
                <w:szCs w:val="28"/>
                <w:lang w:eastAsia="zh-CN"/>
              </w:rPr>
            </w:pPr>
            <w:r>
              <w:rPr>
                <w:rFonts w:hint="default" w:ascii="Times New Roman" w:hAnsi="Times New Roman" w:eastAsia="宋体" w:cs="Times New Roman"/>
                <w:b/>
                <w:color w:val="000000"/>
                <w:sz w:val="28"/>
                <w:szCs w:val="28"/>
                <w:lang w:eastAsia="zh-CN"/>
              </w:rPr>
              <w:drawing>
                <wp:inline distT="0" distB="0" distL="114300" distR="114300">
                  <wp:extent cx="2545080" cy="2350135"/>
                  <wp:effectExtent l="0" t="0" r="7620" b="12065"/>
                  <wp:docPr id="43" name="图片 43" descr="fb4012e9807e328d4cbd75783d34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b4012e9807e328d4cbd75783d341100"/>
                          <pic:cNvPicPr>
                            <a:picLocks noChangeAspect="1"/>
                          </pic:cNvPicPr>
                        </pic:nvPicPr>
                        <pic:blipFill>
                          <a:blip r:embed="rId12"/>
                          <a:stretch>
                            <a:fillRect/>
                          </a:stretch>
                        </pic:blipFill>
                        <pic:spPr>
                          <a:xfrm>
                            <a:off x="0" y="0"/>
                            <a:ext cx="2545080" cy="2350135"/>
                          </a:xfrm>
                          <a:prstGeom prst="rect">
                            <a:avLst/>
                          </a:prstGeom>
                        </pic:spPr>
                      </pic:pic>
                    </a:graphicData>
                  </a:graphic>
                </wp:inline>
              </w:drawing>
            </w:r>
          </w:p>
        </w:tc>
      </w:tr>
      <w:tr w14:paraId="055047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2432" w:type="pct"/>
            <w:tcBorders>
              <w:tl2br w:val="nil"/>
              <w:tr2bl w:val="nil"/>
            </w:tcBorders>
            <w:noWrap w:val="0"/>
            <w:vAlign w:val="center"/>
          </w:tcPr>
          <w:p w14:paraId="6555954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r>
              <w:rPr>
                <w:rFonts w:hint="default" w:ascii="Times New Roman" w:hAnsi="Times New Roman" w:eastAsia="宋体" w:cs="Times New Roman"/>
                <w:b/>
                <w:color w:val="000000"/>
                <w:szCs w:val="21"/>
                <w:lang w:val="en-US" w:eastAsia="zh-CN"/>
              </w:rPr>
              <w:t>项目区西侧</w:t>
            </w:r>
          </w:p>
        </w:tc>
        <w:tc>
          <w:tcPr>
            <w:tcW w:w="136" w:type="pct"/>
            <w:tcBorders>
              <w:tl2br w:val="nil"/>
              <w:tr2bl w:val="nil"/>
            </w:tcBorders>
            <w:noWrap w:val="0"/>
            <w:vAlign w:val="center"/>
          </w:tcPr>
          <w:p w14:paraId="500407A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p>
        </w:tc>
        <w:tc>
          <w:tcPr>
            <w:tcW w:w="2431" w:type="pct"/>
            <w:tcBorders>
              <w:tl2br w:val="nil"/>
              <w:tr2bl w:val="nil"/>
            </w:tcBorders>
            <w:noWrap w:val="0"/>
            <w:vAlign w:val="center"/>
          </w:tcPr>
          <w:p w14:paraId="0362708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Cs w:val="21"/>
                <w:lang w:val="en-US" w:eastAsia="zh-CN"/>
              </w:rPr>
            </w:pPr>
            <w:r>
              <w:rPr>
                <w:rFonts w:hint="default" w:ascii="Times New Roman" w:hAnsi="Times New Roman" w:eastAsia="宋体" w:cs="Times New Roman"/>
                <w:b/>
                <w:color w:val="000000"/>
                <w:szCs w:val="21"/>
                <w:lang w:val="en-US" w:eastAsia="zh-CN"/>
              </w:rPr>
              <w:t>项目区北侧</w:t>
            </w:r>
          </w:p>
        </w:tc>
      </w:tr>
      <w:tr w14:paraId="7AA11C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59" w:hRule="atLeast"/>
          <w:jc w:val="center"/>
        </w:trPr>
        <w:tc>
          <w:tcPr>
            <w:tcW w:w="5000" w:type="pct"/>
            <w:gridSpan w:val="3"/>
            <w:tcBorders>
              <w:tl2br w:val="nil"/>
              <w:tr2bl w:val="nil"/>
            </w:tcBorders>
            <w:noWrap w:val="0"/>
            <w:vAlign w:val="center"/>
          </w:tcPr>
          <w:p w14:paraId="13C1245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sz w:val="28"/>
                <w:szCs w:val="28"/>
              </w:rPr>
            </w:pPr>
            <w:r>
              <w:rPr>
                <w:rFonts w:hint="default" w:ascii="Times New Roman" w:hAnsi="Times New Roman" w:eastAsia="宋体" w:cs="Times New Roman"/>
                <w:b/>
                <w:color w:val="000000"/>
                <w:sz w:val="24"/>
                <w:szCs w:val="24"/>
              </w:rPr>
              <w:t>现场照片</w:t>
            </w:r>
          </w:p>
        </w:tc>
      </w:tr>
    </w:tbl>
    <w:p w14:paraId="12157D92">
      <w:pPr>
        <w:pStyle w:val="4"/>
        <w:numPr>
          <w:ilvl w:val="0"/>
          <w:numId w:val="0"/>
        </w:numPr>
        <w:spacing w:line="360" w:lineRule="auto"/>
        <w:rPr>
          <w:rFonts w:hint="default" w:ascii="Times New Roman" w:hAnsi="Times New Roman" w:eastAsia="宋体" w:cs="Times New Roman"/>
          <w:b/>
          <w:kern w:val="44"/>
          <w:sz w:val="30"/>
          <w:szCs w:val="2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19FD4E5">
      <w:pPr>
        <w:rPr>
          <w:rFonts w:hint="default" w:ascii="Times New Roman" w:hAnsi="Times New Roman" w:eastAsia="宋体" w:cs="Times New Roman"/>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7FAA96EC">
      <w:pPr>
        <w:pStyle w:val="4"/>
        <w:numPr>
          <w:ilvl w:val="0"/>
          <w:numId w:val="0"/>
        </w:numPr>
        <w:spacing w:line="360" w:lineRule="auto"/>
        <w:jc w:val="center"/>
        <w:rPr>
          <w:rFonts w:hint="default" w:ascii="Times New Roman" w:hAnsi="Times New Roman" w:eastAsia="宋体" w:cs="Times New Roman"/>
          <w:b/>
          <w:bCs w:val="0"/>
        </w:rPr>
      </w:pPr>
      <w:r>
        <w:rPr>
          <w:rFonts w:hint="default" w:ascii="Times New Roman" w:hAnsi="Times New Roman" w:eastAsia="宋体" w:cs="Times New Roman"/>
          <w:b/>
          <w:bCs w:val="0"/>
          <w:kern w:val="44"/>
          <w:sz w:val="30"/>
          <w:szCs w:val="24"/>
          <w:lang w:val="en-US" w:eastAsia="zh-CN" w:bidi="ar-SA"/>
        </w:rPr>
        <w:t>一、</w:t>
      </w:r>
      <w:r>
        <w:rPr>
          <w:rFonts w:hint="default" w:ascii="Times New Roman" w:hAnsi="Times New Roman" w:eastAsia="宋体" w:cs="Times New Roman"/>
          <w:b/>
          <w:bCs w:val="0"/>
        </w:rPr>
        <w:t>建设项目基本情况</w:t>
      </w:r>
    </w:p>
    <w:tbl>
      <w:tblPr>
        <w:tblStyle w:val="30"/>
        <w:tblW w:w="852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714"/>
        <w:gridCol w:w="2125"/>
        <w:gridCol w:w="1773"/>
        <w:gridCol w:w="2910"/>
      </w:tblGrid>
      <w:tr w14:paraId="0676F5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714" w:type="dxa"/>
            <w:tcBorders>
              <w:tl2br w:val="nil"/>
              <w:tr2bl w:val="nil"/>
            </w:tcBorders>
            <w:shd w:val="clear" w:color="auto" w:fill="auto"/>
            <w:vAlign w:val="center"/>
          </w:tcPr>
          <w:p w14:paraId="32BCD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建设项目名称</w:t>
            </w:r>
          </w:p>
        </w:tc>
        <w:tc>
          <w:tcPr>
            <w:tcW w:w="6808" w:type="dxa"/>
            <w:gridSpan w:val="3"/>
            <w:tcBorders>
              <w:tl2br w:val="nil"/>
              <w:tr2bl w:val="nil"/>
            </w:tcBorders>
            <w:shd w:val="clear" w:color="auto" w:fill="auto"/>
            <w:vAlign w:val="center"/>
          </w:tcPr>
          <w:p w14:paraId="10791F2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新兴铸管阜康能源有限公司煤气锅炉改天然气采暖锅炉环保改造项目</w:t>
            </w:r>
          </w:p>
        </w:tc>
      </w:tr>
      <w:tr w14:paraId="1B24FC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714" w:type="dxa"/>
            <w:tcBorders>
              <w:tl2br w:val="nil"/>
              <w:tr2bl w:val="nil"/>
            </w:tcBorders>
            <w:shd w:val="clear" w:color="auto" w:fill="auto"/>
            <w:vAlign w:val="center"/>
          </w:tcPr>
          <w:p w14:paraId="5495E32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项目代码</w:t>
            </w:r>
          </w:p>
        </w:tc>
        <w:tc>
          <w:tcPr>
            <w:tcW w:w="6808" w:type="dxa"/>
            <w:gridSpan w:val="3"/>
            <w:tcBorders>
              <w:tl2br w:val="nil"/>
              <w:tr2bl w:val="nil"/>
            </w:tcBorders>
            <w:shd w:val="clear" w:color="auto" w:fill="auto"/>
            <w:vAlign w:val="center"/>
          </w:tcPr>
          <w:p w14:paraId="1074F9E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lang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w:t>
            </w:r>
          </w:p>
        </w:tc>
      </w:tr>
      <w:tr w14:paraId="3B0A64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714" w:type="dxa"/>
            <w:tcBorders>
              <w:tl2br w:val="nil"/>
              <w:tr2bl w:val="nil"/>
            </w:tcBorders>
            <w:shd w:val="clear" w:color="auto" w:fill="auto"/>
            <w:vAlign w:val="center"/>
          </w:tcPr>
          <w:p w14:paraId="250883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建设单位联系人</w:t>
            </w:r>
          </w:p>
        </w:tc>
        <w:tc>
          <w:tcPr>
            <w:tcW w:w="2125" w:type="dxa"/>
            <w:tcBorders>
              <w:tl2br w:val="nil"/>
              <w:tr2bl w:val="nil"/>
            </w:tcBorders>
            <w:shd w:val="clear" w:color="auto" w:fill="auto"/>
            <w:vAlign w:val="center"/>
          </w:tcPr>
          <w:p w14:paraId="5D4D856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马飞</w:t>
            </w:r>
          </w:p>
        </w:tc>
        <w:tc>
          <w:tcPr>
            <w:tcW w:w="1773" w:type="dxa"/>
            <w:tcBorders>
              <w:tl2br w:val="nil"/>
              <w:tr2bl w:val="nil"/>
            </w:tcBorders>
            <w:shd w:val="clear" w:color="auto" w:fill="auto"/>
            <w:vAlign w:val="center"/>
          </w:tcPr>
          <w:p w14:paraId="416ADED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联系方式</w:t>
            </w:r>
          </w:p>
        </w:tc>
        <w:tc>
          <w:tcPr>
            <w:tcW w:w="2910" w:type="dxa"/>
            <w:tcBorders>
              <w:tl2br w:val="nil"/>
              <w:tr2bl w:val="nil"/>
            </w:tcBorders>
            <w:shd w:val="clear" w:color="auto" w:fill="auto"/>
            <w:vAlign w:val="center"/>
          </w:tcPr>
          <w:p w14:paraId="442D229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18699427565</w:t>
            </w:r>
          </w:p>
        </w:tc>
      </w:tr>
      <w:tr w14:paraId="1B7160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1714" w:type="dxa"/>
            <w:tcBorders>
              <w:tl2br w:val="nil"/>
              <w:tr2bl w:val="nil"/>
            </w:tcBorders>
            <w:shd w:val="clear" w:color="auto" w:fill="auto"/>
            <w:vAlign w:val="center"/>
          </w:tcPr>
          <w:p w14:paraId="5ADC433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建设地点</w:t>
            </w:r>
          </w:p>
        </w:tc>
        <w:tc>
          <w:tcPr>
            <w:tcW w:w="6808" w:type="dxa"/>
            <w:gridSpan w:val="3"/>
            <w:tcBorders>
              <w:tl2br w:val="nil"/>
              <w:tr2bl w:val="nil"/>
            </w:tcBorders>
            <w:shd w:val="clear" w:color="auto" w:fill="auto"/>
            <w:vAlign w:val="center"/>
          </w:tcPr>
          <w:p w14:paraId="3729F63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新疆昌吉州阜康市产业园阜东一区百盛路29号</w:t>
            </w:r>
          </w:p>
        </w:tc>
      </w:tr>
      <w:tr w14:paraId="326188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714" w:type="dxa"/>
            <w:tcBorders>
              <w:tl2br w:val="nil"/>
              <w:tr2bl w:val="nil"/>
            </w:tcBorders>
            <w:shd w:val="clear" w:color="auto" w:fill="auto"/>
            <w:vAlign w:val="center"/>
          </w:tcPr>
          <w:p w14:paraId="71A9720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地理坐标</w:t>
            </w:r>
          </w:p>
        </w:tc>
        <w:tc>
          <w:tcPr>
            <w:tcW w:w="6808" w:type="dxa"/>
            <w:gridSpan w:val="3"/>
            <w:tcBorders>
              <w:tl2br w:val="nil"/>
              <w:tr2bl w:val="nil"/>
            </w:tcBorders>
            <w:shd w:val="clear" w:color="auto" w:fill="auto"/>
            <w:vAlign w:val="center"/>
          </w:tcPr>
          <w:p w14:paraId="2659BC0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（88</w:t>
            </w:r>
            <w:r>
              <w:rPr>
                <w:rFonts w:hint="default" w:ascii="Times New Roman" w:hAnsi="Times New Roman" w:eastAsia="宋体" w:cs="Times New Roman"/>
                <w:b w:val="0"/>
                <w:bCs/>
                <w:color w:val="000000" w:themeColor="text1"/>
                <w:lang w:val="en-US" w:eastAsia="zh-CN"/>
                <w14:textFill>
                  <w14:solidFill>
                    <w14:schemeClr w14:val="tx1"/>
                  </w14:solidFill>
                </w14:textFill>
              </w:rPr>
              <w:t>度</w:t>
            </w:r>
            <w:r>
              <w:rPr>
                <w:rFonts w:hint="default" w:ascii="Times New Roman" w:hAnsi="Times New Roman" w:eastAsia="宋体" w:cs="Times New Roman"/>
                <w:b w:val="0"/>
                <w:bCs/>
                <w:color w:val="000000" w:themeColor="text1"/>
                <w14:textFill>
                  <w14:solidFill>
                    <w14:schemeClr w14:val="tx1"/>
                  </w14:solidFill>
                </w14:textFill>
              </w:rPr>
              <w:t>15</w:t>
            </w:r>
            <w:r>
              <w:rPr>
                <w:rFonts w:hint="default" w:ascii="Times New Roman" w:hAnsi="Times New Roman" w:eastAsia="宋体" w:cs="Times New Roman"/>
                <w:b w:val="0"/>
                <w:bCs/>
                <w:color w:val="000000" w:themeColor="text1"/>
                <w:lang w:val="en-US" w:eastAsia="zh-CN"/>
                <w14:textFill>
                  <w14:solidFill>
                    <w14:schemeClr w14:val="tx1"/>
                  </w14:solidFill>
                </w14:textFill>
              </w:rPr>
              <w:t>分20</w:t>
            </w:r>
            <w:r>
              <w:rPr>
                <w:rFonts w:hint="default" w:ascii="Times New Roman" w:hAnsi="Times New Roman" w:eastAsia="宋体" w:cs="Times New Roman"/>
                <w:b w:val="0"/>
                <w:bCs/>
                <w:color w:val="000000" w:themeColor="text1"/>
                <w14:textFill>
                  <w14:solidFill>
                    <w14:schemeClr w14:val="tx1"/>
                  </w14:solidFill>
                </w14:textFill>
              </w:rPr>
              <w:t>.</w:t>
            </w:r>
            <w:r>
              <w:rPr>
                <w:rFonts w:hint="default" w:ascii="Times New Roman" w:hAnsi="Times New Roman" w:eastAsia="宋体" w:cs="Times New Roman"/>
                <w:b w:val="0"/>
                <w:bCs/>
                <w:color w:val="000000" w:themeColor="text1"/>
                <w:lang w:val="en-US" w:eastAsia="zh-CN"/>
                <w14:textFill>
                  <w14:solidFill>
                    <w14:schemeClr w14:val="tx1"/>
                  </w14:solidFill>
                </w14:textFill>
              </w:rPr>
              <w:t>873</w:t>
            </w:r>
            <w:r>
              <w:rPr>
                <w:rFonts w:hint="default" w:ascii="Times New Roman" w:hAnsi="Times New Roman" w:eastAsia="宋体" w:cs="Times New Roman"/>
                <w:b w:val="0"/>
                <w:bCs/>
                <w:color w:val="000000" w:themeColor="text1"/>
                <w14:textFill>
                  <w14:solidFill>
                    <w14:schemeClr w14:val="tx1"/>
                  </w14:solidFill>
                </w14:textFill>
              </w:rPr>
              <w:t>秒，44</w:t>
            </w:r>
            <w:r>
              <w:rPr>
                <w:rFonts w:hint="default" w:ascii="Times New Roman" w:hAnsi="Times New Roman" w:eastAsia="宋体" w:cs="Times New Roman"/>
                <w:b w:val="0"/>
                <w:bCs/>
                <w:color w:val="000000" w:themeColor="text1"/>
                <w:lang w:val="en-US" w:eastAsia="zh-CN"/>
                <w14:textFill>
                  <w14:solidFill>
                    <w14:schemeClr w14:val="tx1"/>
                  </w14:solidFill>
                </w14:textFill>
              </w:rPr>
              <w:t>度</w:t>
            </w:r>
            <w:r>
              <w:rPr>
                <w:rFonts w:hint="default" w:ascii="Times New Roman" w:hAnsi="Times New Roman" w:eastAsia="宋体" w:cs="Times New Roman"/>
                <w:b w:val="0"/>
                <w:bCs/>
                <w:color w:val="000000" w:themeColor="text1"/>
                <w14:textFill>
                  <w14:solidFill>
                    <w14:schemeClr w14:val="tx1"/>
                  </w14:solidFill>
                </w14:textFill>
              </w:rPr>
              <w:t>7</w:t>
            </w:r>
            <w:r>
              <w:rPr>
                <w:rFonts w:hint="default" w:ascii="Times New Roman" w:hAnsi="Times New Roman" w:eastAsia="宋体" w:cs="Times New Roman"/>
                <w:b w:val="0"/>
                <w:bCs/>
                <w:color w:val="000000" w:themeColor="text1"/>
                <w:lang w:val="en-US" w:eastAsia="zh-CN"/>
                <w14:textFill>
                  <w14:solidFill>
                    <w14:schemeClr w14:val="tx1"/>
                  </w14:solidFill>
                </w14:textFill>
              </w:rPr>
              <w:t>分1</w:t>
            </w:r>
            <w:r>
              <w:rPr>
                <w:rFonts w:hint="default" w:ascii="Times New Roman" w:hAnsi="Times New Roman" w:eastAsia="宋体" w:cs="Times New Roman"/>
                <w:b w:val="0"/>
                <w:bCs/>
                <w:color w:val="000000" w:themeColor="text1"/>
                <w14:textFill>
                  <w14:solidFill>
                    <w14:schemeClr w14:val="tx1"/>
                  </w14:solidFill>
                </w14:textFill>
              </w:rPr>
              <w:t>.</w:t>
            </w:r>
            <w:r>
              <w:rPr>
                <w:rFonts w:hint="default" w:ascii="Times New Roman" w:hAnsi="Times New Roman" w:eastAsia="宋体" w:cs="Times New Roman"/>
                <w:b w:val="0"/>
                <w:bCs/>
                <w:color w:val="000000" w:themeColor="text1"/>
                <w:lang w:val="en-US" w:eastAsia="zh-CN"/>
                <w14:textFill>
                  <w14:solidFill>
                    <w14:schemeClr w14:val="tx1"/>
                  </w14:solidFill>
                </w14:textFill>
              </w:rPr>
              <w:t>978秒</w:t>
            </w:r>
            <w:r>
              <w:rPr>
                <w:rFonts w:hint="default" w:ascii="Times New Roman" w:hAnsi="Times New Roman" w:eastAsia="宋体" w:cs="Times New Roman"/>
                <w:b w:val="0"/>
                <w:bCs/>
                <w:color w:val="000000" w:themeColor="text1"/>
                <w14:textFill>
                  <w14:solidFill>
                    <w14:schemeClr w14:val="tx1"/>
                  </w14:solidFill>
                </w14:textFill>
              </w:rPr>
              <w:t>）</w:t>
            </w:r>
          </w:p>
        </w:tc>
      </w:tr>
      <w:tr w14:paraId="5BD049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714" w:type="dxa"/>
            <w:tcBorders>
              <w:tl2br w:val="nil"/>
              <w:tr2bl w:val="nil"/>
            </w:tcBorders>
            <w:shd w:val="clear" w:color="auto" w:fill="auto"/>
            <w:vAlign w:val="center"/>
          </w:tcPr>
          <w:p w14:paraId="3804F01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国民经济</w:t>
            </w:r>
          </w:p>
          <w:p w14:paraId="7135007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行业类别</w:t>
            </w:r>
          </w:p>
        </w:tc>
        <w:tc>
          <w:tcPr>
            <w:tcW w:w="2125" w:type="dxa"/>
            <w:tcBorders>
              <w:tl2br w:val="nil"/>
              <w:tr2bl w:val="nil"/>
            </w:tcBorders>
            <w:shd w:val="clear" w:color="auto" w:fill="auto"/>
            <w:vAlign w:val="center"/>
          </w:tcPr>
          <w:p w14:paraId="2075645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热力生产和供应业（D4430）</w:t>
            </w:r>
          </w:p>
        </w:tc>
        <w:tc>
          <w:tcPr>
            <w:tcW w:w="1773" w:type="dxa"/>
            <w:tcBorders>
              <w:tl2br w:val="nil"/>
              <w:tr2bl w:val="nil"/>
            </w:tcBorders>
            <w:shd w:val="clear" w:color="auto" w:fill="auto"/>
            <w:vAlign w:val="center"/>
          </w:tcPr>
          <w:p w14:paraId="25B374B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bookmarkStart w:id="0" w:name="_Hlk49843745"/>
            <w:r>
              <w:rPr>
                <w:rFonts w:hint="default" w:ascii="Times New Roman" w:hAnsi="Times New Roman" w:eastAsia="宋体" w:cs="Times New Roman"/>
                <w:b w:val="0"/>
                <w:bCs/>
                <w:color w:val="000000" w:themeColor="text1"/>
                <w14:textFill>
                  <w14:solidFill>
                    <w14:schemeClr w14:val="tx1"/>
                  </w14:solidFill>
                </w14:textFill>
              </w:rPr>
              <w:t>建设项目</w:t>
            </w:r>
          </w:p>
          <w:p w14:paraId="6A64FC4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行业类别</w:t>
            </w:r>
            <w:bookmarkEnd w:id="0"/>
          </w:p>
        </w:tc>
        <w:tc>
          <w:tcPr>
            <w:tcW w:w="2910" w:type="dxa"/>
            <w:tcBorders>
              <w:tl2br w:val="nil"/>
              <w:tr2bl w:val="nil"/>
            </w:tcBorders>
            <w:shd w:val="clear" w:color="auto" w:fill="auto"/>
            <w:vAlign w:val="center"/>
          </w:tcPr>
          <w:p w14:paraId="46A5582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四十一、电力、热力生产和供应业</w:t>
            </w:r>
          </w:p>
          <w:p w14:paraId="330EE9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91.热力生产和供应工程（包括建设单位自建自用的供热工程）</w:t>
            </w:r>
          </w:p>
        </w:tc>
      </w:tr>
      <w:tr w14:paraId="64BFFF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714" w:type="dxa"/>
            <w:tcBorders>
              <w:tl2br w:val="nil"/>
              <w:tr2bl w:val="nil"/>
            </w:tcBorders>
            <w:shd w:val="clear" w:color="auto" w:fill="auto"/>
            <w:vAlign w:val="center"/>
          </w:tcPr>
          <w:p w14:paraId="49DB398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建设性质</w:t>
            </w:r>
          </w:p>
        </w:tc>
        <w:tc>
          <w:tcPr>
            <w:tcW w:w="2125" w:type="dxa"/>
            <w:tcBorders>
              <w:tl2br w:val="nil"/>
              <w:tr2bl w:val="nil"/>
            </w:tcBorders>
            <w:shd w:val="clear" w:color="auto" w:fill="auto"/>
            <w:vAlign w:val="center"/>
          </w:tcPr>
          <w:p w14:paraId="255F8494">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cs="Times New Roman"/>
                <w:b w:val="0"/>
                <w:bCs/>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新建（迁建）</w:t>
            </w:r>
          </w:p>
          <w:p w14:paraId="1013852C">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highlight w:val="yellow"/>
                <w14:textFill>
                  <w14:solidFill>
                    <w14:schemeClr w14:val="tx1"/>
                  </w14:solidFill>
                </w14:textFill>
              </w:rPr>
            </w:pPr>
            <w:r>
              <w:rPr>
                <w:rFonts w:hint="eastAsia" w:cs="Times New Roman"/>
                <w:b w:val="0"/>
                <w:bCs/>
                <w:color w:val="000000" w:themeColor="text1"/>
                <w:kern w:val="0"/>
                <w:sz w:val="24"/>
                <w:highlight w:val="yellow"/>
                <w:lang w:eastAsia="zh-CN"/>
                <w14:textFill>
                  <w14:solidFill>
                    <w14:schemeClr w14:val="tx1"/>
                  </w14:solidFill>
                </w14:textFill>
              </w:rPr>
              <w:t>☑</w:t>
            </w:r>
            <w:r>
              <w:rPr>
                <w:rFonts w:hint="default" w:ascii="Times New Roman" w:hAnsi="Times New Roman" w:eastAsia="宋体" w:cs="Times New Roman"/>
                <w:b w:val="0"/>
                <w:bCs/>
                <w:color w:val="000000" w:themeColor="text1"/>
                <w:highlight w:val="yellow"/>
                <w14:textFill>
                  <w14:solidFill>
                    <w14:schemeClr w14:val="tx1"/>
                  </w14:solidFill>
                </w14:textFill>
              </w:rPr>
              <w:t>改建</w:t>
            </w:r>
          </w:p>
          <w:p w14:paraId="03679623">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cs="Times New Roman"/>
                <w:b w:val="0"/>
                <w:bCs/>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扩建</w:t>
            </w:r>
          </w:p>
          <w:p w14:paraId="75B00D53">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14:textFill>
                  <w14:solidFill>
                    <w14:schemeClr w14:val="tx1"/>
                  </w14:solidFill>
                </w14:textFill>
              </w:rPr>
            </w:pPr>
            <w:r>
              <w:rPr>
                <w:rFonts w:hint="eastAsia" w:cs="Times New Roman"/>
                <w:b w:val="0"/>
                <w:bCs/>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技术改造</w:t>
            </w:r>
          </w:p>
        </w:tc>
        <w:tc>
          <w:tcPr>
            <w:tcW w:w="1773" w:type="dxa"/>
            <w:tcBorders>
              <w:tl2br w:val="nil"/>
              <w:tr2bl w:val="nil"/>
            </w:tcBorders>
            <w:shd w:val="clear" w:color="auto" w:fill="auto"/>
            <w:vAlign w:val="center"/>
          </w:tcPr>
          <w:p w14:paraId="7475DAD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建设项目</w:t>
            </w:r>
          </w:p>
          <w:p w14:paraId="489E774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申报情形</w:t>
            </w:r>
          </w:p>
        </w:tc>
        <w:tc>
          <w:tcPr>
            <w:tcW w:w="2910" w:type="dxa"/>
            <w:tcBorders>
              <w:tl2br w:val="nil"/>
              <w:tr2bl w:val="nil"/>
            </w:tcBorders>
            <w:shd w:val="clear" w:color="auto" w:fill="auto"/>
            <w:tcMar>
              <w:top w:w="0" w:type="dxa"/>
              <w:left w:w="108" w:type="dxa"/>
              <w:bottom w:w="0" w:type="dxa"/>
              <w:right w:w="0" w:type="dxa"/>
            </w:tcMar>
            <w:vAlign w:val="center"/>
          </w:tcPr>
          <w:p w14:paraId="78B93DDE">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kern w:val="0"/>
                <w:sz w:val="24"/>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首次申报项目</w:t>
            </w:r>
          </w:p>
          <w:p w14:paraId="52D0392D">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kern w:val="0"/>
                <w:sz w:val="24"/>
                <w:lang w:eastAsia="zh-CN"/>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不予批准后再次申报项目</w:t>
            </w:r>
          </w:p>
          <w:p w14:paraId="35544C00">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kern w:val="0"/>
                <w:sz w:val="24"/>
                <w:lang w:eastAsia="zh-CN"/>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超五年重新审核项目</w:t>
            </w:r>
          </w:p>
          <w:p w14:paraId="78744121">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kern w:val="0"/>
                <w:sz w:val="24"/>
                <w:lang w:eastAsia="zh-CN"/>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重大变动重新报批项目</w:t>
            </w:r>
          </w:p>
        </w:tc>
      </w:tr>
      <w:tr w14:paraId="3C533B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6" w:hRule="atLeast"/>
        </w:trPr>
        <w:tc>
          <w:tcPr>
            <w:tcW w:w="1714" w:type="dxa"/>
            <w:tcBorders>
              <w:tl2br w:val="nil"/>
              <w:tr2bl w:val="nil"/>
            </w:tcBorders>
            <w:shd w:val="clear" w:color="auto" w:fill="auto"/>
            <w:vAlign w:val="center"/>
          </w:tcPr>
          <w:p w14:paraId="05EB4C5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项目审批（核准/备案）部门（选填）</w:t>
            </w:r>
          </w:p>
        </w:tc>
        <w:tc>
          <w:tcPr>
            <w:tcW w:w="2125" w:type="dxa"/>
            <w:tcBorders>
              <w:tl2br w:val="nil"/>
              <w:tr2bl w:val="nil"/>
            </w:tcBorders>
            <w:shd w:val="clear" w:color="auto" w:fill="auto"/>
            <w:vAlign w:val="center"/>
          </w:tcPr>
          <w:p w14:paraId="0034AB4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lang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w:t>
            </w:r>
          </w:p>
        </w:tc>
        <w:tc>
          <w:tcPr>
            <w:tcW w:w="1773" w:type="dxa"/>
            <w:tcBorders>
              <w:tl2br w:val="nil"/>
              <w:tr2bl w:val="nil"/>
            </w:tcBorders>
            <w:shd w:val="clear" w:color="auto" w:fill="auto"/>
            <w:vAlign w:val="center"/>
          </w:tcPr>
          <w:p w14:paraId="4D87C3E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项目审批（核准/备案）文号（选填）</w:t>
            </w:r>
          </w:p>
        </w:tc>
        <w:tc>
          <w:tcPr>
            <w:tcW w:w="2910" w:type="dxa"/>
            <w:tcBorders>
              <w:tl2br w:val="nil"/>
              <w:tr2bl w:val="nil"/>
            </w:tcBorders>
            <w:shd w:val="clear" w:color="auto" w:fill="auto"/>
            <w:vAlign w:val="center"/>
          </w:tcPr>
          <w:p w14:paraId="63BDAA3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000000" w:themeColor="text1"/>
                <w:lang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w:t>
            </w:r>
          </w:p>
        </w:tc>
      </w:tr>
      <w:tr w14:paraId="1B6FEC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1714" w:type="dxa"/>
            <w:tcBorders>
              <w:tl2br w:val="nil"/>
              <w:tr2bl w:val="nil"/>
            </w:tcBorders>
            <w:shd w:val="clear" w:color="auto" w:fill="auto"/>
            <w:vAlign w:val="center"/>
          </w:tcPr>
          <w:p w14:paraId="135FA3E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总投资（万元）</w:t>
            </w:r>
          </w:p>
        </w:tc>
        <w:tc>
          <w:tcPr>
            <w:tcW w:w="2125" w:type="dxa"/>
            <w:tcBorders>
              <w:tl2br w:val="nil"/>
              <w:tr2bl w:val="nil"/>
            </w:tcBorders>
            <w:shd w:val="clear" w:color="auto" w:fill="auto"/>
            <w:vAlign w:val="center"/>
          </w:tcPr>
          <w:p w14:paraId="70D2D85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150.36</w:t>
            </w:r>
          </w:p>
        </w:tc>
        <w:tc>
          <w:tcPr>
            <w:tcW w:w="1773" w:type="dxa"/>
            <w:tcBorders>
              <w:tl2br w:val="nil"/>
              <w:tr2bl w:val="nil"/>
            </w:tcBorders>
            <w:shd w:val="clear" w:color="auto" w:fill="auto"/>
            <w:vAlign w:val="center"/>
          </w:tcPr>
          <w:p w14:paraId="4F6A2BA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环保投资</w:t>
            </w:r>
          </w:p>
          <w:p w14:paraId="533AC2E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（万元）</w:t>
            </w:r>
          </w:p>
        </w:tc>
        <w:tc>
          <w:tcPr>
            <w:tcW w:w="2910" w:type="dxa"/>
            <w:tcBorders>
              <w:tl2br w:val="nil"/>
              <w:tr2bl w:val="nil"/>
            </w:tcBorders>
            <w:shd w:val="clear" w:color="auto" w:fill="auto"/>
            <w:vAlign w:val="center"/>
          </w:tcPr>
          <w:p w14:paraId="5DF7F7F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lang w:val="en-US" w:eastAsia="zh-CN"/>
              </w:rPr>
            </w:pPr>
            <w:r>
              <w:rPr>
                <w:rFonts w:hint="default" w:ascii="Times New Roman" w:hAnsi="Times New Roman" w:eastAsia="宋体" w:cs="Times New Roman"/>
                <w:b w:val="0"/>
                <w:bCs/>
                <w:color w:val="auto"/>
                <w:lang w:val="en-US" w:eastAsia="zh-CN"/>
              </w:rPr>
              <w:t>35.3</w:t>
            </w:r>
          </w:p>
        </w:tc>
      </w:tr>
      <w:tr w14:paraId="37AF5E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67" w:hRule="atLeast"/>
        </w:trPr>
        <w:tc>
          <w:tcPr>
            <w:tcW w:w="1714" w:type="dxa"/>
            <w:tcBorders>
              <w:tl2br w:val="nil"/>
              <w:tr2bl w:val="nil"/>
            </w:tcBorders>
            <w:shd w:val="clear" w:color="auto" w:fill="auto"/>
            <w:vAlign w:val="center"/>
          </w:tcPr>
          <w:p w14:paraId="336CFB0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环保投资占比（%）</w:t>
            </w:r>
          </w:p>
        </w:tc>
        <w:tc>
          <w:tcPr>
            <w:tcW w:w="2125" w:type="dxa"/>
            <w:tcBorders>
              <w:tl2br w:val="nil"/>
              <w:tr2bl w:val="nil"/>
            </w:tcBorders>
            <w:shd w:val="clear" w:color="auto" w:fill="auto"/>
            <w:vAlign w:val="center"/>
          </w:tcPr>
          <w:p w14:paraId="6A90B5E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23.5%</w:t>
            </w:r>
          </w:p>
        </w:tc>
        <w:tc>
          <w:tcPr>
            <w:tcW w:w="1773" w:type="dxa"/>
            <w:tcBorders>
              <w:tl2br w:val="nil"/>
              <w:tr2bl w:val="nil"/>
            </w:tcBorders>
            <w:shd w:val="clear" w:color="auto" w:fill="auto"/>
            <w:vAlign w:val="center"/>
          </w:tcPr>
          <w:p w14:paraId="3567CE2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施工工期</w:t>
            </w:r>
          </w:p>
        </w:tc>
        <w:tc>
          <w:tcPr>
            <w:tcW w:w="2910" w:type="dxa"/>
            <w:tcBorders>
              <w:tl2br w:val="nil"/>
              <w:tr2bl w:val="nil"/>
            </w:tcBorders>
            <w:shd w:val="clear" w:color="auto" w:fill="auto"/>
            <w:vAlign w:val="center"/>
          </w:tcPr>
          <w:p w14:paraId="23B579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lang w:val="en-US" w:eastAsia="zh-CN"/>
              </w:rPr>
              <w:t>2</w:t>
            </w:r>
            <w:r>
              <w:rPr>
                <w:rFonts w:hint="default" w:ascii="Times New Roman" w:hAnsi="Times New Roman" w:eastAsia="宋体" w:cs="Times New Roman"/>
                <w:b w:val="0"/>
                <w:bCs/>
                <w:color w:val="auto"/>
              </w:rPr>
              <w:t>个月</w:t>
            </w:r>
          </w:p>
        </w:tc>
      </w:tr>
      <w:tr w14:paraId="4D62F8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9" w:hRule="atLeast"/>
        </w:trPr>
        <w:tc>
          <w:tcPr>
            <w:tcW w:w="1714" w:type="dxa"/>
            <w:tcBorders>
              <w:tl2br w:val="nil"/>
              <w:tr2bl w:val="nil"/>
            </w:tcBorders>
            <w:shd w:val="clear" w:color="auto" w:fill="auto"/>
            <w:vAlign w:val="center"/>
          </w:tcPr>
          <w:p w14:paraId="5C5911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是否开工建设</w:t>
            </w:r>
          </w:p>
        </w:tc>
        <w:tc>
          <w:tcPr>
            <w:tcW w:w="2125" w:type="dxa"/>
            <w:tcBorders>
              <w:tl2br w:val="nil"/>
              <w:tr2bl w:val="nil"/>
            </w:tcBorders>
            <w:shd w:val="clear" w:color="auto" w:fill="auto"/>
            <w:vAlign w:val="center"/>
          </w:tcPr>
          <w:p w14:paraId="1F07CD6B">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14:textFill>
                  <w14:solidFill>
                    <w14:schemeClr w14:val="tx1"/>
                  </w14:solidFill>
                </w14:textFill>
              </w:rPr>
            </w:pPr>
            <w:r>
              <w:rPr>
                <w:rFonts w:hint="eastAsia" w:cs="Times New Roman"/>
                <w:b w:val="0"/>
                <w:bCs/>
                <w:color w:val="000000" w:themeColor="text1"/>
                <w:kern w:val="0"/>
                <w:sz w:val="24"/>
                <w:lang w:eastAsia="zh-CN"/>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否</w:t>
            </w:r>
          </w:p>
          <w:p w14:paraId="1132507D">
            <w:pPr>
              <w:keepNext w:val="0"/>
              <w:keepLines w:val="0"/>
              <w:suppressLineNumbers w:val="0"/>
              <w:spacing w:before="0" w:beforeAutospacing="0" w:after="0" w:afterAutospacing="0"/>
              <w:ind w:left="0" w:right="0"/>
              <w:jc w:val="both"/>
              <w:rPr>
                <w:rFonts w:hint="eastAsia" w:ascii="Times New Roman" w:hAnsi="Times New Roman" w:eastAsia="宋体"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kern w:val="0"/>
                <w:sz w:val="24"/>
                <w:lang w:eastAsia="zh-CN"/>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是</w:t>
            </w:r>
            <w:r>
              <w:rPr>
                <w:rFonts w:hint="eastAsia" w:cs="Times New Roman"/>
                <w:b w:val="0"/>
                <w:bCs/>
                <w:color w:val="000000" w:themeColor="text1"/>
                <w:lang w:val="en-US" w:eastAsia="zh-CN"/>
                <w14:textFill>
                  <w14:solidFill>
                    <w14:schemeClr w14:val="tx1"/>
                  </w14:solidFill>
                </w14:textFill>
              </w:rPr>
              <w:t>：</w:t>
            </w:r>
            <w:r>
              <w:rPr>
                <w:rFonts w:hint="eastAsia" w:cs="Times New Roman"/>
                <w:b w:val="0"/>
                <w:bCs/>
                <w:color w:val="000000" w:themeColor="text1"/>
                <w:u w:val="single"/>
                <w:lang w:val="en-US" w:eastAsia="zh-CN"/>
                <w14:textFill>
                  <w14:solidFill>
                    <w14:schemeClr w14:val="tx1"/>
                  </w14:solidFill>
                </w14:textFill>
              </w:rPr>
              <w:t>4t/h燃气锅炉已建设；昌吉回族自治州生态环境局已出具责令改正违法行为决定书</w:t>
            </w:r>
          </w:p>
        </w:tc>
        <w:tc>
          <w:tcPr>
            <w:tcW w:w="1773" w:type="dxa"/>
            <w:tcBorders>
              <w:tl2br w:val="nil"/>
              <w:tr2bl w:val="nil"/>
            </w:tcBorders>
            <w:shd w:val="clear" w:color="auto" w:fill="auto"/>
            <w:vAlign w:val="center"/>
          </w:tcPr>
          <w:p w14:paraId="59FE014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用地（用海）</w:t>
            </w:r>
          </w:p>
          <w:p w14:paraId="7B6F0A2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面积（m</w:t>
            </w:r>
            <w:r>
              <w:rPr>
                <w:rFonts w:hint="default" w:ascii="Times New Roman" w:hAnsi="Times New Roman" w:eastAsia="宋体" w:cs="Times New Roman"/>
                <w:b w:val="0"/>
                <w:bCs/>
                <w:color w:val="000000" w:themeColor="text1"/>
                <w:vertAlign w:val="superscript"/>
                <w14:textFill>
                  <w14:solidFill>
                    <w14:schemeClr w14:val="tx1"/>
                  </w14:solidFill>
                </w14:textFill>
              </w:rPr>
              <w:t>2</w:t>
            </w:r>
            <w:r>
              <w:rPr>
                <w:rFonts w:hint="default" w:ascii="Times New Roman" w:hAnsi="Times New Roman" w:eastAsia="宋体" w:cs="Times New Roman"/>
                <w:b w:val="0"/>
                <w:bCs/>
                <w:color w:val="000000" w:themeColor="text1"/>
                <w14:textFill>
                  <w14:solidFill>
                    <w14:schemeClr w14:val="tx1"/>
                  </w14:solidFill>
                </w14:textFill>
              </w:rPr>
              <w:t>）</w:t>
            </w:r>
          </w:p>
        </w:tc>
        <w:tc>
          <w:tcPr>
            <w:tcW w:w="2910" w:type="dxa"/>
            <w:tcBorders>
              <w:tl2br w:val="nil"/>
              <w:tr2bl w:val="nil"/>
            </w:tcBorders>
            <w:shd w:val="clear" w:color="auto" w:fill="auto"/>
            <w:vAlign w:val="center"/>
          </w:tcPr>
          <w:p w14:paraId="6D3915B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本项目不新增用地</w:t>
            </w:r>
          </w:p>
        </w:tc>
      </w:tr>
      <w:tr w14:paraId="2C2721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trPr>
        <w:tc>
          <w:tcPr>
            <w:tcW w:w="1714" w:type="dxa"/>
            <w:tcBorders>
              <w:tl2br w:val="nil"/>
              <w:tr2bl w:val="nil"/>
            </w:tcBorders>
            <w:shd w:val="clear" w:color="auto" w:fill="auto"/>
            <w:vAlign w:val="center"/>
          </w:tcPr>
          <w:p w14:paraId="11549ED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专项评价设置情况</w:t>
            </w:r>
          </w:p>
        </w:tc>
        <w:tc>
          <w:tcPr>
            <w:tcW w:w="6808" w:type="dxa"/>
            <w:gridSpan w:val="3"/>
            <w:tcBorders>
              <w:tl2br w:val="nil"/>
              <w:tr2bl w:val="nil"/>
            </w:tcBorders>
            <w:shd w:val="clear" w:color="auto" w:fill="auto"/>
            <w:vAlign w:val="center"/>
          </w:tcPr>
          <w:p w14:paraId="34D5EE59">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无</w:t>
            </w:r>
          </w:p>
        </w:tc>
      </w:tr>
      <w:tr w14:paraId="36985B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trPr>
        <w:tc>
          <w:tcPr>
            <w:tcW w:w="1714" w:type="dxa"/>
            <w:tcBorders>
              <w:tl2br w:val="nil"/>
              <w:tr2bl w:val="nil"/>
            </w:tcBorders>
            <w:shd w:val="clear" w:color="auto" w:fill="auto"/>
            <w:vAlign w:val="center"/>
          </w:tcPr>
          <w:p w14:paraId="3B3B459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规划情况</w:t>
            </w:r>
          </w:p>
        </w:tc>
        <w:tc>
          <w:tcPr>
            <w:tcW w:w="6808" w:type="dxa"/>
            <w:gridSpan w:val="3"/>
            <w:tcBorders>
              <w:tl2br w:val="nil"/>
              <w:tr2bl w:val="nil"/>
            </w:tcBorders>
            <w:shd w:val="clear" w:color="auto" w:fill="auto"/>
            <w:vAlign w:val="center"/>
          </w:tcPr>
          <w:p w14:paraId="1803E8C7">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规划名称：《新疆阜康重化工业园区总体规划（2008~2025）》</w:t>
            </w:r>
          </w:p>
          <w:p w14:paraId="60DF6542">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规划审批机关：新疆维吾尔自治区人民政府</w:t>
            </w:r>
          </w:p>
          <w:p w14:paraId="29E6F958">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规划审批文件名称：2011年3月21日，经自治区人民政府新政函</w:t>
            </w:r>
            <w:r>
              <w:rPr>
                <w:rFonts w:hint="eastAsia" w:cs="Times New Roman"/>
                <w:b w:val="0"/>
                <w:bCs/>
                <w:color w:val="000000" w:themeColor="text1"/>
                <w:highlight w:val="none"/>
                <w:lang w:val="en-US" w:eastAsia="zh-CN"/>
                <w14:textFill>
                  <w14:solidFill>
                    <w14:schemeClr w14:val="tx1"/>
                  </w14:solidFill>
                </w14:textFill>
              </w:rPr>
              <w:t>〔2011〕56号</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《关于新疆阜康重化工业园区更名为新疆阜康产业园的批复》批准同意，阜康重化工业园区更名为新疆阜康产业园。《关于新疆阜康重化工业园区总体规划的批复》</w:t>
            </w:r>
          </w:p>
          <w:p w14:paraId="745F3F3A">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规划环评批复文号：《新疆阜康产业园总体规划修编</w:t>
            </w:r>
            <w:r>
              <w:rPr>
                <w:rFonts w:hint="eastAsia"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2019-2030</w:t>
            </w:r>
            <w:r>
              <w:rPr>
                <w:rFonts w:hint="eastAsia"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目前暂未取得批复</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p>
        </w:tc>
      </w:tr>
      <w:tr w14:paraId="672234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8" w:hRule="atLeast"/>
        </w:trPr>
        <w:tc>
          <w:tcPr>
            <w:tcW w:w="1714" w:type="dxa"/>
            <w:tcBorders>
              <w:tl2br w:val="nil"/>
              <w:tr2bl w:val="nil"/>
            </w:tcBorders>
            <w:shd w:val="clear" w:color="auto" w:fill="auto"/>
            <w:vAlign w:val="center"/>
          </w:tcPr>
          <w:p w14:paraId="4C2575F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规划环境影响</w:t>
            </w:r>
          </w:p>
          <w:p w14:paraId="0277780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评价情况</w:t>
            </w:r>
          </w:p>
        </w:tc>
        <w:tc>
          <w:tcPr>
            <w:tcW w:w="6808" w:type="dxa"/>
            <w:gridSpan w:val="3"/>
            <w:tcBorders>
              <w:tl2br w:val="nil"/>
              <w:tr2bl w:val="nil"/>
            </w:tcBorders>
            <w:shd w:val="clear" w:color="auto" w:fill="auto"/>
            <w:vAlign w:val="center"/>
          </w:tcPr>
          <w:p w14:paraId="06A37BBD">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规划环评名称：《新疆阜康产业园总体规划修（2019-2030）环境影响评价报告书》</w:t>
            </w:r>
          </w:p>
          <w:p w14:paraId="65449B39">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规划环评审查机关：新疆维吾尔自治区生态环境厅（原新疆维吾尔自治区环境保护厅）</w:t>
            </w:r>
          </w:p>
          <w:p w14:paraId="17DDA49B">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规划环评审查文件名称：关于《新疆阜康产业园总体规划修</w:t>
            </w:r>
            <w:r>
              <w:rPr>
                <w:rFonts w:hint="default" w:ascii="Times New Roman" w:hAnsi="Times New Roman" w:eastAsia="宋体" w:cs="Times New Roman"/>
                <w:bCs/>
                <w:color w:val="000000" w:themeColor="text1"/>
                <w:highlight w:val="none"/>
                <w:lang w:val="en-US" w:eastAsia="zh-CN"/>
                <w14:textFill>
                  <w14:solidFill>
                    <w14:schemeClr w14:val="tx1"/>
                  </w14:solidFill>
                </w14:textFill>
              </w:rPr>
              <w:t>编</w:t>
            </w:r>
            <w:r>
              <w:rPr>
                <w:rFonts w:hint="default" w:ascii="Times New Roman" w:hAnsi="Times New Roman" w:eastAsia="宋体" w:cs="Times New Roman"/>
                <w:color w:val="000000" w:themeColor="text1"/>
                <w:highlight w:val="none"/>
                <w:lang w:val="en-US" w:eastAsia="zh-CN"/>
                <w14:textFill>
                  <w14:solidFill>
                    <w14:schemeClr w14:val="tx1"/>
                  </w14:solidFill>
                </w14:textFill>
              </w:rPr>
              <w:t>（2019-2030）环境影响报告书》的审查意见</w:t>
            </w:r>
          </w:p>
          <w:p w14:paraId="44D58666">
            <w:pPr>
              <w:pStyle w:val="25"/>
              <w:keepNext w:val="0"/>
              <w:keepLines w:val="0"/>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规划环评审查文号：新环审〔2020〕123号</w:t>
            </w:r>
          </w:p>
        </w:tc>
      </w:tr>
      <w:tr w14:paraId="79570D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6" w:hRule="atLeast"/>
        </w:trPr>
        <w:tc>
          <w:tcPr>
            <w:tcW w:w="1714" w:type="dxa"/>
            <w:tcBorders>
              <w:tl2br w:val="nil"/>
              <w:tr2bl w:val="nil"/>
            </w:tcBorders>
            <w:shd w:val="clear" w:color="auto" w:fill="auto"/>
            <w:vAlign w:val="center"/>
          </w:tcPr>
          <w:p w14:paraId="10BA2D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snapToGrid w:val="0"/>
                <w:color w:val="000000" w:themeColor="text1"/>
                <w:kern w:val="0"/>
                <w:szCs w:val="21"/>
                <w14:textFill>
                  <w14:solidFill>
                    <w14:schemeClr w14:val="tx1"/>
                  </w14:solidFill>
                </w14:textFill>
              </w:rPr>
              <w:t>规划及规划环境影响评价符合性分析</w:t>
            </w:r>
          </w:p>
        </w:tc>
        <w:tc>
          <w:tcPr>
            <w:tcW w:w="6808" w:type="dxa"/>
            <w:gridSpan w:val="3"/>
            <w:tcBorders>
              <w:tl2br w:val="nil"/>
              <w:tr2bl w:val="nil"/>
            </w:tcBorders>
            <w:shd w:val="clear" w:color="auto" w:fill="auto"/>
            <w:vAlign w:val="center"/>
          </w:tcPr>
          <w:p w14:paraId="378A2939">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1 本项目与《新疆阜康重化工业园区总体规划（2008~2025）》的符合性分析</w:t>
            </w:r>
          </w:p>
          <w:p w14:paraId="697FC6FD">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Cs/>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lang w:val="en-US" w:eastAsia="zh-CN"/>
                <w14:textFill>
                  <w14:solidFill>
                    <w14:schemeClr w14:val="tx1"/>
                  </w14:solidFill>
                </w14:textFill>
              </w:rPr>
              <w:t>根据《新疆阜康产业园总体规划修编（2019—2030年）环境影响报告书》，阜康产业园区用地分为阜东一区、阜东二区和阜东三区，在各用地分区上主要有三个产业分区，分别是：现有产业延伸及配套发展区、战略性新兴产业发展区和生产性服务业发展区。产业园区的主导产业有：金属加工产业、装备制造产业和生产性服务业，分布在各个产业分区中。</w:t>
            </w:r>
          </w:p>
          <w:p w14:paraId="118BC4B4">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lang w:val="en-US" w:eastAsia="zh-CN"/>
                <w14:textFill>
                  <w14:solidFill>
                    <w14:schemeClr w14:val="tx1"/>
                  </w14:solidFill>
                </w14:textFill>
              </w:rPr>
              <w:t>阜东一区主导产业为金属加工产业、生产性服务业，配套产业为绿色建材、新材料产业；阜东二区主导产业为金属加工产业、先进装备制造及配套产业、生产性服务业，配套产业为城市矿产和再制造产业、循环经济产业；阜东三区主导产业为电厂——电石——建材、新材料产业的循环经济产业。</w:t>
            </w:r>
          </w:p>
          <w:p w14:paraId="36A7A37E">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lang w:val="en-US" w:eastAsia="zh-CN"/>
                <w14:textFill>
                  <w14:solidFill>
                    <w14:schemeClr w14:val="tx1"/>
                  </w14:solidFill>
                </w14:textFill>
              </w:rPr>
              <w:t>重点发展产业：主导产业为金属加工产业、</w:t>
            </w:r>
            <w:r>
              <w:rPr>
                <w:rFonts w:hint="default" w:ascii="Times New Roman" w:hAnsi="Times New Roman" w:eastAsia="宋体" w:cs="Times New Roman"/>
                <w:i w:val="0"/>
                <w:iCs w:val="0"/>
                <w:caps w:val="0"/>
                <w:spacing w:val="0"/>
                <w:sz w:val="24"/>
                <w:szCs w:val="24"/>
              </w:rPr>
              <w:t>建材产业、新兴产业、新材料产业、</w:t>
            </w:r>
            <w:r>
              <w:rPr>
                <w:rFonts w:hint="default" w:ascii="Times New Roman" w:hAnsi="Times New Roman" w:eastAsia="宋体" w:cs="Times New Roman"/>
                <w:i w:val="0"/>
                <w:iCs w:val="0"/>
                <w:caps w:val="0"/>
                <w:spacing w:val="0"/>
                <w:sz w:val="24"/>
                <w:szCs w:val="24"/>
                <w:lang w:eastAsia="zh-CN"/>
              </w:rPr>
              <w:t>生产性服务业</w:t>
            </w:r>
            <w:r>
              <w:rPr>
                <w:rFonts w:hint="default" w:ascii="Times New Roman" w:hAnsi="Times New Roman" w:eastAsia="宋体" w:cs="Times New Roman"/>
                <w:i w:val="0"/>
                <w:iCs w:val="0"/>
                <w:caps w:val="0"/>
                <w:spacing w:val="0"/>
                <w:sz w:val="24"/>
                <w:szCs w:val="24"/>
              </w:rPr>
              <w:t>等。</w:t>
            </w:r>
            <w:r>
              <w:rPr>
                <w:rFonts w:hint="default" w:ascii="Times New Roman" w:hAnsi="Times New Roman" w:eastAsia="宋体" w:cs="Times New Roman"/>
                <w:bCs/>
                <w:color w:val="000000" w:themeColor="text1"/>
                <w:lang w:val="en-US" w:eastAsia="zh-CN"/>
                <w14:textFill>
                  <w14:solidFill>
                    <w14:schemeClr w14:val="tx1"/>
                  </w14:solidFill>
                </w14:textFill>
              </w:rPr>
              <w:t>发展方向：</w:t>
            </w:r>
            <w:r>
              <w:rPr>
                <w:rFonts w:hint="default" w:ascii="Times New Roman" w:hAnsi="Times New Roman" w:eastAsia="宋体" w:cs="Times New Roman"/>
                <w:i w:val="0"/>
                <w:iCs w:val="0"/>
                <w:caps w:val="0"/>
                <w:spacing w:val="0"/>
                <w:sz w:val="24"/>
                <w:szCs w:val="24"/>
              </w:rPr>
              <w:t>未来将围绕这些重点产业，推动产业集聚发展，形成产业集群效应，同时注重产业的创新发展，提升产业技术水平，促进区域经济高质量发展</w:t>
            </w:r>
            <w:r>
              <w:rPr>
                <w:rFonts w:hint="default" w:ascii="Times New Roman" w:hAnsi="Times New Roman" w:eastAsia="宋体" w:cs="Times New Roman"/>
                <w:i w:val="0"/>
                <w:iCs w:val="0"/>
                <w:caps w:val="0"/>
                <w:spacing w:val="0"/>
                <w:sz w:val="24"/>
                <w:szCs w:val="24"/>
                <w:lang w:eastAsia="zh-CN"/>
              </w:rPr>
              <w:t>。</w:t>
            </w:r>
          </w:p>
          <w:p w14:paraId="30112BC1">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lang w:val="en-US" w:eastAsia="zh-CN"/>
                <w14:textFill>
                  <w14:solidFill>
                    <w14:schemeClr w14:val="tx1"/>
                  </w14:solidFill>
                </w14:textFill>
              </w:rPr>
              <w:t>本项目位于</w:t>
            </w:r>
            <w:r>
              <w:rPr>
                <w:rFonts w:hint="default" w:ascii="Times New Roman" w:hAnsi="Times New Roman" w:eastAsia="宋体" w:cs="Times New Roman"/>
                <w:i w:val="0"/>
                <w:iCs w:val="0"/>
                <w:caps w:val="0"/>
                <w:spacing w:val="0"/>
                <w:sz w:val="24"/>
                <w:szCs w:val="24"/>
              </w:rPr>
              <w:t>新兴铸管阜康能源有限公司</w:t>
            </w:r>
            <w:r>
              <w:rPr>
                <w:rFonts w:hint="default" w:ascii="Times New Roman" w:hAnsi="Times New Roman" w:eastAsia="宋体" w:cs="Times New Roman"/>
                <w:i w:val="0"/>
                <w:iCs w:val="0"/>
                <w:caps w:val="0"/>
                <w:spacing w:val="0"/>
                <w:sz w:val="24"/>
                <w:szCs w:val="24"/>
                <w:lang w:val="en-US" w:eastAsia="zh-CN"/>
              </w:rPr>
              <w:t>厂区内，</w:t>
            </w:r>
            <w:r>
              <w:rPr>
                <w:rFonts w:hint="eastAsia" w:cs="Times New Roman"/>
                <w:i w:val="0"/>
                <w:iCs w:val="0"/>
                <w:caps w:val="0"/>
                <w:spacing w:val="0"/>
                <w:sz w:val="24"/>
                <w:szCs w:val="24"/>
                <w:lang w:val="en-US" w:eastAsia="zh-CN"/>
              </w:rPr>
              <w:t>新建</w:t>
            </w:r>
            <w:r>
              <w:rPr>
                <w:rFonts w:hint="default" w:ascii="Times New Roman" w:hAnsi="Times New Roman" w:eastAsia="宋体" w:cs="Times New Roman"/>
                <w:i w:val="0"/>
                <w:iCs w:val="0"/>
                <w:caps w:val="0"/>
                <w:spacing w:val="0"/>
                <w:sz w:val="24"/>
                <w:szCs w:val="24"/>
                <w:lang w:val="en-US" w:eastAsia="zh-CN"/>
              </w:rPr>
              <w:t>一台天然气</w:t>
            </w:r>
            <w:r>
              <w:rPr>
                <w:rFonts w:hint="default" w:ascii="Times New Roman" w:hAnsi="Times New Roman" w:eastAsia="宋体" w:cs="Times New Roman"/>
                <w:bCs/>
                <w:color w:val="000000" w:themeColor="text1"/>
                <w:lang w:val="en-US" w:eastAsia="zh-CN"/>
                <w14:textFill>
                  <w14:solidFill>
                    <w14:schemeClr w14:val="tx1"/>
                  </w14:solidFill>
                </w14:textFill>
              </w:rPr>
              <w:t>锅炉，利用现有工程厂区内，不新增用地，废气、废水、固体废物均得到合理处置。因此，本项目符合</w:t>
            </w:r>
            <w:r>
              <w:rPr>
                <w:rFonts w:hint="eastAsia" w:cs="Times New Roman"/>
                <w:b/>
                <w:bCs w:val="0"/>
                <w:color w:val="000000" w:themeColor="text1"/>
                <w:lang w:val="en-US" w:eastAsia="zh-CN"/>
                <w14:textFill>
                  <w14:solidFill>
                    <w14:schemeClr w14:val="tx1"/>
                  </w14:solidFill>
                </w14:textFill>
              </w:rPr>
              <w:t>附图1</w:t>
            </w:r>
            <w:r>
              <w:rPr>
                <w:rFonts w:hint="default" w:ascii="Times New Roman" w:hAnsi="Times New Roman" w:eastAsia="宋体" w:cs="Times New Roman"/>
                <w:bCs/>
                <w:color w:val="000000" w:themeColor="text1"/>
                <w:lang w:val="en-US" w:eastAsia="zh-CN"/>
                <w14:textFill>
                  <w14:solidFill>
                    <w14:schemeClr w14:val="tx1"/>
                  </w14:solidFill>
                </w14:textFill>
              </w:rPr>
              <w:t>阜康产业园区产业定位和</w:t>
            </w:r>
            <w:r>
              <w:rPr>
                <w:rFonts w:hint="eastAsia" w:cs="Times New Roman"/>
                <w:b/>
                <w:bCs w:val="0"/>
                <w:color w:val="000000" w:themeColor="text1"/>
                <w:lang w:val="en-US" w:eastAsia="zh-CN"/>
                <w14:textFill>
                  <w14:solidFill>
                    <w14:schemeClr w14:val="tx1"/>
                  </w14:solidFill>
                </w14:textFill>
              </w:rPr>
              <w:t>附图2</w:t>
            </w:r>
            <w:r>
              <w:rPr>
                <w:rFonts w:hint="default" w:ascii="Times New Roman" w:hAnsi="Times New Roman" w:eastAsia="宋体" w:cs="Times New Roman"/>
                <w:bCs/>
                <w:color w:val="000000" w:themeColor="text1"/>
                <w:lang w:val="en-US" w:eastAsia="zh-CN"/>
                <w14:textFill>
                  <w14:solidFill>
                    <w14:schemeClr w14:val="tx1"/>
                  </w14:solidFill>
                </w14:textFill>
              </w:rPr>
              <w:t>园区规划。</w:t>
            </w:r>
          </w:p>
          <w:p w14:paraId="0767A532">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2 本项目与《新疆阜康产业园总体规划修编（2019-2030）环境影响报告书》及审查意见的符合性分析</w:t>
            </w:r>
          </w:p>
          <w:p w14:paraId="68FBDD7A">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强化规划引导，高标准建设园区。严格执行《自治区打赢蓝天保卫战三年行动计划（2018—2020年）》（新政发〔2018〕66号）、《关于加强乌鲁木齐、昌吉、石河子、五家渠区域环境同防同治的意见》（新政发〔2016〕140号）等文件要求，坚持以环境质量改善为核心，遵循环保优先和绿色发展原则，依据区域环境同防同治主要任务要求，合理确定园区产业结构和布局，控制开发规模和强度，强化区域大气污染物综合治理、水环境治理、土壤环境管理、生态环境保护、环境监管，避免因规划实施加剧区域大气环境污染程度。加强与阜康市国土空间规划的有效衔接，优化园区用地规划方案，合理规划土地利用功能，园区内除已建成的项目外，三类工业用地全部调整为一、二类工业用地。</w:t>
            </w:r>
          </w:p>
          <w:p w14:paraId="106A48C0">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坚守环境质量底线，严格污染物总量管控。根据规划区域及周边环境质量现状和目标，确定区域污染物排放总量上限。采取有效措施削减污染物的排放量，严格落实污染物排放总量两倍替代要求，确保实现区域环境质量改善。</w:t>
            </w:r>
          </w:p>
          <w:p w14:paraId="327097E3">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各类大气污染物排放须满足国家和自治区最新污染物排放标准要求，落实污染物总量控制和减排任务。对于现有高污染、高排放、无法满足最新排放标准的企业应限期升级改造，整改后仍无法满足排放标准的应转型、退出，切实推进园区产业升级、结构调整。</w:t>
            </w:r>
          </w:p>
          <w:p w14:paraId="165C5988">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lang w:val="en-US" w:eastAsia="zh-CN"/>
                <w14:textFill>
                  <w14:solidFill>
                    <w14:schemeClr w14:val="tx1"/>
                  </w14:solidFill>
                </w14:textFill>
              </w:rPr>
              <w:t>本项目位于</w:t>
            </w:r>
            <w:r>
              <w:rPr>
                <w:rFonts w:hint="default" w:ascii="Times New Roman" w:hAnsi="Times New Roman" w:eastAsia="宋体" w:cs="Times New Roman"/>
                <w:i w:val="0"/>
                <w:iCs w:val="0"/>
                <w:caps w:val="0"/>
                <w:spacing w:val="0"/>
                <w:sz w:val="24"/>
                <w:szCs w:val="24"/>
              </w:rPr>
              <w:t>新兴铸管阜康能源有限公司</w:t>
            </w:r>
            <w:r>
              <w:rPr>
                <w:rFonts w:hint="default" w:ascii="Times New Roman" w:hAnsi="Times New Roman" w:eastAsia="宋体" w:cs="Times New Roman"/>
                <w:i w:val="0"/>
                <w:iCs w:val="0"/>
                <w:caps w:val="0"/>
                <w:spacing w:val="0"/>
                <w:sz w:val="24"/>
                <w:szCs w:val="24"/>
                <w:lang w:val="en-US" w:eastAsia="zh-CN"/>
              </w:rPr>
              <w:t>厂区内，属于工业用地</w:t>
            </w:r>
            <w:r>
              <w:rPr>
                <w:rFonts w:hint="default" w:ascii="Times New Roman" w:hAnsi="Times New Roman" w:eastAsia="宋体" w:cs="Times New Roman"/>
                <w:bCs/>
                <w:color w:val="000000" w:themeColor="text1"/>
                <w:lang w:val="en-US" w:eastAsia="zh-CN"/>
                <w14:textFill>
                  <w14:solidFill>
                    <w14:schemeClr w14:val="tx1"/>
                  </w14:solidFill>
                </w14:textFill>
              </w:rPr>
              <w:t>，天然气锅炉采用低氮燃烧器+烟气再循环技术工艺，产生的废气满足排放限值，因此本项目符合</w:t>
            </w:r>
            <w:r>
              <w:rPr>
                <w:rFonts w:hint="default" w:ascii="Times New Roman" w:hAnsi="Times New Roman" w:eastAsia="宋体" w:cs="Times New Roman"/>
                <w:color w:val="000000" w:themeColor="text1"/>
                <w:lang w:val="en-US" w:eastAsia="zh-CN"/>
                <w14:textFill>
                  <w14:solidFill>
                    <w14:schemeClr w14:val="tx1"/>
                  </w14:solidFill>
                </w14:textFill>
              </w:rPr>
              <w:t>《新疆阜康产业园总体规划修</w:t>
            </w:r>
            <w:r>
              <w:rPr>
                <w:rFonts w:hint="default" w:ascii="Times New Roman" w:hAnsi="Times New Roman" w:eastAsia="宋体" w:cs="Times New Roman"/>
                <w:bCs/>
                <w:color w:val="000000" w:themeColor="text1"/>
                <w:lang w:val="en-US" w:eastAsia="zh-CN"/>
                <w14:textFill>
                  <w14:solidFill>
                    <w14:schemeClr w14:val="tx1"/>
                  </w14:solidFill>
                </w14:textFill>
              </w:rPr>
              <w:t>编</w:t>
            </w:r>
            <w:r>
              <w:rPr>
                <w:rFonts w:hint="default" w:ascii="Times New Roman" w:hAnsi="Times New Roman" w:eastAsia="宋体" w:cs="Times New Roman"/>
                <w:color w:val="000000" w:themeColor="text1"/>
                <w:lang w:val="en-US" w:eastAsia="zh-CN"/>
                <w14:textFill>
                  <w14:solidFill>
                    <w14:schemeClr w14:val="tx1"/>
                  </w14:solidFill>
                </w14:textFill>
              </w:rPr>
              <w:t>（2019-2030）环境影响报告书》及审查意见中的要求。</w:t>
            </w:r>
          </w:p>
        </w:tc>
      </w:tr>
      <w:tr w14:paraId="52764D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6" w:hRule="atLeast"/>
        </w:trPr>
        <w:tc>
          <w:tcPr>
            <w:tcW w:w="1714" w:type="dxa"/>
            <w:tcBorders>
              <w:tl2br w:val="nil"/>
              <w:tr2bl w:val="nil"/>
            </w:tcBorders>
            <w:shd w:val="clear" w:color="auto" w:fill="auto"/>
            <w:vAlign w:val="center"/>
          </w:tcPr>
          <w:p w14:paraId="56C6F9B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snapToGrid w:val="0"/>
                <w:color w:val="000000" w:themeColor="text1"/>
                <w:kern w:val="0"/>
                <w:szCs w:val="21"/>
                <w14:textFill>
                  <w14:solidFill>
                    <w14:schemeClr w14:val="tx1"/>
                  </w14:solidFill>
                </w14:textFill>
              </w:rPr>
            </w:pPr>
            <w:r>
              <w:rPr>
                <w:rFonts w:hint="default" w:ascii="Times New Roman" w:hAnsi="Times New Roman" w:eastAsia="宋体" w:cs="Times New Roman"/>
                <w:b w:val="0"/>
                <w:bCs/>
                <w:color w:val="000000" w:themeColor="text1"/>
                <w:kern w:val="0"/>
                <w:szCs w:val="21"/>
                <w14:textFill>
                  <w14:solidFill>
                    <w14:schemeClr w14:val="tx1"/>
                  </w14:solidFill>
                </w14:textFill>
              </w:rPr>
              <w:t>其他符合性分析</w:t>
            </w:r>
          </w:p>
        </w:tc>
        <w:tc>
          <w:tcPr>
            <w:tcW w:w="6808" w:type="dxa"/>
            <w:gridSpan w:val="3"/>
            <w:tcBorders>
              <w:tl2br w:val="nil"/>
              <w:tr2bl w:val="nil"/>
            </w:tcBorders>
            <w:shd w:val="clear" w:color="auto" w:fill="auto"/>
            <w:vAlign w:val="center"/>
          </w:tcPr>
          <w:p w14:paraId="707820AF">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1 </w:t>
            </w:r>
            <w:r>
              <w:rPr>
                <w:rFonts w:hint="default" w:ascii="Times New Roman" w:hAnsi="Times New Roman" w:eastAsia="宋体" w:cs="Times New Roman"/>
                <w:color w:val="000000" w:themeColor="text1"/>
                <w:sz w:val="24"/>
                <w:szCs w:val="24"/>
                <w14:textFill>
                  <w14:solidFill>
                    <w14:schemeClr w14:val="tx1"/>
                  </w14:solidFill>
                </w14:textFill>
              </w:rPr>
              <w:t>产业政策符合性分析</w:t>
            </w:r>
          </w:p>
          <w:p w14:paraId="45AD6021">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根据《国民经济行业分类与代码》</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GB4754-2017</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，本项目属于</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D4430</w:t>
            </w:r>
            <w:r>
              <w:rPr>
                <w:rFonts w:hint="default" w:ascii="Times New Roman" w:hAnsi="Times New Roman" w:eastAsia="宋体" w:cs="Times New Roman"/>
                <w:b w:val="0"/>
                <w:bCs/>
                <w:color w:val="000000" w:themeColor="text1"/>
                <w:lang w:val="en-US" w:eastAsia="zh-CN"/>
                <w14:textFill>
                  <w14:solidFill>
                    <w14:schemeClr w14:val="tx1"/>
                  </w14:solidFill>
                </w14:textFill>
              </w:rPr>
              <w:t>热力生产和供应业</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根据国家发展和改革委员会令第</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eastAsia="宋体" w:cs="Times New Roman"/>
                <w:color w:val="000000" w:themeColor="text1"/>
                <w14:textFill>
                  <w14:solidFill>
                    <w14:schemeClr w14:val="tx1"/>
                  </w14:solidFill>
                </w14:textFill>
              </w:rPr>
              <w:t>号令《产业结构调整指导目录（20</w:t>
            </w:r>
            <w:r>
              <w:rPr>
                <w:rFonts w:hint="default" w:ascii="Times New Roman" w:hAnsi="Times New Roman" w:eastAsia="宋体" w:cs="Times New Roman"/>
                <w:color w:val="000000" w:themeColor="text1"/>
                <w:lang w:val="en-US" w:eastAsia="zh-CN"/>
                <w14:textFill>
                  <w14:solidFill>
                    <w14:schemeClr w14:val="tx1"/>
                  </w14:solidFill>
                </w14:textFill>
              </w:rPr>
              <w:t>24</w:t>
            </w:r>
            <w:r>
              <w:rPr>
                <w:rFonts w:hint="default" w:ascii="Times New Roman" w:hAnsi="Times New Roman" w:eastAsia="宋体" w:cs="Times New Roman"/>
                <w:color w:val="000000" w:themeColor="text1"/>
                <w14:textFill>
                  <w14:solidFill>
                    <w14:schemeClr w14:val="tx1"/>
                  </w14:solidFill>
                </w14:textFill>
              </w:rPr>
              <w:t>年本）》</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本项目不属于“</w:t>
            </w:r>
            <w:r>
              <w:rPr>
                <w:rFonts w:hint="default" w:ascii="Times New Roman" w:hAnsi="Times New Roman" w:eastAsia="宋体" w:cs="Times New Roman"/>
                <w:color w:val="000000" w:themeColor="text1"/>
                <w:sz w:val="24"/>
                <w:szCs w:val="24"/>
                <w:lang w:val="en-US"/>
                <w14:textFill>
                  <w14:solidFill>
                    <w14:schemeClr w14:val="tx1"/>
                  </w14:solidFill>
                </w14:textFill>
              </w:rPr>
              <w:t>限制类</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14:textFill>
                  <w14:solidFill>
                    <w14:schemeClr w14:val="tx1"/>
                  </w14:solidFill>
                </w14:textFill>
              </w:rPr>
              <w:t>淘汰类和鼓励类</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w:t>
            </w:r>
            <w:r>
              <w:rPr>
                <w:rFonts w:hint="default" w:ascii="Times New Roman" w:hAnsi="Times New Roman" w:eastAsia="宋体" w:cs="Times New Roman"/>
                <w:color w:val="000000" w:themeColor="text1"/>
                <w:sz w:val="24"/>
                <w:szCs w:val="24"/>
                <w:lang w:val="en-US"/>
                <w14:textFill>
                  <w14:solidFill>
                    <w14:schemeClr w14:val="tx1"/>
                  </w14:solidFill>
                </w14:textFill>
              </w:rPr>
              <w:t>允许类</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”规定范畴，</w:t>
            </w:r>
            <w:r>
              <w:rPr>
                <w:rFonts w:hint="default" w:ascii="Times New Roman" w:hAnsi="Times New Roman" w:eastAsia="宋体" w:cs="Times New Roman"/>
                <w:color w:val="000000" w:themeColor="text1"/>
                <w14:textFill>
                  <w14:solidFill>
                    <w14:schemeClr w14:val="tx1"/>
                  </w14:solidFill>
                </w14:textFill>
              </w:rPr>
              <w:t>因此，本项目符合现行国家产业政策的有关要求。</w:t>
            </w:r>
          </w:p>
          <w:p w14:paraId="05C9D879">
            <w:pPr>
              <w:pStyle w:val="2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2</w:t>
            </w:r>
            <w:r>
              <w:rPr>
                <w:rFonts w:hint="default" w:ascii="Times New Roman" w:hAnsi="Times New Roman" w:eastAsia="宋体" w:cs="Times New Roman"/>
                <w:b/>
                <w:bCs/>
                <w:color w:val="000000" w:themeColor="text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14:textFill>
                  <w14:solidFill>
                    <w14:schemeClr w14:val="tx1"/>
                  </w14:solidFill>
                </w14:textFill>
              </w:rPr>
              <w:t>与《新疆维吾尔自治区生态环境分区管控动态更新成果》的符合性分析</w:t>
            </w:r>
          </w:p>
          <w:p w14:paraId="56BA85A3">
            <w:pPr>
              <w:pStyle w:val="25"/>
              <w:keepNext w:val="0"/>
              <w:keepLines w:val="0"/>
              <w:numPr>
                <w:ilvl w:val="0"/>
                <w:numId w:val="0"/>
              </w:numPr>
              <w:suppressLineNumbers w:val="0"/>
              <w:spacing w:before="0" w:beforeAutospacing="0" w:after="0" w:afterAutospacing="0" w:line="360" w:lineRule="auto"/>
              <w:ind w:left="0" w:right="0" w:firstLine="480" w:firstLineChars="200"/>
              <w:jc w:val="both"/>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本项目与《新疆维吾尔自治区生态环境分区管控动态更新成果》符合性分析。</w:t>
            </w:r>
          </w:p>
          <w:p w14:paraId="16C4DF19">
            <w:pPr>
              <w:pStyle w:val="25"/>
              <w:keepNext w:val="0"/>
              <w:keepLines w:val="0"/>
              <w:numPr>
                <w:ilvl w:val="0"/>
                <w:numId w:val="0"/>
              </w:numPr>
              <w:suppressLineNumbers w:val="0"/>
              <w:spacing w:before="0" w:beforeAutospacing="0" w:after="0" w:afterAutospacing="0" w:line="360" w:lineRule="auto"/>
              <w:ind w:left="0" w:right="0" w:firstLine="480" w:firstLineChars="200"/>
              <w:jc w:val="both"/>
              <w:rPr>
                <w:rFonts w:hint="eastAsia" w:eastAsia="宋体"/>
                <w:color w:val="000000" w:themeColor="text1"/>
                <w:lang w:eastAsia="zh-CN"/>
                <w14:textFill>
                  <w14:solidFill>
                    <w14:schemeClr w14:val="tx1"/>
                  </w14:solidFill>
                </w14:textFill>
              </w:rPr>
            </w:pPr>
            <w:r>
              <w:rPr>
                <w:rFonts w:hint="default"/>
                <w:color w:val="000000" w:themeColor="text1"/>
                <w14:textFill>
                  <w14:solidFill>
                    <w14:schemeClr w14:val="tx1"/>
                  </w14:solidFill>
                </w14:textFill>
              </w:rPr>
              <w:t>2024年11月15日新疆维吾尔自治区生态环境厅发布了</w:t>
            </w:r>
            <w:r>
              <w:rPr>
                <w:rFonts w:hint="eastAsia"/>
                <w:color w:val="000000" w:themeColor="text1"/>
                <w:lang w:eastAsia="zh-CN"/>
                <w14:textFill>
                  <w14:solidFill>
                    <w14:schemeClr w14:val="tx1"/>
                  </w14:solidFill>
                </w14:textFill>
              </w:rPr>
              <w:t>“</w:t>
            </w:r>
            <w:r>
              <w:rPr>
                <w:rFonts w:hint="default"/>
                <w:color w:val="000000" w:themeColor="text1"/>
                <w14:textFill>
                  <w14:solidFill>
                    <w14:schemeClr w14:val="tx1"/>
                  </w14:solidFill>
                </w14:textFill>
              </w:rPr>
              <w:t>关于印发《新疆维吾尔自治区生态环境分区管控动态更新成果》的通知</w:t>
            </w:r>
            <w:r>
              <w:rPr>
                <w:rFonts w:hint="eastAsia"/>
                <w:color w:val="000000" w:themeColor="text1"/>
                <w:lang w:eastAsia="zh-CN"/>
                <w14:textFill>
                  <w14:solidFill>
                    <w14:schemeClr w14:val="tx1"/>
                  </w14:solidFill>
                </w14:textFill>
              </w:rPr>
              <w:t>”（</w:t>
            </w:r>
            <w:r>
              <w:rPr>
                <w:rFonts w:hint="default"/>
                <w:color w:val="000000" w:themeColor="text1"/>
                <w14:textFill>
                  <w14:solidFill>
                    <w14:schemeClr w14:val="tx1"/>
                  </w14:solidFill>
                </w14:textFill>
              </w:rPr>
              <w:t>新环环评发〔2024〕157号</w:t>
            </w:r>
            <w:r>
              <w:rPr>
                <w:rFonts w:hint="eastAsia"/>
                <w:color w:val="000000" w:themeColor="text1"/>
                <w:lang w:eastAsia="zh-CN"/>
                <w14:textFill>
                  <w14:solidFill>
                    <w14:schemeClr w14:val="tx1"/>
                  </w14:solidFill>
                </w14:textFill>
              </w:rPr>
              <w:t>）</w:t>
            </w:r>
            <w:r>
              <w:rPr>
                <w:rFonts w:hint="default"/>
                <w:color w:val="000000" w:themeColor="text1"/>
                <w14:textFill>
                  <w14:solidFill>
                    <w14:schemeClr w14:val="tx1"/>
                  </w14:solidFill>
                </w14:textFill>
              </w:rPr>
              <w:t>，自治区共划定1777个环境管控单元，分为优先保护单元、重点管控单元和一般管控单元三类，实施分类管控</w:t>
            </w:r>
            <w:r>
              <w:rPr>
                <w:rFonts w:hint="eastAsia"/>
                <w:color w:val="000000" w:themeColor="text1"/>
                <w:lang w:eastAsia="zh-CN"/>
                <w14:textFill>
                  <w14:solidFill>
                    <w14:schemeClr w14:val="tx1"/>
                  </w14:solidFill>
                </w14:textFill>
              </w:rPr>
              <w:t>。</w:t>
            </w:r>
          </w:p>
          <w:p w14:paraId="6B570A49">
            <w:pPr>
              <w:pStyle w:val="38"/>
              <w:keepNext w:val="0"/>
              <w:keepLines w:val="0"/>
              <w:suppressLineNumbers w:val="0"/>
              <w:spacing w:before="0" w:beforeAutospacing="0" w:after="0" w:afterAutospacing="0" w:line="240" w:lineRule="auto"/>
              <w:ind w:left="0" w:right="0"/>
              <w:rPr>
                <w:rFonts w:hint="default"/>
                <w:color w:val="000000" w:themeColor="text1"/>
                <w:sz w:val="21"/>
                <w:szCs w:val="21"/>
                <w14:textFill>
                  <w14:solidFill>
                    <w14:schemeClr w14:val="tx1"/>
                  </w14:solidFill>
                </w14:textFill>
              </w:rPr>
            </w:pPr>
            <w:r>
              <w:rPr>
                <w:rFonts w:hint="default"/>
                <w:color w:val="000000" w:themeColor="text1"/>
                <w:sz w:val="21"/>
                <w:szCs w:val="21"/>
                <w14:textFill>
                  <w14:solidFill>
                    <w14:schemeClr w14:val="tx1"/>
                  </w14:solidFill>
                </w14:textFill>
              </w:rPr>
              <w:t>表</w:t>
            </w: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1</w:t>
            </w:r>
            <w:r>
              <w:rPr>
                <w:rFonts w:hint="default"/>
                <w:color w:val="000000" w:themeColor="text1"/>
                <w:sz w:val="21"/>
                <w:szCs w:val="21"/>
                <w14:textFill>
                  <w14:solidFill>
                    <w14:schemeClr w14:val="tx1"/>
                  </w14:solidFill>
                </w14:textFill>
              </w:rPr>
              <w:t xml:space="preserve">   本项目与</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新疆维吾尔自治区生态环境分区管控动态更新成果</w:t>
            </w:r>
            <w:r>
              <w:rPr>
                <w:rFonts w:hint="eastAsia"/>
                <w:color w:val="000000" w:themeColor="text1"/>
                <w:sz w:val="21"/>
                <w:szCs w:val="21"/>
                <w14:textFill>
                  <w14:solidFill>
                    <w14:schemeClr w14:val="tx1"/>
                  </w14:solidFill>
                </w14:textFill>
              </w:rPr>
              <w:t>》符合性分析</w:t>
            </w:r>
            <w:r>
              <w:rPr>
                <w:rFonts w:hint="default"/>
                <w:color w:val="000000" w:themeColor="text1"/>
                <w:sz w:val="21"/>
                <w:szCs w:val="21"/>
                <w14:textFill>
                  <w14:solidFill>
                    <w14:schemeClr w14:val="tx1"/>
                  </w14:solidFill>
                </w14:textFill>
              </w:rPr>
              <w:t>一览表</w:t>
            </w:r>
          </w:p>
          <w:tbl>
            <w:tblPr>
              <w:tblStyle w:val="29"/>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4"/>
              <w:gridCol w:w="635"/>
              <w:gridCol w:w="3050"/>
              <w:gridCol w:w="1600"/>
              <w:gridCol w:w="668"/>
            </w:tblGrid>
            <w:tr w14:paraId="1B5D00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3" w:type="pct"/>
                  <w:gridSpan w:val="2"/>
                  <w:tcBorders>
                    <w:bottom w:val="single" w:color="auto" w:sz="12" w:space="0"/>
                  </w:tcBorders>
                  <w:noWrap w:val="0"/>
                  <w:vAlign w:val="center"/>
                </w:tcPr>
                <w:p w14:paraId="5341EFAC">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eastAsia="宋体"/>
                      <w:b/>
                      <w:bCs w:val="0"/>
                      <w:color w:val="000000" w:themeColor="text1"/>
                      <w:sz w:val="21"/>
                      <w:szCs w:val="21"/>
                      <w:highlight w:val="none"/>
                      <w:lang w:val="en-US" w:eastAsia="zh-CN"/>
                      <w14:textFill>
                        <w14:solidFill>
                          <w14:schemeClr w14:val="tx1"/>
                        </w14:solidFill>
                      </w14:textFill>
                    </w:rPr>
                  </w:pPr>
                  <w:r>
                    <w:rPr>
                      <w:rFonts w:hint="eastAsia"/>
                      <w:b/>
                      <w:bCs w:val="0"/>
                      <w:color w:val="000000" w:themeColor="text1"/>
                      <w:sz w:val="21"/>
                      <w:szCs w:val="21"/>
                      <w:highlight w:val="none"/>
                      <w:lang w:val="en-US" w:eastAsia="zh-CN"/>
                      <w14:textFill>
                        <w14:solidFill>
                          <w14:schemeClr w14:val="tx1"/>
                        </w14:solidFill>
                      </w14:textFill>
                    </w:rPr>
                    <w:t>管控维度</w:t>
                  </w:r>
                </w:p>
              </w:tc>
              <w:tc>
                <w:tcPr>
                  <w:tcW w:w="2315" w:type="pct"/>
                  <w:tcBorders>
                    <w:bottom w:val="single" w:color="auto" w:sz="12" w:space="0"/>
                  </w:tcBorders>
                  <w:noWrap w:val="0"/>
                  <w:vAlign w:val="center"/>
                </w:tcPr>
                <w:p w14:paraId="47058C56">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bCs w:val="0"/>
                      <w:color w:val="000000" w:themeColor="text1"/>
                      <w:sz w:val="21"/>
                      <w:szCs w:val="21"/>
                      <w:highlight w:val="none"/>
                      <w14:textFill>
                        <w14:solidFill>
                          <w14:schemeClr w14:val="tx1"/>
                        </w14:solidFill>
                      </w14:textFill>
                    </w:rPr>
                  </w:pPr>
                  <w:r>
                    <w:rPr>
                      <w:rFonts w:hint="eastAsia"/>
                      <w:b/>
                      <w:bCs w:val="0"/>
                      <w:color w:val="000000" w:themeColor="text1"/>
                      <w:sz w:val="21"/>
                      <w:szCs w:val="21"/>
                      <w:highlight w:val="none"/>
                      <w:lang w:val="en-US" w:eastAsia="zh-CN"/>
                      <w14:textFill>
                        <w14:solidFill>
                          <w14:schemeClr w14:val="tx1"/>
                        </w14:solidFill>
                      </w14:textFill>
                    </w:rPr>
                    <w:t>与本项目有关的管控要求</w:t>
                  </w:r>
                </w:p>
              </w:tc>
              <w:tc>
                <w:tcPr>
                  <w:tcW w:w="1214" w:type="pct"/>
                  <w:tcBorders>
                    <w:bottom w:val="single" w:color="auto" w:sz="12" w:space="0"/>
                  </w:tcBorders>
                  <w:noWrap w:val="0"/>
                  <w:vAlign w:val="center"/>
                </w:tcPr>
                <w:p w14:paraId="503FDA5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bCs w:val="0"/>
                      <w:color w:val="000000" w:themeColor="text1"/>
                      <w:sz w:val="21"/>
                      <w:szCs w:val="21"/>
                      <w:highlight w:val="none"/>
                      <w14:textFill>
                        <w14:solidFill>
                          <w14:schemeClr w14:val="tx1"/>
                        </w14:solidFill>
                      </w14:textFill>
                    </w:rPr>
                  </w:pPr>
                  <w:r>
                    <w:rPr>
                      <w:rFonts w:hint="default"/>
                      <w:b/>
                      <w:bCs/>
                      <w:color w:val="000000" w:themeColor="text1"/>
                      <w:sz w:val="21"/>
                      <w:szCs w:val="21"/>
                      <w14:textFill>
                        <w14:solidFill>
                          <w14:schemeClr w14:val="tx1"/>
                        </w14:solidFill>
                      </w14:textFill>
                    </w:rPr>
                    <w:t>本项目工程概况</w:t>
                  </w:r>
                </w:p>
              </w:tc>
              <w:tc>
                <w:tcPr>
                  <w:tcW w:w="507" w:type="pct"/>
                  <w:tcBorders>
                    <w:bottom w:val="single" w:color="auto" w:sz="12" w:space="0"/>
                  </w:tcBorders>
                  <w:noWrap w:val="0"/>
                  <w:vAlign w:val="center"/>
                </w:tcPr>
                <w:p w14:paraId="483EF35A">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eastAsia="宋体"/>
                      <w:b/>
                      <w:bCs w:val="0"/>
                      <w:color w:val="000000" w:themeColor="text1"/>
                      <w:sz w:val="21"/>
                      <w:szCs w:val="21"/>
                      <w:highlight w:val="none"/>
                      <w:lang w:val="en-US" w:eastAsia="zh-CN"/>
                      <w14:textFill>
                        <w14:solidFill>
                          <w14:schemeClr w14:val="tx1"/>
                        </w14:solidFill>
                      </w14:textFill>
                    </w:rPr>
                  </w:pPr>
                  <w:r>
                    <w:rPr>
                      <w:rFonts w:hint="default"/>
                      <w:b/>
                      <w:bCs w:val="0"/>
                      <w:color w:val="000000" w:themeColor="text1"/>
                      <w:sz w:val="21"/>
                      <w:szCs w:val="21"/>
                      <w:highlight w:val="none"/>
                      <w14:textFill>
                        <w14:solidFill>
                          <w14:schemeClr w14:val="tx1"/>
                        </w14:solidFill>
                      </w14:textFill>
                    </w:rPr>
                    <w:t>符合</w:t>
                  </w:r>
                  <w:r>
                    <w:rPr>
                      <w:rFonts w:hint="eastAsia"/>
                      <w:b/>
                      <w:bCs w:val="0"/>
                      <w:color w:val="000000" w:themeColor="text1"/>
                      <w:sz w:val="21"/>
                      <w:szCs w:val="21"/>
                      <w:highlight w:val="none"/>
                      <w:lang w:val="en-US" w:eastAsia="zh-CN"/>
                      <w14:textFill>
                        <w14:solidFill>
                          <w14:schemeClr w14:val="tx1"/>
                        </w14:solidFill>
                      </w14:textFill>
                    </w:rPr>
                    <w:t>性</w:t>
                  </w:r>
                </w:p>
              </w:tc>
            </w:tr>
            <w:tr w14:paraId="57C8F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restart"/>
                  <w:tcBorders>
                    <w:top w:val="single" w:color="auto" w:sz="12" w:space="0"/>
                  </w:tcBorders>
                  <w:noWrap w:val="0"/>
                  <w:vAlign w:val="center"/>
                </w:tcPr>
                <w:p w14:paraId="1906F93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A1空间布局约束</w:t>
                  </w:r>
                </w:p>
              </w:tc>
              <w:tc>
                <w:tcPr>
                  <w:tcW w:w="482" w:type="pct"/>
                  <w:vMerge w:val="restart"/>
                  <w:tcBorders>
                    <w:top w:val="single" w:color="auto" w:sz="12" w:space="0"/>
                  </w:tcBorders>
                  <w:noWrap w:val="0"/>
                  <w:vAlign w:val="center"/>
                </w:tcPr>
                <w:p w14:paraId="111EA105">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A1.1禁止开发建设的活动</w:t>
                  </w:r>
                </w:p>
              </w:tc>
              <w:tc>
                <w:tcPr>
                  <w:tcW w:w="2315" w:type="pct"/>
                  <w:tcBorders>
                    <w:top w:val="single" w:color="auto" w:sz="12" w:space="0"/>
                  </w:tcBorders>
                  <w:noWrap w:val="0"/>
                  <w:vAlign w:val="center"/>
                </w:tcPr>
                <w:p w14:paraId="4E2E0D1A">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〔A1.1-1〕禁止新建、扩建《产业结构调整指导目录（2024年版）》中淘汰类项目。禁止引入《市场准入负面清单（2022年版）》禁止准入类事项。</w:t>
                  </w:r>
                </w:p>
              </w:tc>
              <w:tc>
                <w:tcPr>
                  <w:tcW w:w="1214" w:type="pct"/>
                  <w:vMerge w:val="restart"/>
                  <w:tcBorders>
                    <w:top w:val="single" w:color="auto" w:sz="12" w:space="0"/>
                  </w:tcBorders>
                  <w:noWrap w:val="0"/>
                  <w:vAlign w:val="center"/>
                </w:tcPr>
                <w:p w14:paraId="0D286CB6">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本项目不属于</w:t>
                  </w:r>
                  <w:r>
                    <w:rPr>
                      <w:rFonts w:hint="eastAsia"/>
                      <w:b w:val="0"/>
                      <w:bCs/>
                      <w:color w:val="000000" w:themeColor="text1"/>
                      <w:sz w:val="21"/>
                      <w:szCs w:val="21"/>
                      <w:highlight w:val="none"/>
                      <w14:textFill>
                        <w14:solidFill>
                          <w14:schemeClr w14:val="tx1"/>
                        </w14:solidFill>
                      </w14:textFill>
                    </w:rPr>
                    <w:t>《产业结构调整指导目录（2024年本）》</w:t>
                  </w:r>
                  <w:r>
                    <w:rPr>
                      <w:rFonts w:hint="eastAsia"/>
                      <w:b w:val="0"/>
                      <w:bCs/>
                      <w:color w:val="000000" w:themeColor="text1"/>
                      <w:sz w:val="21"/>
                      <w:szCs w:val="21"/>
                      <w:highlight w:val="none"/>
                      <w:lang w:val="en-US" w:eastAsia="zh-CN"/>
                      <w14:textFill>
                        <w14:solidFill>
                          <w14:schemeClr w14:val="tx1"/>
                        </w14:solidFill>
                      </w14:textFill>
                    </w:rPr>
                    <w:t>中的</w:t>
                  </w:r>
                  <w:r>
                    <w:rPr>
                      <w:rFonts w:hint="eastAsia"/>
                      <w:b w:val="0"/>
                      <w:bCs/>
                      <w:color w:val="000000" w:themeColor="text1"/>
                      <w:sz w:val="21"/>
                      <w:szCs w:val="21"/>
                      <w:highlight w:val="none"/>
                      <w14:textFill>
                        <w14:solidFill>
                          <w14:schemeClr w14:val="tx1"/>
                        </w14:solidFill>
                      </w14:textFill>
                    </w:rPr>
                    <w:t>鼓励类、限制类和淘汰类，为允许类项目</w:t>
                  </w:r>
                  <w:r>
                    <w:rPr>
                      <w:rFonts w:hint="eastAsia"/>
                      <w:b w:val="0"/>
                      <w:bCs/>
                      <w:color w:val="000000" w:themeColor="text1"/>
                      <w:sz w:val="21"/>
                      <w:szCs w:val="21"/>
                      <w:highlight w:val="none"/>
                      <w:lang w:val="en-US" w:eastAsia="zh-CN"/>
                      <w14:textFill>
                        <w14:solidFill>
                          <w14:schemeClr w14:val="tx1"/>
                        </w14:solidFill>
                      </w14:textFill>
                    </w:rPr>
                    <w:t>，符合相关环境保护标准。</w:t>
                  </w:r>
                </w:p>
              </w:tc>
              <w:tc>
                <w:tcPr>
                  <w:tcW w:w="507" w:type="pct"/>
                  <w:tcBorders>
                    <w:top w:val="single" w:color="auto" w:sz="12" w:space="0"/>
                  </w:tcBorders>
                  <w:noWrap w:val="0"/>
                  <w:vAlign w:val="center"/>
                </w:tcPr>
                <w:p w14:paraId="68342EF3">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3718C0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continue"/>
                  <w:noWrap w:val="0"/>
                  <w:vAlign w:val="center"/>
                </w:tcPr>
                <w:p w14:paraId="11293CC1">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482" w:type="pct"/>
                  <w:vMerge w:val="continue"/>
                  <w:noWrap w:val="0"/>
                  <w:vAlign w:val="center"/>
                </w:tcPr>
                <w:p w14:paraId="179F1078">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2315" w:type="pct"/>
                  <w:noWrap w:val="0"/>
                  <w:vAlign w:val="center"/>
                </w:tcPr>
                <w:p w14:paraId="1D7B82C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〔A1.1-2〕禁止建设不符合国家和自治区环境保护标准的项目。</w:t>
                  </w:r>
                </w:p>
              </w:tc>
              <w:tc>
                <w:tcPr>
                  <w:tcW w:w="1214" w:type="pct"/>
                  <w:vMerge w:val="continue"/>
                  <w:noWrap w:val="0"/>
                  <w:vAlign w:val="center"/>
                </w:tcPr>
                <w:p w14:paraId="04E762F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p>
              </w:tc>
              <w:tc>
                <w:tcPr>
                  <w:tcW w:w="507" w:type="pct"/>
                  <w:noWrap w:val="0"/>
                  <w:vAlign w:val="center"/>
                </w:tcPr>
                <w:p w14:paraId="7D5F417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64BAA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continue"/>
                  <w:noWrap w:val="0"/>
                  <w:vAlign w:val="center"/>
                </w:tcPr>
                <w:p w14:paraId="623CE403">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482" w:type="pct"/>
                  <w:vMerge w:val="restart"/>
                  <w:noWrap w:val="0"/>
                  <w:vAlign w:val="center"/>
                </w:tcPr>
                <w:p w14:paraId="546FA4B2">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A1.2限制开发建设的活动</w:t>
                  </w:r>
                </w:p>
              </w:tc>
              <w:tc>
                <w:tcPr>
                  <w:tcW w:w="2315" w:type="pct"/>
                  <w:noWrap w:val="0"/>
                  <w:vAlign w:val="center"/>
                </w:tcPr>
                <w:p w14:paraId="01173200">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〔A1.2-1〕严格控制缺水地区、水污染严重区域和敏感区域高耗水、高污染行业发展。</w:t>
                  </w:r>
                </w:p>
              </w:tc>
              <w:tc>
                <w:tcPr>
                  <w:tcW w:w="1214" w:type="pct"/>
                  <w:noWrap w:val="0"/>
                  <w:vAlign w:val="center"/>
                </w:tcPr>
                <w:p w14:paraId="654FDF11">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本项目为天然气锅炉建设项目，不属于高耗水、高污染行业。</w:t>
                  </w:r>
                </w:p>
              </w:tc>
              <w:tc>
                <w:tcPr>
                  <w:tcW w:w="507" w:type="pct"/>
                  <w:noWrap w:val="0"/>
                  <w:vAlign w:val="center"/>
                </w:tcPr>
                <w:p w14:paraId="359A739E">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0C8BDC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continue"/>
                  <w:noWrap w:val="0"/>
                  <w:vAlign w:val="center"/>
                </w:tcPr>
                <w:p w14:paraId="07FB5C8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482" w:type="pct"/>
                  <w:vMerge w:val="continue"/>
                  <w:noWrap w:val="0"/>
                  <w:vAlign w:val="center"/>
                </w:tcPr>
                <w:p w14:paraId="268DB71F">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2315" w:type="pct"/>
                  <w:noWrap w:val="0"/>
                  <w:vAlign w:val="center"/>
                </w:tcPr>
                <w:p w14:paraId="7D0FD637">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214" w:type="pct"/>
                  <w:noWrap w:val="0"/>
                  <w:vAlign w:val="center"/>
                </w:tcPr>
                <w:p w14:paraId="385EC205">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本项目位于工业园区，占地类型为工业用地。</w:t>
                  </w:r>
                </w:p>
              </w:tc>
              <w:tc>
                <w:tcPr>
                  <w:tcW w:w="507" w:type="pct"/>
                  <w:noWrap w:val="0"/>
                  <w:vAlign w:val="center"/>
                </w:tcPr>
                <w:p w14:paraId="27A1C912">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504929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restart"/>
                  <w:noWrap w:val="0"/>
                  <w:vAlign w:val="center"/>
                </w:tcPr>
                <w:p w14:paraId="72C50B97">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A2污染物排放管控</w:t>
                  </w:r>
                </w:p>
              </w:tc>
              <w:tc>
                <w:tcPr>
                  <w:tcW w:w="482" w:type="pct"/>
                  <w:vMerge w:val="restart"/>
                  <w:noWrap w:val="0"/>
                  <w:vAlign w:val="center"/>
                </w:tcPr>
                <w:p w14:paraId="0204D078">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A2.1污染物削减/替代要求</w:t>
                  </w:r>
                </w:p>
              </w:tc>
              <w:tc>
                <w:tcPr>
                  <w:tcW w:w="2315" w:type="pct"/>
                  <w:noWrap w:val="0"/>
                  <w:vAlign w:val="center"/>
                </w:tcPr>
                <w:p w14:paraId="031C8EC1">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tc>
              <w:tc>
                <w:tcPr>
                  <w:tcW w:w="1214" w:type="pct"/>
                  <w:vMerge w:val="restart"/>
                  <w:noWrap w:val="0"/>
                  <w:vAlign w:val="center"/>
                </w:tcPr>
                <w:p w14:paraId="0C5D5D8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eastAsia="宋体"/>
                      <w:b w:val="0"/>
                      <w:bCs/>
                      <w:color w:val="000000" w:themeColor="text1"/>
                      <w:sz w:val="21"/>
                      <w:szCs w:val="21"/>
                      <w:highlight w:val="none"/>
                      <w:lang w:val="en-US" w:eastAsia="zh-CN"/>
                      <w14:textFill>
                        <w14:solidFill>
                          <w14:schemeClr w14:val="tx1"/>
                        </w14:solidFill>
                      </w14:textFill>
                    </w:rPr>
                  </w:pPr>
                  <w:r>
                    <w:rPr>
                      <w:rFonts w:hint="default"/>
                      <w:b w:val="0"/>
                      <w:bCs/>
                      <w:color w:val="000000" w:themeColor="text1"/>
                      <w:kern w:val="0"/>
                      <w:sz w:val="21"/>
                      <w:szCs w:val="21"/>
                      <w:highlight w:val="none"/>
                      <w:lang w:bidi="ar"/>
                      <w14:textFill>
                        <w14:solidFill>
                          <w14:schemeClr w14:val="tx1"/>
                        </w14:solidFill>
                      </w14:textFill>
                    </w:rPr>
                    <w:t>本项目位于</w:t>
                  </w:r>
                  <w:r>
                    <w:rPr>
                      <w:rFonts w:hint="default"/>
                      <w:b w:val="0"/>
                      <w:bCs/>
                      <w:color w:val="000000" w:themeColor="text1"/>
                      <w:kern w:val="0"/>
                      <w:sz w:val="21"/>
                      <w:szCs w:val="21"/>
                      <w:highlight w:val="none"/>
                      <w:lang w:val="en-US" w:eastAsia="zh-CN" w:bidi="ar"/>
                      <w14:textFill>
                        <w14:solidFill>
                          <w14:schemeClr w14:val="tx1"/>
                        </w14:solidFill>
                      </w14:textFill>
                    </w:rPr>
                    <w:t>新疆昌吉州阜康市产业园阜东一区百盛路29号</w:t>
                  </w:r>
                  <w:r>
                    <w:rPr>
                      <w:rFonts w:hint="default"/>
                      <w:b w:val="0"/>
                      <w:bCs/>
                      <w:color w:val="000000" w:themeColor="text1"/>
                      <w:kern w:val="0"/>
                      <w:sz w:val="21"/>
                      <w:szCs w:val="21"/>
                      <w:highlight w:val="none"/>
                      <w:lang w:bidi="ar"/>
                      <w14:textFill>
                        <w14:solidFill>
                          <w14:schemeClr w14:val="tx1"/>
                        </w14:solidFill>
                      </w14:textFill>
                    </w:rPr>
                    <w:t>，</w:t>
                  </w:r>
                  <w:r>
                    <w:rPr>
                      <w:rFonts w:hint="eastAsia"/>
                      <w:b w:val="0"/>
                      <w:bCs/>
                      <w:color w:val="000000" w:themeColor="text1"/>
                      <w:kern w:val="0"/>
                      <w:sz w:val="21"/>
                      <w:szCs w:val="21"/>
                      <w:highlight w:val="none"/>
                      <w:lang w:val="en-US" w:eastAsia="zh-CN" w:bidi="ar"/>
                      <w14:textFill>
                        <w14:solidFill>
                          <w14:schemeClr w14:val="tx1"/>
                        </w14:solidFill>
                      </w14:textFill>
                    </w:rPr>
                    <w:t>有组织废气执行最严格的大气污染物排放标准。生产废水回用，不新增生活污水</w:t>
                  </w:r>
                  <w:r>
                    <w:rPr>
                      <w:rFonts w:hint="eastAsia" w:ascii="Times New Roman" w:hAnsi="Times New Roman" w:eastAsia="宋体" w:cs="Times New Roman"/>
                      <w:b w:val="0"/>
                      <w:bCs/>
                      <w:color w:val="000000" w:themeColor="text1"/>
                      <w:kern w:val="0"/>
                      <w:sz w:val="21"/>
                      <w:szCs w:val="21"/>
                      <w:highlight w:val="none"/>
                      <w:lang w:val="en-US" w:eastAsia="zh-CN"/>
                      <w14:textFill>
                        <w14:solidFill>
                          <w14:schemeClr w14:val="tx1"/>
                        </w14:solidFill>
                      </w14:textFill>
                    </w:rPr>
                    <w:t>。</w:t>
                  </w:r>
                </w:p>
              </w:tc>
              <w:tc>
                <w:tcPr>
                  <w:tcW w:w="507" w:type="pct"/>
                  <w:noWrap w:val="0"/>
                  <w:vAlign w:val="center"/>
                </w:tcPr>
                <w:p w14:paraId="109E98B8">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76BD5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continue"/>
                  <w:noWrap w:val="0"/>
                  <w:vAlign w:val="center"/>
                </w:tcPr>
                <w:p w14:paraId="79FDA25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482" w:type="pct"/>
                  <w:vMerge w:val="continue"/>
                  <w:noWrap w:val="0"/>
                  <w:vAlign w:val="center"/>
                </w:tcPr>
                <w:p w14:paraId="3A3D0E52">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2315" w:type="pct"/>
                  <w:noWrap w:val="0"/>
                  <w:vAlign w:val="center"/>
                </w:tcPr>
                <w:p w14:paraId="1306C86B">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p>
              </w:tc>
              <w:tc>
                <w:tcPr>
                  <w:tcW w:w="1214" w:type="pct"/>
                  <w:vMerge w:val="continue"/>
                  <w:noWrap w:val="0"/>
                  <w:vAlign w:val="center"/>
                </w:tcPr>
                <w:p w14:paraId="54C57370">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p>
              </w:tc>
              <w:tc>
                <w:tcPr>
                  <w:tcW w:w="507" w:type="pct"/>
                  <w:noWrap w:val="0"/>
                  <w:vAlign w:val="center"/>
                </w:tcPr>
                <w:p w14:paraId="411B4213">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0954FB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restart"/>
                  <w:noWrap w:val="0"/>
                  <w:vAlign w:val="center"/>
                </w:tcPr>
                <w:p w14:paraId="1DB9D60C">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A3环境风险防控</w:t>
                  </w:r>
                </w:p>
              </w:tc>
              <w:tc>
                <w:tcPr>
                  <w:tcW w:w="482" w:type="pct"/>
                  <w:vMerge w:val="restart"/>
                  <w:noWrap w:val="0"/>
                  <w:vAlign w:val="center"/>
                </w:tcPr>
                <w:p w14:paraId="15771093">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A3.2联防联控要求</w:t>
                  </w:r>
                </w:p>
              </w:tc>
              <w:tc>
                <w:tcPr>
                  <w:tcW w:w="2315" w:type="pct"/>
                  <w:noWrap w:val="0"/>
                  <w:vAlign w:val="center"/>
                </w:tcPr>
                <w:p w14:paraId="6A7B4015">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214" w:type="pct"/>
                  <w:vMerge w:val="restart"/>
                  <w:noWrap w:val="0"/>
                  <w:vAlign w:val="center"/>
                </w:tcPr>
                <w:p w14:paraId="000B845B">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本项目已提出了严格的环境风险防范措施，并要求企业编制突发环境事件应急预案，定期开展应急演练，配备应急物资。</w:t>
                  </w:r>
                </w:p>
              </w:tc>
              <w:tc>
                <w:tcPr>
                  <w:tcW w:w="507" w:type="pct"/>
                  <w:noWrap w:val="0"/>
                  <w:vAlign w:val="center"/>
                </w:tcPr>
                <w:p w14:paraId="23807C9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12E26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vMerge w:val="continue"/>
                  <w:noWrap w:val="0"/>
                  <w:vAlign w:val="center"/>
                </w:tcPr>
                <w:p w14:paraId="7C00B463">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482" w:type="pct"/>
                  <w:vMerge w:val="continue"/>
                  <w:noWrap w:val="0"/>
                  <w:vAlign w:val="center"/>
                </w:tcPr>
                <w:p w14:paraId="0154A32F">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p>
              </w:tc>
              <w:tc>
                <w:tcPr>
                  <w:tcW w:w="2315" w:type="pct"/>
                  <w:noWrap w:val="0"/>
                  <w:vAlign w:val="center"/>
                </w:tcPr>
                <w:p w14:paraId="219AFE92">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214" w:type="pct"/>
                  <w:vMerge w:val="continue"/>
                  <w:noWrap w:val="0"/>
                  <w:vAlign w:val="center"/>
                </w:tcPr>
                <w:p w14:paraId="436B80C8">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p>
              </w:tc>
              <w:tc>
                <w:tcPr>
                  <w:tcW w:w="507" w:type="pct"/>
                  <w:noWrap w:val="0"/>
                  <w:vAlign w:val="center"/>
                </w:tcPr>
                <w:p w14:paraId="30879C6B">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r w14:paraId="71D1E1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1" w:type="pct"/>
                  <w:noWrap w:val="0"/>
                  <w:vAlign w:val="center"/>
                </w:tcPr>
                <w:p w14:paraId="23411356">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A4资源利用要求</w:t>
                  </w:r>
                </w:p>
              </w:tc>
              <w:tc>
                <w:tcPr>
                  <w:tcW w:w="482" w:type="pct"/>
                  <w:noWrap w:val="0"/>
                  <w:vAlign w:val="center"/>
                </w:tcPr>
                <w:p w14:paraId="3CBBB08A">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A4.3能源利用</w:t>
                  </w:r>
                </w:p>
              </w:tc>
              <w:tc>
                <w:tcPr>
                  <w:tcW w:w="2315" w:type="pct"/>
                  <w:noWrap w:val="0"/>
                  <w:vAlign w:val="center"/>
                </w:tcPr>
                <w:p w14:paraId="0CC135B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〔A4.3-4〕鼓励使用清洁能源或电厂热力、工业余热等替代锅炉、炉窑燃料用煤。</w:t>
                  </w:r>
                </w:p>
              </w:tc>
              <w:tc>
                <w:tcPr>
                  <w:tcW w:w="1214" w:type="pct"/>
                  <w:noWrap w:val="0"/>
                  <w:vAlign w:val="center"/>
                </w:tcPr>
                <w:p w14:paraId="6FDE6650">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kern w:val="0"/>
                      <w:sz w:val="21"/>
                      <w:szCs w:val="21"/>
                      <w:highlight w:val="none"/>
                      <w:lang w:val="en-US" w:eastAsia="zh-CN" w:bidi="ar"/>
                      <w14:textFill>
                        <w14:solidFill>
                          <w14:schemeClr w14:val="tx1"/>
                        </w14:solidFill>
                      </w14:textFill>
                    </w:rPr>
                    <w:t>本项目蒸汽锅炉采用清洁能源。</w:t>
                  </w:r>
                </w:p>
              </w:tc>
              <w:tc>
                <w:tcPr>
                  <w:tcW w:w="507" w:type="pct"/>
                  <w:noWrap w:val="0"/>
                  <w:vAlign w:val="center"/>
                </w:tcPr>
                <w:p w14:paraId="07871494">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符合</w:t>
                  </w:r>
                </w:p>
              </w:tc>
            </w:tr>
          </w:tbl>
          <w:p w14:paraId="3B660904">
            <w:pPr>
              <w:pStyle w:val="25"/>
              <w:keepNext w:val="0"/>
              <w:keepLines w:val="0"/>
              <w:numPr>
                <w:ilvl w:val="0"/>
                <w:numId w:val="0"/>
              </w:numPr>
              <w:suppressLineNumbers w:val="0"/>
              <w:spacing w:before="0" w:beforeAutospacing="0" w:after="0" w:afterAutospacing="0" w:line="360" w:lineRule="auto"/>
              <w:ind w:left="0" w:right="0"/>
              <w:jc w:val="both"/>
              <w:rPr>
                <w:rFonts w:hint="default" w:ascii="Times New Roman" w:hAnsi="Times New Roman" w:eastAsia="宋体" w:cs="Times New Roman"/>
                <w:b/>
                <w:bCs/>
                <w:color w:val="0000FF"/>
              </w:rPr>
            </w:pPr>
            <w:r>
              <w:rPr>
                <w:rFonts w:hint="default" w:ascii="Times New Roman" w:hAnsi="Times New Roman" w:eastAsia="宋体" w:cs="Times New Roman"/>
                <w:b/>
                <w:bCs/>
                <w:color w:val="auto"/>
                <w:lang w:val="en-US" w:eastAsia="zh-CN"/>
              </w:rPr>
              <w:t xml:space="preserve">3 </w:t>
            </w:r>
            <w:r>
              <w:rPr>
                <w:rFonts w:hint="default" w:ascii="Times New Roman" w:hAnsi="Times New Roman" w:eastAsia="宋体" w:cs="Times New Roman"/>
                <w:b/>
                <w:bCs/>
                <w:color w:val="auto"/>
              </w:rPr>
              <w:t>与《昌吉回族自治州生态环境分区管控动态更新成果》的符合性分析</w:t>
            </w:r>
          </w:p>
          <w:p w14:paraId="2B550390">
            <w:pPr>
              <w:pStyle w:val="25"/>
              <w:keepNext w:val="0"/>
              <w:keepLines w:val="0"/>
              <w:numPr>
                <w:ilvl w:val="0"/>
                <w:numId w:val="0"/>
              </w:numPr>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根据《昌吉回族自治州生态环境分区管控动态更新成果》得知，</w:t>
            </w:r>
            <w:r>
              <w:rPr>
                <w:rFonts w:hint="default" w:ascii="Times New Roman" w:hAnsi="Times New Roman" w:eastAsia="宋体" w:cs="Times New Roman"/>
                <w:b w:val="0"/>
                <w:bCs w:val="0"/>
                <w:color w:val="auto"/>
              </w:rPr>
              <w:t>本项目位于重点管控单元</w:t>
            </w:r>
            <w:r>
              <w:rPr>
                <w:rFonts w:hint="default" w:ascii="Times New Roman" w:hAnsi="Times New Roman" w:eastAsia="宋体" w:cs="Times New Roman"/>
                <w:b w:val="0"/>
                <w:bCs w:val="0"/>
                <w:color w:val="auto"/>
                <w:lang w:val="en-US" w:eastAsia="zh-CN"/>
              </w:rPr>
              <w:t>阜康产业园区</w:t>
            </w:r>
            <w:r>
              <w:rPr>
                <w:rFonts w:hint="default" w:ascii="Times New Roman" w:hAnsi="Times New Roman" w:eastAsia="宋体" w:cs="Times New Roman"/>
                <w:b w:val="0"/>
                <w:bCs w:val="0"/>
                <w:color w:val="auto"/>
              </w:rPr>
              <w:t>，编号ZH65230220003。昌吉回族自治州生态环境分区管控</w:t>
            </w:r>
            <w:r>
              <w:rPr>
                <w:rFonts w:hint="eastAsia" w:cs="Times New Roman"/>
                <w:b w:val="0"/>
                <w:bCs w:val="0"/>
                <w:color w:val="auto"/>
                <w:lang w:val="en-US" w:eastAsia="zh-CN"/>
              </w:rPr>
              <w:t>单元详见</w:t>
            </w:r>
            <w:r>
              <w:rPr>
                <w:rFonts w:hint="eastAsia" w:cs="Times New Roman"/>
                <w:b/>
                <w:bCs/>
                <w:color w:val="auto"/>
                <w:lang w:val="en-US" w:eastAsia="zh-CN"/>
              </w:rPr>
              <w:t>附图3</w:t>
            </w:r>
            <w:r>
              <w:rPr>
                <w:rFonts w:hint="eastAsia" w:cs="Times New Roman"/>
                <w:b w:val="0"/>
                <w:bCs w:val="0"/>
                <w:color w:val="auto"/>
                <w:lang w:val="en-US" w:eastAsia="zh-CN"/>
              </w:rPr>
              <w:t>。</w:t>
            </w:r>
          </w:p>
          <w:p w14:paraId="2082A88B">
            <w:pPr>
              <w:pStyle w:val="38"/>
              <w:keepNext w:val="0"/>
              <w:keepLines w:val="0"/>
              <w:suppressLineNumbers w:val="0"/>
              <w:spacing w:before="0" w:beforeAutospacing="0" w:after="0" w:afterAutospacing="0"/>
              <w:ind w:left="0" w:right="0" w:firstLine="480" w:firstLineChars="200"/>
              <w:jc w:val="left"/>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本项目与</w:t>
            </w:r>
            <w:r>
              <w:rPr>
                <w:rFonts w:hint="default" w:ascii="Times New Roman" w:hAnsi="Times New Roman" w:eastAsia="宋体" w:cs="Times New Roman"/>
                <w:b w:val="0"/>
                <w:bCs w:val="0"/>
                <w:color w:val="000000" w:themeColor="text1"/>
                <w:lang w:val="en-US" w:eastAsia="zh-CN"/>
                <w14:textFill>
                  <w14:solidFill>
                    <w14:schemeClr w14:val="tx1"/>
                  </w14:solidFill>
                </w14:textFill>
              </w:rPr>
              <w:t>《昌吉回族自治州生态环境分区管控动态更新成果》</w:t>
            </w:r>
            <w:r>
              <w:rPr>
                <w:rFonts w:hint="default" w:ascii="Times New Roman" w:hAnsi="Times New Roman" w:eastAsia="宋体" w:cs="Times New Roman"/>
                <w:b w:val="0"/>
                <w:bCs w:val="0"/>
                <w:color w:val="000000" w:themeColor="text1"/>
                <w14:textFill>
                  <w14:solidFill>
                    <w14:schemeClr w14:val="tx1"/>
                  </w14:solidFill>
                </w14:textFill>
              </w:rPr>
              <w:t>的符合性分析见表1-</w:t>
            </w:r>
            <w:r>
              <w:rPr>
                <w:rFonts w:hint="eastAsia" w:cs="Times New Roman"/>
                <w:b w:val="0"/>
                <w:bCs w:val="0"/>
                <w:color w:val="000000" w:themeColor="text1"/>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693A6537">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表1-</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本项目与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《昌吉回族自治州生态环境分区管控动态更新成果》</w:t>
            </w:r>
            <w:r>
              <w:rPr>
                <w:rFonts w:hint="default" w:ascii="Times New Roman" w:hAnsi="Times New Roman" w:eastAsia="宋体" w:cs="Times New Roman"/>
                <w:color w:val="000000" w:themeColor="text1"/>
                <w:sz w:val="21"/>
                <w:szCs w:val="21"/>
                <w14:textFill>
                  <w14:solidFill>
                    <w14:schemeClr w14:val="tx1"/>
                  </w14:solidFill>
                </w14:textFill>
              </w:rPr>
              <w:t>符合性分析一览表</w:t>
            </w:r>
          </w:p>
          <w:tbl>
            <w:tblPr>
              <w:tblStyle w:val="29"/>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7"/>
              <w:gridCol w:w="432"/>
              <w:gridCol w:w="3228"/>
              <w:gridCol w:w="1890"/>
              <w:gridCol w:w="390"/>
            </w:tblGrid>
            <w:tr w14:paraId="124BE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9" w:type="pct"/>
                  <w:gridSpan w:val="2"/>
                  <w:tcBorders>
                    <w:bottom w:val="single" w:color="auto" w:sz="12" w:space="0"/>
                  </w:tcBorders>
                  <w:vAlign w:val="center"/>
                </w:tcPr>
                <w:p w14:paraId="6A81BCF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内容</w:t>
                  </w:r>
                </w:p>
              </w:tc>
              <w:tc>
                <w:tcPr>
                  <w:tcW w:w="3884" w:type="pct"/>
                  <w:gridSpan w:val="2"/>
                  <w:tcBorders>
                    <w:bottom w:val="single" w:color="auto" w:sz="12" w:space="0"/>
                  </w:tcBorders>
                  <w:vAlign w:val="center"/>
                </w:tcPr>
                <w:p w14:paraId="3716B55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本项目工程概况</w:t>
                  </w:r>
                </w:p>
              </w:tc>
              <w:tc>
                <w:tcPr>
                  <w:tcW w:w="296" w:type="pct"/>
                  <w:tcBorders>
                    <w:bottom w:val="single" w:color="auto" w:sz="12" w:space="0"/>
                  </w:tcBorders>
                  <w:vAlign w:val="center"/>
                </w:tcPr>
                <w:p w14:paraId="1D14F55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符合性</w:t>
                  </w:r>
                </w:p>
              </w:tc>
            </w:tr>
            <w:tr w14:paraId="11F80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1" w:type="pct"/>
                  <w:vMerge w:val="restart"/>
                  <w:tcBorders>
                    <w:top w:val="single" w:color="auto" w:sz="12" w:space="0"/>
                    <w:tl2br w:val="nil"/>
                    <w:tr2bl w:val="nil"/>
                  </w:tcBorders>
                  <w:vAlign w:val="center"/>
                </w:tcPr>
                <w:p w14:paraId="2AA2D95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ZH65230220003</w:t>
                  </w:r>
                  <w:r>
                    <w:rPr>
                      <w:rFonts w:hint="default" w:ascii="Times New Roman" w:hAnsi="Times New Roman" w:eastAsia="宋体" w:cs="Times New Roman"/>
                      <w:b w:val="0"/>
                      <w:bCs w:val="0"/>
                      <w:color w:val="auto"/>
                      <w:lang w:val="en-US" w:eastAsia="zh-CN"/>
                    </w:rPr>
                    <w:t>阜康产业园区</w:t>
                  </w:r>
                  <w:r>
                    <w:rPr>
                      <w:rFonts w:hint="default" w:ascii="Times New Roman" w:hAnsi="Times New Roman" w:eastAsia="宋体" w:cs="Times New Roman"/>
                      <w:b w:val="0"/>
                      <w:bCs w:val="0"/>
                      <w:color w:val="auto"/>
                    </w:rPr>
                    <w:t>（重点管控单元</w:t>
                  </w:r>
                  <w:r>
                    <w:rPr>
                      <w:rFonts w:hint="default" w:ascii="Times New Roman" w:hAnsi="Times New Roman" w:eastAsia="宋体" w:cs="Times New Roman"/>
                      <w:b w:val="0"/>
                      <w:bCs w:val="0"/>
                      <w:color w:val="auto"/>
                      <w:lang w:eastAsia="zh-CN"/>
                    </w:rPr>
                    <w:t>）</w:t>
                  </w:r>
                </w:p>
              </w:tc>
              <w:tc>
                <w:tcPr>
                  <w:tcW w:w="327" w:type="pct"/>
                  <w:tcBorders>
                    <w:top w:val="single" w:color="auto" w:sz="12" w:space="0"/>
                    <w:tl2br w:val="nil"/>
                    <w:tr2bl w:val="nil"/>
                  </w:tcBorders>
                  <w:vAlign w:val="center"/>
                </w:tcPr>
                <w:p w14:paraId="62156808">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空间布局约束</w:t>
                  </w:r>
                </w:p>
              </w:tc>
              <w:tc>
                <w:tcPr>
                  <w:tcW w:w="2450" w:type="pct"/>
                  <w:tcBorders>
                    <w:top w:val="single" w:color="auto" w:sz="12" w:space="0"/>
                    <w:tl2br w:val="nil"/>
                    <w:tr2bl w:val="nil"/>
                  </w:tcBorders>
                  <w:vAlign w:val="center"/>
                </w:tcPr>
                <w:p w14:paraId="19CF3D66">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default" w:ascii="Times New Roman" w:hAnsi="Times New Roman" w:eastAsia="宋体" w:cs="Times New Roman"/>
                      <w:b w:val="0"/>
                      <w:bCs w:val="0"/>
                      <w:color w:val="auto"/>
                      <w:lang w:eastAsia="zh-CN"/>
                    </w:rPr>
                    <w:t>1.入园企业须符合园区产业发展定位、产业发展布局规划。</w:t>
                  </w:r>
                </w:p>
                <w:p w14:paraId="45E7B51B">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default" w:ascii="Times New Roman" w:hAnsi="Times New Roman" w:eastAsia="宋体" w:cs="Times New Roman"/>
                      <w:b w:val="0"/>
                      <w:bCs w:val="0"/>
                      <w:color w:val="auto"/>
                      <w:lang w:eastAsia="zh-CN"/>
                    </w:rPr>
                    <w:t>2.入园企业须符合国土空间规划布局及土地利用等相关要求。</w:t>
                  </w:r>
                </w:p>
                <w:p w14:paraId="58A9F348">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default" w:ascii="Times New Roman" w:hAnsi="Times New Roman" w:eastAsia="宋体" w:cs="Times New Roman"/>
                      <w:b w:val="0"/>
                      <w:bCs w:val="0"/>
                      <w:color w:val="auto"/>
                      <w:lang w:eastAsia="zh-CN"/>
                    </w:rPr>
                    <w:t>3.园区入驻项目须严格执行园区规划及规划环评相关要求。</w:t>
                  </w:r>
                </w:p>
                <w:p w14:paraId="7D4B3BF2">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default" w:ascii="Times New Roman" w:hAnsi="Times New Roman" w:eastAsia="宋体" w:cs="Times New Roman"/>
                      <w:b w:val="0"/>
                      <w:bCs w:val="0"/>
                      <w:color w:val="auto"/>
                      <w:lang w:eastAsia="zh-CN"/>
                    </w:rPr>
                    <w:t>4.园区入驻项目须满足《新疆维吾尔自治区重点行业生态环境准入条件（2024年）》相关要求。</w:t>
                  </w:r>
                </w:p>
                <w:p w14:paraId="3D322752">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default" w:ascii="Times New Roman" w:hAnsi="Times New Roman" w:eastAsia="宋体" w:cs="Times New Roman"/>
                      <w:b w:val="0"/>
                      <w:bCs w:val="0"/>
                      <w:color w:val="auto"/>
                      <w:lang w:eastAsia="zh-CN"/>
                    </w:rPr>
                    <w:t>5.除国家规定新增原料用能不纳入能源消费总量控制的项目和列入国家规划的项目外“</w:t>
                  </w:r>
                  <w:r>
                    <w:rPr>
                      <w:rFonts w:hint="default" w:ascii="Times New Roman" w:hAnsi="Times New Roman" w:eastAsia="宋体" w:cs="Times New Roman"/>
                      <w:b w:val="0"/>
                      <w:bCs w:val="0"/>
                      <w:color w:val="auto"/>
                      <w:lang w:val="en-US" w:eastAsia="zh-CN"/>
                    </w:rPr>
                    <w:t>乌</w:t>
                  </w:r>
                  <w:r>
                    <w:rPr>
                      <w:rFonts w:hint="default" w:ascii="Times New Roman" w:hAnsi="Times New Roman" w:eastAsia="宋体" w:cs="Times New Roman"/>
                      <w:b w:val="0"/>
                      <w:bCs w:val="0"/>
                      <w:color w:val="auto"/>
                      <w:lang w:eastAsia="zh-CN"/>
                    </w:rPr>
                    <w:t>-昌-石”等重点区域原</w:t>
                  </w:r>
                  <w:r>
                    <w:rPr>
                      <w:rFonts w:hint="eastAsia" w:ascii="Times New Roman" w:hAnsi="Times New Roman" w:cs="Times New Roman"/>
                      <w:b w:val="0"/>
                      <w:bCs w:val="0"/>
                      <w:color w:val="auto"/>
                      <w:lang w:eastAsia="zh-CN"/>
                    </w:rPr>
                    <w:t>则上</w:t>
                  </w:r>
                  <w:r>
                    <w:rPr>
                      <w:rFonts w:hint="default" w:ascii="Times New Roman" w:hAnsi="Times New Roman" w:eastAsia="宋体" w:cs="Times New Roman"/>
                      <w:b w:val="0"/>
                      <w:bCs w:val="0"/>
                      <w:color w:val="auto"/>
                      <w:lang w:eastAsia="zh-CN"/>
                    </w:rPr>
                    <w:t>不再新建、扩建使用燃料用煤项目。</w:t>
                  </w:r>
                </w:p>
              </w:tc>
              <w:tc>
                <w:tcPr>
                  <w:tcW w:w="1434" w:type="pct"/>
                  <w:tcBorders>
                    <w:top w:val="single" w:color="auto" w:sz="12" w:space="0"/>
                    <w:tl2br w:val="nil"/>
                    <w:tr2bl w:val="nil"/>
                  </w:tcBorders>
                  <w:vAlign w:val="center"/>
                </w:tcPr>
                <w:p w14:paraId="7892269B">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w:t>
                  </w:r>
                  <w:r>
                    <w:rPr>
                      <w:rFonts w:hint="default" w:ascii="Times New Roman" w:hAnsi="Times New Roman" w:eastAsia="宋体" w:cs="Times New Roman"/>
                      <w:b w:val="0"/>
                      <w:bCs w:val="0"/>
                      <w:color w:val="auto"/>
                      <w:lang w:eastAsia="zh-CN"/>
                    </w:rPr>
                    <w:t>本</w:t>
                  </w:r>
                  <w:r>
                    <w:rPr>
                      <w:rFonts w:hint="default" w:ascii="Times New Roman" w:hAnsi="Times New Roman" w:eastAsia="宋体" w:cs="Times New Roman"/>
                      <w:b w:val="0"/>
                      <w:bCs w:val="0"/>
                      <w:color w:val="auto"/>
                      <w:lang w:val="en-US" w:eastAsia="zh-CN"/>
                    </w:rPr>
                    <w:t>企业属于金属制品业</w:t>
                  </w:r>
                  <w:r>
                    <w:rPr>
                      <w:rFonts w:hint="default" w:ascii="Times New Roman" w:hAnsi="Times New Roman" w:eastAsia="宋体" w:cs="Times New Roman"/>
                      <w:b w:val="0"/>
                      <w:bCs w:val="0"/>
                      <w:color w:val="auto"/>
                      <w:lang w:eastAsia="zh-CN"/>
                    </w:rPr>
                    <w:t>，</w:t>
                  </w:r>
                  <w:r>
                    <w:rPr>
                      <w:rFonts w:hint="default" w:ascii="Times New Roman" w:hAnsi="Times New Roman" w:eastAsia="宋体" w:cs="Times New Roman"/>
                      <w:b w:val="0"/>
                      <w:bCs w:val="0"/>
                      <w:color w:val="auto"/>
                      <w:lang w:val="en-US" w:eastAsia="zh-CN"/>
                    </w:rPr>
                    <w:t>厂区内布局规划合理。</w:t>
                  </w:r>
                </w:p>
                <w:p w14:paraId="1A867EB8">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w:t>
                  </w:r>
                  <w:r>
                    <w:rPr>
                      <w:rFonts w:hint="default" w:ascii="Times New Roman" w:hAnsi="Times New Roman" w:eastAsia="宋体" w:cs="Times New Roman"/>
                      <w:b w:val="0"/>
                      <w:bCs w:val="0"/>
                      <w:color w:val="auto"/>
                      <w:lang w:eastAsia="zh-CN"/>
                    </w:rPr>
                    <w:t>本</w:t>
                  </w:r>
                  <w:r>
                    <w:rPr>
                      <w:rFonts w:hint="default" w:ascii="Times New Roman" w:hAnsi="Times New Roman" w:eastAsia="宋体" w:cs="Times New Roman"/>
                      <w:b w:val="0"/>
                      <w:bCs w:val="0"/>
                      <w:color w:val="auto"/>
                      <w:lang w:val="en-US" w:eastAsia="zh-CN"/>
                    </w:rPr>
                    <w:t>企业用地被划定为工业用地范畴，与阜康市整体的国土空间布局规划相契合。</w:t>
                  </w:r>
                </w:p>
                <w:p w14:paraId="7678B90D">
                  <w:pPr>
                    <w:pStyle w:val="39"/>
                    <w:keepNext w:val="0"/>
                    <w:keepLines w:val="0"/>
                    <w:widowControl/>
                    <w:suppressLineNumbers w:val="0"/>
                    <w:spacing w:before="0" w:beforeAutospacing="0" w:after="0" w:afterAutospacing="0"/>
                    <w:ind w:left="0" w:right="0"/>
                    <w:jc w:val="both"/>
                    <w:rPr>
                      <w:rFonts w:hint="eastAsia" w:cs="Times New Roman"/>
                      <w:b w:val="0"/>
                      <w:bCs w:val="0"/>
                      <w:color w:val="auto"/>
                      <w:lang w:eastAsia="zh-CN"/>
                    </w:rPr>
                  </w:pPr>
                  <w:r>
                    <w:rPr>
                      <w:rFonts w:hint="default" w:ascii="Times New Roman" w:hAnsi="Times New Roman" w:eastAsia="宋体" w:cs="Times New Roman"/>
                      <w:b w:val="0"/>
                      <w:bCs w:val="0"/>
                      <w:color w:val="auto"/>
                      <w:lang w:val="en-US" w:eastAsia="zh-CN"/>
                    </w:rPr>
                    <w:t>3.</w:t>
                  </w:r>
                  <w:r>
                    <w:rPr>
                      <w:rFonts w:hint="default" w:ascii="Times New Roman" w:hAnsi="Times New Roman" w:eastAsia="宋体" w:cs="Times New Roman"/>
                      <w:b w:val="0"/>
                      <w:bCs w:val="0"/>
                      <w:color w:val="auto"/>
                    </w:rPr>
                    <w:t>本项目严格</w:t>
                  </w:r>
                  <w:r>
                    <w:rPr>
                      <w:rFonts w:hint="default" w:ascii="Times New Roman" w:hAnsi="Times New Roman" w:eastAsia="宋体" w:cs="Times New Roman"/>
                      <w:b w:val="0"/>
                      <w:bCs w:val="0"/>
                      <w:color w:val="auto"/>
                      <w:lang w:eastAsia="zh-CN"/>
                    </w:rPr>
                    <w:t>按照</w:t>
                  </w:r>
                  <w:r>
                    <w:rPr>
                      <w:rFonts w:hint="default" w:ascii="Times New Roman" w:hAnsi="Times New Roman" w:eastAsia="宋体" w:cs="Times New Roman"/>
                      <w:b w:val="0"/>
                      <w:bCs w:val="0"/>
                      <w:color w:val="auto"/>
                    </w:rPr>
                    <w:t>园区规划要求执行</w:t>
                  </w:r>
                  <w:r>
                    <w:rPr>
                      <w:rFonts w:hint="eastAsia" w:cs="Times New Roman"/>
                      <w:b w:val="0"/>
                      <w:bCs w:val="0"/>
                      <w:color w:val="auto"/>
                      <w:lang w:eastAsia="zh-CN"/>
                    </w:rPr>
                    <w:t>。</w:t>
                  </w:r>
                </w:p>
                <w:p w14:paraId="0AF445A2">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eastAsia" w:ascii="Times New Roman" w:hAnsi="Times New Roman" w:cs="Times New Roman"/>
                      <w:b w:val="0"/>
                      <w:bCs w:val="0"/>
                      <w:color w:val="auto"/>
                      <w:lang w:val="en-US" w:eastAsia="zh-CN"/>
                    </w:rPr>
                    <w:t>4.</w:t>
                  </w:r>
                  <w:r>
                    <w:rPr>
                      <w:rFonts w:hint="default" w:ascii="Times New Roman" w:hAnsi="Times New Roman" w:eastAsia="宋体" w:cs="Times New Roman"/>
                      <w:b w:val="0"/>
                      <w:bCs w:val="0"/>
                      <w:color w:val="auto"/>
                    </w:rPr>
                    <w:t>本项目严格落实准入条件中的大气污染防治要求</w:t>
                  </w:r>
                  <w:r>
                    <w:rPr>
                      <w:rFonts w:hint="default" w:ascii="Times New Roman" w:hAnsi="Times New Roman" w:eastAsia="宋体" w:cs="Times New Roman"/>
                      <w:b w:val="0"/>
                      <w:bCs w:val="0"/>
                      <w:color w:val="auto"/>
                      <w:lang w:eastAsia="zh-CN"/>
                    </w:rPr>
                    <w:t>。</w:t>
                  </w:r>
                </w:p>
                <w:p w14:paraId="2208EDCD">
                  <w:pPr>
                    <w:pStyle w:val="40"/>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kern w:val="2"/>
                      <w:sz w:val="21"/>
                      <w:szCs w:val="24"/>
                      <w:lang w:val="zh-TW" w:eastAsia="zh-CN" w:bidi="ar-SA"/>
                    </w:rPr>
                    <w:t>5.</w:t>
                  </w:r>
                  <w:r>
                    <w:rPr>
                      <w:rFonts w:hint="default" w:ascii="Times New Roman" w:hAnsi="Times New Roman" w:eastAsia="宋体" w:cs="Times New Roman"/>
                      <w:b w:val="0"/>
                      <w:bCs w:val="0"/>
                      <w:color w:val="auto"/>
                      <w:kern w:val="2"/>
                      <w:sz w:val="21"/>
                      <w:szCs w:val="24"/>
                      <w:lang w:val="en-US" w:eastAsia="zh-CN" w:bidi="ar-SA"/>
                    </w:rPr>
                    <w:t>本项目选用天然气作为燃料。</w:t>
                  </w:r>
                </w:p>
              </w:tc>
              <w:tc>
                <w:tcPr>
                  <w:tcW w:w="296" w:type="pct"/>
                  <w:tcBorders>
                    <w:top w:val="single" w:color="auto" w:sz="12" w:space="0"/>
                    <w:tl2br w:val="nil"/>
                    <w:tr2bl w:val="nil"/>
                  </w:tcBorders>
                  <w:vAlign w:val="center"/>
                </w:tcPr>
                <w:p w14:paraId="0B88B12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符合</w:t>
                  </w:r>
                </w:p>
              </w:tc>
            </w:tr>
            <w:tr w14:paraId="6037F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91" w:type="pct"/>
                  <w:vMerge w:val="continue"/>
                  <w:tcBorders>
                    <w:tl2br w:val="nil"/>
                    <w:tr2bl w:val="nil"/>
                  </w:tcBorders>
                  <w:vAlign w:val="center"/>
                </w:tcPr>
                <w:p w14:paraId="1068FBF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FF"/>
                    </w:rPr>
                  </w:pPr>
                </w:p>
              </w:tc>
              <w:tc>
                <w:tcPr>
                  <w:tcW w:w="327" w:type="pct"/>
                  <w:tcBorders>
                    <w:tl2br w:val="nil"/>
                    <w:tr2bl w:val="nil"/>
                  </w:tcBorders>
                  <w:vAlign w:val="center"/>
                </w:tcPr>
                <w:p w14:paraId="32E24F14">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污染物排放管控</w:t>
                  </w:r>
                </w:p>
              </w:tc>
              <w:tc>
                <w:tcPr>
                  <w:tcW w:w="2450" w:type="pct"/>
                  <w:tcBorders>
                    <w:tl2br w:val="nil"/>
                    <w:tr2bl w:val="nil"/>
                  </w:tcBorders>
                  <w:vAlign w:val="center"/>
                </w:tcPr>
                <w:p w14:paraId="55F2E224">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1.</w:t>
                  </w:r>
                  <w:r>
                    <w:rPr>
                      <w:rFonts w:hint="default" w:ascii="Times New Roman" w:hAnsi="Times New Roman" w:eastAsia="宋体" w:cs="Times New Roman"/>
                      <w:color w:val="auto"/>
                    </w:rPr>
                    <w:t>聚焦采暖期重污染天气治理，加大重点区域、重点行业结构调整和污染治理力度。</w:t>
                  </w:r>
                </w:p>
                <w:p w14:paraId="0C7291E2">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2.</w:t>
                  </w:r>
                  <w:r>
                    <w:rPr>
                      <w:rFonts w:hint="default" w:ascii="Times New Roman" w:hAnsi="Times New Roman" w:eastAsia="宋体" w:cs="Times New Roman"/>
                      <w:color w:val="auto"/>
                    </w:rPr>
                    <w:t>新（改、扩）建项目应执行最严格的大气污染物排放标准。</w:t>
                  </w:r>
                </w:p>
                <w:p w14:paraId="6D50A3D6">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3.</w:t>
                  </w:r>
                  <w:r>
                    <w:rPr>
                      <w:rFonts w:hint="default" w:ascii="Times New Roman" w:hAnsi="Times New Roman" w:eastAsia="宋体" w:cs="Times New Roman"/>
                      <w:b w:val="0"/>
                      <w:bCs w:val="0"/>
                      <w:color w:val="auto"/>
                      <w:lang w:eastAsia="zh-CN"/>
                    </w:rPr>
                    <w:t>“</w:t>
                  </w:r>
                  <w:r>
                    <w:rPr>
                      <w:rFonts w:hint="default" w:ascii="Times New Roman" w:hAnsi="Times New Roman" w:eastAsia="宋体" w:cs="Times New Roman"/>
                      <w:b w:val="0"/>
                      <w:bCs w:val="0"/>
                      <w:color w:val="auto"/>
                      <w:lang w:val="en-US" w:eastAsia="zh-CN"/>
                    </w:rPr>
                    <w:t>乌</w:t>
                  </w:r>
                  <w:r>
                    <w:rPr>
                      <w:rFonts w:hint="default" w:ascii="Times New Roman" w:hAnsi="Times New Roman" w:eastAsia="宋体" w:cs="Times New Roman"/>
                      <w:b w:val="0"/>
                      <w:bCs w:val="0"/>
                      <w:color w:val="auto"/>
                      <w:lang w:eastAsia="zh-CN"/>
                    </w:rPr>
                    <w:t>-昌-石”</w:t>
                  </w:r>
                  <w:r>
                    <w:rPr>
                      <w:rFonts w:hint="default" w:ascii="Times New Roman" w:hAnsi="Times New Roman" w:eastAsia="宋体" w:cs="Times New Roman"/>
                      <w:color w:val="auto"/>
                      <w:lang w:eastAsia="zh-CN"/>
                    </w:rPr>
                    <w:t>区域</w:t>
                  </w:r>
                  <w:r>
                    <w:rPr>
                      <w:rFonts w:hint="default" w:ascii="Times New Roman" w:hAnsi="Times New Roman" w:eastAsia="宋体" w:cs="Times New Roman"/>
                      <w:color w:val="auto"/>
                    </w:rPr>
                    <w:t>内，已实施超低排放的涉气排污单位，其实施超低排放改造的污染因子执行超低排放限值，其他污染因子执行特别排放限值和特别控制要求。</w:t>
                  </w:r>
                </w:p>
                <w:p w14:paraId="067D4216">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4.</w:t>
                  </w:r>
                  <w:r>
                    <w:rPr>
                      <w:rFonts w:hint="default" w:ascii="Times New Roman" w:hAnsi="Times New Roman" w:eastAsia="宋体" w:cs="Times New Roman"/>
                      <w:color w:val="auto"/>
                    </w:rPr>
                    <w:t>推动园区企业绿色发展，严格落实水污染物排放标准。</w:t>
                  </w:r>
                </w:p>
                <w:p w14:paraId="41D9DB24">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5.</w:t>
                  </w:r>
                  <w:r>
                    <w:rPr>
                      <w:rFonts w:hint="default" w:ascii="Times New Roman" w:hAnsi="Times New Roman" w:eastAsia="宋体" w:cs="Times New Roman"/>
                      <w:color w:val="auto"/>
                    </w:rPr>
                    <w:t>严格实施污染物排放总量控制要求；全面深化面源污染治理，积极推进绿色施工。</w:t>
                  </w:r>
                </w:p>
              </w:tc>
              <w:tc>
                <w:tcPr>
                  <w:tcW w:w="1434" w:type="pct"/>
                  <w:tcBorders>
                    <w:tl2br w:val="nil"/>
                    <w:tr2bl w:val="nil"/>
                  </w:tcBorders>
                  <w:vAlign w:val="center"/>
                </w:tcPr>
                <w:p w14:paraId="5117CA51">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w:t>
                  </w:r>
                  <w:r>
                    <w:rPr>
                      <w:rFonts w:hint="default" w:ascii="Times New Roman" w:hAnsi="Times New Roman" w:eastAsia="宋体" w:cs="Times New Roman"/>
                      <w:color w:val="auto"/>
                      <w:lang w:val="en-US" w:eastAsia="zh-CN"/>
                    </w:rPr>
                    <w:t>本项目采用天然气作为燃料，天然气属于清洁能源</w:t>
                  </w:r>
                  <w:r>
                    <w:rPr>
                      <w:rFonts w:hint="default" w:ascii="Times New Roman" w:hAnsi="Times New Roman" w:eastAsia="宋体" w:cs="Times New Roman"/>
                      <w:b w:val="0"/>
                      <w:bCs w:val="0"/>
                      <w:color w:val="auto"/>
                      <w:lang w:val="en-US" w:eastAsia="zh-CN"/>
                    </w:rPr>
                    <w:t>。</w:t>
                  </w:r>
                </w:p>
                <w:p w14:paraId="0DFFE014">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w:t>
                  </w:r>
                  <w:r>
                    <w:rPr>
                      <w:rFonts w:hint="default" w:ascii="Times New Roman" w:hAnsi="Times New Roman" w:eastAsia="宋体" w:cs="Times New Roman"/>
                      <w:b w:val="0"/>
                      <w:bCs w:val="0"/>
                      <w:color w:val="auto"/>
                      <w:lang w:eastAsia="zh-CN"/>
                    </w:rPr>
                    <w:t>本</w:t>
                  </w:r>
                  <w:r>
                    <w:rPr>
                      <w:rFonts w:hint="default" w:ascii="Times New Roman" w:hAnsi="Times New Roman" w:eastAsia="宋体" w:cs="Times New Roman"/>
                      <w:color w:val="auto"/>
                      <w:lang w:val="en-US" w:eastAsia="zh-CN"/>
                    </w:rPr>
                    <w:t>项目采用低氮燃烧器+烟气再循环技术工艺，污染物排放符合限值标准。</w:t>
                  </w:r>
                </w:p>
                <w:p w14:paraId="606E108A">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b w:val="0"/>
                      <w:bCs w:val="0"/>
                      <w:color w:val="auto"/>
                      <w:lang w:val="en-US" w:eastAsia="zh-CN"/>
                    </w:rPr>
                    <w:t>3.</w:t>
                  </w:r>
                  <w:r>
                    <w:rPr>
                      <w:rFonts w:hint="default" w:ascii="Times New Roman" w:hAnsi="Times New Roman" w:eastAsia="宋体" w:cs="Times New Roman"/>
                      <w:b w:val="0"/>
                      <w:bCs w:val="0"/>
                      <w:color w:val="auto"/>
                    </w:rPr>
                    <w:t>本项目严格</w:t>
                  </w:r>
                  <w:r>
                    <w:rPr>
                      <w:rFonts w:hint="default" w:ascii="Times New Roman" w:hAnsi="Times New Roman" w:eastAsia="宋体" w:cs="Times New Roman"/>
                      <w:color w:val="auto"/>
                      <w:lang w:val="en-US" w:eastAsia="zh-CN"/>
                    </w:rPr>
                    <w:t>落实</w:t>
                  </w:r>
                  <w:r>
                    <w:rPr>
                      <w:rFonts w:hint="default" w:ascii="Times New Roman" w:hAnsi="Times New Roman" w:eastAsia="宋体" w:cs="Times New Roman"/>
                      <w:color w:val="auto"/>
                    </w:rPr>
                    <w:t>超低排放</w:t>
                  </w:r>
                  <w:r>
                    <w:rPr>
                      <w:rFonts w:hint="default" w:ascii="Times New Roman" w:hAnsi="Times New Roman" w:eastAsia="宋体" w:cs="Times New Roman"/>
                      <w:color w:val="auto"/>
                      <w:lang w:val="en-US" w:eastAsia="zh-CN"/>
                    </w:rPr>
                    <w:t>限值。</w:t>
                  </w:r>
                </w:p>
                <w:p w14:paraId="066140E5">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color w:val="auto"/>
                      <w:lang w:eastAsia="zh-CN"/>
                    </w:rPr>
                  </w:pPr>
                  <w:r>
                    <w:rPr>
                      <w:rFonts w:hint="default" w:ascii="Times New Roman" w:hAnsi="Times New Roman" w:eastAsia="宋体" w:cs="Times New Roman"/>
                      <w:b w:val="0"/>
                      <w:bCs w:val="0"/>
                      <w:color w:val="auto"/>
                      <w:lang w:val="en-US" w:eastAsia="zh-CN"/>
                    </w:rPr>
                    <w:t>4.</w:t>
                  </w:r>
                  <w:r>
                    <w:rPr>
                      <w:rFonts w:hint="default" w:ascii="Times New Roman" w:hAnsi="Times New Roman" w:eastAsia="宋体" w:cs="Times New Roman"/>
                      <w:b w:val="0"/>
                      <w:bCs w:val="0"/>
                      <w:color w:val="auto"/>
                    </w:rPr>
                    <w:t>本项目</w:t>
                  </w:r>
                  <w:r>
                    <w:rPr>
                      <w:rFonts w:hint="default" w:ascii="Times New Roman" w:hAnsi="Times New Roman" w:eastAsia="宋体" w:cs="Times New Roman"/>
                      <w:color w:val="auto"/>
                    </w:rPr>
                    <w:t>严格落实水污染物排放标准</w:t>
                  </w:r>
                  <w:r>
                    <w:rPr>
                      <w:rFonts w:hint="default" w:ascii="Times New Roman" w:hAnsi="Times New Roman" w:eastAsia="宋体" w:cs="Times New Roman"/>
                      <w:b w:val="0"/>
                      <w:bCs w:val="0"/>
                      <w:color w:val="auto"/>
                      <w:lang w:eastAsia="zh-CN"/>
                    </w:rPr>
                    <w:t>。</w:t>
                  </w:r>
                </w:p>
                <w:p w14:paraId="38C54C0D">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eastAsia="zh-CN"/>
                    </w:rPr>
                  </w:pPr>
                  <w:r>
                    <w:rPr>
                      <w:rFonts w:hint="default" w:ascii="Times New Roman" w:hAnsi="Times New Roman" w:eastAsia="宋体" w:cs="Times New Roman"/>
                      <w:b w:val="0"/>
                      <w:bCs w:val="0"/>
                      <w:color w:val="auto"/>
                      <w:kern w:val="2"/>
                      <w:sz w:val="21"/>
                      <w:szCs w:val="24"/>
                      <w:lang w:val="zh-TW" w:eastAsia="zh-CN" w:bidi="ar-SA"/>
                    </w:rPr>
                    <w:t>5.</w:t>
                  </w:r>
                  <w:r>
                    <w:rPr>
                      <w:rFonts w:hint="default" w:ascii="Times New Roman" w:hAnsi="Times New Roman" w:eastAsia="宋体" w:cs="Times New Roman"/>
                      <w:b w:val="0"/>
                      <w:bCs w:val="0"/>
                      <w:color w:val="auto"/>
                      <w:kern w:val="2"/>
                      <w:sz w:val="21"/>
                      <w:szCs w:val="24"/>
                      <w:lang w:val="en-US" w:eastAsia="zh-CN" w:bidi="ar-SA"/>
                    </w:rPr>
                    <w:t>本项目能够确保其排放符合</w:t>
                  </w:r>
                  <w:r>
                    <w:rPr>
                      <w:rFonts w:hint="default" w:ascii="Times New Roman" w:hAnsi="Times New Roman" w:eastAsia="宋体" w:cs="Times New Roman"/>
                      <w:color w:val="auto"/>
                    </w:rPr>
                    <w:t>要求</w:t>
                  </w:r>
                  <w:r>
                    <w:rPr>
                      <w:rFonts w:hint="default" w:ascii="Times New Roman" w:hAnsi="Times New Roman" w:eastAsia="宋体" w:cs="Times New Roman"/>
                      <w:color w:val="auto"/>
                      <w:lang w:eastAsia="zh-CN"/>
                    </w:rPr>
                    <w:t>。</w:t>
                  </w:r>
                </w:p>
              </w:tc>
              <w:tc>
                <w:tcPr>
                  <w:tcW w:w="296" w:type="pct"/>
                  <w:tcBorders>
                    <w:tl2br w:val="nil"/>
                    <w:tr2bl w:val="nil"/>
                  </w:tcBorders>
                  <w:vAlign w:val="center"/>
                </w:tcPr>
                <w:p w14:paraId="3DCCCE0D">
                  <w:pPr>
                    <w:keepNext w:val="0"/>
                    <w:keepLines w:val="0"/>
                    <w:suppressLineNumbers w:val="0"/>
                    <w:spacing w:before="0" w:beforeAutospacing="0" w:after="0" w:afterAutospacing="0"/>
                    <w:ind w:left="0" w:right="0"/>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lang w:val="en-US" w:eastAsia="zh-CN"/>
                    </w:rPr>
                    <w:t>符合</w:t>
                  </w:r>
                </w:p>
              </w:tc>
            </w:tr>
            <w:tr w14:paraId="3C06D0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1" w:type="pct"/>
                  <w:vMerge w:val="continue"/>
                  <w:tcBorders>
                    <w:tl2br w:val="nil"/>
                    <w:tr2bl w:val="nil"/>
                  </w:tcBorders>
                  <w:vAlign w:val="center"/>
                </w:tcPr>
                <w:p w14:paraId="1B80CC8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FF"/>
                    </w:rPr>
                  </w:pPr>
                </w:p>
              </w:tc>
              <w:tc>
                <w:tcPr>
                  <w:tcW w:w="327" w:type="pct"/>
                  <w:tcBorders>
                    <w:tl2br w:val="nil"/>
                    <w:tr2bl w:val="nil"/>
                  </w:tcBorders>
                  <w:vAlign w:val="center"/>
                </w:tcPr>
                <w:p w14:paraId="66D58A8F">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环境风险防控</w:t>
                  </w:r>
                </w:p>
              </w:tc>
              <w:tc>
                <w:tcPr>
                  <w:tcW w:w="2450" w:type="pct"/>
                  <w:tcBorders>
                    <w:tl2br w:val="nil"/>
                    <w:tr2bl w:val="nil"/>
                  </w:tcBorders>
                  <w:vAlign w:val="center"/>
                </w:tcPr>
                <w:p w14:paraId="29AE8F93">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1.</w:t>
                  </w:r>
                  <w:r>
                    <w:rPr>
                      <w:rFonts w:hint="default" w:ascii="Times New Roman" w:hAnsi="Times New Roman" w:eastAsia="宋体" w:cs="Times New Roman"/>
                      <w:color w:val="auto"/>
                    </w:rPr>
                    <w:t>园区应设立环境应急管理机构，建立环境风险监管制度、环境风险预警制度、突发环境事件应急预案、环境风险应急保障制度等环境风险防控体系，并具备环境风险应急救援能力。</w:t>
                  </w:r>
                </w:p>
              </w:tc>
              <w:tc>
                <w:tcPr>
                  <w:tcW w:w="1434" w:type="pct"/>
                  <w:tcBorders>
                    <w:tl2br w:val="nil"/>
                    <w:tr2bl w:val="nil"/>
                  </w:tcBorders>
                  <w:vAlign w:val="center"/>
                </w:tcPr>
                <w:p w14:paraId="69615037">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1.本项目应</w:t>
                  </w:r>
                  <w:r>
                    <w:rPr>
                      <w:rFonts w:hint="default" w:ascii="Times New Roman" w:hAnsi="Times New Roman" w:eastAsia="宋体" w:cs="Times New Roman"/>
                      <w:color w:val="auto"/>
                    </w:rPr>
                    <w:t>设置</w:t>
                  </w:r>
                  <w:r>
                    <w:rPr>
                      <w:rFonts w:hint="default" w:ascii="Times New Roman" w:hAnsi="Times New Roman" w:eastAsia="宋体" w:cs="Times New Roman"/>
                      <w:color w:val="auto"/>
                      <w:lang w:eastAsia="zh-CN"/>
                    </w:rPr>
                    <w:t>泄漏检测</w:t>
                  </w:r>
                  <w:r>
                    <w:rPr>
                      <w:rFonts w:hint="default" w:ascii="Times New Roman" w:hAnsi="Times New Roman" w:eastAsia="宋体" w:cs="Times New Roman"/>
                      <w:color w:val="auto"/>
                    </w:rPr>
                    <w:t>报警装置</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配备必要的消防设施</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制定完善的应急预案</w:t>
                  </w:r>
                  <w:r>
                    <w:rPr>
                      <w:rFonts w:hint="default" w:ascii="Times New Roman" w:hAnsi="Times New Roman" w:eastAsia="宋体" w:cs="Times New Roman"/>
                      <w:color w:val="auto"/>
                      <w:lang w:eastAsia="zh-CN"/>
                    </w:rPr>
                    <w:t>。</w:t>
                  </w:r>
                </w:p>
              </w:tc>
              <w:tc>
                <w:tcPr>
                  <w:tcW w:w="296" w:type="pct"/>
                  <w:tcBorders>
                    <w:tl2br w:val="nil"/>
                    <w:tr2bl w:val="nil"/>
                  </w:tcBorders>
                  <w:vAlign w:val="center"/>
                </w:tcPr>
                <w:p w14:paraId="768A5E7A">
                  <w:pPr>
                    <w:keepNext w:val="0"/>
                    <w:keepLines w:val="0"/>
                    <w:suppressLineNumbers w:val="0"/>
                    <w:spacing w:before="0" w:beforeAutospacing="0" w:after="0" w:afterAutospacing="0"/>
                    <w:ind w:left="0" w:right="0"/>
                    <w:rPr>
                      <w:rFonts w:hint="default" w:ascii="Times New Roman" w:hAnsi="Times New Roman" w:eastAsia="宋体" w:cs="Times New Roman"/>
                      <w:b w:val="0"/>
                      <w:color w:val="auto"/>
                      <w:kern w:val="2"/>
                      <w:sz w:val="21"/>
                      <w:szCs w:val="24"/>
                      <w:lang w:val="en-US" w:eastAsia="zh-CN" w:bidi="ar-SA"/>
                    </w:rPr>
                  </w:pPr>
                  <w:r>
                    <w:rPr>
                      <w:rFonts w:hint="default" w:ascii="Times New Roman" w:hAnsi="Times New Roman" w:eastAsia="宋体" w:cs="Times New Roman"/>
                      <w:b w:val="0"/>
                      <w:color w:val="auto"/>
                      <w:kern w:val="2"/>
                      <w:sz w:val="21"/>
                      <w:szCs w:val="24"/>
                      <w:lang w:val="en-US" w:eastAsia="zh-CN" w:bidi="ar-SA"/>
                    </w:rPr>
                    <w:t>符合</w:t>
                  </w:r>
                </w:p>
              </w:tc>
            </w:tr>
            <w:tr w14:paraId="74A96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1" w:type="pct"/>
                  <w:vMerge w:val="continue"/>
                  <w:tcBorders>
                    <w:tl2br w:val="nil"/>
                    <w:tr2bl w:val="nil"/>
                  </w:tcBorders>
                  <w:vAlign w:val="center"/>
                </w:tcPr>
                <w:p w14:paraId="204C0135">
                  <w:pPr>
                    <w:pStyle w:val="39"/>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FF"/>
                    </w:rPr>
                  </w:pPr>
                </w:p>
              </w:tc>
              <w:tc>
                <w:tcPr>
                  <w:tcW w:w="327" w:type="pct"/>
                  <w:tcBorders>
                    <w:tl2br w:val="nil"/>
                    <w:tr2bl w:val="nil"/>
                  </w:tcBorders>
                  <w:vAlign w:val="center"/>
                </w:tcPr>
                <w:p w14:paraId="55F37E18">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资源开发利用效率</w:t>
                  </w:r>
                </w:p>
              </w:tc>
              <w:tc>
                <w:tcPr>
                  <w:tcW w:w="2450" w:type="pct"/>
                  <w:tcBorders>
                    <w:tl2br w:val="nil"/>
                    <w:tr2bl w:val="nil"/>
                  </w:tcBorders>
                  <w:vAlign w:val="center"/>
                </w:tcPr>
                <w:p w14:paraId="36205658">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1.</w:t>
                  </w:r>
                  <w:r>
                    <w:rPr>
                      <w:rFonts w:hint="default" w:ascii="Times New Roman" w:hAnsi="Times New Roman" w:eastAsia="宋体" w:cs="Times New Roman"/>
                      <w:color w:val="auto"/>
                    </w:rPr>
                    <w:t>严守水资源开发利用控制、用水效率控制和水功能区限制纳污</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三条红线</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，严格实行区域用水总量和强度控制，强化用水定额管理。</w:t>
                  </w:r>
                </w:p>
                <w:p w14:paraId="0ED1A1A4">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2.</w:t>
                  </w:r>
                  <w:r>
                    <w:rPr>
                      <w:rFonts w:hint="default" w:ascii="Times New Roman" w:hAnsi="Times New Roman" w:eastAsia="宋体" w:cs="Times New Roman"/>
                      <w:color w:val="auto"/>
                    </w:rPr>
                    <w:t>推行清洁生产、降低生产水耗、从源头上控制污染物的产生。</w:t>
                  </w:r>
                </w:p>
                <w:p w14:paraId="29643376">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3.</w:t>
                  </w:r>
                  <w:r>
                    <w:rPr>
                      <w:rFonts w:hint="default" w:ascii="Times New Roman" w:hAnsi="Times New Roman" w:eastAsia="宋体" w:cs="Times New Roman"/>
                      <w:color w:val="auto"/>
                    </w:rPr>
                    <w:t>加强能耗</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双控</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管理，优化能源消费结构。严格合理控制煤炭消费增长，精准测算原料煤、动力煤，新增原料用能不纳入能源消费总量控制。</w:t>
                  </w:r>
                </w:p>
              </w:tc>
              <w:tc>
                <w:tcPr>
                  <w:tcW w:w="1434" w:type="pct"/>
                  <w:tcBorders>
                    <w:tl2br w:val="nil"/>
                    <w:tr2bl w:val="nil"/>
                  </w:tcBorders>
                  <w:vAlign w:val="center"/>
                </w:tcPr>
                <w:p w14:paraId="795A1395">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1.本项目采用冷凝水循环利用，严格把控用水量。</w:t>
                  </w:r>
                </w:p>
                <w:p w14:paraId="57AB67D7">
                  <w:pPr>
                    <w:pStyle w:val="3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2.本项目采用天然气作为燃料，天然气属于清洁能源，从源头减少污染物的排放。</w:t>
                  </w:r>
                </w:p>
                <w:p w14:paraId="604B4CEF">
                  <w:pPr>
                    <w:pStyle w:val="40"/>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b w:val="0"/>
                      <w:bCs/>
                      <w:color w:val="auto"/>
                      <w:kern w:val="2"/>
                      <w:sz w:val="21"/>
                      <w:szCs w:val="24"/>
                      <w:lang w:val="en-US" w:eastAsia="zh-CN" w:bidi="ar-SA"/>
                    </w:rPr>
                    <w:t>3.本项目严格合理控制燃料用量。</w:t>
                  </w:r>
                </w:p>
              </w:tc>
              <w:tc>
                <w:tcPr>
                  <w:tcW w:w="296" w:type="pct"/>
                  <w:tcBorders>
                    <w:tl2br w:val="nil"/>
                    <w:tr2bl w:val="nil"/>
                  </w:tcBorders>
                  <w:vAlign w:val="center"/>
                </w:tcPr>
                <w:p w14:paraId="09328D55">
                  <w:pPr>
                    <w:keepNext w:val="0"/>
                    <w:keepLines w:val="0"/>
                    <w:suppressLineNumbers w:val="0"/>
                    <w:spacing w:before="0" w:beforeAutospacing="0" w:after="0" w:afterAutospacing="0"/>
                    <w:ind w:left="0" w:right="0"/>
                    <w:rPr>
                      <w:rFonts w:hint="default" w:ascii="Times New Roman" w:hAnsi="Times New Roman" w:eastAsia="宋体" w:cs="Times New Roman"/>
                      <w:b w:val="0"/>
                      <w:color w:val="auto"/>
                      <w:kern w:val="2"/>
                      <w:sz w:val="21"/>
                      <w:szCs w:val="24"/>
                      <w:lang w:val="en-US" w:eastAsia="zh-CN" w:bidi="ar-SA"/>
                    </w:rPr>
                  </w:pPr>
                  <w:r>
                    <w:rPr>
                      <w:rFonts w:hint="default" w:ascii="Times New Roman" w:hAnsi="Times New Roman" w:eastAsia="宋体" w:cs="Times New Roman"/>
                      <w:b w:val="0"/>
                      <w:color w:val="auto"/>
                      <w:kern w:val="2"/>
                      <w:sz w:val="21"/>
                      <w:szCs w:val="24"/>
                      <w:lang w:val="en-US" w:eastAsia="zh-CN" w:bidi="ar-SA"/>
                    </w:rPr>
                    <w:t>符合</w:t>
                  </w:r>
                </w:p>
              </w:tc>
            </w:tr>
          </w:tbl>
          <w:p w14:paraId="52D26EE0">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4 </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与《国务院关于印发〈空气质量持续改善行动计划〉的通知》 的符合性分析</w:t>
            </w:r>
          </w:p>
          <w:p w14:paraId="5B0E03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国务院关于印发〈空气质量持续改善行动计划〉的通知》（国发〔2023〕24号）指出：完善区域大气污染防治协作机制。国家统筹推进京津冀及周边地区大气污染联防联控工作，继续发挥长三角地区协作机制、汾渭平原协作机制作用。国家加强对成渝地区、长江中游城市群、东北地区、天山北坡城市群等区域大气污染防治协作的指导，将粤港澳大湾区作为空气质量改善先行示范区。各省级政府加强本行政区域内联防联控。鼓励省际交界地区市县积极开展联防联控，推动联合交叉执法。对省界两侧20公里内的涉气重点行业</w:t>
            </w:r>
            <w:r>
              <w:rPr>
                <w:rFonts w:hint="eastAsia" w:cs="Times New Roman"/>
                <w:b w:val="0"/>
                <w:bCs w:val="0"/>
                <w:color w:val="000000" w:themeColor="text1"/>
                <w:kern w:val="0"/>
                <w:sz w:val="24"/>
                <w:szCs w:val="24"/>
                <w:highlight w:val="none"/>
                <w:lang w:val="en-US" w:eastAsia="zh-CN"/>
                <w14:textFill>
                  <w14:solidFill>
                    <w14:schemeClr w14:val="tx1"/>
                  </w14:solidFill>
                </w14:textFill>
              </w:rPr>
              <w:t>改建</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项目，有关省份要开展环评执行会商。</w:t>
            </w:r>
          </w:p>
          <w:p w14:paraId="7600D47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本项目位于新疆维吾尔自治区昌吉回族自治州阜康市产业园阜东一区百盛路29号，本项目严格执行自治区、乌昌石片区总体准入要求中关于重点管控单元污染物排放管控的准入要求，本项目“三废”按照标准规定排放储存。</w:t>
            </w:r>
          </w:p>
          <w:p w14:paraId="35CCDC84">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5 </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与《关于深入打好污染防治攻坚战的实施方案》的符合性分</w:t>
            </w: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析</w:t>
            </w:r>
          </w:p>
          <w:p w14:paraId="45B0306B">
            <w:pPr>
              <w:pStyle w:val="5"/>
              <w:numPr>
                <w:ilvl w:val="0"/>
                <w:numId w:val="0"/>
              </w:numPr>
              <w:suppressLineNumbers w:val="0"/>
              <w:spacing w:before="0" w:beforeAutospacing="0" w:after="0" w:afterAutospacing="0" w:line="360" w:lineRule="auto"/>
              <w:ind w:left="0" w:right="0" w:firstLine="480" w:firstLineChars="200"/>
              <w:jc w:val="both"/>
              <w:outlineLvl w:val="1"/>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根据自治区党委、自治区人民政府印发《关于深入打好污染防治攻坚战的实施方案》有关要求：（五）持续推进散煤整治；（六）大力发展清洁能源；（七）坚决遏制高耗能高排放低水平项目盲目发展；（八）推动能源</w:t>
            </w:r>
            <w:r>
              <w:rPr>
                <w:rFonts w:hint="eastAsia" w:ascii="Times New Roman" w:hAnsi="Times New Roman" w:cs="Times New Roman"/>
                <w:b w:val="0"/>
                <w:bCs w:val="0"/>
                <w:color w:val="000000" w:themeColor="text1"/>
                <w:kern w:val="0"/>
                <w:sz w:val="24"/>
                <w:szCs w:val="24"/>
                <w:highlight w:val="none"/>
                <w:lang w:val="en-US" w:eastAsia="zh-CN" w:bidi="ar-SA"/>
                <w14:textFill>
                  <w14:solidFill>
                    <w14:schemeClr w14:val="tx1"/>
                  </w14:solidFill>
                </w14:textFill>
              </w:rPr>
              <w:t>资源节约集约利用</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；（九）加强生态环境分区管控；（十一）着力打好重污染天气消除攻坚战；（十四）加强大气面源和噪声污染治理。</w:t>
            </w:r>
          </w:p>
          <w:p w14:paraId="3FA8F6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为燃气锅炉建设项目，采用天然气清洁能源，不属于高耗能、高排放及落后项目，项目产生的废气、废水、固体废物、噪声污染物均可达标排放，在采取了有效的处置措施后，项目的建设符合《关于深入打好污染防治攻坚战的实施方案</w:t>
            </w:r>
            <w:r>
              <w:rPr>
                <w:rFonts w:hint="eastAsia" w:ascii="Times New Roman" w:hAnsi="Times New Roman" w:cs="Times New Roman"/>
                <w:b w:val="0"/>
                <w:bCs w:val="0"/>
                <w:color w:val="000000" w:themeColor="text1"/>
                <w:kern w:val="0"/>
                <w:sz w:val="24"/>
                <w:szCs w:val="24"/>
                <w:highlight w:val="none"/>
                <w:lang w:val="en-US" w:eastAsia="zh-CN" w:bidi="ar-SA"/>
                <w14:textFill>
                  <w14:solidFill>
                    <w14:schemeClr w14:val="tx1"/>
                  </w14:solidFill>
                </w14:textFill>
              </w:rPr>
              <w:t>》等</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文件相关规定。</w:t>
            </w:r>
          </w:p>
          <w:p w14:paraId="707B33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both"/>
              <w:textAlignment w:val="auto"/>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6 《新疆维吾尔自治区“乌-昌-石”区域大气环境整治2024—2025年行动方案》</w:t>
            </w:r>
          </w:p>
          <w:p w14:paraId="6AA3FB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根据《新疆维吾尔自治区“乌-昌-石”区域大气环境整治2024—2025年行动方案》要求，合理控制煤炭消费总量。持续完善区域煤炭消费减量替代管理办法，煤研石、原料用煤不纳入煤炭消费总量考核。“乌-昌-石”区域原则上不再新增自备燃煤机组，对现有自备燃煤机组实施优化整合和清洁能源替代。对支撑电力稳定供应、电网安全运行、清洁能源大规模并网消纳的煤电项目及其用煤量予以合理保障。</w:t>
            </w:r>
          </w:p>
          <w:p w14:paraId="0D4FC8A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建设单位对自备燃煤锅炉实施清洁能源替代，决定关停现有燃煤锅炉，车间采用燃气锅炉。本项目符合《新疆维吾尔自治区“乌-昌-石”区域大气环境整治2024—2025年行动方案》。</w:t>
            </w:r>
          </w:p>
          <w:p w14:paraId="7D303B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both"/>
              <w:textAlignment w:val="auto"/>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eastAsia" w:cs="Times New Roman"/>
                <w:b/>
                <w:bCs/>
                <w:color w:val="000000" w:themeColor="text1"/>
                <w:kern w:val="0"/>
                <w:sz w:val="24"/>
                <w:szCs w:val="24"/>
                <w:highlight w:val="none"/>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与《关于开展自治区2022年度夏秋季大气污染防治“冬病夏治”工作的通知》（新环大气函〔2022〕483号）的符合性分析</w:t>
            </w:r>
          </w:p>
          <w:p w14:paraId="280A8D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根据《关于开展自治区2022年度夏秋季大气污染防治“冬病夏治”工作的通知》（新环大气函〔2022〕483号）要求：加快推进燃煤锅炉超低排放改造和燃气锅炉低氮燃烧改造。2022年10月底前，县级及以上城市建成区淘汰30%现有35蒸吨/小时及以下的燃煤锅炉，“乌-昌-石”区域淘汰50%现有65蒸吨/小时以下燃煤锅炉。重点区域保留的燃煤锅炉基本完成超低排放改造，其他地区65蒸吨/小时及以上燃煤锅炉（含电力）累计完成总数的60%。</w:t>
            </w:r>
          </w:p>
          <w:p w14:paraId="6CEE88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本项目燃气锅炉采用低氮燃烧器+烟气再循环技术工艺，氮氧化物排放浓度低于50mg/m²。因此本项目符合《关于开展自治区2022年度夏秋季大气污染防治“冬病夏治”工作的通知》要求。</w:t>
            </w:r>
          </w:p>
          <w:p w14:paraId="56AFC96F">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cs="Times New Roman"/>
                <w:b/>
                <w:color w:val="000000" w:themeColor="text1"/>
                <w:kern w:val="2"/>
                <w:sz w:val="24"/>
                <w:szCs w:val="24"/>
                <w:lang w:val="en-US" w:eastAsia="zh-CN" w:bidi="ar-SA"/>
                <w14:textFill>
                  <w14:solidFill>
                    <w14:schemeClr w14:val="tx1"/>
                  </w14:solidFill>
                </w14:textFill>
              </w:rPr>
              <w:t>8</w:t>
            </w: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 与《关于“乌-昌-石”区域执行大气污染物特别排放限值的公告》符合性分析</w:t>
            </w:r>
          </w:p>
          <w:p w14:paraId="5A1EDA9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根据《关于“乌-昌-石”区域执行大气污染物特别排放限值的公告》（公告〔2023〕20号）：执行区域乌鲁木齐市，昌吉州昌吉市、阜康市、玛纳斯县、呼图壁县，塔城地区沙湾市，五家渠市，石河子市，兵团第十二师。</w:t>
            </w:r>
          </w:p>
          <w:p w14:paraId="795E29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对于目前国家排放标准及修改单中未规定大气污染物特别排放限值的行业，待相应排放标准制修订或修改后，新受理环评的建设项目执行相应大气污染物特别排放限值，执行时间与排放标准实施时间或标准修改单发布时间同步。</w:t>
            </w:r>
          </w:p>
          <w:p w14:paraId="519245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本项目位于</w:t>
            </w:r>
            <w:r>
              <w:rPr>
                <w:rFonts w:hint="default" w:ascii="Times New Roman" w:hAnsi="Times New Roman" w:eastAsia="宋体" w:cs="Times New Roman"/>
                <w:b w:val="0"/>
                <w:bCs/>
                <w:color w:val="000000" w:themeColor="text1"/>
                <w:lang w:val="en-US" w:eastAsia="zh-CN"/>
                <w14:textFill>
                  <w14:solidFill>
                    <w14:schemeClr w14:val="tx1"/>
                  </w14:solidFill>
                </w14:textFill>
              </w:rPr>
              <w:t>阜康市产业园阜东一区</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属于工业园区，本项目颗粒物、二氧化硫执行《锅炉大气污染物排放标准》（GB13271-2014）表3大气污染物特别排放限值，氮氧化物执行《关于开展自治区2022年度夏秋季大气污染防治“冬病夏治”工作的通知》（新环大气函〔2022〕483号）的要求，符合《关于“乌-昌-石”区域执行大气污染物特别排放限值的公告》（公告〔2023〕20号）要求。</w:t>
            </w:r>
          </w:p>
          <w:p w14:paraId="03105376">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cs="Times New Roman"/>
                <w:b/>
                <w:color w:val="000000" w:themeColor="text1"/>
                <w:kern w:val="2"/>
                <w:sz w:val="24"/>
                <w:szCs w:val="24"/>
                <w:lang w:val="en-US" w:eastAsia="zh-CN" w:bidi="ar-SA"/>
                <w14:textFill>
                  <w14:solidFill>
                    <w14:schemeClr w14:val="tx1"/>
                  </w14:solidFill>
                </w14:textFill>
              </w:rPr>
              <w:t>9</w:t>
            </w: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 与《新疆生态环境保护“十四五”规划》符合性分析</w:t>
            </w:r>
          </w:p>
          <w:p w14:paraId="34BC15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根据</w:t>
            </w: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《新疆生态环境保护“十四五”规划》规</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定和</w:t>
            </w: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要求</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7068E6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加强重点行业VOCs治理。实施VOCs排放总量控制，重点推进石油天然气开采、石化、化工、包装印刷、工业涂装、油品储运销等重点行业排放源以及机动车等移动源VOCs污染防治，加强重点行业、重点企业的精细化管控；全面推进使用低VOCs含量涂料、油墨、</w:t>
            </w:r>
            <w:r>
              <w:rPr>
                <w:rFonts w:hint="eastAsia"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胶黏剂</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、清洗剂等；加强汽修行业VOCs综合治理，加大餐饮油烟污染治理力度，持续削减VOCs排放量。</w:t>
            </w:r>
          </w:p>
          <w:p w14:paraId="62C748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本项目为热力生产和供应项目，不属于铸造、铁合金、焦化、水泥、砖瓦、石灰、耐火材料、金属冶炼以及煤化工、石油化工等行业，运营期采取的污染防治措施为：产生的锅炉烟气经低氮燃烧器+烟气再循环技术工艺处理后达标排放，因此本项目符合《新疆生态环境保护</w:t>
            </w: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“十四五”</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规划》。</w:t>
            </w:r>
          </w:p>
          <w:p w14:paraId="3B243615">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1</w:t>
            </w:r>
            <w:r>
              <w:rPr>
                <w:rFonts w:hint="eastAsia" w:cs="Times New Roman"/>
                <w:b/>
                <w:color w:val="000000" w:themeColor="text1"/>
                <w:kern w:val="2"/>
                <w:sz w:val="24"/>
                <w:szCs w:val="24"/>
                <w:lang w:val="en-US" w:eastAsia="zh-CN" w:bidi="ar-SA"/>
                <w14:textFill>
                  <w14:solidFill>
                    <w14:schemeClr w14:val="tx1"/>
                  </w14:solidFill>
                </w14:textFill>
              </w:rPr>
              <w:t>0</w:t>
            </w: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 与《昌吉回族自治州 生态环境保护与建设“十四五”规划》符合性分析</w:t>
            </w:r>
          </w:p>
          <w:p w14:paraId="7505EA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根据《昌吉回族自治州 生态环境保护与建设“十四五”规划》：以“乌-昌-石”重点区域内4县市、2园区为主战场，全面落实环境空气质量强化管控九项专项行动方案，以明显降低细颗粒物（PM2.5）浓度、提升空气质量优良率为重点，以减少重污染天数为主攻方向，以采暖季为重点时段，分区控制与区域协作相结合，强化重点区域、重点行业、重点企业的污染防治，协同防治，科学施策、精准治污，明显改善环境空气质量。</w:t>
            </w:r>
          </w:p>
          <w:p w14:paraId="56A2FA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本项目位于阜康市产业园阜东一区，属于工业园区，本项目颗粒物、二氧化硫执行《锅炉大气污染物排放标准》（GB13271-2014）表3大气污染物特别排放限值，氮氧化物执行《关于开展自治区2022年度夏秋季大气污染防治“冬病夏治”工作的通知》（新环大气函〔2022〕483号）的要求</w:t>
            </w:r>
            <w:r>
              <w:rPr>
                <w:rFonts w:hint="eastAsia" w:cs="Times New Roman"/>
                <w:b w:val="0"/>
                <w:bCs w:val="0"/>
                <w:color w:val="000000" w:themeColor="text1"/>
                <w:kern w:val="0"/>
                <w:sz w:val="24"/>
                <w:szCs w:val="24"/>
                <w:highlight w:val="none"/>
                <w:lang w:val="en-US" w:eastAsia="zh-CN"/>
                <w14:textFill>
                  <w14:solidFill>
                    <w14:schemeClr w14:val="tx1"/>
                  </w14:solidFill>
                </w14:textFill>
              </w:rPr>
              <w:t>，因此本项目符合《昌吉回族自治州生态环境保护与建设“十四五”规划》</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p>
          <w:p w14:paraId="798AF236">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cs="Times New Roman"/>
                <w:sz w:val="24"/>
                <w:szCs w:val="24"/>
                <w:lang w:val="en-US" w:eastAsia="zh-CN"/>
              </w:rPr>
              <w:t>1</w:t>
            </w:r>
            <w:r>
              <w:rPr>
                <w:rFonts w:hint="default" w:ascii="Times New Roman" w:hAnsi="Times New Roman" w:eastAsia="宋体" w:cs="Times New Roman"/>
                <w:sz w:val="24"/>
                <w:szCs w:val="24"/>
                <w:lang w:val="en-US" w:eastAsia="zh-CN"/>
              </w:rPr>
              <w:t xml:space="preserve"> 与《新疆维吾尔自治区2025年空气质量持续改善行动实施方案》符合性分析</w:t>
            </w:r>
          </w:p>
          <w:p w14:paraId="24E47AF7">
            <w:pPr>
              <w:pStyle w:val="5"/>
              <w:numPr>
                <w:ilvl w:val="0"/>
                <w:numId w:val="0"/>
              </w:numPr>
              <w:suppressLineNumbers w:val="0"/>
              <w:spacing w:before="0" w:beforeAutospacing="0" w:after="0" w:afterAutospacing="0" w:line="360" w:lineRule="auto"/>
              <w:ind w:left="0" w:right="0" w:firstLine="480" w:firstLineChars="200"/>
              <w:jc w:val="both"/>
              <w:outlineLvl w:val="1"/>
              <w:rPr>
                <w:rFonts w:hint="default" w:ascii="Times New Roman" w:hAnsi="Times New Roman" w:eastAsia="宋体" w:cs="Times New Roman"/>
                <w:b w:val="0"/>
                <w:bCs/>
                <w:sz w:val="24"/>
                <w:szCs w:val="24"/>
                <w:lang w:val="en-US" w:eastAsia="zh-CN"/>
              </w:rPr>
            </w:pPr>
            <w:r>
              <w:rPr>
                <w:rFonts w:hint="eastAsia" w:cs="Times New Roman"/>
                <w:b w:val="0"/>
                <w:bCs/>
                <w:sz w:val="24"/>
                <w:szCs w:val="24"/>
                <w:lang w:val="en-US" w:eastAsia="zh-CN"/>
              </w:rPr>
              <w:t>根据《新疆维吾尔自治区2025年空气质量持续改善行动实施方案》提出：</w:t>
            </w:r>
            <w:r>
              <w:rPr>
                <w:rFonts w:hint="default" w:ascii="Times New Roman" w:hAnsi="Times New Roman" w:eastAsia="宋体" w:cs="Times New Roman"/>
                <w:b w:val="0"/>
                <w:bCs/>
                <w:sz w:val="24"/>
                <w:szCs w:val="24"/>
                <w:lang w:val="en-US" w:eastAsia="zh-CN"/>
              </w:rPr>
              <w:t>以天山北坡城市群大气环境整治为重点，以降低PM2.5为主线，强化源头管控、多污染物协同控制和区域污染协同治理。持续推动</w:t>
            </w:r>
            <w:r>
              <w:rPr>
                <w:rFonts w:hint="eastAsia" w:ascii="Times New Roman" w:hAnsi="Times New Roman" w:cs="Times New Roman"/>
                <w:b w:val="0"/>
                <w:bCs/>
                <w:sz w:val="24"/>
                <w:szCs w:val="24"/>
                <w:lang w:val="en-US" w:eastAsia="zh-CN"/>
              </w:rPr>
              <w:t>产业结构、能源结构、交通运输结构</w:t>
            </w:r>
            <w:r>
              <w:rPr>
                <w:rFonts w:hint="default" w:ascii="Times New Roman" w:hAnsi="Times New Roman" w:eastAsia="宋体" w:cs="Times New Roman"/>
                <w:b w:val="0"/>
                <w:bCs/>
                <w:sz w:val="24"/>
                <w:szCs w:val="24"/>
                <w:lang w:val="en-US" w:eastAsia="zh-CN"/>
              </w:rPr>
              <w:t>优化调整，开展企业环保绩效提升行动，全面完成钢铁超低排放改造任务，有序实施水泥、焦化行业超低排放改造，加强重点行业VOCs全流程深度治理，着力提升重点行业大宗货物清洁运输比例。</w:t>
            </w:r>
          </w:p>
          <w:p w14:paraId="3ADE7E5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b w:val="0"/>
                <w:bCs/>
                <w:sz w:val="24"/>
                <w:szCs w:val="24"/>
                <w:lang w:val="en-US" w:eastAsia="zh-CN"/>
              </w:rPr>
            </w:pPr>
            <w:r>
              <w:rPr>
                <w:rFonts w:hint="eastAsia" w:cs="Times New Roman"/>
                <w:b w:val="0"/>
                <w:bCs/>
                <w:sz w:val="24"/>
                <w:szCs w:val="24"/>
                <w:lang w:val="en-US" w:eastAsia="zh-CN"/>
              </w:rPr>
              <w:t>本项目为热力生产和供应项目，不属于铸造、铁合金、焦化、水泥、砖瓦、石灰、耐火材料、金属冶炼以及煤化工、石油化工等行业，运营期采取的污染防治措施为：产生的锅炉烟气经低氮燃烧器+烟气再循环技术工艺处理后达标排放，符合《新疆维吾尔自治区2025年空气质量持续改善行动实施方案》</w:t>
            </w:r>
            <w:r>
              <w:rPr>
                <w:rFonts w:hint="default" w:ascii="Times New Roman" w:hAnsi="Times New Roman" w:eastAsia="宋体" w:cs="Times New Roman"/>
                <w:b w:val="0"/>
                <w:bCs/>
                <w:sz w:val="24"/>
                <w:szCs w:val="24"/>
                <w:lang w:val="en-US" w:eastAsia="zh-CN"/>
              </w:rPr>
              <w:t>。</w:t>
            </w:r>
          </w:p>
          <w:p w14:paraId="2BF67C1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outlineLvl w:val="9"/>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1</w:t>
            </w:r>
            <w:r>
              <w:rPr>
                <w:rFonts w:hint="eastAsia" w:cs="Times New Roman"/>
                <w:b/>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 选址合理性分析</w:t>
            </w:r>
          </w:p>
          <w:p w14:paraId="6187ACBF">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选址于新疆昌吉州阜康市甘河子镇西北偏西约7.5km处，位于新兴铸管阜康能源有限公司现有厂区内，无需新增用地，且厂区已预留调压计量撬装置专用空地。该空地紧邻项目核心生产区，缩短装置与主体设备的连接管线长度，减少介质输送损耗，同时为设备运维及产能扩容预留空间，提升选址实用性与经济性。</w:t>
            </w:r>
          </w:p>
          <w:p w14:paraId="1DD6183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项目选址区</w:t>
            </w:r>
            <w:r>
              <w:rPr>
                <w:rFonts w:hint="eastAsia" w:ascii="Times New Roman" w:hAnsi="Times New Roman" w:cs="Times New Roman"/>
                <w:color w:val="000000" w:themeColor="text1"/>
                <w:highlight w:val="none"/>
                <w:lang w:val="en-US" w:eastAsia="zh-CN"/>
                <w14:textFill>
                  <w14:solidFill>
                    <w14:schemeClr w14:val="tx1"/>
                  </w14:solidFill>
                </w14:textFill>
              </w:rPr>
              <w:t>域为</w:t>
            </w:r>
            <w:r>
              <w:rPr>
                <w:rFonts w:hint="default" w:ascii="Times New Roman" w:hAnsi="Times New Roman" w:eastAsia="宋体" w:cs="Times New Roman"/>
                <w:color w:val="000000" w:themeColor="text1"/>
                <w:highlight w:val="none"/>
                <w:lang w:val="en-US" w:eastAsia="zh-CN"/>
                <w14:textFill>
                  <w14:solidFill>
                    <w14:schemeClr w14:val="tx1"/>
                  </w14:solidFill>
                </w14:textFill>
              </w:rPr>
              <w:t>非特殊保护地区、社会关注区及特殊地貌景观区，无重点保护生态品种、濒危生物及文物古迹，环境敏感因素少。从蒸汽管线建设成本看，依托厂区现有道路、平整场地，无需额外大规模开挖平整，降低前期工程成本；借助厂区成熟工业管线体系，蒸汽管线可统筹排布，减少交叉冲突与绕行，缩短管线长度，降低管材、施工及运维成本；同时依托现有供电、给排水设施，减少配套辅助工程投入，进一步控制建设成本，凸显成本优势。</w:t>
            </w:r>
          </w:p>
          <w:p w14:paraId="66F90E8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项目区紧邻道路，满足建设及运营期原燃料运输需求，周边给水、供电设施齐全。叠加预留空地规划优势与蒸汽管线成本优势，项目选址合理性高，为建设与高效运营提供坚实保障。</w:t>
            </w:r>
          </w:p>
          <w:p w14:paraId="0293D3F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综上所述，本项目选址较为合理，具备项目建设条件。</w:t>
            </w:r>
          </w:p>
          <w:p w14:paraId="5288640D">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1E46CCDC">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69366985">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5EC27FD0">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2E7FC442">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504E4A04">
            <w:pPr>
              <w:pStyle w:val="25"/>
              <w:keepNext w:val="0"/>
              <w:keepLines w:val="0"/>
              <w:suppressLineNumbers w:val="0"/>
              <w:spacing w:before="0" w:beforeAutospacing="0" w:after="0" w:afterAutospacing="0"/>
              <w:ind w:left="0" w:leftChars="0" w:right="0" w:rightChars="0" w:firstLine="0" w:firstLineChars="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526D3351">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p w14:paraId="06CED1C5">
            <w:pPr>
              <w:pStyle w:val="25"/>
              <w:keepNext w:val="0"/>
              <w:keepLines w:val="0"/>
              <w:suppressLineNumbers w:val="0"/>
              <w:spacing w:before="0" w:beforeAutospacing="0" w:after="0" w:afterAutospacing="0"/>
              <w:ind w:left="0" w:leftChars="0" w:right="0" w:rightChars="0" w:firstLine="480" w:firstLineChars="200"/>
              <w:jc w:val="both"/>
              <w:rPr>
                <w:rFonts w:hint="default" w:ascii="Times New Roman" w:hAnsi="Times New Roman" w:eastAsia="宋体" w:cs="Times New Roman"/>
                <w:bCs/>
                <w:color w:val="000000" w:themeColor="text1"/>
                <w:lang w:val="en-US" w:eastAsia="zh-CN"/>
                <w14:textFill>
                  <w14:solidFill>
                    <w14:schemeClr w14:val="tx1"/>
                  </w14:solidFill>
                </w14:textFill>
              </w:rPr>
            </w:pPr>
          </w:p>
        </w:tc>
      </w:tr>
    </w:tbl>
    <w:p w14:paraId="2F1870B0">
      <w:pPr>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31DEE1D">
      <w:pPr>
        <w:pStyle w:val="4"/>
        <w:numPr>
          <w:ilvl w:val="0"/>
          <w:numId w:val="0"/>
        </w:numPr>
        <w:jc w:val="center"/>
        <w:rPr>
          <w:rFonts w:hint="default" w:ascii="Times New Roman" w:hAnsi="Times New Roman" w:eastAsia="宋体" w:cs="Times New Roman"/>
          <w:b/>
          <w:bCs w:val="0"/>
        </w:rPr>
      </w:pPr>
      <w:r>
        <w:rPr>
          <w:rFonts w:hint="default" w:ascii="Times New Roman" w:hAnsi="Times New Roman" w:eastAsia="宋体" w:cs="Times New Roman"/>
          <w:b/>
          <w:bCs w:val="0"/>
          <w:kern w:val="44"/>
          <w:sz w:val="30"/>
          <w:szCs w:val="24"/>
          <w:lang w:val="en-US" w:eastAsia="zh-CN" w:bidi="ar-SA"/>
        </w:rPr>
        <w:t>二、</w:t>
      </w:r>
      <w:r>
        <w:rPr>
          <w:rFonts w:hint="default" w:ascii="Times New Roman" w:hAnsi="Times New Roman" w:eastAsia="宋体" w:cs="Times New Roman"/>
          <w:b/>
          <w:bCs w:val="0"/>
        </w:rPr>
        <w:t>建设项目工程分析</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2"/>
        <w:gridCol w:w="7800"/>
      </w:tblGrid>
      <w:tr w14:paraId="1815A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22" w:type="dxa"/>
            <w:tcBorders>
              <w:tl2br w:val="nil"/>
              <w:tr2bl w:val="nil"/>
            </w:tcBorders>
            <w:vAlign w:val="center"/>
          </w:tcPr>
          <w:p w14:paraId="1EC81B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建设内容</w:t>
            </w:r>
          </w:p>
        </w:tc>
        <w:tc>
          <w:tcPr>
            <w:tcW w:w="7800" w:type="dxa"/>
            <w:tcBorders>
              <w:tl2br w:val="nil"/>
              <w:tr2bl w:val="nil"/>
            </w:tcBorders>
          </w:tcPr>
          <w:p w14:paraId="2C6C4263">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1 </w:t>
            </w:r>
            <w:r>
              <w:rPr>
                <w:rFonts w:hint="default"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t>项目背景</w:t>
            </w:r>
          </w:p>
          <w:p w14:paraId="68B77C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新兴铸管阜康能源有限公司于2003年8月成立，核心经营范围包含矿业投资、能源投资、矿产品销售及相关配套经营业务。企业厂区内配套建设两条球墨铸铁管生产线，分别为DN100~1000冷模生产线、DN1100~2000热模生产线。其中，冷模生产线于2014年4月开工建设，项目原批复燃料为焦炉煤气，因配套上游焦化项目未按期建成投运，无法实现焦炉煤气稳定供气，企业遂变更燃料供给方案，自建1台LD-Φ3.6m煤气发生炉，为生产线配套供气。</w:t>
            </w:r>
          </w:p>
          <w:p w14:paraId="29420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受厂区地理位置偏远、区域无集中</w:t>
            </w:r>
            <w:r>
              <w:rPr>
                <w:rFonts w:hint="eastAsia" w:cs="Times New Roman"/>
                <w:b w:val="0"/>
                <w:bCs w:val="0"/>
                <w:color w:val="auto"/>
                <w:kern w:val="0"/>
                <w:sz w:val="24"/>
                <w:szCs w:val="24"/>
                <w:highlight w:val="none"/>
                <w:lang w:val="en-US" w:eastAsia="zh-CN"/>
              </w:rPr>
              <w:t>园区</w:t>
            </w:r>
            <w:r>
              <w:rPr>
                <w:rFonts w:hint="default" w:ascii="Times New Roman" w:hAnsi="Times New Roman" w:eastAsia="宋体" w:cs="Times New Roman"/>
                <w:b w:val="0"/>
                <w:bCs w:val="0"/>
                <w:color w:val="auto"/>
                <w:kern w:val="0"/>
                <w:sz w:val="24"/>
                <w:szCs w:val="24"/>
                <w:highlight w:val="none"/>
                <w:lang w:val="en-US" w:eastAsia="zh-CN"/>
              </w:rPr>
              <w:t>供暖设施条件限制，企业为保障生产车间冬季采暖需求，于2012年自建1台6t/h煤改气采暖锅炉，专供铸管生产车间冬季采暖使用；厂区办公及生活区采暖依托电锅炉供热。企业原有LD-Φ3.6m煤气发生炉建成后，主要为厂区台式退火炉生产设备及6t/h煤改气锅炉提供燃料。2018年，该6t/h采暖锅炉完成燃料改造，变更为以煤气发生炉制取水煤气为燃料；该锅炉于2022年全面停用，</w:t>
            </w:r>
            <w:r>
              <w:rPr>
                <w:rFonts w:hint="default" w:ascii="Times New Roman" w:hAnsi="Times New Roman" w:eastAsia="宋体" w:cs="Times New Roman"/>
                <w:b w:val="0"/>
                <w:bCs w:val="0"/>
                <w:color w:val="auto"/>
                <w:kern w:val="0"/>
                <w:sz w:val="24"/>
                <w:szCs w:val="24"/>
                <w:highlight w:val="yellow"/>
                <w:lang w:val="en-US" w:eastAsia="zh-CN"/>
              </w:rPr>
              <w:t>企业已对6t/h采暖锅炉实施“两断三清”取缔整治措施</w:t>
            </w:r>
            <w:r>
              <w:rPr>
                <w:rFonts w:hint="default" w:ascii="Times New Roman" w:hAnsi="Times New Roman" w:eastAsia="宋体" w:cs="Times New Roman"/>
                <w:b w:val="0"/>
                <w:bCs w:val="0"/>
                <w:color w:val="auto"/>
                <w:kern w:val="0"/>
                <w:sz w:val="24"/>
                <w:szCs w:val="24"/>
                <w:highlight w:val="none"/>
                <w:lang w:val="en-US" w:eastAsia="zh-CN"/>
              </w:rPr>
              <w:t>，设备主体功能已完全灭失。厂区2022—2024年冬季均处于停产状态，无生产及采暖设施运行工况。</w:t>
            </w:r>
          </w:p>
          <w:p w14:paraId="7C3F2C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2025年，企业接到冬季复工生产任务通知，为满足铸管车间冬季生产采暖需求、优化厂区燃料结构、淘汰落后煤气生产设施，</w:t>
            </w:r>
            <w:r>
              <w:rPr>
                <w:rFonts w:hint="default" w:ascii="Times New Roman" w:hAnsi="Times New Roman" w:eastAsia="宋体" w:cs="Times New Roman"/>
                <w:b w:val="0"/>
                <w:bCs w:val="0"/>
                <w:color w:val="auto"/>
                <w:kern w:val="0"/>
                <w:sz w:val="24"/>
                <w:szCs w:val="24"/>
                <w:highlight w:val="yellow"/>
                <w:lang w:val="en-US" w:eastAsia="zh-CN"/>
              </w:rPr>
              <w:t>于2025年8月拆除厂区原有LD-Φ3.6m煤气发生炉</w:t>
            </w:r>
            <w:r>
              <w:rPr>
                <w:rFonts w:hint="default" w:ascii="Times New Roman" w:hAnsi="Times New Roman" w:eastAsia="宋体" w:cs="Times New Roman"/>
                <w:b w:val="0"/>
                <w:bCs w:val="0"/>
                <w:color w:val="auto"/>
                <w:kern w:val="0"/>
                <w:sz w:val="24"/>
                <w:szCs w:val="24"/>
                <w:highlight w:val="none"/>
                <w:lang w:val="en-US" w:eastAsia="zh-CN"/>
              </w:rPr>
              <w:t>，同步在现有铸管车间内</w:t>
            </w:r>
            <w:r>
              <w:rPr>
                <w:rFonts w:hint="eastAsia" w:cs="Times New Roman"/>
                <w:b w:val="0"/>
                <w:bCs w:val="0"/>
                <w:color w:val="auto"/>
                <w:kern w:val="0"/>
                <w:sz w:val="24"/>
                <w:szCs w:val="24"/>
                <w:highlight w:val="none"/>
                <w:lang w:val="en-US" w:eastAsia="zh-CN"/>
              </w:rPr>
              <w:t>新建</w:t>
            </w:r>
            <w:r>
              <w:rPr>
                <w:rFonts w:hint="default" w:ascii="Times New Roman" w:hAnsi="Times New Roman" w:eastAsia="宋体" w:cs="Times New Roman"/>
                <w:b w:val="0"/>
                <w:bCs w:val="0"/>
                <w:color w:val="auto"/>
                <w:kern w:val="0"/>
                <w:sz w:val="24"/>
                <w:szCs w:val="24"/>
                <w:highlight w:val="none"/>
                <w:lang w:val="en-US" w:eastAsia="zh-CN"/>
              </w:rPr>
              <w:t>1台4t/h燃气采暖蒸汽锅炉，以清洁能源天然气为燃料，替代原有6t/h煤改气采暖锅炉，承担厂区铸管车间冬季采暖功能。</w:t>
            </w:r>
            <w:r>
              <w:rPr>
                <w:rFonts w:hint="eastAsia" w:cs="Times New Roman"/>
                <w:b w:val="0"/>
                <w:bCs w:val="0"/>
                <w:color w:val="auto"/>
                <w:kern w:val="0"/>
                <w:sz w:val="24"/>
                <w:szCs w:val="24"/>
                <w:highlight w:val="none"/>
                <w:lang w:val="en-US" w:eastAsia="zh-CN"/>
              </w:rPr>
              <w:t>2026年2月28日</w:t>
            </w:r>
            <w:r>
              <w:rPr>
                <w:rFonts w:hint="default" w:ascii="Times New Roman" w:hAnsi="Times New Roman" w:eastAsia="宋体" w:cs="Times New Roman"/>
                <w:b w:val="0"/>
                <w:bCs w:val="0"/>
                <w:color w:val="auto"/>
                <w:kern w:val="0"/>
                <w:sz w:val="24"/>
                <w:szCs w:val="24"/>
                <w:highlight w:val="none"/>
                <w:lang w:val="en-US" w:eastAsia="zh-CN"/>
              </w:rPr>
              <w:t>昌吉回族自治州生态环境局</w:t>
            </w:r>
            <w:r>
              <w:rPr>
                <w:rFonts w:hint="eastAsia" w:cs="Times New Roman"/>
                <w:b w:val="0"/>
                <w:bCs w:val="0"/>
                <w:color w:val="auto"/>
                <w:kern w:val="0"/>
                <w:sz w:val="24"/>
                <w:szCs w:val="24"/>
                <w:highlight w:val="none"/>
                <w:lang w:val="en-US" w:eastAsia="zh-CN"/>
              </w:rPr>
              <w:t>已出具《</w:t>
            </w:r>
            <w:r>
              <w:rPr>
                <w:rFonts w:hint="default" w:ascii="Times New Roman" w:hAnsi="Times New Roman" w:eastAsia="宋体" w:cs="Times New Roman"/>
                <w:b w:val="0"/>
                <w:bCs w:val="0"/>
                <w:color w:val="auto"/>
                <w:kern w:val="0"/>
                <w:sz w:val="24"/>
                <w:szCs w:val="24"/>
                <w:highlight w:val="none"/>
                <w:lang w:val="en-US" w:eastAsia="zh-CN"/>
              </w:rPr>
              <w:t>昌吉回族自治州生态环境局责令改正违法行为决定书</w:t>
            </w:r>
            <w:r>
              <w:rPr>
                <w:rFonts w:hint="eastAsia" w:cs="Times New Roman"/>
                <w:b w:val="0"/>
                <w:bCs w:val="0"/>
                <w:color w:val="auto"/>
                <w:kern w:val="0"/>
                <w:sz w:val="24"/>
                <w:szCs w:val="24"/>
                <w:highlight w:val="none"/>
                <w:lang w:val="en-US" w:eastAsia="zh-CN"/>
              </w:rPr>
              <w:t>》，文号：昌州环责改〔2026〕5-14号。</w:t>
            </w:r>
          </w:p>
          <w:p w14:paraId="3E5AC4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根据《中华人民共和国环境保护法》《中华人民共和国环境影响评价法》《建设项目环境保护管理条例》等有关规定要求，本项目需要进行环境影响评价。依据《建设项目环境影响评价分类管理名录（2021年本）》，项目类别属于</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四十一</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电力、热力生产和供应业</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中的</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91热力生产和供应工程</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中的</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其他</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类</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，因此，本项目应编制环境影响报告表。</w:t>
            </w:r>
          </w:p>
          <w:p w14:paraId="2452C621">
            <w:pPr>
              <w:pStyle w:val="6"/>
              <w:numPr>
                <w:ilvl w:val="0"/>
                <w:numId w:val="0"/>
              </w:numPr>
              <w:suppressLineNumbers w:val="0"/>
              <w:spacing w:before="0" w:beforeAutospacing="0" w:after="0" w:afterAutospacing="0"/>
              <w:ind w:left="0" w:leftChars="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 项目基本情况</w:t>
            </w:r>
          </w:p>
          <w:p w14:paraId="5B8A4A31">
            <w:pPr>
              <w:pStyle w:val="6"/>
              <w:numPr>
                <w:ilvl w:val="0"/>
                <w:numId w:val="0"/>
              </w:numPr>
              <w:suppressLineNumbers w:val="0"/>
              <w:spacing w:before="0" w:beforeAutospacing="0" w:after="0" w:afterAutospacing="0"/>
              <w:ind w:left="0" w:leftChars="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2.1 </w:t>
            </w:r>
            <w:r>
              <w:rPr>
                <w:rFonts w:hint="default" w:ascii="Times New Roman" w:hAnsi="Times New Roman" w:eastAsia="宋体" w:cs="Times New Roman"/>
                <w:color w:val="000000" w:themeColor="text1"/>
                <w14:textFill>
                  <w14:solidFill>
                    <w14:schemeClr w14:val="tx1"/>
                  </w14:solidFill>
                </w14:textFill>
              </w:rPr>
              <w:t>项目</w:t>
            </w:r>
            <w:r>
              <w:rPr>
                <w:rFonts w:hint="default" w:ascii="Times New Roman" w:hAnsi="Times New Roman" w:eastAsia="宋体" w:cs="Times New Roman"/>
                <w:color w:val="000000" w:themeColor="text1"/>
                <w:lang w:val="en-US" w:eastAsia="zh-CN"/>
                <w14:textFill>
                  <w14:solidFill>
                    <w14:schemeClr w14:val="tx1"/>
                  </w14:solidFill>
                </w14:textFill>
              </w:rPr>
              <w:t>建设地点</w:t>
            </w:r>
          </w:p>
          <w:p w14:paraId="5FEF931D">
            <w:pPr>
              <w:pStyle w:val="25"/>
              <w:keepNext w:val="0"/>
              <w:keepLines w:val="0"/>
              <w:suppressLineNumbers w:val="0"/>
              <w:tabs>
                <w:tab w:val="left" w:pos="6720"/>
                <w:tab w:val="left" w:pos="7200"/>
              </w:tabs>
              <w:spacing w:before="0" w:beforeAutospacing="0" w:after="0" w:afterAutospacing="0"/>
              <w:ind w:left="0" w:right="0" w:firstLine="48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建设地点位于</w:t>
            </w:r>
            <w:r>
              <w:rPr>
                <w:rFonts w:hint="default" w:ascii="Times New Roman" w:hAnsi="Times New Roman" w:eastAsia="宋体" w:cs="Times New Roman"/>
                <w:b w:val="0"/>
                <w:bCs/>
                <w:color w:val="000000" w:themeColor="text1"/>
                <w:lang w:val="en-US" w:eastAsia="zh-CN"/>
                <w14:textFill>
                  <w14:solidFill>
                    <w14:schemeClr w14:val="tx1"/>
                  </w14:solidFill>
                </w14:textFill>
              </w:rPr>
              <w:t>新疆维吾尔自治区昌吉回族自治州阜康市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甘河子镇西北偏西侧约7.5km处，所在地现为新兴铸管阜康能源</w:t>
            </w:r>
            <w:r>
              <w:rPr>
                <w:rFonts w:hint="eastAsia" w:cs="Times New Roman"/>
                <w:color w:val="000000" w:themeColor="text1"/>
                <w:sz w:val="24"/>
                <w:szCs w:val="24"/>
                <w:lang w:val="en-US" w:eastAsia="zh-CN"/>
                <w14:textFill>
                  <w14:solidFill>
                    <w14:schemeClr w14:val="tx1"/>
                  </w14:solidFill>
                </w14:textFill>
              </w:rPr>
              <w:t>有限公司</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现有厂区内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auto"/>
                <w:sz w:val="24"/>
                <w:szCs w:val="24"/>
                <w:highlight w:val="none"/>
                <w:lang w:val="en-US" w:eastAsia="zh-CN"/>
              </w:rPr>
              <w:t>本</w:t>
            </w:r>
            <w:r>
              <w:rPr>
                <w:rFonts w:hint="default" w:ascii="Times New Roman" w:hAnsi="Times New Roman" w:cs="Times New Roman"/>
                <w:color w:val="auto"/>
                <w:sz w:val="24"/>
                <w:szCs w:val="24"/>
                <w:highlight w:val="none"/>
                <w:lang w:val="en-US" w:eastAsia="zh-CN"/>
              </w:rPr>
              <w:t>项目</w:t>
            </w:r>
            <w:r>
              <w:rPr>
                <w:rFonts w:hint="eastAsia" w:cs="Times New Roman"/>
                <w:color w:val="auto"/>
                <w:sz w:val="24"/>
                <w:szCs w:val="24"/>
                <w:highlight w:val="none"/>
                <w:lang w:val="en-US" w:eastAsia="zh-CN"/>
              </w:rPr>
              <w:t>在铸管车间内东南角，</w:t>
            </w:r>
            <w:r>
              <w:rPr>
                <w:rFonts w:hint="default" w:ascii="Times New Roman" w:hAnsi="Times New Roman" w:cs="Times New Roman"/>
                <w:color w:val="auto"/>
                <w:sz w:val="24"/>
                <w:szCs w:val="24"/>
                <w:highlight w:val="none"/>
                <w:lang w:val="en-US" w:eastAsia="zh-CN"/>
              </w:rPr>
              <w:t>东侧</w:t>
            </w:r>
            <w:r>
              <w:rPr>
                <w:rFonts w:hint="eastAsia" w:cs="Times New Roman"/>
                <w:color w:val="auto"/>
                <w:sz w:val="24"/>
                <w:szCs w:val="24"/>
                <w:highlight w:val="none"/>
                <w:lang w:val="en-US" w:eastAsia="zh-CN"/>
              </w:rPr>
              <w:t>为成品库房；</w:t>
            </w:r>
            <w:r>
              <w:rPr>
                <w:rFonts w:hint="default" w:ascii="Times New Roman" w:hAnsi="Times New Roman" w:cs="Times New Roman"/>
                <w:color w:val="auto"/>
                <w:sz w:val="24"/>
                <w:szCs w:val="24"/>
                <w:highlight w:val="none"/>
                <w:lang w:val="en-US" w:eastAsia="zh-CN"/>
              </w:rPr>
              <w:t>南侧</w:t>
            </w:r>
            <w:r>
              <w:rPr>
                <w:rFonts w:hint="eastAsia" w:cs="Times New Roman"/>
                <w:color w:val="auto"/>
                <w:sz w:val="24"/>
                <w:szCs w:val="24"/>
                <w:highlight w:val="none"/>
                <w:lang w:val="en-US" w:eastAsia="zh-CN"/>
              </w:rPr>
              <w:t>为厂区变压站、</w:t>
            </w:r>
            <w:r>
              <w:rPr>
                <w:rFonts w:hint="default" w:ascii="Times New Roman" w:hAnsi="Times New Roman" w:cs="Times New Roman"/>
                <w:color w:val="auto"/>
                <w:sz w:val="24"/>
                <w:szCs w:val="24"/>
                <w:highlight w:val="none"/>
                <w:lang w:val="en-US" w:eastAsia="zh-CN"/>
              </w:rPr>
              <w:t>西侧</w:t>
            </w:r>
            <w:r>
              <w:rPr>
                <w:rFonts w:hint="eastAsia" w:cs="Times New Roman"/>
                <w:color w:val="auto"/>
                <w:sz w:val="24"/>
                <w:szCs w:val="24"/>
                <w:highlight w:val="none"/>
                <w:lang w:val="en-US" w:eastAsia="zh-CN"/>
              </w:rPr>
              <w:t>为铸管车间内部</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北侧为厂区成品库房</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厂址中心点地理坐标：E88°15′</w:t>
            </w:r>
            <w:r>
              <w:rPr>
                <w:rFonts w:hint="default" w:ascii="Times New Roman" w:hAnsi="Times New Roman" w:eastAsia="宋体" w:cs="Times New Roman"/>
                <w:b w:val="0"/>
                <w:bCs/>
                <w:color w:val="000000" w:themeColor="text1"/>
                <w:lang w:val="en-US" w:eastAsia="zh-CN"/>
                <w14:textFill>
                  <w14:solidFill>
                    <w14:schemeClr w14:val="tx1"/>
                  </w14:solidFill>
                </w14:textFill>
              </w:rPr>
              <w:t>20</w:t>
            </w:r>
            <w:r>
              <w:rPr>
                <w:rFonts w:hint="default" w:ascii="Times New Roman" w:hAnsi="Times New Roman" w:eastAsia="宋体" w:cs="Times New Roman"/>
                <w:b w:val="0"/>
                <w:bCs/>
                <w:color w:val="000000" w:themeColor="text1"/>
                <w14:textFill>
                  <w14:solidFill>
                    <w14:schemeClr w14:val="tx1"/>
                  </w14:solidFill>
                </w14:textFill>
              </w:rPr>
              <w:t>.</w:t>
            </w:r>
            <w:r>
              <w:rPr>
                <w:rFonts w:hint="default" w:ascii="Times New Roman" w:hAnsi="Times New Roman" w:eastAsia="宋体" w:cs="Times New Roman"/>
                <w:b w:val="0"/>
                <w:bCs/>
                <w:color w:val="000000" w:themeColor="text1"/>
                <w:lang w:val="en-US" w:eastAsia="zh-CN"/>
                <w14:textFill>
                  <w14:solidFill>
                    <w14:schemeClr w14:val="tx1"/>
                  </w14:solidFill>
                </w14:textFill>
              </w:rPr>
              <w:t>873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N44°7′</w:t>
            </w:r>
            <w:r>
              <w:rPr>
                <w:rFonts w:hint="default" w:ascii="Times New Roman" w:hAnsi="Times New Roman" w:eastAsia="宋体" w:cs="Times New Roman"/>
                <w:b w:val="0"/>
                <w:bCs/>
                <w:color w:val="000000" w:themeColor="text1"/>
                <w:lang w:val="en-US" w:eastAsia="zh-CN"/>
                <w14:textFill>
                  <w14:solidFill>
                    <w14:schemeClr w14:val="tx1"/>
                  </w14:solidFill>
                </w14:textFill>
              </w:rPr>
              <w:t>1</w:t>
            </w:r>
            <w:r>
              <w:rPr>
                <w:rFonts w:hint="default" w:ascii="Times New Roman" w:hAnsi="Times New Roman" w:eastAsia="宋体" w:cs="Times New Roman"/>
                <w:b w:val="0"/>
                <w:bCs/>
                <w:color w:val="000000" w:themeColor="text1"/>
                <w14:textFill>
                  <w14:solidFill>
                    <w14:schemeClr w14:val="tx1"/>
                  </w14:solidFill>
                </w14:textFill>
              </w:rPr>
              <w:t>.</w:t>
            </w:r>
            <w:r>
              <w:rPr>
                <w:rFonts w:hint="default" w:ascii="Times New Roman" w:hAnsi="Times New Roman" w:eastAsia="宋体" w:cs="Times New Roman"/>
                <w:b w:val="0"/>
                <w:bCs/>
                <w:color w:val="000000" w:themeColor="text1"/>
                <w:lang w:val="en-US" w:eastAsia="zh-CN"/>
                <w14:textFill>
                  <w14:solidFill>
                    <w14:schemeClr w14:val="tx1"/>
                  </w14:solidFill>
                </w14:textFill>
              </w:rPr>
              <w:t>978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"，周边无环境敏感目标。地理位置图见</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附图</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周边关系图见</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附图</w:t>
            </w:r>
            <w:r>
              <w:rPr>
                <w:rFonts w:hint="eastAsia"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51A4D758">
            <w:pPr>
              <w:pStyle w:val="25"/>
              <w:keepNext w:val="0"/>
              <w:keepLines w:val="0"/>
              <w:suppressLineNumbers w:val="0"/>
              <w:tabs>
                <w:tab w:val="left" w:pos="6720"/>
                <w:tab w:val="left" w:pos="7200"/>
              </w:tabs>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 xml:space="preserve"> 项目建设内容</w:t>
            </w:r>
          </w:p>
          <w:p w14:paraId="71C460A7">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本项目位于新疆维吾尔自治区昌吉回族自治州阜康市新兴铸管能源有限公司现有铸管车间内，</w:t>
            </w:r>
            <w:r>
              <w:rPr>
                <w:rFonts w:hint="default" w:ascii="Times New Roman" w:hAnsi="Times New Roman" w:eastAsia="宋体" w:cs="Times New Roman"/>
                <w:color w:val="000000" w:themeColor="text1"/>
                <w:highlight w:val="yellow"/>
                <w:lang w:val="en-US" w:eastAsia="zh-CN"/>
                <w14:textFill>
                  <w14:solidFill>
                    <w14:schemeClr w14:val="tx1"/>
                  </w14:solidFill>
                </w14:textFill>
              </w:rPr>
              <w:t>属于</w:t>
            </w:r>
            <w:r>
              <w:rPr>
                <w:rFonts w:hint="eastAsia" w:cs="Times New Roman"/>
                <w:color w:val="000000" w:themeColor="text1"/>
                <w:highlight w:val="yellow"/>
                <w:lang w:val="en-US" w:eastAsia="zh-CN"/>
                <w14:textFill>
                  <w14:solidFill>
                    <w14:schemeClr w14:val="tx1"/>
                  </w14:solidFill>
                </w14:textFill>
              </w:rPr>
              <w:t>改建</w:t>
            </w:r>
            <w:r>
              <w:rPr>
                <w:rFonts w:hint="default" w:ascii="Times New Roman" w:hAnsi="Times New Roman" w:eastAsia="宋体" w:cs="Times New Roman"/>
                <w:color w:val="000000" w:themeColor="text1"/>
                <w:highlight w:val="yellow"/>
                <w:lang w:val="en-US" w:eastAsia="zh-CN"/>
                <w14:textFill>
                  <w14:solidFill>
                    <w14:schemeClr w14:val="tx1"/>
                  </w14:solidFill>
                </w14:textFill>
              </w:rPr>
              <w:t>项目</w:t>
            </w:r>
            <w:r>
              <w:rPr>
                <w:rFonts w:hint="default" w:ascii="Times New Roman" w:hAnsi="Times New Roman" w:eastAsia="宋体" w:cs="Times New Roman"/>
                <w:color w:val="000000" w:themeColor="text1"/>
                <w:lang w:val="en-US" w:eastAsia="zh-CN"/>
                <w14:textFill>
                  <w14:solidFill>
                    <w14:schemeClr w14:val="tx1"/>
                  </w14:solidFill>
                </w14:textFill>
              </w:rPr>
              <w:t>，不新增用地，仅在铸管车间东南角新增1台4t/h天然气蒸汽锅炉及配套辅助设施，核心功能为满足铸管车间采暖需求。项目依托厂区现有供水、排水、供电、供气系统，无需新建公用工程主体设施，仅新增环保及辅助控制设施，符合园区产业布局及环保要求。</w:t>
            </w:r>
          </w:p>
          <w:p w14:paraId="51E4040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 xml:space="preserve">   项目建设内容一览表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104"/>
              <w:gridCol w:w="4364"/>
              <w:gridCol w:w="1010"/>
            </w:tblGrid>
            <w:tr w14:paraId="200BE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pct"/>
                  <w:tcBorders>
                    <w:bottom w:val="single" w:color="auto" w:sz="12" w:space="0"/>
                  </w:tcBorders>
                  <w:noWrap w:val="0"/>
                  <w:vAlign w:val="center"/>
                </w:tcPr>
                <w:p w14:paraId="628B9C2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eastAsia="zh-CN"/>
                      <w14:textFill>
                        <w14:solidFill>
                          <w14:schemeClr w14:val="tx1"/>
                        </w14:solidFill>
                      </w14:textFill>
                    </w:rPr>
                    <w:t>工程类型</w:t>
                  </w:r>
                </w:p>
              </w:tc>
              <w:tc>
                <w:tcPr>
                  <w:tcW w:w="728" w:type="pct"/>
                  <w:tcBorders>
                    <w:bottom w:val="single" w:color="auto" w:sz="12" w:space="0"/>
                  </w:tcBorders>
                  <w:noWrap w:val="0"/>
                  <w:vAlign w:val="center"/>
                </w:tcPr>
                <w:p w14:paraId="396C544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建设名称</w:t>
                  </w:r>
                </w:p>
              </w:tc>
              <w:tc>
                <w:tcPr>
                  <w:tcW w:w="2877" w:type="pct"/>
                  <w:tcBorders>
                    <w:bottom w:val="single" w:color="auto" w:sz="12" w:space="0"/>
                  </w:tcBorders>
                  <w:noWrap w:val="0"/>
                  <w:vAlign w:val="center"/>
                </w:tcPr>
                <w:p w14:paraId="388246E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规模及用途</w:t>
                  </w:r>
                </w:p>
              </w:tc>
              <w:tc>
                <w:tcPr>
                  <w:tcW w:w="666" w:type="pct"/>
                  <w:tcBorders>
                    <w:bottom w:val="single" w:color="auto" w:sz="12" w:space="0"/>
                  </w:tcBorders>
                  <w:noWrap w:val="0"/>
                  <w:vAlign w:val="center"/>
                </w:tcPr>
                <w:p w14:paraId="2416AB7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备注</w:t>
                  </w:r>
                </w:p>
              </w:tc>
            </w:tr>
            <w:tr w14:paraId="4957BA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pct"/>
                  <w:tcBorders>
                    <w:top w:val="single" w:color="auto" w:sz="12" w:space="0"/>
                    <w:tl2br w:val="nil"/>
                    <w:tr2bl w:val="nil"/>
                  </w:tcBorders>
                  <w:noWrap w:val="0"/>
                  <w:vAlign w:val="center"/>
                </w:tcPr>
                <w:p w14:paraId="0E144D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主体工程</w:t>
                  </w:r>
                </w:p>
              </w:tc>
              <w:tc>
                <w:tcPr>
                  <w:tcW w:w="728" w:type="pct"/>
                  <w:tcBorders>
                    <w:top w:val="single" w:color="auto" w:sz="12" w:space="0"/>
                    <w:tl2br w:val="nil"/>
                    <w:tr2bl w:val="nil"/>
                  </w:tcBorders>
                  <w:noWrap w:val="0"/>
                  <w:vAlign w:val="center"/>
                </w:tcPr>
                <w:p w14:paraId="40BAFCC1">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天然气蒸汽锅炉</w:t>
                  </w:r>
                </w:p>
              </w:tc>
              <w:tc>
                <w:tcPr>
                  <w:tcW w:w="2877" w:type="pct"/>
                  <w:tcBorders>
                    <w:top w:val="single" w:color="auto" w:sz="12" w:space="0"/>
                    <w:tl2br w:val="nil"/>
                    <w:tr2bl w:val="nil"/>
                  </w:tcBorders>
                  <w:noWrap w:val="0"/>
                  <w:vAlign w:val="center"/>
                </w:tcPr>
                <w:p w14:paraId="2D56E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位于铸管车间</w:t>
                  </w:r>
                  <w:r>
                    <w:rPr>
                      <w:rFonts w:hint="eastAsia" w:cs="Times New Roman"/>
                      <w:b w:val="0"/>
                      <w:bCs/>
                      <w:color w:val="000000" w:themeColor="text1"/>
                      <w:kern w:val="2"/>
                      <w:sz w:val="21"/>
                      <w:szCs w:val="21"/>
                      <w:lang w:val="en-US" w:eastAsia="zh-CN" w:bidi="ar-SA"/>
                      <w14:textFill>
                        <w14:solidFill>
                          <w14:schemeClr w14:val="tx1"/>
                        </w14:solidFill>
                      </w14:textFill>
                    </w:rPr>
                    <w:t>内</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东南角，设置1台4t/h额定蒸发量天然气蒸汽锅炉（型号WNS4-1.25-JQ）</w:t>
                  </w:r>
                </w:p>
              </w:tc>
              <w:tc>
                <w:tcPr>
                  <w:tcW w:w="666" w:type="pct"/>
                  <w:tcBorders>
                    <w:top w:val="single" w:color="auto" w:sz="12" w:space="0"/>
                    <w:tl2br w:val="nil"/>
                    <w:tr2bl w:val="nil"/>
                  </w:tcBorders>
                  <w:noWrap w:val="0"/>
                  <w:vAlign w:val="center"/>
                </w:tcPr>
                <w:p w14:paraId="6B34A0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6307C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7" w:type="pct"/>
                  <w:vMerge w:val="restart"/>
                  <w:tcBorders>
                    <w:tl2br w:val="nil"/>
                    <w:tr2bl w:val="nil"/>
                  </w:tcBorders>
                  <w:noWrap w:val="0"/>
                  <w:vAlign w:val="center"/>
                </w:tcPr>
                <w:p w14:paraId="6AA1BA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辅助工程</w:t>
                  </w:r>
                </w:p>
              </w:tc>
              <w:tc>
                <w:tcPr>
                  <w:tcW w:w="728" w:type="pct"/>
                  <w:tcBorders>
                    <w:tl2br w:val="nil"/>
                    <w:tr2bl w:val="nil"/>
                  </w:tcBorders>
                  <w:noWrap w:val="0"/>
                  <w:vAlign w:val="center"/>
                </w:tcPr>
                <w:p w14:paraId="455422EB">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控制室</w:t>
                  </w:r>
                </w:p>
              </w:tc>
              <w:tc>
                <w:tcPr>
                  <w:tcW w:w="2877" w:type="pct"/>
                  <w:tcBorders>
                    <w:tl2br w:val="nil"/>
                    <w:tr2bl w:val="nil"/>
                  </w:tcBorders>
                  <w:noWrap w:val="0"/>
                  <w:vAlign w:val="center"/>
                </w:tcPr>
                <w:p w14:paraId="5DDD4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配置自动化控制系统，实现燃气调压、锅炉燃烧、水处理循环、蒸汽输出的全程监控</w:t>
                  </w:r>
                </w:p>
              </w:tc>
              <w:tc>
                <w:tcPr>
                  <w:tcW w:w="666" w:type="pct"/>
                  <w:tcBorders>
                    <w:tl2br w:val="nil"/>
                    <w:tr2bl w:val="nil"/>
                  </w:tcBorders>
                  <w:noWrap w:val="0"/>
                  <w:vAlign w:val="center"/>
                </w:tcPr>
                <w:p w14:paraId="0E3E8F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655150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27" w:type="pct"/>
                  <w:vMerge w:val="continue"/>
                  <w:tcBorders>
                    <w:tl2br w:val="nil"/>
                    <w:tr2bl w:val="nil"/>
                  </w:tcBorders>
                  <w:noWrap w:val="0"/>
                  <w:vAlign w:val="center"/>
                </w:tcPr>
                <w:p w14:paraId="130FA17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p>
              </w:tc>
              <w:tc>
                <w:tcPr>
                  <w:tcW w:w="728" w:type="pct"/>
                  <w:tcBorders>
                    <w:tl2br w:val="nil"/>
                    <w:tr2bl w:val="nil"/>
                  </w:tcBorders>
                  <w:noWrap w:val="0"/>
                  <w:vAlign w:val="center"/>
                </w:tcPr>
                <w:p w14:paraId="29CE4239">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水处理间</w:t>
                  </w:r>
                </w:p>
              </w:tc>
              <w:tc>
                <w:tcPr>
                  <w:tcW w:w="2877" w:type="pct"/>
                  <w:tcBorders>
                    <w:tl2br w:val="nil"/>
                    <w:tr2bl w:val="nil"/>
                  </w:tcBorders>
                  <w:noWrap w:val="0"/>
                  <w:vAlign w:val="center"/>
                </w:tcPr>
                <w:p w14:paraId="7E251C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新建软水制备系统，对新鲜水进行软化处理，满足锅炉给水水质要求</w:t>
                  </w:r>
                </w:p>
              </w:tc>
              <w:tc>
                <w:tcPr>
                  <w:tcW w:w="666" w:type="pct"/>
                  <w:tcBorders>
                    <w:tl2br w:val="nil"/>
                    <w:tr2bl w:val="nil"/>
                  </w:tcBorders>
                  <w:noWrap w:val="0"/>
                  <w:vAlign w:val="center"/>
                </w:tcPr>
                <w:p w14:paraId="304425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436621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27" w:type="pct"/>
                  <w:vMerge w:val="restart"/>
                  <w:tcBorders>
                    <w:tl2br w:val="nil"/>
                    <w:tr2bl w:val="nil"/>
                  </w:tcBorders>
                  <w:noWrap w:val="0"/>
                  <w:vAlign w:val="center"/>
                </w:tcPr>
                <w:p w14:paraId="6122C67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公用工程</w:t>
                  </w:r>
                </w:p>
              </w:tc>
              <w:tc>
                <w:tcPr>
                  <w:tcW w:w="728" w:type="pct"/>
                  <w:tcBorders>
                    <w:tl2br w:val="nil"/>
                    <w:tr2bl w:val="nil"/>
                  </w:tcBorders>
                  <w:noWrap w:val="0"/>
                  <w:vAlign w:val="center"/>
                </w:tcPr>
                <w:p w14:paraId="336C0A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供水工程</w:t>
                  </w:r>
                </w:p>
              </w:tc>
              <w:tc>
                <w:tcPr>
                  <w:tcW w:w="2877" w:type="pct"/>
                  <w:tcBorders>
                    <w:tl2br w:val="nil"/>
                    <w:tr2bl w:val="nil"/>
                  </w:tcBorders>
                  <w:noWrap w:val="0"/>
                  <w:vAlign w:val="center"/>
                </w:tcPr>
                <w:p w14:paraId="2B9E5F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新鲜水由园区供水管网引入，软水由新建水处理间制备，依托原有管网输送至锅炉</w:t>
                  </w:r>
                </w:p>
              </w:tc>
              <w:tc>
                <w:tcPr>
                  <w:tcW w:w="666" w:type="pct"/>
                  <w:tcBorders>
                    <w:tl2br w:val="nil"/>
                    <w:tr2bl w:val="nil"/>
                  </w:tcBorders>
                  <w:noWrap w:val="0"/>
                  <w:vAlign w:val="center"/>
                </w:tcPr>
                <w:p w14:paraId="64332A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依托</w:t>
                  </w:r>
                </w:p>
              </w:tc>
            </w:tr>
            <w:tr w14:paraId="5DA8C3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pct"/>
                  <w:vMerge w:val="continue"/>
                  <w:tcBorders>
                    <w:tl2br w:val="nil"/>
                    <w:tr2bl w:val="nil"/>
                  </w:tcBorders>
                  <w:noWrap w:val="0"/>
                  <w:vAlign w:val="center"/>
                </w:tcPr>
                <w:p w14:paraId="22A25A58">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728" w:type="pct"/>
                  <w:tcBorders>
                    <w:tl2br w:val="nil"/>
                    <w:tr2bl w:val="nil"/>
                  </w:tcBorders>
                  <w:noWrap w:val="0"/>
                  <w:vAlign w:val="center"/>
                </w:tcPr>
                <w:p w14:paraId="7F4C3620">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排水工程</w:t>
                  </w:r>
                </w:p>
              </w:tc>
              <w:tc>
                <w:tcPr>
                  <w:tcW w:w="2877" w:type="pct"/>
                  <w:tcBorders>
                    <w:tl2br w:val="nil"/>
                    <w:tr2bl w:val="nil"/>
                  </w:tcBorders>
                  <w:noWrap w:val="0"/>
                  <w:vAlign w:val="center"/>
                </w:tcPr>
                <w:p w14:paraId="1BA82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无外排废水，锅炉排污水</w:t>
                  </w:r>
                  <w:r>
                    <w:rPr>
                      <w:rFonts w:hint="eastAsia" w:cs="Times New Roman"/>
                      <w:b w:val="0"/>
                      <w:bCs/>
                      <w:color w:val="000000" w:themeColor="text1"/>
                      <w:kern w:val="2"/>
                      <w:sz w:val="21"/>
                      <w:szCs w:val="21"/>
                      <w:lang w:val="en-US" w:eastAsia="zh-CN" w:bidi="ar-SA"/>
                      <w14:textFill>
                        <w14:solidFill>
                          <w14:schemeClr w14:val="tx1"/>
                        </w14:solidFill>
                      </w14:textFill>
                    </w:rPr>
                    <w:t>排入循环</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水池收集后回用</w:t>
                  </w:r>
                  <w:r>
                    <w:rPr>
                      <w:rFonts w:hint="eastAsia" w:cs="Times New Roman"/>
                      <w:b w:val="0"/>
                      <w:bCs/>
                      <w:color w:val="000000" w:themeColor="text1"/>
                      <w:kern w:val="2"/>
                      <w:sz w:val="21"/>
                      <w:szCs w:val="21"/>
                      <w:lang w:val="en-US" w:eastAsia="zh-CN" w:bidi="ar-SA"/>
                      <w14:textFill>
                        <w14:solidFill>
                          <w14:schemeClr w14:val="tx1"/>
                        </w14:solidFill>
                      </w14:textFill>
                    </w:rPr>
                    <w:t>生产车间</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，冷凝水循环管网回流</w:t>
                  </w:r>
                </w:p>
              </w:tc>
              <w:tc>
                <w:tcPr>
                  <w:tcW w:w="666" w:type="pct"/>
                  <w:tcBorders>
                    <w:tl2br w:val="nil"/>
                    <w:tr2bl w:val="nil"/>
                  </w:tcBorders>
                  <w:noWrap w:val="0"/>
                  <w:vAlign w:val="center"/>
                </w:tcPr>
                <w:p w14:paraId="534A0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61610A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27" w:type="pct"/>
                  <w:vMerge w:val="continue"/>
                  <w:tcBorders>
                    <w:tl2br w:val="nil"/>
                    <w:tr2bl w:val="nil"/>
                  </w:tcBorders>
                  <w:noWrap w:val="0"/>
                  <w:vAlign w:val="center"/>
                </w:tcPr>
                <w:p w14:paraId="3758E415">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728" w:type="pct"/>
                  <w:tcBorders>
                    <w:tl2br w:val="nil"/>
                    <w:tr2bl w:val="nil"/>
                  </w:tcBorders>
                  <w:noWrap w:val="0"/>
                  <w:vAlign w:val="center"/>
                </w:tcPr>
                <w:p w14:paraId="0AFEEB9E">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供电工程</w:t>
                  </w:r>
                </w:p>
              </w:tc>
              <w:tc>
                <w:tcPr>
                  <w:tcW w:w="2877" w:type="pct"/>
                  <w:tcBorders>
                    <w:tl2br w:val="nil"/>
                    <w:tr2bl w:val="nil"/>
                  </w:tcBorders>
                  <w:noWrap w:val="0"/>
                  <w:vAlign w:val="center"/>
                </w:tcPr>
                <w:p w14:paraId="4F0CB8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由厂区配电室</w:t>
                  </w:r>
                  <w:r>
                    <w:rPr>
                      <w:rFonts w:hint="eastAsia" w:cs="Times New Roman"/>
                      <w:b w:val="0"/>
                      <w:bCs/>
                      <w:color w:val="000000" w:themeColor="text1"/>
                      <w:kern w:val="2"/>
                      <w:sz w:val="21"/>
                      <w:szCs w:val="21"/>
                      <w:lang w:val="en-US" w:eastAsia="zh-CN" w:bidi="ar-SA"/>
                      <w14:textFill>
                        <w14:solidFill>
                          <w14:schemeClr w14:val="tx1"/>
                        </w14:solidFill>
                      </w14:textFill>
                    </w:rPr>
                    <w:t>引入</w:t>
                  </w:r>
                </w:p>
              </w:tc>
              <w:tc>
                <w:tcPr>
                  <w:tcW w:w="666" w:type="pct"/>
                  <w:tcBorders>
                    <w:tl2br w:val="nil"/>
                    <w:tr2bl w:val="nil"/>
                  </w:tcBorders>
                  <w:noWrap w:val="0"/>
                  <w:vAlign w:val="center"/>
                </w:tcPr>
                <w:p w14:paraId="55CBF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依托</w:t>
                  </w:r>
                </w:p>
              </w:tc>
            </w:tr>
            <w:tr w14:paraId="56CB9B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27" w:type="pct"/>
                  <w:vMerge w:val="continue"/>
                  <w:tcBorders>
                    <w:tl2br w:val="nil"/>
                    <w:tr2bl w:val="nil"/>
                  </w:tcBorders>
                  <w:noWrap w:val="0"/>
                  <w:vAlign w:val="center"/>
                </w:tcPr>
                <w:p w14:paraId="77D3EA6F">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728" w:type="pct"/>
                  <w:tcBorders>
                    <w:tl2br w:val="nil"/>
                    <w:tr2bl w:val="nil"/>
                  </w:tcBorders>
                  <w:noWrap w:val="0"/>
                  <w:vAlign w:val="center"/>
                </w:tcPr>
                <w:p w14:paraId="2D2FF230">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供气工程</w:t>
                  </w:r>
                </w:p>
              </w:tc>
              <w:tc>
                <w:tcPr>
                  <w:tcW w:w="2877" w:type="pct"/>
                  <w:tcBorders>
                    <w:tl2br w:val="nil"/>
                    <w:tr2bl w:val="nil"/>
                  </w:tcBorders>
                  <w:noWrap w:val="0"/>
                  <w:vAlign w:val="center"/>
                </w:tcPr>
                <w:p w14:paraId="59E45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天然气供给采用槽车拉运，由减压撬站供给锅炉燃烧器</w:t>
                  </w:r>
                </w:p>
              </w:tc>
              <w:tc>
                <w:tcPr>
                  <w:tcW w:w="666" w:type="pct"/>
                  <w:tcBorders>
                    <w:tl2br w:val="nil"/>
                    <w:tr2bl w:val="nil"/>
                  </w:tcBorders>
                  <w:noWrap w:val="0"/>
                  <w:vAlign w:val="center"/>
                </w:tcPr>
                <w:p w14:paraId="697D8D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新建</w:t>
                  </w:r>
                </w:p>
              </w:tc>
            </w:tr>
            <w:tr w14:paraId="218C3B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27" w:type="pct"/>
                  <w:vMerge w:val="restart"/>
                  <w:tcBorders>
                    <w:tl2br w:val="nil"/>
                    <w:tr2bl w:val="nil"/>
                  </w:tcBorders>
                  <w:noWrap w:val="0"/>
                  <w:vAlign w:val="center"/>
                </w:tcPr>
                <w:p w14:paraId="5CE6FD4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环保工程</w:t>
                  </w:r>
                </w:p>
              </w:tc>
              <w:tc>
                <w:tcPr>
                  <w:tcW w:w="728" w:type="pct"/>
                  <w:tcBorders>
                    <w:tl2br w:val="nil"/>
                    <w:tr2bl w:val="nil"/>
                  </w:tcBorders>
                  <w:noWrap w:val="0"/>
                  <w:vAlign w:val="center"/>
                </w:tcPr>
                <w:p w14:paraId="660A6A2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废气</w:t>
                  </w:r>
                </w:p>
              </w:tc>
              <w:tc>
                <w:tcPr>
                  <w:tcW w:w="2877" w:type="pct"/>
                  <w:tcBorders>
                    <w:tl2br w:val="nil"/>
                    <w:tr2bl w:val="nil"/>
                  </w:tcBorders>
                  <w:noWrap w:val="0"/>
                  <w:vAlign w:val="center"/>
                </w:tcPr>
                <w:p w14:paraId="79C906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采用低氮燃烧器+烟气再循环技术工艺，通过</w:t>
                  </w:r>
                  <w:r>
                    <w:rPr>
                      <w:rFonts w:hint="eastAsia" w:cs="Times New Roman"/>
                      <w:b w:val="0"/>
                      <w:bCs/>
                      <w:color w:val="000000" w:themeColor="text1"/>
                      <w:kern w:val="2"/>
                      <w:sz w:val="21"/>
                      <w:szCs w:val="21"/>
                      <w:lang w:val="en-US" w:eastAsia="zh-CN" w:bidi="ar-SA"/>
                      <w14:textFill>
                        <w14:solidFill>
                          <w14:schemeClr w14:val="tx1"/>
                        </w14:solidFill>
                      </w14:textFill>
                    </w:rPr>
                    <w:t>1</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根</w:t>
                  </w:r>
                  <w:r>
                    <w:rPr>
                      <w:rFonts w:hint="eastAsia" w:cs="Times New Roman"/>
                      <w:b w:val="0"/>
                      <w:bCs/>
                      <w:color w:val="000000" w:themeColor="text1"/>
                      <w:kern w:val="2"/>
                      <w:sz w:val="21"/>
                      <w:szCs w:val="21"/>
                      <w:lang w:val="en-US" w:eastAsia="zh-CN" w:bidi="ar-SA"/>
                      <w14:textFill>
                        <w14:solidFill>
                          <w14:schemeClr w14:val="tx1"/>
                        </w14:solidFill>
                      </w14:textFill>
                    </w:rPr>
                    <w:t>22</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m</w:t>
                  </w:r>
                  <w:r>
                    <w:rPr>
                      <w:rFonts w:hint="eastAsia" w:cs="Times New Roman"/>
                      <w:b w:val="0"/>
                      <w:bCs/>
                      <w:color w:val="000000" w:themeColor="text1"/>
                      <w:kern w:val="2"/>
                      <w:sz w:val="21"/>
                      <w:szCs w:val="21"/>
                      <w:lang w:val="en-US" w:eastAsia="zh-CN" w:bidi="ar-SA"/>
                      <w14:textFill>
                        <w14:solidFill>
                          <w14:schemeClr w14:val="tx1"/>
                        </w14:solidFill>
                      </w14:textFill>
                    </w:rPr>
                    <w:t>高</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的排气筒</w:t>
                  </w:r>
                  <w:r>
                    <w:rPr>
                      <w:rFonts w:hint="eastAsia" w:cs="Times New Roman"/>
                      <w:b w:val="0"/>
                      <w:bCs/>
                      <w:color w:val="000000" w:themeColor="text1"/>
                      <w:kern w:val="2"/>
                      <w:sz w:val="21"/>
                      <w:szCs w:val="21"/>
                      <w:lang w:val="en-US" w:eastAsia="zh-CN" w:bidi="ar-SA"/>
                      <w14:textFill>
                        <w14:solidFill>
                          <w14:schemeClr w14:val="tx1"/>
                        </w14:solidFill>
                      </w14:textFill>
                    </w:rPr>
                    <w:t>（DA014）</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排放</w:t>
                  </w:r>
                </w:p>
              </w:tc>
              <w:tc>
                <w:tcPr>
                  <w:tcW w:w="666" w:type="pct"/>
                  <w:tcBorders>
                    <w:tl2br w:val="nil"/>
                    <w:tr2bl w:val="nil"/>
                  </w:tcBorders>
                  <w:noWrap w:val="0"/>
                  <w:vAlign w:val="center"/>
                </w:tcPr>
                <w:p w14:paraId="56869B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71F862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27" w:type="pct"/>
                  <w:vMerge w:val="continue"/>
                  <w:tcBorders>
                    <w:tl2br w:val="nil"/>
                    <w:tr2bl w:val="nil"/>
                  </w:tcBorders>
                  <w:noWrap w:val="0"/>
                  <w:vAlign w:val="center"/>
                </w:tcPr>
                <w:p w14:paraId="4AAE8E90">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728" w:type="pct"/>
                  <w:tcBorders>
                    <w:tl2br w:val="nil"/>
                    <w:tr2bl w:val="nil"/>
                  </w:tcBorders>
                  <w:noWrap w:val="0"/>
                  <w:vAlign w:val="center"/>
                </w:tcPr>
                <w:p w14:paraId="59EFF69F">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废水</w:t>
                  </w:r>
                </w:p>
              </w:tc>
              <w:tc>
                <w:tcPr>
                  <w:tcW w:w="2877" w:type="pct"/>
                  <w:tcBorders>
                    <w:tl2br w:val="nil"/>
                    <w:tr2bl w:val="nil"/>
                  </w:tcBorders>
                  <w:noWrap w:val="0"/>
                  <w:vAlign w:val="center"/>
                </w:tcPr>
                <w:p w14:paraId="25E33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锅炉排污水</w:t>
                  </w:r>
                  <w:r>
                    <w:rPr>
                      <w:rFonts w:hint="eastAsia" w:cs="Times New Roman"/>
                      <w:b w:val="0"/>
                      <w:bCs/>
                      <w:color w:val="000000" w:themeColor="text1"/>
                      <w:kern w:val="2"/>
                      <w:sz w:val="21"/>
                      <w:szCs w:val="21"/>
                      <w:lang w:val="en-US" w:eastAsia="zh-CN" w:bidi="ar-SA"/>
                      <w14:textFill>
                        <w14:solidFill>
                          <w14:schemeClr w14:val="tx1"/>
                        </w14:solidFill>
                      </w14:textFill>
                    </w:rPr>
                    <w:t>排入</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循环水池收集后回用生产车间，冷凝水循环管网回流</w:t>
                  </w:r>
                </w:p>
              </w:tc>
              <w:tc>
                <w:tcPr>
                  <w:tcW w:w="666" w:type="pct"/>
                  <w:tcBorders>
                    <w:tl2br w:val="nil"/>
                    <w:tr2bl w:val="nil"/>
                  </w:tcBorders>
                  <w:noWrap w:val="0"/>
                  <w:vAlign w:val="center"/>
                </w:tcPr>
                <w:p w14:paraId="565A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3E4A5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27" w:type="pct"/>
                  <w:vMerge w:val="continue"/>
                  <w:tcBorders>
                    <w:tl2br w:val="nil"/>
                    <w:tr2bl w:val="nil"/>
                  </w:tcBorders>
                  <w:noWrap w:val="0"/>
                  <w:vAlign w:val="center"/>
                </w:tcPr>
                <w:p w14:paraId="12AAEFE3">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728" w:type="pct"/>
                  <w:tcBorders>
                    <w:tl2br w:val="nil"/>
                    <w:tr2bl w:val="nil"/>
                  </w:tcBorders>
                  <w:noWrap w:val="0"/>
                  <w:vAlign w:val="center"/>
                </w:tcPr>
                <w:p w14:paraId="3CD7A006">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噪声处理</w:t>
                  </w:r>
                </w:p>
              </w:tc>
              <w:tc>
                <w:tcPr>
                  <w:tcW w:w="2877" w:type="pct"/>
                  <w:tcBorders>
                    <w:tl2br w:val="nil"/>
                    <w:tr2bl w:val="nil"/>
                  </w:tcBorders>
                  <w:noWrap w:val="0"/>
                  <w:vAlign w:val="center"/>
                </w:tcPr>
                <w:p w14:paraId="39805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选用低噪声给水泵、循环水泵，设备基础减振</w:t>
                  </w:r>
                </w:p>
              </w:tc>
              <w:tc>
                <w:tcPr>
                  <w:tcW w:w="666" w:type="pct"/>
                  <w:tcBorders>
                    <w:tl2br w:val="nil"/>
                    <w:tr2bl w:val="nil"/>
                  </w:tcBorders>
                  <w:noWrap w:val="0"/>
                  <w:vAlign w:val="center"/>
                </w:tcPr>
                <w:p w14:paraId="412A7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新建</w:t>
                  </w:r>
                </w:p>
              </w:tc>
            </w:tr>
            <w:tr w14:paraId="43CE46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27" w:type="pct"/>
                  <w:vMerge w:val="continue"/>
                  <w:tcBorders>
                    <w:tl2br w:val="nil"/>
                    <w:tr2bl w:val="nil"/>
                  </w:tcBorders>
                  <w:noWrap w:val="0"/>
                  <w:vAlign w:val="center"/>
                </w:tcPr>
                <w:p w14:paraId="239B0F77">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728" w:type="pct"/>
                  <w:tcBorders>
                    <w:tl2br w:val="nil"/>
                    <w:tr2bl w:val="nil"/>
                  </w:tcBorders>
                  <w:noWrap w:val="0"/>
                  <w:vAlign w:val="center"/>
                </w:tcPr>
                <w:p w14:paraId="3ACA1B3A">
                  <w:pPr>
                    <w:pStyle w:val="6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固废</w:t>
                  </w:r>
                </w:p>
              </w:tc>
              <w:tc>
                <w:tcPr>
                  <w:tcW w:w="2877" w:type="pct"/>
                  <w:tcBorders>
                    <w:tl2br w:val="nil"/>
                    <w:tr2bl w:val="nil"/>
                  </w:tcBorders>
                  <w:noWrap w:val="0"/>
                  <w:vAlign w:val="center"/>
                </w:tcPr>
                <w:p w14:paraId="61B01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废离子交换树脂</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由厂家更换回收</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eastAsia" w:cs="Times New Roman"/>
                      <w:b w:val="0"/>
                      <w:bCs/>
                      <w:color w:val="000000" w:themeColor="text1"/>
                      <w:kern w:val="2"/>
                      <w:sz w:val="21"/>
                      <w:szCs w:val="21"/>
                      <w:lang w:val="en-US" w:eastAsia="zh-CN" w:bidi="ar-SA"/>
                      <w14:textFill>
                        <w14:solidFill>
                          <w14:schemeClr w14:val="tx1"/>
                        </w14:solidFill>
                      </w14:textFill>
                    </w:rPr>
                    <w:t>即产即处理，不在厂区暂存。废机油暂存于厂区内现有危险废物贮存库，委托有资质单位进行处置</w:t>
                  </w:r>
                </w:p>
              </w:tc>
              <w:tc>
                <w:tcPr>
                  <w:tcW w:w="666" w:type="pct"/>
                  <w:tcBorders>
                    <w:tl2br w:val="nil"/>
                    <w:tr2bl w:val="nil"/>
                  </w:tcBorders>
                  <w:noWrap w:val="0"/>
                  <w:vAlign w:val="center"/>
                </w:tcPr>
                <w:p w14:paraId="57EBD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cs="Times New Roman"/>
                      <w:b w:val="0"/>
                      <w:bCs/>
                      <w:color w:val="000000" w:themeColor="text1"/>
                      <w:kern w:val="2"/>
                      <w:sz w:val="21"/>
                      <w:szCs w:val="21"/>
                      <w:lang w:val="en-US" w:eastAsia="zh-CN" w:bidi="ar-SA"/>
                      <w14:textFill>
                        <w14:solidFill>
                          <w14:schemeClr w14:val="tx1"/>
                        </w14:solidFill>
                      </w14:textFill>
                    </w:rPr>
                    <w:t>依托</w:t>
                  </w:r>
                </w:p>
              </w:tc>
            </w:tr>
          </w:tbl>
          <w:p w14:paraId="77323E9D">
            <w:pPr>
              <w:pStyle w:val="5"/>
              <w:numPr>
                <w:ilvl w:val="0"/>
                <w:numId w:val="0"/>
              </w:numPr>
              <w:suppressLineNumbers w:val="0"/>
              <w:spacing w:before="0" w:beforeAutospacing="0" w:after="0" w:afterAutospacing="0"/>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3 生产设备</w:t>
            </w:r>
          </w:p>
          <w:p w14:paraId="3D8CD04B">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本项目主要</w:t>
            </w:r>
            <w:r>
              <w:rPr>
                <w:rFonts w:hint="default" w:ascii="Times New Roman" w:hAnsi="Times New Roman" w:eastAsia="宋体" w:cs="Times New Roman"/>
                <w:color w:val="000000" w:themeColor="text1"/>
                <w:lang w:eastAsia="zh-CN"/>
                <w14:textFill>
                  <w14:solidFill>
                    <w14:schemeClr w14:val="tx1"/>
                  </w14:solidFill>
                </w14:textFill>
              </w:rPr>
              <w:t>生产</w:t>
            </w:r>
            <w:r>
              <w:rPr>
                <w:rFonts w:hint="default" w:ascii="Times New Roman" w:hAnsi="Times New Roman" w:eastAsia="宋体" w:cs="Times New Roman"/>
                <w:color w:val="000000" w:themeColor="text1"/>
                <w14:textFill>
                  <w14:solidFill>
                    <w14:schemeClr w14:val="tx1"/>
                  </w14:solidFill>
                </w14:textFill>
              </w:rPr>
              <w:t>设备见表2-</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w:t>
            </w:r>
          </w:p>
          <w:p w14:paraId="7291FC6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eastAsia="zh-CN"/>
                <w14:textFill>
                  <w14:solidFill>
                    <w14:schemeClr w14:val="tx1"/>
                  </w14:solidFill>
                </w14:textFill>
              </w:rPr>
              <w:t>生产设备</w:t>
            </w:r>
            <w:r>
              <w:rPr>
                <w:rFonts w:hint="default" w:ascii="Times New Roman" w:hAnsi="Times New Roman" w:eastAsia="宋体" w:cs="Times New Roman"/>
                <w:color w:val="000000" w:themeColor="text1"/>
                <w:sz w:val="21"/>
                <w:szCs w:val="21"/>
                <w14:textFill>
                  <w14:solidFill>
                    <w14:schemeClr w14:val="tx1"/>
                  </w14:solidFill>
                </w14:textFill>
              </w:rPr>
              <w:t>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22"/>
              <w:gridCol w:w="1320"/>
              <w:gridCol w:w="2233"/>
              <w:gridCol w:w="667"/>
              <w:gridCol w:w="1759"/>
              <w:gridCol w:w="980"/>
            </w:tblGrid>
            <w:tr w14:paraId="669CFB5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622" w:type="dxa"/>
                  <w:tcBorders>
                    <w:bottom w:val="single" w:color="auto" w:sz="12" w:space="0"/>
                  </w:tcBorders>
                  <w:noWrap w:val="0"/>
                  <w:vAlign w:val="center"/>
                </w:tcPr>
                <w:p w14:paraId="72011C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宋体" w:hAnsi="宋体" w:eastAsia="宋体" w:cs="宋体"/>
                      <w:b/>
                      <w:kern w:val="0"/>
                      <w:sz w:val="20"/>
                      <w:szCs w:val="20"/>
                      <w:lang w:val="en-US" w:eastAsia="zh-CN" w:bidi="ar"/>
                    </w:rPr>
                    <w:t>序号</w:t>
                  </w:r>
                </w:p>
              </w:tc>
              <w:tc>
                <w:tcPr>
                  <w:tcW w:w="1320" w:type="dxa"/>
                  <w:tcBorders>
                    <w:bottom w:val="single" w:color="auto" w:sz="12" w:space="0"/>
                  </w:tcBorders>
                  <w:noWrap w:val="0"/>
                  <w:vAlign w:val="center"/>
                </w:tcPr>
                <w:p w14:paraId="580D23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宋体" w:hAnsi="宋体" w:eastAsia="宋体" w:cs="宋体"/>
                      <w:b/>
                      <w:kern w:val="0"/>
                      <w:sz w:val="20"/>
                      <w:szCs w:val="20"/>
                      <w:lang w:val="en-US" w:eastAsia="zh-CN" w:bidi="ar"/>
                    </w:rPr>
                    <w:t>设备名称</w:t>
                  </w:r>
                </w:p>
              </w:tc>
              <w:tc>
                <w:tcPr>
                  <w:tcW w:w="2233" w:type="dxa"/>
                  <w:tcBorders>
                    <w:bottom w:val="single" w:color="auto" w:sz="12" w:space="0"/>
                  </w:tcBorders>
                  <w:noWrap w:val="0"/>
                  <w:vAlign w:val="center"/>
                </w:tcPr>
                <w:p w14:paraId="0E1CB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宋体" w:hAnsi="宋体" w:eastAsia="宋体" w:cs="宋体"/>
                      <w:b/>
                      <w:kern w:val="0"/>
                      <w:sz w:val="20"/>
                      <w:szCs w:val="20"/>
                      <w:lang w:val="en-US" w:eastAsia="zh-CN" w:bidi="ar"/>
                    </w:rPr>
                    <w:t>型号及参数</w:t>
                  </w:r>
                </w:p>
              </w:tc>
              <w:tc>
                <w:tcPr>
                  <w:tcW w:w="667" w:type="dxa"/>
                  <w:tcBorders>
                    <w:bottom w:val="single" w:color="auto" w:sz="12" w:space="0"/>
                  </w:tcBorders>
                  <w:noWrap w:val="0"/>
                  <w:vAlign w:val="center"/>
                </w:tcPr>
                <w:p w14:paraId="406FB1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宋体" w:hAnsi="宋体" w:eastAsia="宋体" w:cs="宋体"/>
                      <w:b/>
                      <w:kern w:val="0"/>
                      <w:sz w:val="20"/>
                      <w:szCs w:val="20"/>
                      <w:lang w:val="en-US" w:eastAsia="zh-CN" w:bidi="ar"/>
                    </w:rPr>
                    <w:t>数量</w:t>
                  </w:r>
                </w:p>
              </w:tc>
              <w:tc>
                <w:tcPr>
                  <w:tcW w:w="1759" w:type="dxa"/>
                  <w:tcBorders>
                    <w:bottom w:val="single" w:color="auto" w:sz="12" w:space="0"/>
                  </w:tcBorders>
                  <w:noWrap w:val="0"/>
                  <w:vAlign w:val="center"/>
                </w:tcPr>
                <w:p w14:paraId="157636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宋体" w:hAnsi="宋体" w:eastAsia="宋体" w:cs="宋体"/>
                      <w:b/>
                      <w:kern w:val="0"/>
                      <w:sz w:val="20"/>
                      <w:szCs w:val="20"/>
                      <w:lang w:val="en-US" w:eastAsia="zh-CN" w:bidi="ar"/>
                    </w:rPr>
                    <w:t>用途</w:t>
                  </w:r>
                </w:p>
              </w:tc>
              <w:tc>
                <w:tcPr>
                  <w:tcW w:w="980" w:type="dxa"/>
                  <w:tcBorders>
                    <w:bottom w:val="single" w:color="auto" w:sz="12" w:space="0"/>
                  </w:tcBorders>
                  <w:noWrap w:val="0"/>
                  <w:vAlign w:val="center"/>
                </w:tcPr>
                <w:p w14:paraId="5E83C1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宋体" w:hAnsi="宋体" w:eastAsia="宋体" w:cs="宋体"/>
                      <w:b/>
                      <w:kern w:val="0"/>
                      <w:sz w:val="20"/>
                      <w:szCs w:val="20"/>
                      <w:lang w:val="en-US" w:eastAsia="zh-CN" w:bidi="ar"/>
                    </w:rPr>
                    <w:t>备注</w:t>
                  </w:r>
                </w:p>
              </w:tc>
            </w:tr>
            <w:tr w14:paraId="47FA98A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99" w:hRule="atLeast"/>
                <w:jc w:val="center"/>
              </w:trPr>
              <w:tc>
                <w:tcPr>
                  <w:tcW w:w="622" w:type="dxa"/>
                  <w:tcBorders>
                    <w:top w:val="single" w:color="auto" w:sz="12" w:space="0"/>
                    <w:tl2br w:val="nil"/>
                    <w:tr2bl w:val="nil"/>
                  </w:tcBorders>
                  <w:noWrap w:val="0"/>
                  <w:vAlign w:val="center"/>
                </w:tcPr>
                <w:p w14:paraId="6EB1435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w:t>
                  </w:r>
                </w:p>
              </w:tc>
              <w:tc>
                <w:tcPr>
                  <w:tcW w:w="1320" w:type="dxa"/>
                  <w:tcBorders>
                    <w:top w:val="single" w:color="auto" w:sz="12" w:space="0"/>
                    <w:tl2br w:val="nil"/>
                    <w:tr2bl w:val="nil"/>
                  </w:tcBorders>
                  <w:noWrap w:val="0"/>
                  <w:vAlign w:val="center"/>
                </w:tcPr>
                <w:p w14:paraId="15B25D8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天然气蒸汽锅炉</w:t>
                  </w:r>
                </w:p>
              </w:tc>
              <w:tc>
                <w:tcPr>
                  <w:tcW w:w="2233" w:type="dxa"/>
                  <w:tcBorders>
                    <w:top w:val="single" w:color="auto" w:sz="12" w:space="0"/>
                    <w:tl2br w:val="nil"/>
                    <w:tr2bl w:val="nil"/>
                  </w:tcBorders>
                  <w:noWrap w:val="0"/>
                  <w:vAlign w:val="center"/>
                </w:tcPr>
                <w:p w14:paraId="130D65F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WNS4-1.25-JQ，额定蒸发量4t/h</w:t>
                  </w:r>
                </w:p>
              </w:tc>
              <w:tc>
                <w:tcPr>
                  <w:tcW w:w="667" w:type="dxa"/>
                  <w:tcBorders>
                    <w:top w:val="single" w:color="auto" w:sz="12" w:space="0"/>
                    <w:tl2br w:val="nil"/>
                    <w:tr2bl w:val="nil"/>
                  </w:tcBorders>
                  <w:noWrap w:val="0"/>
                  <w:vAlign w:val="center"/>
                </w:tcPr>
                <w:p w14:paraId="08F15D9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1台</w:t>
                  </w:r>
                </w:p>
              </w:tc>
              <w:tc>
                <w:tcPr>
                  <w:tcW w:w="1759" w:type="dxa"/>
                  <w:tcBorders>
                    <w:top w:val="single" w:color="auto" w:sz="12" w:space="0"/>
                    <w:tl2br w:val="nil"/>
                    <w:tr2bl w:val="nil"/>
                  </w:tcBorders>
                  <w:noWrap w:val="0"/>
                  <w:vAlign w:val="center"/>
                </w:tcPr>
                <w:p w14:paraId="217F62C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产生蒸汽用于铸管车间采暖</w:t>
                  </w:r>
                </w:p>
              </w:tc>
              <w:tc>
                <w:tcPr>
                  <w:tcW w:w="980" w:type="dxa"/>
                  <w:tcBorders>
                    <w:top w:val="single" w:color="auto" w:sz="12" w:space="0"/>
                    <w:tl2br w:val="nil"/>
                    <w:tr2bl w:val="nil"/>
                  </w:tcBorders>
                  <w:noWrap w:val="0"/>
                  <w:vAlign w:val="center"/>
                </w:tcPr>
                <w:p w14:paraId="4563802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r w14:paraId="28F42C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0CE5E8C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w:t>
                  </w:r>
                </w:p>
              </w:tc>
              <w:tc>
                <w:tcPr>
                  <w:tcW w:w="1320" w:type="dxa"/>
                  <w:tcBorders>
                    <w:tl2br w:val="nil"/>
                    <w:tr2bl w:val="nil"/>
                  </w:tcBorders>
                  <w:noWrap w:val="0"/>
                  <w:vAlign w:val="center"/>
                </w:tcPr>
                <w:p w14:paraId="25FE8C0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锅炉燃烧器</w:t>
                  </w:r>
                </w:p>
              </w:tc>
              <w:tc>
                <w:tcPr>
                  <w:tcW w:w="2233" w:type="dxa"/>
                  <w:tcBorders>
                    <w:tl2br w:val="nil"/>
                    <w:tr2bl w:val="nil"/>
                  </w:tcBorders>
                  <w:noWrap w:val="0"/>
                  <w:vAlign w:val="center"/>
                </w:tcPr>
                <w:p w14:paraId="5A045B1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RS610X/MUGR，输出功率1140-3600kW</w:t>
                  </w:r>
                </w:p>
              </w:tc>
              <w:tc>
                <w:tcPr>
                  <w:tcW w:w="667" w:type="dxa"/>
                  <w:tcBorders>
                    <w:tl2br w:val="nil"/>
                    <w:tr2bl w:val="nil"/>
                  </w:tcBorders>
                  <w:noWrap w:val="0"/>
                  <w:vAlign w:val="center"/>
                </w:tcPr>
                <w:p w14:paraId="187BD24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1台</w:t>
                  </w:r>
                </w:p>
              </w:tc>
              <w:tc>
                <w:tcPr>
                  <w:tcW w:w="1759" w:type="dxa"/>
                  <w:tcBorders>
                    <w:tl2br w:val="nil"/>
                    <w:tr2bl w:val="nil"/>
                  </w:tcBorders>
                  <w:noWrap w:val="0"/>
                  <w:vAlign w:val="center"/>
                </w:tcPr>
                <w:p w14:paraId="30CB37C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天然气燃烧供热</w:t>
                  </w:r>
                </w:p>
              </w:tc>
              <w:tc>
                <w:tcPr>
                  <w:tcW w:w="980" w:type="dxa"/>
                  <w:tcBorders>
                    <w:tl2br w:val="nil"/>
                    <w:tr2bl w:val="nil"/>
                  </w:tcBorders>
                  <w:noWrap w:val="0"/>
                  <w:vAlign w:val="center"/>
                </w:tcPr>
                <w:p w14:paraId="0BF34D6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r w14:paraId="49408D8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21BD400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w:t>
                  </w:r>
                </w:p>
              </w:tc>
              <w:tc>
                <w:tcPr>
                  <w:tcW w:w="1320" w:type="dxa"/>
                  <w:tcBorders>
                    <w:tl2br w:val="nil"/>
                    <w:tr2bl w:val="nil"/>
                  </w:tcBorders>
                  <w:noWrap w:val="0"/>
                  <w:vAlign w:val="center"/>
                </w:tcPr>
                <w:p w14:paraId="649E468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给水泵</w:t>
                  </w:r>
                </w:p>
              </w:tc>
              <w:tc>
                <w:tcPr>
                  <w:tcW w:w="2233" w:type="dxa"/>
                  <w:tcBorders>
                    <w:tl2br w:val="nil"/>
                    <w:tr2bl w:val="nil"/>
                  </w:tcBorders>
                  <w:noWrap w:val="0"/>
                  <w:vAlign w:val="center"/>
                </w:tcPr>
                <w:p w14:paraId="6EBE682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CDL4-200，流量4.5m³/h</w:t>
                  </w:r>
                </w:p>
              </w:tc>
              <w:tc>
                <w:tcPr>
                  <w:tcW w:w="667" w:type="dxa"/>
                  <w:tcBorders>
                    <w:tl2br w:val="nil"/>
                    <w:tr2bl w:val="nil"/>
                  </w:tcBorders>
                  <w:noWrap w:val="0"/>
                  <w:vAlign w:val="center"/>
                </w:tcPr>
                <w:p w14:paraId="3360BF1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2台</w:t>
                  </w:r>
                </w:p>
              </w:tc>
              <w:tc>
                <w:tcPr>
                  <w:tcW w:w="1759" w:type="dxa"/>
                  <w:tcBorders>
                    <w:tl2br w:val="nil"/>
                    <w:tr2bl w:val="nil"/>
                  </w:tcBorders>
                  <w:noWrap w:val="0"/>
                  <w:vAlign w:val="center"/>
                </w:tcPr>
                <w:p w14:paraId="2044F2C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输送软水至锅炉给水罐</w:t>
                  </w:r>
                </w:p>
              </w:tc>
              <w:tc>
                <w:tcPr>
                  <w:tcW w:w="980" w:type="dxa"/>
                  <w:tcBorders>
                    <w:tl2br w:val="nil"/>
                    <w:tr2bl w:val="nil"/>
                  </w:tcBorders>
                  <w:noWrap w:val="0"/>
                  <w:vAlign w:val="center"/>
                </w:tcPr>
                <w:p w14:paraId="04CC947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新建（1用1备）</w:t>
                  </w:r>
                </w:p>
              </w:tc>
            </w:tr>
            <w:tr w14:paraId="5F486A8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48EAFAF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w:t>
                  </w:r>
                </w:p>
              </w:tc>
              <w:tc>
                <w:tcPr>
                  <w:tcW w:w="1320" w:type="dxa"/>
                  <w:tcBorders>
                    <w:tl2br w:val="nil"/>
                    <w:tr2bl w:val="nil"/>
                  </w:tcBorders>
                  <w:noWrap w:val="0"/>
                  <w:vAlign w:val="center"/>
                </w:tcPr>
                <w:p w14:paraId="31E400C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循环水泵</w:t>
                  </w:r>
                </w:p>
              </w:tc>
              <w:tc>
                <w:tcPr>
                  <w:tcW w:w="2233" w:type="dxa"/>
                  <w:tcBorders>
                    <w:tl2br w:val="nil"/>
                    <w:tr2bl w:val="nil"/>
                  </w:tcBorders>
                  <w:noWrap w:val="0"/>
                  <w:vAlign w:val="center"/>
                </w:tcPr>
                <w:p w14:paraId="064AC26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功率0.25kW，流量适配冷凝水循环需求</w:t>
                  </w:r>
                </w:p>
              </w:tc>
              <w:tc>
                <w:tcPr>
                  <w:tcW w:w="667" w:type="dxa"/>
                  <w:tcBorders>
                    <w:tl2br w:val="nil"/>
                    <w:tr2bl w:val="nil"/>
                  </w:tcBorders>
                  <w:noWrap w:val="0"/>
                  <w:vAlign w:val="center"/>
                </w:tcPr>
                <w:p w14:paraId="60B72FC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1台</w:t>
                  </w:r>
                </w:p>
              </w:tc>
              <w:tc>
                <w:tcPr>
                  <w:tcW w:w="1759" w:type="dxa"/>
                  <w:tcBorders>
                    <w:tl2br w:val="nil"/>
                    <w:tr2bl w:val="nil"/>
                  </w:tcBorders>
                  <w:noWrap w:val="0"/>
                  <w:vAlign w:val="center"/>
                </w:tcPr>
                <w:p w14:paraId="42763F2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输送冷凝水回流至给水罐</w:t>
                  </w:r>
                </w:p>
              </w:tc>
              <w:tc>
                <w:tcPr>
                  <w:tcW w:w="980" w:type="dxa"/>
                  <w:tcBorders>
                    <w:tl2br w:val="nil"/>
                    <w:tr2bl w:val="nil"/>
                  </w:tcBorders>
                  <w:noWrap w:val="0"/>
                  <w:vAlign w:val="center"/>
                </w:tcPr>
                <w:p w14:paraId="4C6927F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r w14:paraId="4A70BAF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7AD51FD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5</w:t>
                  </w:r>
                </w:p>
              </w:tc>
              <w:tc>
                <w:tcPr>
                  <w:tcW w:w="1320" w:type="dxa"/>
                  <w:tcBorders>
                    <w:tl2br w:val="nil"/>
                    <w:tr2bl w:val="nil"/>
                  </w:tcBorders>
                  <w:noWrap w:val="0"/>
                  <w:vAlign w:val="center"/>
                </w:tcPr>
                <w:p w14:paraId="62950A5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锅炉控制柜体</w:t>
                  </w:r>
                </w:p>
              </w:tc>
              <w:tc>
                <w:tcPr>
                  <w:tcW w:w="2233" w:type="dxa"/>
                  <w:tcBorders>
                    <w:tl2br w:val="nil"/>
                    <w:tr2bl w:val="nil"/>
                  </w:tcBorders>
                  <w:noWrap w:val="0"/>
                  <w:vAlign w:val="center"/>
                </w:tcPr>
                <w:p w14:paraId="58EB4FE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W702x-01-G5-A3-B2-4T</w:t>
                  </w:r>
                </w:p>
              </w:tc>
              <w:tc>
                <w:tcPr>
                  <w:tcW w:w="667" w:type="dxa"/>
                  <w:tcBorders>
                    <w:tl2br w:val="nil"/>
                    <w:tr2bl w:val="nil"/>
                  </w:tcBorders>
                  <w:noWrap w:val="0"/>
                  <w:vAlign w:val="center"/>
                </w:tcPr>
                <w:p w14:paraId="3757754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1台</w:t>
                  </w:r>
                </w:p>
              </w:tc>
              <w:tc>
                <w:tcPr>
                  <w:tcW w:w="1759" w:type="dxa"/>
                  <w:tcBorders>
                    <w:tl2br w:val="nil"/>
                    <w:tr2bl w:val="nil"/>
                  </w:tcBorders>
                  <w:noWrap w:val="0"/>
                  <w:vAlign w:val="center"/>
                </w:tcPr>
                <w:p w14:paraId="0E06A8A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自动化控制锅炉运行</w:t>
                  </w:r>
                </w:p>
              </w:tc>
              <w:tc>
                <w:tcPr>
                  <w:tcW w:w="980" w:type="dxa"/>
                  <w:tcBorders>
                    <w:tl2br w:val="nil"/>
                    <w:tr2bl w:val="nil"/>
                  </w:tcBorders>
                  <w:noWrap w:val="0"/>
                  <w:vAlign w:val="center"/>
                </w:tcPr>
                <w:p w14:paraId="7B718D6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r w14:paraId="79B05D0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5C03918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w:t>
                  </w:r>
                </w:p>
              </w:tc>
              <w:tc>
                <w:tcPr>
                  <w:tcW w:w="1320" w:type="dxa"/>
                  <w:tcBorders>
                    <w:tl2br w:val="nil"/>
                    <w:tr2bl w:val="nil"/>
                  </w:tcBorders>
                  <w:noWrap w:val="0"/>
                  <w:vAlign w:val="center"/>
                </w:tcPr>
                <w:p w14:paraId="26B11C3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冷凝器</w:t>
                  </w:r>
                </w:p>
              </w:tc>
              <w:tc>
                <w:tcPr>
                  <w:tcW w:w="2233" w:type="dxa"/>
                  <w:tcBorders>
                    <w:tl2br w:val="nil"/>
                    <w:tr2bl w:val="nil"/>
                  </w:tcBorders>
                  <w:noWrap w:val="0"/>
                  <w:vAlign w:val="center"/>
                </w:tcPr>
                <w:p w14:paraId="7F4F70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适配4t/h锅炉蒸汽冷凝需求</w:t>
                  </w:r>
                </w:p>
              </w:tc>
              <w:tc>
                <w:tcPr>
                  <w:tcW w:w="667" w:type="dxa"/>
                  <w:tcBorders>
                    <w:tl2br w:val="nil"/>
                    <w:tr2bl w:val="nil"/>
                  </w:tcBorders>
                  <w:noWrap w:val="0"/>
                  <w:vAlign w:val="center"/>
                </w:tcPr>
                <w:p w14:paraId="3F7E6FE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1台</w:t>
                  </w:r>
                </w:p>
              </w:tc>
              <w:tc>
                <w:tcPr>
                  <w:tcW w:w="1759" w:type="dxa"/>
                  <w:tcBorders>
                    <w:tl2br w:val="nil"/>
                    <w:tr2bl w:val="nil"/>
                  </w:tcBorders>
                  <w:noWrap w:val="0"/>
                  <w:vAlign w:val="center"/>
                </w:tcPr>
                <w:p w14:paraId="4000C99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蒸汽换热后冷凝回收</w:t>
                  </w:r>
                </w:p>
              </w:tc>
              <w:tc>
                <w:tcPr>
                  <w:tcW w:w="980" w:type="dxa"/>
                  <w:tcBorders>
                    <w:tl2br w:val="nil"/>
                    <w:tr2bl w:val="nil"/>
                  </w:tcBorders>
                  <w:noWrap w:val="0"/>
                  <w:vAlign w:val="center"/>
                </w:tcPr>
                <w:p w14:paraId="5B40C6C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r w14:paraId="655E4CD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179E300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w:t>
                  </w:r>
                </w:p>
              </w:tc>
              <w:tc>
                <w:tcPr>
                  <w:tcW w:w="1320" w:type="dxa"/>
                  <w:tcBorders>
                    <w:tl2br w:val="nil"/>
                    <w:tr2bl w:val="nil"/>
                  </w:tcBorders>
                  <w:noWrap w:val="0"/>
                  <w:vAlign w:val="center"/>
                </w:tcPr>
                <w:p w14:paraId="522207B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全自动软水器</w:t>
                  </w:r>
                </w:p>
              </w:tc>
              <w:tc>
                <w:tcPr>
                  <w:tcW w:w="2233" w:type="dxa"/>
                  <w:tcBorders>
                    <w:tl2br w:val="nil"/>
                    <w:tr2bl w:val="nil"/>
                  </w:tcBorders>
                  <w:noWrap w:val="0"/>
                  <w:vAlign w:val="center"/>
                </w:tcPr>
                <w:p w14:paraId="4F8FE4E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处理量5m³/h（满足锅炉最大给水需求）</w:t>
                  </w:r>
                </w:p>
              </w:tc>
              <w:tc>
                <w:tcPr>
                  <w:tcW w:w="667" w:type="dxa"/>
                  <w:tcBorders>
                    <w:tl2br w:val="nil"/>
                    <w:tr2bl w:val="nil"/>
                  </w:tcBorders>
                  <w:noWrap w:val="0"/>
                  <w:vAlign w:val="center"/>
                </w:tcPr>
                <w:p w14:paraId="5D4672C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1台</w:t>
                  </w:r>
                </w:p>
              </w:tc>
              <w:tc>
                <w:tcPr>
                  <w:tcW w:w="1759" w:type="dxa"/>
                  <w:tcBorders>
                    <w:tl2br w:val="nil"/>
                    <w:tr2bl w:val="nil"/>
                  </w:tcBorders>
                  <w:noWrap w:val="0"/>
                  <w:vAlign w:val="center"/>
                </w:tcPr>
                <w:p w14:paraId="2374046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新鲜水软化处理</w:t>
                  </w:r>
                </w:p>
              </w:tc>
              <w:tc>
                <w:tcPr>
                  <w:tcW w:w="980" w:type="dxa"/>
                  <w:tcBorders>
                    <w:tl2br w:val="nil"/>
                    <w:tr2bl w:val="nil"/>
                  </w:tcBorders>
                  <w:noWrap w:val="0"/>
                  <w:vAlign w:val="center"/>
                </w:tcPr>
                <w:p w14:paraId="745C4CD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r w14:paraId="2C8FD06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22" w:type="dxa"/>
                  <w:tcBorders>
                    <w:tl2br w:val="nil"/>
                    <w:tr2bl w:val="nil"/>
                  </w:tcBorders>
                  <w:noWrap w:val="0"/>
                  <w:vAlign w:val="center"/>
                </w:tcPr>
                <w:p w14:paraId="7C4EE0B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8</w:t>
                  </w:r>
                </w:p>
              </w:tc>
              <w:tc>
                <w:tcPr>
                  <w:tcW w:w="1320" w:type="dxa"/>
                  <w:tcBorders>
                    <w:tl2br w:val="nil"/>
                    <w:tr2bl w:val="nil"/>
                  </w:tcBorders>
                  <w:noWrap w:val="0"/>
                  <w:vAlign w:val="center"/>
                </w:tcPr>
                <w:p w14:paraId="1CF97CF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树脂再生装置</w:t>
                  </w:r>
                </w:p>
              </w:tc>
              <w:tc>
                <w:tcPr>
                  <w:tcW w:w="2233" w:type="dxa"/>
                  <w:tcBorders>
                    <w:tl2br w:val="nil"/>
                    <w:tr2bl w:val="nil"/>
                  </w:tcBorders>
                  <w:noWrap w:val="0"/>
                  <w:vAlign w:val="center"/>
                </w:tcPr>
                <w:p w14:paraId="795C0A5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适配软水器树脂再生需求</w:t>
                  </w:r>
                </w:p>
              </w:tc>
              <w:tc>
                <w:tcPr>
                  <w:tcW w:w="667" w:type="dxa"/>
                  <w:tcBorders>
                    <w:tl2br w:val="nil"/>
                    <w:tr2bl w:val="nil"/>
                  </w:tcBorders>
                  <w:noWrap w:val="0"/>
                  <w:vAlign w:val="center"/>
                </w:tcPr>
                <w:p w14:paraId="7E5E77A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1套</w:t>
                  </w:r>
                </w:p>
              </w:tc>
              <w:tc>
                <w:tcPr>
                  <w:tcW w:w="1759" w:type="dxa"/>
                  <w:tcBorders>
                    <w:tl2br w:val="nil"/>
                    <w:tr2bl w:val="nil"/>
                  </w:tcBorders>
                  <w:noWrap w:val="0"/>
                  <w:vAlign w:val="center"/>
                </w:tcPr>
                <w:p w14:paraId="67D68DF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废离子交换树脂再生（部分回用）</w:t>
                  </w:r>
                </w:p>
              </w:tc>
              <w:tc>
                <w:tcPr>
                  <w:tcW w:w="980" w:type="dxa"/>
                  <w:tcBorders>
                    <w:tl2br w:val="nil"/>
                    <w:tr2bl w:val="nil"/>
                  </w:tcBorders>
                  <w:noWrap w:val="0"/>
                  <w:vAlign w:val="center"/>
                </w:tcPr>
                <w:p w14:paraId="1127D81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新建</w:t>
                  </w:r>
                </w:p>
              </w:tc>
            </w:tr>
          </w:tbl>
          <w:p w14:paraId="5FAD129E">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表2-</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 xml:space="preserve">  </w:t>
            </w:r>
            <w:r>
              <w:rPr>
                <w:rFonts w:hint="default" w:ascii="Times New Roman" w:hAnsi="Times New Roman" w:eastAsia="宋体" w:cs="Times New Roman"/>
                <w:color w:val="auto"/>
                <w:sz w:val="21"/>
                <w:szCs w:val="21"/>
                <w:lang w:val="en-US" w:eastAsia="zh-CN"/>
              </w:rPr>
              <w:t xml:space="preserve"> 锅炉技术参数</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953"/>
              <w:gridCol w:w="4950"/>
            </w:tblGrid>
            <w:tr w14:paraId="4B7EE8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bottom w:val="single" w:color="auto" w:sz="12" w:space="0"/>
                  </w:tcBorders>
                  <w:noWrap w:val="0"/>
                  <w:vAlign w:val="center"/>
                </w:tcPr>
                <w:p w14:paraId="73F9138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288" w:type="pct"/>
                  <w:tcBorders>
                    <w:bottom w:val="single" w:color="auto" w:sz="12" w:space="0"/>
                  </w:tcBorders>
                  <w:noWrap w:val="0"/>
                  <w:vAlign w:val="center"/>
                </w:tcPr>
                <w:p w14:paraId="6CD3F7E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3264" w:type="pct"/>
                  <w:tcBorders>
                    <w:bottom w:val="single" w:color="auto" w:sz="12" w:space="0"/>
                  </w:tcBorders>
                  <w:noWrap w:val="0"/>
                  <w:vAlign w:val="center"/>
                </w:tcPr>
                <w:p w14:paraId="2F0B5E8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性能参数</w:t>
                  </w:r>
                </w:p>
              </w:tc>
            </w:tr>
            <w:tr w14:paraId="126260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pct"/>
                  <w:tcBorders>
                    <w:top w:val="single" w:color="auto" w:sz="12" w:space="0"/>
                    <w:tl2br w:val="nil"/>
                    <w:tr2bl w:val="nil"/>
                  </w:tcBorders>
                  <w:noWrap w:val="0"/>
                  <w:vAlign w:val="center"/>
                </w:tcPr>
                <w:p w14:paraId="022F3BF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1288" w:type="pct"/>
                  <w:tcBorders>
                    <w:top w:val="single" w:color="auto" w:sz="12" w:space="0"/>
                    <w:tl2br w:val="nil"/>
                    <w:tr2bl w:val="nil"/>
                  </w:tcBorders>
                  <w:noWrap w:val="0"/>
                  <w:vAlign w:val="center"/>
                </w:tcPr>
                <w:p w14:paraId="21A68FC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锅炉结构型式</w:t>
                  </w:r>
                </w:p>
              </w:tc>
              <w:tc>
                <w:tcPr>
                  <w:tcW w:w="3264" w:type="pct"/>
                  <w:tcBorders>
                    <w:top w:val="single" w:color="auto" w:sz="12" w:space="0"/>
                    <w:tl2br w:val="nil"/>
                    <w:tr2bl w:val="nil"/>
                  </w:tcBorders>
                  <w:noWrap w:val="0"/>
                  <w:vAlign w:val="center"/>
                </w:tcPr>
                <w:p w14:paraId="06EE3C5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卧式火管式内燃+节能器+冷凝器</w:t>
                  </w:r>
                </w:p>
              </w:tc>
            </w:tr>
            <w:tr w14:paraId="72F33F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l2br w:val="nil"/>
                    <w:tr2bl w:val="nil"/>
                  </w:tcBorders>
                  <w:noWrap w:val="0"/>
                  <w:vAlign w:val="center"/>
                </w:tcPr>
                <w:p w14:paraId="2C176C8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288" w:type="pct"/>
                  <w:tcBorders>
                    <w:tl2br w:val="nil"/>
                    <w:tr2bl w:val="nil"/>
                  </w:tcBorders>
                  <w:noWrap w:val="0"/>
                  <w:vAlign w:val="center"/>
                </w:tcPr>
                <w:p w14:paraId="749A550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额定蒸发量</w:t>
                  </w:r>
                </w:p>
              </w:tc>
              <w:tc>
                <w:tcPr>
                  <w:tcW w:w="3264" w:type="pct"/>
                  <w:tcBorders>
                    <w:tl2br w:val="nil"/>
                    <w:tr2bl w:val="nil"/>
                  </w:tcBorders>
                  <w:noWrap w:val="0"/>
                  <w:vAlign w:val="center"/>
                </w:tcPr>
                <w:p w14:paraId="6990781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4t/h</w:t>
                  </w:r>
                </w:p>
              </w:tc>
            </w:tr>
            <w:tr w14:paraId="1A2049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l2br w:val="nil"/>
                    <w:tr2bl w:val="nil"/>
                  </w:tcBorders>
                  <w:noWrap w:val="0"/>
                  <w:vAlign w:val="center"/>
                </w:tcPr>
                <w:p w14:paraId="1D1B6A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288" w:type="pct"/>
                  <w:tcBorders>
                    <w:tl2br w:val="nil"/>
                    <w:tr2bl w:val="nil"/>
                  </w:tcBorders>
                  <w:noWrap w:val="0"/>
                  <w:vAlign w:val="center"/>
                </w:tcPr>
                <w:p w14:paraId="7394563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额定工作压力</w:t>
                  </w:r>
                </w:p>
              </w:tc>
              <w:tc>
                <w:tcPr>
                  <w:tcW w:w="3264" w:type="pct"/>
                  <w:tcBorders>
                    <w:tl2br w:val="nil"/>
                    <w:tr2bl w:val="nil"/>
                  </w:tcBorders>
                  <w:noWrap w:val="0"/>
                  <w:vAlign w:val="center"/>
                </w:tcPr>
                <w:p w14:paraId="3B12F1B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1.25MPa</w:t>
                  </w:r>
                </w:p>
              </w:tc>
            </w:tr>
            <w:tr w14:paraId="30BD38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l2br w:val="nil"/>
                    <w:tr2bl w:val="nil"/>
                  </w:tcBorders>
                  <w:noWrap w:val="0"/>
                  <w:vAlign w:val="center"/>
                </w:tcPr>
                <w:p w14:paraId="6EF9A8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1288" w:type="pct"/>
                  <w:tcBorders>
                    <w:tl2br w:val="nil"/>
                    <w:tr2bl w:val="nil"/>
                  </w:tcBorders>
                  <w:noWrap w:val="0"/>
                  <w:vAlign w:val="center"/>
                </w:tcPr>
                <w:p w14:paraId="701203E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热效率</w:t>
                  </w:r>
                </w:p>
              </w:tc>
              <w:tc>
                <w:tcPr>
                  <w:tcW w:w="3264" w:type="pct"/>
                  <w:tcBorders>
                    <w:tl2br w:val="nil"/>
                    <w:tr2bl w:val="nil"/>
                  </w:tcBorders>
                  <w:noWrap w:val="0"/>
                  <w:vAlign w:val="center"/>
                </w:tcPr>
                <w:p w14:paraId="55C575B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≥95</w:t>
                  </w:r>
                </w:p>
              </w:tc>
            </w:tr>
            <w:tr w14:paraId="008113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47" w:type="pct"/>
                  <w:tcBorders>
                    <w:tl2br w:val="nil"/>
                    <w:tr2bl w:val="nil"/>
                  </w:tcBorders>
                  <w:noWrap w:val="0"/>
                  <w:vAlign w:val="center"/>
                </w:tcPr>
                <w:p w14:paraId="7143B17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w:t>
                  </w:r>
                </w:p>
              </w:tc>
              <w:tc>
                <w:tcPr>
                  <w:tcW w:w="1288" w:type="pct"/>
                  <w:tcBorders>
                    <w:tl2br w:val="nil"/>
                    <w:tr2bl w:val="nil"/>
                  </w:tcBorders>
                  <w:noWrap w:val="0"/>
                  <w:vAlign w:val="center"/>
                </w:tcPr>
                <w:p w14:paraId="58FBF69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锅炉最大外形尺寸</w:t>
                  </w:r>
                </w:p>
              </w:tc>
              <w:tc>
                <w:tcPr>
                  <w:tcW w:w="3264" w:type="pct"/>
                  <w:tcBorders>
                    <w:tl2br w:val="nil"/>
                    <w:tr2bl w:val="nil"/>
                  </w:tcBorders>
                  <w:noWrap w:val="0"/>
                  <w:vAlign w:val="center"/>
                </w:tcPr>
                <w:p w14:paraId="5DCE7FB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5300*2250*2764</w:t>
                  </w:r>
                </w:p>
              </w:tc>
            </w:tr>
            <w:tr w14:paraId="7D26CB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l2br w:val="nil"/>
                    <w:tr2bl w:val="nil"/>
                  </w:tcBorders>
                  <w:noWrap w:val="0"/>
                  <w:vAlign w:val="center"/>
                </w:tcPr>
                <w:p w14:paraId="47A58DA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6</w:t>
                  </w:r>
                </w:p>
              </w:tc>
              <w:tc>
                <w:tcPr>
                  <w:tcW w:w="1288" w:type="pct"/>
                  <w:tcBorders>
                    <w:tl2br w:val="nil"/>
                    <w:tr2bl w:val="nil"/>
                  </w:tcBorders>
                  <w:noWrap w:val="0"/>
                  <w:vAlign w:val="center"/>
                </w:tcPr>
                <w:p w14:paraId="5708DC2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锅炉本体排烟温度</w:t>
                  </w:r>
                </w:p>
              </w:tc>
              <w:tc>
                <w:tcPr>
                  <w:tcW w:w="3264" w:type="pct"/>
                  <w:tcBorders>
                    <w:tl2br w:val="nil"/>
                    <w:tr2bl w:val="nil"/>
                  </w:tcBorders>
                  <w:noWrap w:val="0"/>
                  <w:vAlign w:val="center"/>
                </w:tcPr>
                <w:p w14:paraId="71DA5F7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w:t>
                  </w:r>
                  <w:r>
                    <w:rPr>
                      <w:rFonts w:hint="eastAsia" w:cs="Times New Roman"/>
                      <w:b w:val="0"/>
                      <w:bCs w:val="0"/>
                      <w:color w:val="auto"/>
                      <w:sz w:val="21"/>
                      <w:szCs w:val="21"/>
                      <w:highlight w:val="none"/>
                      <w:lang w:val="en-US" w:eastAsia="zh-CN"/>
                    </w:rPr>
                    <w:t>20</w:t>
                  </w:r>
                </w:p>
              </w:tc>
            </w:tr>
          </w:tbl>
          <w:p w14:paraId="49FBA7B7">
            <w:pPr>
              <w:pStyle w:val="5"/>
              <w:numPr>
                <w:ilvl w:val="0"/>
                <w:numId w:val="0"/>
              </w:numPr>
              <w:suppressLineNumbers w:val="0"/>
              <w:spacing w:before="0" w:beforeAutospacing="0" w:after="0" w:afterAutospacing="0"/>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4 原辅料及能源消耗</w:t>
            </w:r>
          </w:p>
          <w:p w14:paraId="2C36EBFC">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原辅材料</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及能源消耗</w:t>
            </w:r>
            <w:r>
              <w:rPr>
                <w:rFonts w:hint="default" w:ascii="Times New Roman" w:hAnsi="Times New Roman" w:eastAsia="宋体" w:cs="Times New Roman"/>
                <w:color w:val="000000" w:themeColor="text1"/>
                <w:sz w:val="21"/>
                <w:szCs w:val="21"/>
                <w14:textFill>
                  <w14:solidFill>
                    <w14:schemeClr w14:val="tx1"/>
                  </w14:solidFill>
                </w14:textFill>
              </w:rPr>
              <w:t>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5"/>
              <w:gridCol w:w="631"/>
              <w:gridCol w:w="2437"/>
              <w:gridCol w:w="1364"/>
              <w:gridCol w:w="1353"/>
              <w:gridCol w:w="1141"/>
            </w:tblGrid>
            <w:tr w14:paraId="3A6513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62" w:type="dxa"/>
                  <w:tcBorders>
                    <w:bottom w:val="single" w:color="auto" w:sz="12" w:space="0"/>
                  </w:tcBorders>
                  <w:noWrap w:val="0"/>
                  <w:vAlign w:val="center"/>
                </w:tcPr>
                <w:p w14:paraId="15FDC1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auto"/>
                      <w:sz w:val="21"/>
                      <w:szCs w:val="21"/>
                      <w:highlight w:val="none"/>
                      <w:lang w:val="en-US" w:eastAsia="zh-CN"/>
                    </w:rPr>
                  </w:pPr>
                  <w:r>
                    <w:rPr>
                      <w:rFonts w:hint="default" w:ascii="宋体" w:hAnsi="宋体" w:eastAsia="宋体" w:cs="宋体"/>
                      <w:b/>
                      <w:kern w:val="0"/>
                      <w:sz w:val="20"/>
                      <w:szCs w:val="20"/>
                      <w:lang w:val="en-US" w:eastAsia="zh-CN" w:bidi="ar"/>
                    </w:rPr>
                    <w:t>序号</w:t>
                  </w:r>
                </w:p>
              </w:tc>
              <w:tc>
                <w:tcPr>
                  <w:tcW w:w="637" w:type="dxa"/>
                  <w:tcBorders>
                    <w:bottom w:val="single" w:color="auto" w:sz="12" w:space="0"/>
                  </w:tcBorders>
                  <w:noWrap w:val="0"/>
                  <w:vAlign w:val="center"/>
                </w:tcPr>
                <w:p w14:paraId="2BD5D0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auto"/>
                      <w:sz w:val="21"/>
                      <w:szCs w:val="21"/>
                      <w:highlight w:val="none"/>
                      <w:lang w:val="en-US" w:eastAsia="zh-CN"/>
                    </w:rPr>
                  </w:pPr>
                  <w:r>
                    <w:rPr>
                      <w:rFonts w:hint="default" w:ascii="宋体" w:hAnsi="宋体" w:eastAsia="宋体" w:cs="宋体"/>
                      <w:b/>
                      <w:kern w:val="0"/>
                      <w:sz w:val="20"/>
                      <w:szCs w:val="20"/>
                      <w:lang w:val="en-US" w:eastAsia="zh-CN" w:bidi="ar"/>
                    </w:rPr>
                    <w:t>名称</w:t>
                  </w:r>
                </w:p>
              </w:tc>
              <w:tc>
                <w:tcPr>
                  <w:tcW w:w="2471" w:type="dxa"/>
                  <w:tcBorders>
                    <w:bottom w:val="single" w:color="auto" w:sz="12" w:space="0"/>
                  </w:tcBorders>
                  <w:noWrap w:val="0"/>
                  <w:vAlign w:val="center"/>
                </w:tcPr>
                <w:p w14:paraId="58FFD2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auto"/>
                      <w:sz w:val="21"/>
                      <w:szCs w:val="21"/>
                      <w:highlight w:val="none"/>
                      <w:lang w:val="en-US" w:eastAsia="zh-CN"/>
                    </w:rPr>
                  </w:pPr>
                  <w:r>
                    <w:rPr>
                      <w:rFonts w:hint="default" w:ascii="宋体" w:hAnsi="宋体" w:eastAsia="宋体" w:cs="宋体"/>
                      <w:b/>
                      <w:kern w:val="0"/>
                      <w:sz w:val="20"/>
                      <w:szCs w:val="20"/>
                      <w:lang w:val="en-US" w:eastAsia="zh-CN" w:bidi="ar"/>
                    </w:rPr>
                    <w:t>规格/成分</w:t>
                  </w:r>
                </w:p>
              </w:tc>
              <w:tc>
                <w:tcPr>
                  <w:tcW w:w="1382" w:type="dxa"/>
                  <w:tcBorders>
                    <w:bottom w:val="single" w:color="auto" w:sz="12" w:space="0"/>
                  </w:tcBorders>
                  <w:noWrap w:val="0"/>
                  <w:vAlign w:val="center"/>
                </w:tcPr>
                <w:p w14:paraId="680F46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auto"/>
                      <w:sz w:val="21"/>
                      <w:szCs w:val="21"/>
                      <w:highlight w:val="none"/>
                      <w:lang w:val="en-US" w:eastAsia="zh-CN"/>
                    </w:rPr>
                  </w:pPr>
                  <w:r>
                    <w:rPr>
                      <w:rFonts w:hint="default" w:ascii="宋体" w:hAnsi="宋体" w:eastAsia="宋体" w:cs="宋体"/>
                      <w:b/>
                      <w:kern w:val="0"/>
                      <w:sz w:val="20"/>
                      <w:szCs w:val="20"/>
                      <w:lang w:val="en-US" w:eastAsia="zh-CN" w:bidi="ar"/>
                    </w:rPr>
                    <w:t>年消耗量</w:t>
                  </w:r>
                </w:p>
              </w:tc>
              <w:tc>
                <w:tcPr>
                  <w:tcW w:w="1370" w:type="dxa"/>
                  <w:tcBorders>
                    <w:bottom w:val="single" w:color="auto" w:sz="12" w:space="0"/>
                  </w:tcBorders>
                  <w:noWrap w:val="0"/>
                  <w:vAlign w:val="center"/>
                </w:tcPr>
                <w:p w14:paraId="470966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auto"/>
                      <w:sz w:val="21"/>
                      <w:szCs w:val="21"/>
                      <w:highlight w:val="none"/>
                      <w:lang w:val="en-US" w:eastAsia="zh-CN"/>
                    </w:rPr>
                  </w:pPr>
                  <w:r>
                    <w:rPr>
                      <w:rFonts w:hint="default" w:ascii="宋体" w:hAnsi="宋体" w:eastAsia="宋体" w:cs="宋体"/>
                      <w:b/>
                      <w:kern w:val="0"/>
                      <w:sz w:val="20"/>
                      <w:szCs w:val="20"/>
                      <w:lang w:val="en-US" w:eastAsia="zh-CN" w:bidi="ar"/>
                    </w:rPr>
                    <w:t>储存方式</w:t>
                  </w:r>
                </w:p>
              </w:tc>
              <w:tc>
                <w:tcPr>
                  <w:tcW w:w="1155" w:type="dxa"/>
                  <w:tcBorders>
                    <w:bottom w:val="single" w:color="auto" w:sz="12" w:space="0"/>
                  </w:tcBorders>
                  <w:noWrap w:val="0"/>
                  <w:vAlign w:val="center"/>
                </w:tcPr>
                <w:p w14:paraId="7CE32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Times New Roman" w:hAnsi="Times New Roman" w:eastAsia="宋体" w:cs="Times New Roman"/>
                      <w:b w:val="0"/>
                      <w:bCs w:val="0"/>
                      <w:color w:val="auto"/>
                      <w:sz w:val="21"/>
                      <w:szCs w:val="21"/>
                      <w:highlight w:val="none"/>
                      <w:lang w:val="en-US" w:eastAsia="zh-CN"/>
                    </w:rPr>
                  </w:pPr>
                  <w:r>
                    <w:rPr>
                      <w:rFonts w:hint="default" w:ascii="宋体" w:hAnsi="宋体" w:eastAsia="宋体" w:cs="宋体"/>
                      <w:b/>
                      <w:kern w:val="0"/>
                      <w:sz w:val="20"/>
                      <w:szCs w:val="20"/>
                      <w:lang w:val="en-US" w:eastAsia="zh-CN" w:bidi="ar"/>
                    </w:rPr>
                    <w:t>用途</w:t>
                  </w:r>
                </w:p>
              </w:tc>
            </w:tr>
            <w:tr w14:paraId="6268D6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tcBorders>
                    <w:top w:val="single" w:color="auto" w:sz="12" w:space="0"/>
                    <w:tl2br w:val="nil"/>
                    <w:tr2bl w:val="nil"/>
                  </w:tcBorders>
                  <w:noWrap w:val="0"/>
                  <w:vAlign w:val="center"/>
                </w:tcPr>
                <w:p w14:paraId="7959E2A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w:t>
                  </w:r>
                </w:p>
              </w:tc>
              <w:tc>
                <w:tcPr>
                  <w:tcW w:w="637" w:type="dxa"/>
                  <w:tcBorders>
                    <w:top w:val="single" w:color="auto" w:sz="12" w:space="0"/>
                    <w:tl2br w:val="nil"/>
                    <w:tr2bl w:val="nil"/>
                  </w:tcBorders>
                  <w:noWrap w:val="0"/>
                  <w:vAlign w:val="center"/>
                </w:tcPr>
                <w:p w14:paraId="38C87C3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天然气</w:t>
                  </w:r>
                </w:p>
              </w:tc>
              <w:tc>
                <w:tcPr>
                  <w:tcW w:w="2471" w:type="dxa"/>
                  <w:tcBorders>
                    <w:top w:val="single" w:color="auto" w:sz="12" w:space="0"/>
                    <w:tl2br w:val="nil"/>
                    <w:tr2bl w:val="nil"/>
                  </w:tcBorders>
                  <w:noWrap w:val="0"/>
                  <w:vAlign w:val="center"/>
                </w:tcPr>
                <w:p w14:paraId="2ABFA25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甲烷94.22%、乙烷2.06%、丙烷0.75%、N₂2.37%、CO₂0.09%，总硫1.6mg/m³，低位发热量33.96MJ/m³</w:t>
                  </w:r>
                </w:p>
              </w:tc>
              <w:tc>
                <w:tcPr>
                  <w:tcW w:w="1382" w:type="dxa"/>
                  <w:tcBorders>
                    <w:top w:val="single" w:color="auto" w:sz="12" w:space="0"/>
                    <w:tl2br w:val="nil"/>
                    <w:tr2bl w:val="nil"/>
                  </w:tcBorders>
                  <w:noWrap w:val="0"/>
                  <w:vAlign w:val="center"/>
                </w:tcPr>
                <w:p w14:paraId="630D94A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76.8万Nm³</w:t>
                  </w:r>
                </w:p>
              </w:tc>
              <w:tc>
                <w:tcPr>
                  <w:tcW w:w="1370" w:type="dxa"/>
                  <w:tcBorders>
                    <w:top w:val="single" w:color="auto" w:sz="12" w:space="0"/>
                    <w:tl2br w:val="nil"/>
                    <w:tr2bl w:val="nil"/>
                  </w:tcBorders>
                  <w:noWrap w:val="0"/>
                  <w:vAlign w:val="center"/>
                </w:tcPr>
                <w:p w14:paraId="1AAD991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22立方米CNG槽车（一用一备，储存量约为6吨）</w:t>
                  </w:r>
                </w:p>
              </w:tc>
              <w:tc>
                <w:tcPr>
                  <w:tcW w:w="1155" w:type="dxa"/>
                  <w:tcBorders>
                    <w:top w:val="single" w:color="auto" w:sz="12" w:space="0"/>
                    <w:tl2br w:val="nil"/>
                    <w:tr2bl w:val="nil"/>
                  </w:tcBorders>
                  <w:noWrap w:val="0"/>
                  <w:vAlign w:val="center"/>
                </w:tcPr>
                <w:p w14:paraId="2D2505B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锅炉燃烧供热</w:t>
                  </w:r>
                </w:p>
              </w:tc>
            </w:tr>
            <w:tr w14:paraId="3BA4A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noWrap w:val="0"/>
                  <w:vAlign w:val="center"/>
                </w:tcPr>
                <w:p w14:paraId="365E58D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637" w:type="dxa"/>
                  <w:tcBorders>
                    <w:tl2br w:val="nil"/>
                    <w:tr2bl w:val="nil"/>
                  </w:tcBorders>
                  <w:noWrap w:val="0"/>
                  <w:vAlign w:val="center"/>
                </w:tcPr>
                <w:p w14:paraId="5CFA240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新鲜水</w:t>
                  </w:r>
                </w:p>
              </w:tc>
              <w:tc>
                <w:tcPr>
                  <w:tcW w:w="2471" w:type="dxa"/>
                  <w:tcBorders>
                    <w:tl2br w:val="nil"/>
                    <w:tr2bl w:val="nil"/>
                  </w:tcBorders>
                  <w:noWrap w:val="0"/>
                  <w:vAlign w:val="center"/>
                </w:tcPr>
                <w:p w14:paraId="24C5692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园区自来水</w:t>
                  </w:r>
                </w:p>
              </w:tc>
              <w:tc>
                <w:tcPr>
                  <w:tcW w:w="1382" w:type="dxa"/>
                  <w:tcBorders>
                    <w:tl2br w:val="nil"/>
                    <w:tr2bl w:val="nil"/>
                  </w:tcBorders>
                  <w:noWrap w:val="0"/>
                  <w:vAlign w:val="center"/>
                </w:tcPr>
                <w:p w14:paraId="46D60AA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color w:val="000000"/>
                      <w:kern w:val="0"/>
                      <w:sz w:val="21"/>
                      <w:szCs w:val="21"/>
                      <w:lang w:val="en-US"/>
                    </w:rPr>
                    <w:t>2329.408</w:t>
                  </w:r>
                  <w:r>
                    <w:rPr>
                      <w:rFonts w:hint="default" w:ascii="Times New Roman" w:hAnsi="Times New Roman" w:eastAsia="宋体" w:cs="Times New Roman"/>
                      <w:b w:val="0"/>
                      <w:bCs w:val="0"/>
                      <w:color w:val="auto"/>
                      <w:sz w:val="21"/>
                      <w:szCs w:val="21"/>
                      <w:highlight w:val="none"/>
                      <w:lang w:val="en-US" w:eastAsia="zh-CN"/>
                    </w:rPr>
                    <w:t>m³/a</w:t>
                  </w:r>
                </w:p>
              </w:tc>
              <w:tc>
                <w:tcPr>
                  <w:tcW w:w="1370" w:type="dxa"/>
                  <w:tcBorders>
                    <w:tl2br w:val="nil"/>
                    <w:tr2bl w:val="nil"/>
                  </w:tcBorders>
                  <w:noWrap w:val="0"/>
                  <w:vAlign w:val="center"/>
                </w:tcPr>
                <w:p w14:paraId="68AA49C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依托园区供水管网</w:t>
                  </w:r>
                </w:p>
              </w:tc>
              <w:tc>
                <w:tcPr>
                  <w:tcW w:w="1155" w:type="dxa"/>
                  <w:tcBorders>
                    <w:tl2br w:val="nil"/>
                    <w:tr2bl w:val="nil"/>
                  </w:tcBorders>
                  <w:noWrap w:val="0"/>
                  <w:vAlign w:val="center"/>
                </w:tcPr>
                <w:p w14:paraId="1F7D854C">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软水制备原料水</w:t>
                  </w:r>
                </w:p>
              </w:tc>
            </w:tr>
            <w:tr w14:paraId="7EFBF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noWrap w:val="0"/>
                  <w:vAlign w:val="center"/>
                </w:tcPr>
                <w:p w14:paraId="1774680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p>
              </w:tc>
              <w:tc>
                <w:tcPr>
                  <w:tcW w:w="637" w:type="dxa"/>
                  <w:tcBorders>
                    <w:tl2br w:val="nil"/>
                    <w:tr2bl w:val="nil"/>
                  </w:tcBorders>
                  <w:shd w:val="clear" w:color="auto" w:fill="auto"/>
                  <w:noWrap w:val="0"/>
                  <w:vAlign w:val="center"/>
                </w:tcPr>
                <w:p w14:paraId="60FCB9A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再生剂</w:t>
                  </w:r>
                </w:p>
              </w:tc>
              <w:tc>
                <w:tcPr>
                  <w:tcW w:w="2471" w:type="dxa"/>
                  <w:tcBorders>
                    <w:tl2br w:val="nil"/>
                    <w:tr2bl w:val="nil"/>
                  </w:tcBorders>
                  <w:shd w:val="clear" w:color="auto" w:fill="auto"/>
                  <w:noWrap w:val="0"/>
                  <w:vAlign w:val="center"/>
                </w:tcPr>
                <w:p w14:paraId="7E6B5C4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工业级NaCl，纯度≥98%</w:t>
                  </w:r>
                </w:p>
              </w:tc>
              <w:tc>
                <w:tcPr>
                  <w:tcW w:w="1382" w:type="dxa"/>
                  <w:tcBorders>
                    <w:tl2br w:val="nil"/>
                    <w:tr2bl w:val="nil"/>
                  </w:tcBorders>
                  <w:shd w:val="clear" w:color="auto" w:fill="auto"/>
                  <w:noWrap w:val="0"/>
                  <w:vAlign w:val="center"/>
                </w:tcPr>
                <w:p w14:paraId="2550C27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5.0t/a</w:t>
                  </w:r>
                </w:p>
              </w:tc>
              <w:tc>
                <w:tcPr>
                  <w:tcW w:w="1370" w:type="dxa"/>
                  <w:tcBorders>
                    <w:tl2br w:val="nil"/>
                    <w:tr2bl w:val="nil"/>
                  </w:tcBorders>
                  <w:shd w:val="clear" w:color="auto" w:fill="auto"/>
                  <w:noWrap w:val="0"/>
                  <w:vAlign w:val="center"/>
                </w:tcPr>
                <w:p w14:paraId="4CAEC59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袋装储存于水处理间</w:t>
                  </w:r>
                </w:p>
              </w:tc>
              <w:tc>
                <w:tcPr>
                  <w:tcW w:w="1155" w:type="dxa"/>
                  <w:tcBorders>
                    <w:tl2br w:val="nil"/>
                    <w:tr2bl w:val="nil"/>
                  </w:tcBorders>
                  <w:shd w:val="clear" w:color="auto" w:fill="auto"/>
                  <w:noWrap w:val="0"/>
                  <w:vAlign w:val="center"/>
                </w:tcPr>
                <w:p w14:paraId="5422228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离子交换树脂再生</w:t>
                  </w:r>
                </w:p>
              </w:tc>
            </w:tr>
            <w:tr w14:paraId="1DD0D5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noWrap w:val="0"/>
                  <w:vAlign w:val="center"/>
                </w:tcPr>
                <w:p w14:paraId="73CCFB0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637" w:type="dxa"/>
                  <w:tcBorders>
                    <w:tl2br w:val="nil"/>
                    <w:tr2bl w:val="nil"/>
                  </w:tcBorders>
                  <w:noWrap w:val="0"/>
                  <w:vAlign w:val="center"/>
                </w:tcPr>
                <w:p w14:paraId="60790E3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电</w:t>
                  </w:r>
                  <w:r>
                    <w:rPr>
                      <w:rFonts w:hint="eastAsia" w:cs="Times New Roman"/>
                      <w:b w:val="0"/>
                      <w:bCs w:val="0"/>
                      <w:color w:val="auto"/>
                      <w:sz w:val="21"/>
                      <w:szCs w:val="21"/>
                      <w:highlight w:val="none"/>
                      <w:lang w:val="en-US" w:eastAsia="zh-CN"/>
                    </w:rPr>
                    <w:t>力</w:t>
                  </w:r>
                </w:p>
              </w:tc>
              <w:tc>
                <w:tcPr>
                  <w:tcW w:w="2471" w:type="dxa"/>
                  <w:tcBorders>
                    <w:tl2br w:val="nil"/>
                    <w:tr2bl w:val="nil"/>
                  </w:tcBorders>
                  <w:noWrap w:val="0"/>
                  <w:vAlign w:val="center"/>
                </w:tcPr>
                <w:p w14:paraId="15EC586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工业用电</w:t>
                  </w:r>
                </w:p>
              </w:tc>
              <w:tc>
                <w:tcPr>
                  <w:tcW w:w="1382" w:type="dxa"/>
                  <w:tcBorders>
                    <w:tl2br w:val="nil"/>
                    <w:tr2bl w:val="nil"/>
                  </w:tcBorders>
                  <w:noWrap w:val="0"/>
                  <w:vAlign w:val="center"/>
                </w:tcPr>
                <w:p w14:paraId="08A59FC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8800kWh/a</w:t>
                  </w:r>
                </w:p>
              </w:tc>
              <w:tc>
                <w:tcPr>
                  <w:tcW w:w="1370" w:type="dxa"/>
                  <w:tcBorders>
                    <w:tl2br w:val="nil"/>
                    <w:tr2bl w:val="nil"/>
                  </w:tcBorders>
                  <w:noWrap w:val="0"/>
                  <w:vAlign w:val="center"/>
                </w:tcPr>
                <w:p w14:paraId="22944B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1155" w:type="dxa"/>
                  <w:tcBorders>
                    <w:tl2br w:val="nil"/>
                    <w:tr2bl w:val="nil"/>
                  </w:tcBorders>
                  <w:noWrap w:val="0"/>
                  <w:vAlign w:val="center"/>
                </w:tcPr>
                <w:p w14:paraId="2BE82CA7">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设备运行</w:t>
                  </w:r>
                </w:p>
              </w:tc>
            </w:tr>
          </w:tbl>
          <w:p w14:paraId="25F9B7DF">
            <w:pPr>
              <w:pStyle w:val="38"/>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（1）天然气成分一览表</w:t>
            </w:r>
          </w:p>
          <w:p w14:paraId="3F6F0D2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表2-5   天然气成分一览表（成分分析表）</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4888"/>
            </w:tblGrid>
            <w:tr w14:paraId="47F918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bottom w:val="single" w:color="auto" w:sz="12" w:space="0"/>
                  </w:tcBorders>
                  <w:noWrap w:val="0"/>
                  <w:vAlign w:val="center"/>
                </w:tcPr>
                <w:p w14:paraId="0C451B3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组分</w:t>
                  </w:r>
                </w:p>
              </w:tc>
              <w:tc>
                <w:tcPr>
                  <w:tcW w:w="3223" w:type="pct"/>
                  <w:tcBorders>
                    <w:bottom w:val="single" w:color="auto" w:sz="12" w:space="0"/>
                  </w:tcBorders>
                  <w:noWrap w:val="0"/>
                  <w:vAlign w:val="center"/>
                </w:tcPr>
                <w:p w14:paraId="27D0123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Mol%</w:t>
                  </w:r>
                </w:p>
              </w:tc>
            </w:tr>
            <w:tr w14:paraId="24B96A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op w:val="single" w:color="auto" w:sz="12" w:space="0"/>
                    <w:tl2br w:val="nil"/>
                    <w:tr2bl w:val="nil"/>
                  </w:tcBorders>
                  <w:noWrap w:val="0"/>
                  <w:vAlign w:val="center"/>
                </w:tcPr>
                <w:p w14:paraId="3C888289">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甲烷</w:t>
                  </w:r>
                </w:p>
              </w:tc>
              <w:tc>
                <w:tcPr>
                  <w:tcW w:w="3223" w:type="pct"/>
                  <w:tcBorders>
                    <w:top w:val="single" w:color="auto" w:sz="12" w:space="0"/>
                    <w:tl2br w:val="nil"/>
                    <w:tr2bl w:val="nil"/>
                  </w:tcBorders>
                  <w:noWrap w:val="0"/>
                  <w:vAlign w:val="center"/>
                </w:tcPr>
                <w:p w14:paraId="7007B71F">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94.22</w:t>
                  </w:r>
                </w:p>
              </w:tc>
            </w:tr>
            <w:tr w14:paraId="3B5F1A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05F8B89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乙烷</w:t>
                  </w:r>
                </w:p>
              </w:tc>
              <w:tc>
                <w:tcPr>
                  <w:tcW w:w="3223" w:type="pct"/>
                  <w:tcBorders>
                    <w:tl2br w:val="nil"/>
                    <w:tr2bl w:val="nil"/>
                  </w:tcBorders>
                  <w:noWrap w:val="0"/>
                  <w:vAlign w:val="center"/>
                </w:tcPr>
                <w:p w14:paraId="72A8FEB0">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2.06</w:t>
                  </w:r>
                </w:p>
              </w:tc>
            </w:tr>
            <w:tr w14:paraId="573E3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48D29D7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丙烷</w:t>
                  </w:r>
                </w:p>
              </w:tc>
              <w:tc>
                <w:tcPr>
                  <w:tcW w:w="3223" w:type="pct"/>
                  <w:tcBorders>
                    <w:tl2br w:val="nil"/>
                    <w:tr2bl w:val="nil"/>
                  </w:tcBorders>
                  <w:noWrap w:val="0"/>
                  <w:vAlign w:val="center"/>
                </w:tcPr>
                <w:p w14:paraId="359D3B88">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0.75</w:t>
                  </w:r>
                </w:p>
              </w:tc>
            </w:tr>
            <w:tr w14:paraId="20EEEC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063200C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N</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p>
              </w:tc>
              <w:tc>
                <w:tcPr>
                  <w:tcW w:w="3223" w:type="pct"/>
                  <w:tcBorders>
                    <w:tl2br w:val="nil"/>
                    <w:tr2bl w:val="nil"/>
                  </w:tcBorders>
                  <w:noWrap w:val="0"/>
                  <w:vAlign w:val="center"/>
                </w:tcPr>
                <w:p w14:paraId="6F57D4DF">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2.37</w:t>
                  </w:r>
                </w:p>
              </w:tc>
            </w:tr>
            <w:tr w14:paraId="5117E7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7DDEB6E5">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CO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p>
              </w:tc>
              <w:tc>
                <w:tcPr>
                  <w:tcW w:w="3223" w:type="pct"/>
                  <w:tcBorders>
                    <w:tl2br w:val="nil"/>
                    <w:tr2bl w:val="nil"/>
                  </w:tcBorders>
                  <w:noWrap w:val="0"/>
                  <w:vAlign w:val="center"/>
                </w:tcPr>
                <w:p w14:paraId="024D565B">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0.09</w:t>
                  </w:r>
                </w:p>
              </w:tc>
            </w:tr>
            <w:tr w14:paraId="61BDBF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37CF4FF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p>
              </w:tc>
              <w:tc>
                <w:tcPr>
                  <w:tcW w:w="3223" w:type="pct"/>
                  <w:tcBorders>
                    <w:tl2br w:val="nil"/>
                    <w:tr2bl w:val="nil"/>
                  </w:tcBorders>
                  <w:noWrap w:val="0"/>
                  <w:vAlign w:val="center"/>
                </w:tcPr>
                <w:p w14:paraId="63C9D176">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23AAC5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061C481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总硫</w:t>
                  </w:r>
                </w:p>
              </w:tc>
              <w:tc>
                <w:tcPr>
                  <w:tcW w:w="3223" w:type="pct"/>
                  <w:tcBorders>
                    <w:tl2br w:val="nil"/>
                    <w:tr2bl w:val="nil"/>
                  </w:tcBorders>
                  <w:noWrap w:val="0"/>
                  <w:vAlign w:val="center"/>
                </w:tcPr>
                <w:p w14:paraId="1F99C49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auto"/>
                      <w:lang w:val="en-US" w:eastAsia="zh-CN"/>
                    </w:rPr>
                    <w:t>1.6mg/m</w:t>
                  </w:r>
                  <w:r>
                    <w:rPr>
                      <w:rFonts w:hint="default" w:ascii="Times New Roman" w:hAnsi="Times New Roman" w:eastAsia="宋体" w:cs="Times New Roman"/>
                      <w:color w:val="auto"/>
                      <w:vertAlign w:val="superscript"/>
                      <w:lang w:val="en-US" w:eastAsia="zh-CN"/>
                    </w:rPr>
                    <w:t>3</w:t>
                  </w:r>
                </w:p>
              </w:tc>
            </w:tr>
            <w:tr w14:paraId="4EC49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6" w:type="pct"/>
                  <w:tcBorders>
                    <w:tl2br w:val="nil"/>
                    <w:tr2bl w:val="nil"/>
                  </w:tcBorders>
                  <w:noWrap w:val="0"/>
                  <w:vAlign w:val="center"/>
                </w:tcPr>
                <w:p w14:paraId="16BA8E0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低位发热量</w:t>
                  </w:r>
                </w:p>
              </w:tc>
              <w:tc>
                <w:tcPr>
                  <w:tcW w:w="3223" w:type="pct"/>
                  <w:tcBorders>
                    <w:tl2br w:val="nil"/>
                    <w:tr2bl w:val="nil"/>
                  </w:tcBorders>
                  <w:noWrap w:val="0"/>
                  <w:vAlign w:val="center"/>
                </w:tcPr>
                <w:p w14:paraId="57BCCCE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00" w:themeColor="text1"/>
                      <w:lang w:val="en-US" w:eastAsia="zh-CN"/>
                      <w14:textFill>
                        <w14:solidFill>
                          <w14:schemeClr w14:val="tx1"/>
                        </w14:solidFill>
                      </w14:textFill>
                    </w:rPr>
                    <w:t>33.96MJ/m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p>
              </w:tc>
            </w:tr>
          </w:tbl>
          <w:p w14:paraId="12DCB0F0">
            <w:pPr>
              <w:pStyle w:val="38"/>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（2）天然气理化特性</w:t>
            </w:r>
          </w:p>
          <w:p w14:paraId="761D077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表2-6   天然气理化特性及危险特性</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0"/>
              <w:gridCol w:w="653"/>
              <w:gridCol w:w="3470"/>
              <w:gridCol w:w="1755"/>
              <w:gridCol w:w="1076"/>
            </w:tblGrid>
            <w:tr w14:paraId="379A8A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 w:type="pct"/>
                  <w:tcBorders>
                    <w:bottom w:val="single" w:color="auto" w:sz="12" w:space="0"/>
                  </w:tcBorders>
                  <w:noWrap w:val="0"/>
                  <w:vAlign w:val="center"/>
                </w:tcPr>
                <w:p w14:paraId="53155838">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序号</w:t>
                  </w:r>
                </w:p>
              </w:tc>
              <w:tc>
                <w:tcPr>
                  <w:tcW w:w="430" w:type="pct"/>
                  <w:tcBorders>
                    <w:bottom w:val="single" w:color="auto" w:sz="12" w:space="0"/>
                  </w:tcBorders>
                  <w:noWrap w:val="0"/>
                  <w:vAlign w:val="center"/>
                </w:tcPr>
                <w:p w14:paraId="2EF2B4FF">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名称</w:t>
                  </w:r>
                </w:p>
              </w:tc>
              <w:tc>
                <w:tcPr>
                  <w:tcW w:w="2286" w:type="pct"/>
                  <w:tcBorders>
                    <w:bottom w:val="single" w:color="auto" w:sz="12" w:space="0"/>
                  </w:tcBorders>
                  <w:noWrap w:val="0"/>
                  <w:vAlign w:val="center"/>
                </w:tcPr>
                <w:p w14:paraId="0943D145">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理化性质</w:t>
                  </w:r>
                </w:p>
              </w:tc>
              <w:tc>
                <w:tcPr>
                  <w:tcW w:w="1156" w:type="pct"/>
                  <w:tcBorders>
                    <w:bottom w:val="single" w:color="auto" w:sz="12" w:space="0"/>
                  </w:tcBorders>
                  <w:noWrap w:val="0"/>
                  <w:vAlign w:val="center"/>
                </w:tcPr>
                <w:p w14:paraId="4C637462">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燃烧、爆炸特性</w:t>
                  </w:r>
                </w:p>
              </w:tc>
              <w:tc>
                <w:tcPr>
                  <w:tcW w:w="709" w:type="pct"/>
                  <w:tcBorders>
                    <w:bottom w:val="single" w:color="auto" w:sz="12" w:space="0"/>
                  </w:tcBorders>
                  <w:noWrap w:val="0"/>
                  <w:vAlign w:val="center"/>
                </w:tcPr>
                <w:p w14:paraId="37D48CCE">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毒理特性</w:t>
                  </w:r>
                </w:p>
              </w:tc>
            </w:tr>
            <w:tr w14:paraId="758A6E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 w:type="pct"/>
                  <w:tcBorders>
                    <w:top w:val="single" w:color="auto" w:sz="12" w:space="0"/>
                  </w:tcBorders>
                  <w:noWrap w:val="0"/>
                  <w:vAlign w:val="center"/>
                </w:tcPr>
                <w:p w14:paraId="1DD42D91">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430" w:type="pct"/>
                  <w:tcBorders>
                    <w:top w:val="single" w:color="auto" w:sz="12" w:space="0"/>
                  </w:tcBorders>
                  <w:noWrap w:val="0"/>
                  <w:vAlign w:val="center"/>
                </w:tcPr>
                <w:p w14:paraId="6520CDD8">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天然气</w:t>
                  </w:r>
                </w:p>
              </w:tc>
              <w:tc>
                <w:tcPr>
                  <w:tcW w:w="2286" w:type="pct"/>
                  <w:tcBorders>
                    <w:top w:val="single" w:color="auto" w:sz="12" w:space="0"/>
                  </w:tcBorders>
                  <w:noWrap w:val="0"/>
                  <w:vAlign w:val="center"/>
                </w:tcPr>
                <w:p w14:paraId="2C9EF359">
                  <w:pPr>
                    <w:pStyle w:val="39"/>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天然气是存在于地下岩石储集层中以烃为主体的</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"https://baike.baidu.com/item/%E6%B7%B7%E5%90%88%E6%B0%94%E4%BD%93"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混合气体</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的统称，密度</w:t>
                  </w:r>
                  <w:r>
                    <w:rPr>
                      <w:rFonts w:hint="default" w:ascii="Times New Roman" w:hAnsi="Times New Roman" w:eastAsia="宋体" w:cs="Times New Roman"/>
                      <w:color w:val="000000" w:themeColor="text1"/>
                      <w:spacing w:val="-2"/>
                      <w:highlight w:val="none"/>
                      <w:vertAlign w:val="baseline"/>
                      <w:lang w:val="en-US" w:eastAsia="zh-CN"/>
                      <w14:textFill>
                        <w14:solidFill>
                          <w14:schemeClr w14:val="tx1"/>
                        </w14:solidFill>
                      </w14:textFill>
                    </w:rPr>
                    <w:t>0.5909</w:t>
                  </w:r>
                  <w:r>
                    <w:rPr>
                      <w:rFonts w:hint="default" w:ascii="Times New Roman" w:hAnsi="Times New Roman" w:eastAsia="宋体" w:cs="Times New Roman"/>
                      <w:color w:val="000000" w:themeColor="text1"/>
                      <w:lang w:val="en-US" w:eastAsia="zh-CN"/>
                      <w14:textFill>
                        <w14:solidFill>
                          <w14:schemeClr w14:val="tx1"/>
                        </w14:solidFill>
                      </w14:textFill>
                    </w:rPr>
                    <w:t>kg/Nm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，比空气轻，具有无色、无味、无毒之特性。天然气主要成分</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"https://baike.baidu.com/item/%E7%83%B7%E7%83%83"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烷烃</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，其中</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"https://baike.baidu.com/item/%E7%94%B2%E7%83%B7"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甲烷</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占绝大多数，另有少量的</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"https://baike.baidu.com/item/%E4%B9%99%E7%83%B7"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乙烷</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"https://baike.baidu.com/item/%E4%B8%99%E7%83%B7"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丙烷</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和</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"https://baike.baidu.com/item/%E4%B8%81%E7%83%B7"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丁烷</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，此外一般有</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"https://baike.baidu.com/item/%E7%A1%AB%E5%8C%96%E6%B0%A2"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硫化氢</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"https://baike.baidu.com/item/%E4%BA%8C%E6%B0%A7%E5%8C%96%E7%A2%B3/349143"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二氧化碳</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、氮和水汽和少量</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"https://baike.baidu.com/item/%E4%B8%80%E6%B0%A7%E5%8C%96%E7%A2%B3/163473"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一氧化碳</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及微量的</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"https://baike.baidu.com/item/%E7%A8%80%E6%9C%89%E6%B0%94%E4%BD%93/573051"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稀有气体</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，如</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"https://baike.baidu.com/item/%E6%B0%A6"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氦</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和</w:t>
                  </w:r>
                  <w:r>
                    <w:rPr>
                      <w:rFonts w:hint="default" w:ascii="Times New Roman" w:hAnsi="Times New Roman" w:eastAsia="宋体" w:cs="Times New Roman"/>
                      <w:color w:val="000000" w:themeColor="text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lang w:val="en-US" w:eastAsia="zh-CN"/>
                      <w14:textFill>
                        <w14:solidFill>
                          <w14:schemeClr w14:val="tx1"/>
                        </w14:solidFill>
                      </w14:textFill>
                    </w:rPr>
                    <w:instrText xml:space="preserve"> HYPERLINK "https://baike.baidu.com/item/%E6%B0%A9" \t "https://baike.baidu.com/item/%E5%A4%A9%E7%84%B6%E6%B0%94/_blank" </w:instrText>
                  </w:r>
                  <w:r>
                    <w:rPr>
                      <w:rFonts w:hint="default" w:ascii="Times New Roman" w:hAnsi="Times New Roman" w:eastAsia="宋体" w:cs="Times New Roman"/>
                      <w:color w:val="000000" w:themeColor="text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lang w:val="en-US" w:eastAsia="zh-CN"/>
                      <w14:textFill>
                        <w14:solidFill>
                          <w14:schemeClr w14:val="tx1"/>
                        </w14:solidFill>
                      </w14:textFill>
                    </w:rPr>
                    <w:t>氩</w:t>
                  </w:r>
                  <w:r>
                    <w:rPr>
                      <w:rFonts w:hint="default" w:ascii="Times New Roman" w:hAnsi="Times New Roman" w:eastAsia="宋体" w:cs="Times New Roman"/>
                      <w:color w:val="000000" w:themeColor="text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lang w:val="en-US" w:eastAsia="zh-CN"/>
                      <w14:textFill>
                        <w14:solidFill>
                          <w14:schemeClr w14:val="tx1"/>
                        </w14:solidFill>
                      </w14:textFill>
                    </w:rPr>
                    <w:t>等。</w:t>
                  </w:r>
                </w:p>
              </w:tc>
              <w:tc>
                <w:tcPr>
                  <w:tcW w:w="1156" w:type="pct"/>
                  <w:tcBorders>
                    <w:top w:val="single" w:color="auto" w:sz="12" w:space="0"/>
                  </w:tcBorders>
                  <w:noWrap w:val="0"/>
                  <w:vAlign w:val="center"/>
                </w:tcPr>
                <w:p w14:paraId="750F6E27">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易燃易爆</w:t>
                  </w:r>
                </w:p>
              </w:tc>
              <w:tc>
                <w:tcPr>
                  <w:tcW w:w="709" w:type="pct"/>
                  <w:tcBorders>
                    <w:top w:val="single" w:color="auto" w:sz="12" w:space="0"/>
                  </w:tcBorders>
                  <w:noWrap w:val="0"/>
                  <w:vAlign w:val="center"/>
                </w:tcPr>
                <w:p w14:paraId="31E353B9">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有毒</w:t>
                  </w:r>
                </w:p>
              </w:tc>
            </w:tr>
          </w:tbl>
          <w:p w14:paraId="789373C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w:t>
            </w:r>
            <w:r>
              <w:rPr>
                <w:rFonts w:hint="eastAsia" w:cs="Times New Roman"/>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天然气蒸汽锅炉</w:t>
            </w:r>
            <w:r>
              <w:rPr>
                <w:rFonts w:hint="eastAsia" w:cs="Times New Roman"/>
                <w:color w:val="000000" w:themeColor="text1"/>
                <w:sz w:val="21"/>
                <w:szCs w:val="21"/>
                <w:lang w:val="en-US" w:eastAsia="zh-CN"/>
                <w14:textFill>
                  <w14:solidFill>
                    <w14:schemeClr w14:val="tx1"/>
                  </w14:solidFill>
                </w14:textFill>
              </w:rPr>
              <w:t>产品及产能</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873"/>
              <w:gridCol w:w="2651"/>
              <w:gridCol w:w="1884"/>
            </w:tblGrid>
            <w:tr w14:paraId="52996A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4" w:type="pct"/>
                  <w:tcBorders>
                    <w:bottom w:val="single" w:color="auto" w:sz="12" w:space="0"/>
                  </w:tcBorders>
                  <w:vAlign w:val="center"/>
                </w:tcPr>
                <w:p w14:paraId="349E889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序号</w:t>
                  </w:r>
                </w:p>
              </w:tc>
              <w:tc>
                <w:tcPr>
                  <w:tcW w:w="1235" w:type="pct"/>
                  <w:tcBorders>
                    <w:bottom w:val="single" w:color="auto" w:sz="12" w:space="0"/>
                  </w:tcBorders>
                  <w:vAlign w:val="center"/>
                </w:tcPr>
                <w:p w14:paraId="5DB078E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类别</w:t>
                  </w:r>
                </w:p>
              </w:tc>
              <w:tc>
                <w:tcPr>
                  <w:tcW w:w="1748" w:type="pct"/>
                  <w:tcBorders>
                    <w:bottom w:val="single" w:color="auto" w:sz="12" w:space="0"/>
                  </w:tcBorders>
                  <w:vAlign w:val="center"/>
                </w:tcPr>
                <w:p w14:paraId="1C536FF2">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具体参数</w:t>
                  </w:r>
                </w:p>
              </w:tc>
              <w:tc>
                <w:tcPr>
                  <w:tcW w:w="1242" w:type="pct"/>
                  <w:tcBorders>
                    <w:bottom w:val="single" w:color="auto" w:sz="12" w:space="0"/>
                  </w:tcBorders>
                  <w:vAlign w:val="center"/>
                </w:tcPr>
                <w:p w14:paraId="47FDEBD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备注</w:t>
                  </w:r>
                </w:p>
              </w:tc>
            </w:tr>
            <w:tr w14:paraId="2D3093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4" w:type="pct"/>
                  <w:tcBorders>
                    <w:top w:val="single" w:color="auto" w:sz="12" w:space="0"/>
                    <w:tl2br w:val="nil"/>
                    <w:tr2bl w:val="nil"/>
                  </w:tcBorders>
                  <w:vAlign w:val="center"/>
                </w:tcPr>
                <w:p w14:paraId="5F0161E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w:t>
                  </w:r>
                </w:p>
              </w:tc>
              <w:tc>
                <w:tcPr>
                  <w:tcW w:w="1235" w:type="pct"/>
                  <w:tcBorders>
                    <w:top w:val="single" w:color="auto" w:sz="12" w:space="0"/>
                    <w:tl2br w:val="nil"/>
                    <w:tr2bl w:val="nil"/>
                  </w:tcBorders>
                  <w:vAlign w:val="center"/>
                </w:tcPr>
                <w:p w14:paraId="502FBD6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产品</w:t>
                  </w:r>
                </w:p>
              </w:tc>
              <w:tc>
                <w:tcPr>
                  <w:tcW w:w="1748" w:type="pct"/>
                  <w:tcBorders>
                    <w:top w:val="single" w:color="auto" w:sz="12" w:space="0"/>
                    <w:tl2br w:val="nil"/>
                    <w:tr2bl w:val="nil"/>
                  </w:tcBorders>
                  <w:vAlign w:val="center"/>
                </w:tcPr>
                <w:p w14:paraId="1C8658CA">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饱和蒸汽</w:t>
                  </w:r>
                </w:p>
              </w:tc>
              <w:tc>
                <w:tcPr>
                  <w:tcW w:w="1242" w:type="pct"/>
                  <w:tcBorders>
                    <w:top w:val="single" w:color="auto" w:sz="12" w:space="0"/>
                    <w:tl2br w:val="nil"/>
                    <w:tr2bl w:val="nil"/>
                  </w:tcBorders>
                  <w:vAlign w:val="center"/>
                </w:tcPr>
                <w:p w14:paraId="16CB9F5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w:t>
                  </w:r>
                </w:p>
              </w:tc>
            </w:tr>
            <w:tr w14:paraId="00234F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4" w:type="pct"/>
                  <w:tcBorders>
                    <w:tl2br w:val="nil"/>
                    <w:tr2bl w:val="nil"/>
                  </w:tcBorders>
                  <w:vAlign w:val="center"/>
                </w:tcPr>
                <w:p w14:paraId="49F56E0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w:t>
                  </w:r>
                </w:p>
              </w:tc>
              <w:tc>
                <w:tcPr>
                  <w:tcW w:w="1235" w:type="pct"/>
                  <w:tcBorders>
                    <w:tl2br w:val="nil"/>
                    <w:tr2bl w:val="nil"/>
                  </w:tcBorders>
                  <w:vAlign w:val="center"/>
                </w:tcPr>
                <w:p w14:paraId="00839894">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额定产能</w:t>
                  </w:r>
                </w:p>
              </w:tc>
              <w:tc>
                <w:tcPr>
                  <w:tcW w:w="1748" w:type="pct"/>
                  <w:tcBorders>
                    <w:tl2br w:val="nil"/>
                    <w:tr2bl w:val="nil"/>
                  </w:tcBorders>
                  <w:vAlign w:val="center"/>
                </w:tcPr>
                <w:p w14:paraId="101FD95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额定蒸发量：4t/h（即每小时额定产汽量4吨）</w:t>
                  </w:r>
                </w:p>
              </w:tc>
              <w:tc>
                <w:tcPr>
                  <w:tcW w:w="1242" w:type="pct"/>
                  <w:tcBorders>
                    <w:tl2br w:val="nil"/>
                    <w:tr2bl w:val="nil"/>
                  </w:tcBorders>
                  <w:vAlign w:val="center"/>
                </w:tcPr>
                <w:p w14:paraId="1B31839F">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w:t>
                  </w:r>
                </w:p>
              </w:tc>
            </w:tr>
            <w:tr w14:paraId="76A7FB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74" w:type="pct"/>
                  <w:tcBorders>
                    <w:tl2br w:val="nil"/>
                    <w:tr2bl w:val="nil"/>
                  </w:tcBorders>
                  <w:vAlign w:val="center"/>
                </w:tcPr>
                <w:p w14:paraId="780FE61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3</w:t>
                  </w:r>
                </w:p>
              </w:tc>
              <w:tc>
                <w:tcPr>
                  <w:tcW w:w="1235" w:type="pct"/>
                  <w:tcBorders>
                    <w:tl2br w:val="nil"/>
                    <w:tr2bl w:val="nil"/>
                  </w:tcBorders>
                  <w:vAlign w:val="center"/>
                </w:tcPr>
                <w:p w14:paraId="1A99C2B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年产能</w:t>
                  </w:r>
                </w:p>
              </w:tc>
              <w:tc>
                <w:tcPr>
                  <w:tcW w:w="1748" w:type="pct"/>
                  <w:tcBorders>
                    <w:tl2br w:val="nil"/>
                    <w:tr2bl w:val="nil"/>
                  </w:tcBorders>
                  <w:vAlign w:val="center"/>
                </w:tcPr>
                <w:p w14:paraId="51BDD91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9600吨</w:t>
                  </w:r>
                </w:p>
              </w:tc>
              <w:tc>
                <w:tcPr>
                  <w:tcW w:w="1242" w:type="pct"/>
                  <w:tcBorders>
                    <w:tl2br w:val="nil"/>
                    <w:tr2bl w:val="nil"/>
                  </w:tcBorders>
                  <w:vAlign w:val="center"/>
                </w:tcPr>
                <w:p w14:paraId="16714F8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运行天数：100天</w:t>
                  </w:r>
                </w:p>
              </w:tc>
            </w:tr>
          </w:tbl>
          <w:p w14:paraId="634169AC">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表2-</w:t>
            </w:r>
            <w:r>
              <w:rPr>
                <w:rFonts w:hint="eastAsia"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   </w:t>
            </w:r>
            <w:r>
              <w:rPr>
                <w:rFonts w:hint="eastAsia" w:cs="Times New Roman"/>
                <w:color w:val="000000" w:themeColor="text1"/>
                <w:sz w:val="21"/>
                <w:szCs w:val="21"/>
                <w:highlight w:val="none"/>
                <w:lang w:val="en-US" w:eastAsia="zh-CN"/>
                <w14:textFill>
                  <w14:solidFill>
                    <w14:schemeClr w14:val="tx1"/>
                  </w14:solidFill>
                </w14:textFill>
              </w:rPr>
              <w:t>球墨铸铁管产能情况一览表</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683"/>
              <w:gridCol w:w="1500"/>
              <w:gridCol w:w="1500"/>
              <w:gridCol w:w="2109"/>
            </w:tblGrid>
            <w:tr w14:paraId="37E583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bottom w:val="single" w:color="auto" w:sz="12" w:space="0"/>
                  </w:tcBorders>
                  <w:vAlign w:val="center"/>
                </w:tcPr>
                <w:p w14:paraId="7944A5A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序号</w:t>
                  </w:r>
                </w:p>
              </w:tc>
              <w:tc>
                <w:tcPr>
                  <w:tcW w:w="1110" w:type="pct"/>
                  <w:tcBorders>
                    <w:bottom w:val="single" w:color="auto" w:sz="12" w:space="0"/>
                  </w:tcBorders>
                  <w:vAlign w:val="center"/>
                </w:tcPr>
                <w:p w14:paraId="21A03BA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时间</w:t>
                  </w:r>
                </w:p>
              </w:tc>
              <w:tc>
                <w:tcPr>
                  <w:tcW w:w="989" w:type="pct"/>
                  <w:tcBorders>
                    <w:bottom w:val="single" w:color="auto" w:sz="12" w:space="0"/>
                  </w:tcBorders>
                  <w:vAlign w:val="center"/>
                </w:tcPr>
                <w:p w14:paraId="1FAB5AA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产品</w:t>
                  </w:r>
                </w:p>
              </w:tc>
              <w:tc>
                <w:tcPr>
                  <w:tcW w:w="989" w:type="pct"/>
                  <w:tcBorders>
                    <w:bottom w:val="single" w:color="auto" w:sz="12" w:space="0"/>
                  </w:tcBorders>
                  <w:vAlign w:val="center"/>
                </w:tcPr>
                <w:p w14:paraId="094882D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产能（t）</w:t>
                  </w:r>
                </w:p>
              </w:tc>
              <w:tc>
                <w:tcPr>
                  <w:tcW w:w="1390" w:type="pct"/>
                  <w:tcBorders>
                    <w:bottom w:val="single" w:color="auto" w:sz="12" w:space="0"/>
                  </w:tcBorders>
                  <w:vAlign w:val="center"/>
                </w:tcPr>
                <w:p w14:paraId="2989227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备注</w:t>
                  </w:r>
                </w:p>
              </w:tc>
            </w:tr>
            <w:tr w14:paraId="79DA5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20" w:type="pct"/>
                  <w:tcBorders>
                    <w:top w:val="single" w:color="auto" w:sz="12" w:space="0"/>
                    <w:tl2br w:val="nil"/>
                    <w:tr2bl w:val="nil"/>
                  </w:tcBorders>
                  <w:vAlign w:val="center"/>
                </w:tcPr>
                <w:p w14:paraId="5CCC9280">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1</w:t>
                  </w:r>
                </w:p>
              </w:tc>
              <w:tc>
                <w:tcPr>
                  <w:tcW w:w="1110" w:type="pct"/>
                  <w:tcBorders>
                    <w:top w:val="single" w:color="auto" w:sz="12" w:space="0"/>
                    <w:tl2br w:val="nil"/>
                    <w:tr2bl w:val="nil"/>
                  </w:tcBorders>
                  <w:vAlign w:val="center"/>
                </w:tcPr>
                <w:p w14:paraId="791946C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2022年</w:t>
                  </w:r>
                </w:p>
              </w:tc>
              <w:tc>
                <w:tcPr>
                  <w:tcW w:w="989" w:type="pct"/>
                  <w:tcBorders>
                    <w:top w:val="single" w:color="auto" w:sz="12" w:space="0"/>
                    <w:tl2br w:val="nil"/>
                    <w:tr2bl w:val="nil"/>
                  </w:tcBorders>
                  <w:vAlign w:val="center"/>
                </w:tcPr>
                <w:p w14:paraId="7982FA2F">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球墨铸铁管</w:t>
                  </w:r>
                </w:p>
              </w:tc>
              <w:tc>
                <w:tcPr>
                  <w:tcW w:w="989" w:type="pct"/>
                  <w:tcBorders>
                    <w:top w:val="single" w:color="auto" w:sz="12" w:space="0"/>
                    <w:tl2br w:val="nil"/>
                    <w:tr2bl w:val="nil"/>
                  </w:tcBorders>
                  <w:vAlign w:val="center"/>
                </w:tcPr>
                <w:p w14:paraId="237B45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t>44656</w:t>
                  </w:r>
                </w:p>
              </w:tc>
              <w:tc>
                <w:tcPr>
                  <w:tcW w:w="1390" w:type="pct"/>
                  <w:tcBorders>
                    <w:top w:val="single" w:color="auto" w:sz="12" w:space="0"/>
                    <w:tl2br w:val="nil"/>
                    <w:tr2bl w:val="nil"/>
                  </w:tcBorders>
                  <w:vAlign w:val="center"/>
                </w:tcPr>
                <w:p w14:paraId="7A363F9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1、2、11、12月停产</w:t>
                  </w:r>
                </w:p>
              </w:tc>
            </w:tr>
            <w:tr w14:paraId="1AB40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tl2br w:val="nil"/>
                    <w:tr2bl w:val="nil"/>
                  </w:tcBorders>
                  <w:vAlign w:val="center"/>
                </w:tcPr>
                <w:p w14:paraId="23766FA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2</w:t>
                  </w:r>
                </w:p>
              </w:tc>
              <w:tc>
                <w:tcPr>
                  <w:tcW w:w="1110" w:type="pct"/>
                  <w:tcBorders>
                    <w:tl2br w:val="nil"/>
                    <w:tr2bl w:val="nil"/>
                  </w:tcBorders>
                  <w:vAlign w:val="center"/>
                </w:tcPr>
                <w:p w14:paraId="57284F7F">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2023年</w:t>
                  </w:r>
                </w:p>
              </w:tc>
              <w:tc>
                <w:tcPr>
                  <w:tcW w:w="989" w:type="pct"/>
                  <w:tcBorders>
                    <w:tl2br w:val="nil"/>
                    <w:tr2bl w:val="nil"/>
                  </w:tcBorders>
                  <w:vAlign w:val="center"/>
                </w:tcPr>
                <w:p w14:paraId="625BBFA2">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球墨铸铁管</w:t>
                  </w:r>
                </w:p>
              </w:tc>
              <w:tc>
                <w:tcPr>
                  <w:tcW w:w="989" w:type="pct"/>
                  <w:tcBorders>
                    <w:tl2br w:val="nil"/>
                    <w:tr2bl w:val="nil"/>
                  </w:tcBorders>
                  <w:vAlign w:val="center"/>
                </w:tcPr>
                <w:p w14:paraId="070F27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t>56779</w:t>
                  </w:r>
                </w:p>
              </w:tc>
              <w:tc>
                <w:tcPr>
                  <w:tcW w:w="1390" w:type="pct"/>
                  <w:tcBorders>
                    <w:tl2br w:val="nil"/>
                    <w:tr2bl w:val="nil"/>
                  </w:tcBorders>
                  <w:vAlign w:val="center"/>
                </w:tcPr>
                <w:p w14:paraId="2CDFACC2">
                  <w:pPr>
                    <w:keepNext w:val="0"/>
                    <w:keepLines w:val="0"/>
                    <w:widowControl/>
                    <w:suppressLineNumbers w:val="0"/>
                    <w:spacing w:before="0" w:beforeAutospacing="0" w:after="0" w:afterAutospacing="0"/>
                    <w:ind w:left="0" w:right="0"/>
                    <w:jc w:val="center"/>
                    <w:textAlignment w:val="center"/>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1、2、11、12月停产</w:t>
                  </w:r>
                </w:p>
              </w:tc>
            </w:tr>
            <w:tr w14:paraId="36CFC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tl2br w:val="nil"/>
                    <w:tr2bl w:val="nil"/>
                  </w:tcBorders>
                  <w:vAlign w:val="center"/>
                </w:tcPr>
                <w:p w14:paraId="3A76CBD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3</w:t>
                  </w:r>
                </w:p>
              </w:tc>
              <w:tc>
                <w:tcPr>
                  <w:tcW w:w="1110" w:type="pct"/>
                  <w:tcBorders>
                    <w:tl2br w:val="nil"/>
                    <w:tr2bl w:val="nil"/>
                  </w:tcBorders>
                  <w:vAlign w:val="center"/>
                </w:tcPr>
                <w:p w14:paraId="58EE90E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2024年</w:t>
                  </w:r>
                </w:p>
              </w:tc>
              <w:tc>
                <w:tcPr>
                  <w:tcW w:w="989" w:type="pct"/>
                  <w:tcBorders>
                    <w:tl2br w:val="nil"/>
                    <w:tr2bl w:val="nil"/>
                  </w:tcBorders>
                  <w:vAlign w:val="center"/>
                </w:tcPr>
                <w:p w14:paraId="09E72697">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球墨铸铁管</w:t>
                  </w:r>
                </w:p>
              </w:tc>
              <w:tc>
                <w:tcPr>
                  <w:tcW w:w="989" w:type="pct"/>
                  <w:tcBorders>
                    <w:tl2br w:val="nil"/>
                    <w:tr2bl w:val="nil"/>
                  </w:tcBorders>
                  <w:vAlign w:val="center"/>
                </w:tcPr>
                <w:p w14:paraId="60A7AB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t>50010</w:t>
                  </w:r>
                </w:p>
              </w:tc>
              <w:tc>
                <w:tcPr>
                  <w:tcW w:w="1390" w:type="pct"/>
                  <w:tcBorders>
                    <w:tl2br w:val="nil"/>
                    <w:tr2bl w:val="nil"/>
                  </w:tcBorders>
                  <w:vAlign w:val="center"/>
                </w:tcPr>
                <w:p w14:paraId="6546D870">
                  <w:pPr>
                    <w:keepNext w:val="0"/>
                    <w:keepLines w:val="0"/>
                    <w:widowControl/>
                    <w:suppressLineNumbers w:val="0"/>
                    <w:spacing w:before="0" w:beforeAutospacing="0" w:after="0" w:afterAutospacing="0"/>
                    <w:ind w:left="0" w:right="0"/>
                    <w:jc w:val="center"/>
                    <w:textAlignment w:val="center"/>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1、2、3、12月停产</w:t>
                  </w:r>
                </w:p>
              </w:tc>
            </w:tr>
            <w:tr w14:paraId="49F00B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tl2br w:val="nil"/>
                    <w:tr2bl w:val="nil"/>
                  </w:tcBorders>
                  <w:vAlign w:val="center"/>
                </w:tcPr>
                <w:p w14:paraId="2D4FA0E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4</w:t>
                  </w:r>
                </w:p>
              </w:tc>
              <w:tc>
                <w:tcPr>
                  <w:tcW w:w="1110" w:type="pct"/>
                  <w:tcBorders>
                    <w:tl2br w:val="nil"/>
                    <w:tr2bl w:val="nil"/>
                  </w:tcBorders>
                  <w:vAlign w:val="center"/>
                </w:tcPr>
                <w:p w14:paraId="5E3E3120">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2025年</w:t>
                  </w:r>
                </w:p>
              </w:tc>
              <w:tc>
                <w:tcPr>
                  <w:tcW w:w="989" w:type="pct"/>
                  <w:tcBorders>
                    <w:tl2br w:val="nil"/>
                    <w:tr2bl w:val="nil"/>
                  </w:tcBorders>
                  <w:vAlign w:val="center"/>
                </w:tcPr>
                <w:p w14:paraId="6B235F7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球墨铸铁管</w:t>
                  </w:r>
                </w:p>
              </w:tc>
              <w:tc>
                <w:tcPr>
                  <w:tcW w:w="989" w:type="pct"/>
                  <w:tcBorders>
                    <w:tl2br w:val="nil"/>
                    <w:tr2bl w:val="nil"/>
                  </w:tcBorders>
                  <w:shd w:val="clear" w:color="auto" w:fill="auto"/>
                  <w:vAlign w:val="center"/>
                </w:tcPr>
                <w:p w14:paraId="56471B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t>69053.683</w:t>
                  </w:r>
                </w:p>
              </w:tc>
              <w:tc>
                <w:tcPr>
                  <w:tcW w:w="1390" w:type="pct"/>
                  <w:tcBorders>
                    <w:tl2br w:val="nil"/>
                    <w:tr2bl w:val="nil"/>
                  </w:tcBorders>
                  <w:vAlign w:val="center"/>
                </w:tcPr>
                <w:p w14:paraId="18E29EE4">
                  <w:pPr>
                    <w:keepNext w:val="0"/>
                    <w:keepLines w:val="0"/>
                    <w:widowControl/>
                    <w:suppressLineNumbers w:val="0"/>
                    <w:spacing w:before="0" w:beforeAutospacing="0" w:after="0" w:afterAutospacing="0"/>
                    <w:ind w:left="0" w:right="0"/>
                    <w:jc w:val="center"/>
                    <w:textAlignment w:val="center"/>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1、2、12月停产</w:t>
                  </w:r>
                </w:p>
              </w:tc>
            </w:tr>
            <w:tr w14:paraId="75AC3C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tl2br w:val="nil"/>
                    <w:tr2bl w:val="nil"/>
                  </w:tcBorders>
                  <w:vAlign w:val="center"/>
                </w:tcPr>
                <w:p w14:paraId="3613A53F">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5</w:t>
                  </w:r>
                </w:p>
              </w:tc>
              <w:tc>
                <w:tcPr>
                  <w:tcW w:w="1110" w:type="pct"/>
                  <w:tcBorders>
                    <w:tl2br w:val="nil"/>
                    <w:tr2bl w:val="nil"/>
                  </w:tcBorders>
                  <w:vAlign w:val="center"/>
                </w:tcPr>
                <w:p w14:paraId="792DB9C5">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冬季生产（100）</w:t>
                  </w:r>
                </w:p>
              </w:tc>
              <w:tc>
                <w:tcPr>
                  <w:tcW w:w="989" w:type="pct"/>
                  <w:tcBorders>
                    <w:tl2br w:val="nil"/>
                    <w:tr2bl w:val="nil"/>
                  </w:tcBorders>
                  <w:vAlign w:val="center"/>
                </w:tcPr>
                <w:p w14:paraId="7B46A16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球墨铸铁管</w:t>
                  </w:r>
                </w:p>
              </w:tc>
              <w:tc>
                <w:tcPr>
                  <w:tcW w:w="989" w:type="pct"/>
                  <w:tcBorders>
                    <w:tl2br w:val="nil"/>
                    <w:tr2bl w:val="nil"/>
                  </w:tcBorders>
                  <w:shd w:val="clear" w:color="auto" w:fill="auto"/>
                  <w:vAlign w:val="center"/>
                </w:tcPr>
                <w:p w14:paraId="6B9465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1"/>
                      <w:szCs w:val="21"/>
                      <w:highlight w:val="none"/>
                      <w:vertAlign w:val="baseline"/>
                      <w:lang w:val="en-US" w:eastAsia="zh-CN" w:bidi="ar-SA"/>
                      <w14:textFill>
                        <w14:solidFill>
                          <w14:schemeClr w14:val="tx1"/>
                        </w14:solidFill>
                      </w14:textFill>
                    </w:rPr>
                    <w:t>9600</w:t>
                  </w:r>
                </w:p>
              </w:tc>
              <w:tc>
                <w:tcPr>
                  <w:tcW w:w="1390" w:type="pct"/>
                  <w:tcBorders>
                    <w:tl2br w:val="nil"/>
                    <w:tr2bl w:val="nil"/>
                  </w:tcBorders>
                  <w:vAlign w:val="center"/>
                </w:tcPr>
                <w:p w14:paraId="2F0D6D83">
                  <w:pPr>
                    <w:keepNext w:val="0"/>
                    <w:keepLines w:val="0"/>
                    <w:widowControl/>
                    <w:suppressLineNumbers w:val="0"/>
                    <w:spacing w:before="0" w:beforeAutospacing="0" w:after="0" w:afterAutospacing="0"/>
                    <w:ind w:left="0" w:right="0"/>
                    <w:jc w:val="center"/>
                    <w:textAlignment w:val="center"/>
                    <w:rPr>
                      <w:rFonts w:hint="default"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14:textFill>
                        <w14:solidFill>
                          <w14:schemeClr w14:val="tx1"/>
                        </w14:solidFill>
                      </w14:textFill>
                    </w:rPr>
                    <w:t>1、11、12月</w:t>
                  </w:r>
                </w:p>
              </w:tc>
            </w:tr>
          </w:tbl>
          <w:p w14:paraId="0D03DDE0">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根据以上数据可知202</w:t>
            </w:r>
            <w:r>
              <w:rPr>
                <w:rFonts w:hint="eastAsia" w:cs="Times New Roman"/>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—2025年常规球墨铸铁管年均产量约58614.23t，对应设备平均负荷率约29.31%；叠加冬季9600t产能后年均总产量68214.23t，整体负荷率约34.11%。整体实际产能远低于环评及排污许可20万吨批复上限，生产规模可控。</w:t>
            </w:r>
          </w:p>
          <w:p w14:paraId="495D5FB4">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5 公用工程</w:t>
            </w:r>
          </w:p>
          <w:p w14:paraId="6BE59A6C">
            <w:pPr>
              <w:pStyle w:val="5"/>
              <w:numPr>
                <w:ilvl w:val="0"/>
                <w:numId w:val="0"/>
              </w:numPr>
              <w:suppressLineNumbers w:val="0"/>
              <w:spacing w:before="0" w:beforeAutospacing="0" w:after="0" w:afterAutospacing="0" w:line="360" w:lineRule="auto"/>
              <w:ind w:left="0" w:right="0"/>
              <w:jc w:val="both"/>
              <w:outlineLvl w:val="1"/>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5.1 供电</w:t>
            </w:r>
          </w:p>
          <w:p w14:paraId="1E743558">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w:t>
            </w:r>
            <w:r>
              <w:rPr>
                <w:rFonts w:hint="eastAsia" w:cs="Times New Roman"/>
                <w:color w:val="000000" w:themeColor="text1"/>
                <w:lang w:val="en-US" w:eastAsia="zh-CN"/>
                <w14:textFill>
                  <w14:solidFill>
                    <w14:schemeClr w14:val="tx1"/>
                  </w14:solidFill>
                </w14:textFill>
              </w:rPr>
              <w:t>用电由</w:t>
            </w:r>
            <w:r>
              <w:rPr>
                <w:rFonts w:hint="default" w:ascii="Times New Roman" w:hAnsi="Times New Roman" w:eastAsia="宋体" w:cs="Times New Roman"/>
                <w:color w:val="000000" w:themeColor="text1"/>
                <w:lang w:val="en-US" w:eastAsia="zh-CN"/>
                <w14:textFill>
                  <w14:solidFill>
                    <w14:schemeClr w14:val="tx1"/>
                  </w14:solidFill>
                </w14:textFill>
              </w:rPr>
              <w:t>新兴铸管能源有限公司</w:t>
            </w:r>
            <w:r>
              <w:rPr>
                <w:rFonts w:hint="default" w:ascii="Times New Roman" w:hAnsi="Times New Roman" w:eastAsia="宋体" w:cs="Times New Roman"/>
                <w:color w:val="000000" w:themeColor="text1"/>
                <w14:textFill>
                  <w14:solidFill>
                    <w14:schemeClr w14:val="tx1"/>
                  </w14:solidFill>
                </w14:textFill>
              </w:rPr>
              <w:t>配电室</w:t>
            </w:r>
            <w:r>
              <w:rPr>
                <w:rFonts w:hint="eastAsia" w:cs="Times New Roman"/>
                <w:color w:val="000000" w:themeColor="text1"/>
                <w:lang w:val="en-US" w:eastAsia="zh-CN"/>
                <w14:textFill>
                  <w14:solidFill>
                    <w14:schemeClr w14:val="tx1"/>
                  </w14:solidFill>
                </w14:textFill>
              </w:rPr>
              <w:t>引入</w:t>
            </w:r>
            <w:r>
              <w:rPr>
                <w:rFonts w:hint="default" w:ascii="Times New Roman" w:hAnsi="Times New Roman" w:eastAsia="宋体" w:cs="Times New Roman"/>
                <w:color w:val="000000" w:themeColor="text1"/>
                <w14:textFill>
                  <w14:solidFill>
                    <w14:schemeClr w14:val="tx1"/>
                  </w14:solidFill>
                </w14:textFill>
              </w:rPr>
              <w:t>，可以满足本项目用电需求。</w:t>
            </w:r>
          </w:p>
          <w:p w14:paraId="5FC8D6D8">
            <w:pPr>
              <w:pStyle w:val="6"/>
              <w:suppressLineNumbers w:val="0"/>
              <w:spacing w:before="0" w:beforeAutospacing="0" w:after="0" w:afterAutospacing="0" w:line="360" w:lineRule="auto"/>
              <w:ind w:left="0" w:right="0"/>
              <w:jc w:val="both"/>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highlight w:val="none"/>
                <w14:textFill>
                  <w14:solidFill>
                    <w14:schemeClr w14:val="tx1"/>
                  </w14:solidFill>
                </w14:textFill>
              </w:rPr>
              <w:t>.2 给排水</w:t>
            </w:r>
          </w:p>
          <w:p w14:paraId="522F9AED">
            <w:pPr>
              <w:pStyle w:val="25"/>
              <w:keepNext w:val="0"/>
              <w:keepLines w:val="0"/>
              <w:suppressLineNumbers w:val="0"/>
              <w:spacing w:before="0" w:beforeAutospacing="0" w:after="0" w:afterAutospacing="0" w:line="360" w:lineRule="auto"/>
              <w:ind w:left="0" w:leftChars="0" w:right="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5.2.1 给水</w:t>
            </w:r>
          </w:p>
          <w:p w14:paraId="1E2504B1">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项目运营期不新增劳动定员，不新增生活用水，用水主要为锅炉用水，由园区供水管网供给。</w:t>
            </w:r>
          </w:p>
          <w:p w14:paraId="0A61555F">
            <w:pPr>
              <w:pStyle w:val="25"/>
              <w:keepNext w:val="0"/>
              <w:keepLines w:val="0"/>
              <w:suppressLineNumbers w:val="0"/>
              <w:spacing w:before="0" w:beforeAutospacing="0" w:after="0" w:afterAutospacing="0" w:line="360" w:lineRule="auto"/>
              <w:ind w:left="0" w:right="0" w:firstLine="480"/>
              <w:jc w:val="both"/>
              <w:rPr>
                <w:rFonts w:hint="default" w:cs="Times New Roman"/>
                <w:bCs/>
                <w:color w:val="000000" w:themeColor="text1"/>
                <w:sz w:val="24"/>
                <w:szCs w:val="24"/>
                <w:lang w:val="en-US" w:eastAsia="zh-CN"/>
                <w14:textFill>
                  <w14:solidFill>
                    <w14:schemeClr w14:val="tx1"/>
                  </w14:solidFill>
                </w14:textFill>
              </w:rPr>
            </w:pPr>
            <w:r>
              <w:rPr>
                <w:rFonts w:hint="eastAsia" w:cs="Times New Roman"/>
                <w:bCs/>
                <w:color w:val="000000" w:themeColor="text1"/>
                <w:sz w:val="24"/>
                <w:szCs w:val="24"/>
                <w:lang w:val="en-US" w:eastAsia="zh-CN"/>
                <w14:textFill>
                  <w14:solidFill>
                    <w14:schemeClr w14:val="tx1"/>
                  </w14:solidFill>
                </w14:textFill>
              </w:rPr>
              <w:t>蒸汽锅炉循环水量根据</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锅炉额定蒸发量</w:t>
            </w:r>
            <w:r>
              <w:rPr>
                <w:rFonts w:hint="eastAsia" w:cs="Times New Roman"/>
                <w:bCs/>
                <w:color w:val="000000" w:themeColor="text1"/>
                <w:sz w:val="24"/>
                <w:szCs w:val="24"/>
                <w:lang w:val="en-US" w:eastAsia="zh-CN"/>
                <w14:textFill>
                  <w14:solidFill>
                    <w14:schemeClr w14:val="tx1"/>
                  </w14:solidFill>
                </w14:textFill>
              </w:rPr>
              <w:t>进行计算</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，因此</w:t>
            </w:r>
            <w:r>
              <w:rPr>
                <w:rFonts w:hint="eastAsia" w:cs="Times New Roman"/>
                <w:bCs/>
                <w:color w:val="000000" w:themeColor="text1"/>
                <w:sz w:val="24"/>
                <w:szCs w:val="24"/>
                <w:lang w:val="en-US" w:eastAsia="zh-CN"/>
                <w14:textFill>
                  <w14:solidFill>
                    <w14:schemeClr w14:val="tx1"/>
                  </w14:solidFill>
                </w14:textFill>
              </w:rPr>
              <w:t>本项目蒸汽锅炉循环水量为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4m³/h×2400h=9600</w:t>
            </w:r>
            <w:r>
              <w:rPr>
                <w:rFonts w:hint="eastAsia" w:cs="Times New Roman"/>
                <w:bCs/>
                <w:color w:val="000000" w:themeColor="text1"/>
                <w:sz w:val="24"/>
                <w:szCs w:val="24"/>
                <w:lang w:val="en-US" w:eastAsia="zh-CN"/>
                <w14:textFill>
                  <w14:solidFill>
                    <w14:schemeClr w14:val="tx1"/>
                  </w14:solidFill>
                </w14:textFill>
              </w:rPr>
              <w:t>t</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/a</w:t>
            </w:r>
            <w:r>
              <w:rPr>
                <w:rFonts w:hint="eastAsia" w:cs="Times New Roman"/>
                <w:bCs/>
                <w:color w:val="000000" w:themeColor="text1"/>
                <w:sz w:val="24"/>
                <w:szCs w:val="24"/>
                <w:lang w:val="en-US" w:eastAsia="zh-CN"/>
                <w14:textFill>
                  <w14:solidFill>
                    <w14:schemeClr w14:val="tx1"/>
                  </w14:solidFill>
                </w14:textFill>
              </w:rPr>
              <w:t>，根据建设单位提供资料，本项目补充新鲜水量为2329.408t/a。</w:t>
            </w:r>
          </w:p>
          <w:p w14:paraId="19981CCA">
            <w:pPr>
              <w:pStyle w:val="25"/>
              <w:keepNext w:val="0"/>
              <w:keepLines w:val="0"/>
              <w:suppressLineNumbers w:val="0"/>
              <w:spacing w:before="0" w:beforeAutospacing="0" w:after="0" w:afterAutospacing="0" w:line="360" w:lineRule="auto"/>
              <w:ind w:left="0" w:leftChars="0" w:right="0" w:firstLine="0" w:firstLineChars="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cs="Times New Roman"/>
                <w:b/>
                <w:bCs w:val="0"/>
                <w:color w:val="auto"/>
                <w:sz w:val="24"/>
                <w:szCs w:val="24"/>
                <w:lang w:val="en-US" w:eastAsia="zh-CN"/>
              </w:rPr>
              <w:t>5</w:t>
            </w:r>
            <w:r>
              <w:rPr>
                <w:rFonts w:hint="default" w:ascii="Times New Roman" w:hAnsi="Times New Roman" w:eastAsia="宋体" w:cs="Times New Roman"/>
                <w:b/>
                <w:bCs w:val="0"/>
                <w:color w:val="auto"/>
                <w:sz w:val="24"/>
                <w:szCs w:val="24"/>
                <w:lang w:val="en-US" w:eastAsia="zh-CN"/>
              </w:rPr>
              <w:t>.2.2排水</w:t>
            </w:r>
          </w:p>
          <w:p w14:paraId="5A9334B9">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cs="Times New Roman"/>
                <w:bCs/>
                <w:color w:val="000000" w:themeColor="text1"/>
                <w:sz w:val="24"/>
                <w:szCs w:val="24"/>
                <w:lang w:val="en-US" w:eastAsia="zh-CN"/>
                <w14:textFill>
                  <w14:solidFill>
                    <w14:schemeClr w14:val="tx1"/>
                  </w14:solidFill>
                </w14:textFill>
              </w:rPr>
              <w:t>①锅炉排污水</w:t>
            </w:r>
          </w:p>
          <w:p w14:paraId="59392DEE">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根据《</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排放源统计调查产排污核算方法和系数手册</w:t>
            </w:r>
            <w:r>
              <w:rPr>
                <w:rFonts w:hint="eastAsia" w:cs="Times New Roman"/>
                <w:bCs/>
                <w:color w:val="000000" w:themeColor="text1"/>
                <w:szCs w:val="21"/>
                <w:lang w:val="en-US" w:eastAsia="zh-CN"/>
                <w14:textFill>
                  <w14:solidFill>
                    <w14:schemeClr w14:val="tx1"/>
                  </w14:solidFill>
                </w14:textFill>
              </w:rPr>
              <w:t>》</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生态环境部公告 2021年第24号，</w:t>
            </w:r>
            <w:r>
              <w:rPr>
                <w:rFonts w:hint="eastAsia" w:cs="Times New Roman"/>
                <w:bCs/>
                <w:color w:val="000000" w:themeColor="text1"/>
                <w:sz w:val="24"/>
                <w:szCs w:val="24"/>
                <w:lang w:val="en-US" w:eastAsia="zh-CN"/>
                <w14:textFill>
                  <w14:solidFill>
                    <w14:schemeClr w14:val="tx1"/>
                  </w14:solidFill>
                </w14:textFill>
              </w:rPr>
              <w:t>2021年6月9日</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可知，锅炉废水排放系数为13.56吨/万立方米原料（锅炉排污水＋软化处理废水），本项目天然气年使用总量为</w:t>
            </w:r>
            <w:r>
              <w:rPr>
                <w:rFonts w:hint="eastAsia" w:cs="Times New Roman"/>
                <w:bCs/>
                <w:color w:val="000000" w:themeColor="text1"/>
                <w:sz w:val="24"/>
                <w:szCs w:val="24"/>
                <w:lang w:val="en-US" w:eastAsia="zh-CN"/>
                <w14:textFill>
                  <w14:solidFill>
                    <w14:schemeClr w14:val="tx1"/>
                  </w14:solidFill>
                </w14:textFill>
              </w:rPr>
              <w:t>76.8</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万</w:t>
            </w:r>
            <w:r>
              <w:rPr>
                <w:rFonts w:hint="eastAsia" w:cs="Times New Roman"/>
                <w:bCs/>
                <w:color w:val="000000" w:themeColor="text1"/>
                <w:sz w:val="24"/>
                <w:szCs w:val="24"/>
                <w:lang w:val="en-US" w:eastAsia="zh-CN"/>
                <w14:textFill>
                  <w14:solidFill>
                    <w14:schemeClr w14:val="tx1"/>
                  </w14:solidFill>
                </w14:textFill>
              </w:rPr>
              <w:t>m</w:t>
            </w:r>
            <w:r>
              <w:rPr>
                <w:rFonts w:hint="eastAsia" w:cs="Times New Roman"/>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，因此</w:t>
            </w:r>
            <w:r>
              <w:rPr>
                <w:rFonts w:hint="default" w:ascii="宋体" w:hAnsi="宋体" w:eastAsia="宋体" w:cs="宋体"/>
                <w:sz w:val="24"/>
                <w:szCs w:val="24"/>
              </w:rPr>
              <w:t>锅炉排污水</w:t>
            </w:r>
            <w:r>
              <w:rPr>
                <w:rFonts w:hint="eastAsia" w:ascii="宋体" w:hAnsi="宋体" w:eastAsia="宋体" w:cs="宋体"/>
                <w:sz w:val="24"/>
                <w:szCs w:val="24"/>
                <w:lang w:val="en-US" w:eastAsia="zh-CN"/>
              </w:rPr>
              <w:t>和</w:t>
            </w:r>
            <w:r>
              <w:rPr>
                <w:rFonts w:hint="default" w:ascii="宋体" w:hAnsi="宋体" w:eastAsia="宋体" w:cs="宋体"/>
                <w:sz w:val="24"/>
                <w:szCs w:val="24"/>
              </w:rPr>
              <w:t>软化处理废水</w:t>
            </w:r>
            <w:r>
              <w:rPr>
                <w:rFonts w:hint="eastAsia" w:ascii="宋体" w:hAnsi="宋体" w:eastAsia="宋体" w:cs="宋体"/>
                <w:sz w:val="24"/>
                <w:szCs w:val="24"/>
                <w:lang w:val="en-US" w:eastAsia="zh-CN"/>
              </w:rPr>
              <w:t>排放</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量为</w:t>
            </w:r>
            <w:r>
              <w:rPr>
                <w:rFonts w:hint="eastAsia" w:cs="Times New Roman"/>
                <w:bCs/>
                <w:color w:val="000000" w:themeColor="text1"/>
                <w:sz w:val="24"/>
                <w:szCs w:val="24"/>
                <w:lang w:val="en-US" w:eastAsia="zh-CN"/>
                <w14:textFill>
                  <w14:solidFill>
                    <w14:schemeClr w14:val="tx1"/>
                  </w14:solidFill>
                </w14:textFill>
              </w:rPr>
              <w:t>1081.408t，经循环水池收集后，全部用于铸管车间涂衬工序。</w:t>
            </w:r>
          </w:p>
          <w:p w14:paraId="4D577FF9">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cs="Times New Roman"/>
                <w:bCs/>
                <w:color w:val="000000" w:themeColor="text1"/>
                <w:sz w:val="24"/>
                <w:szCs w:val="24"/>
                <w:lang w:val="en-US" w:eastAsia="zh-CN"/>
                <w14:textFill>
                  <w14:solidFill>
                    <w14:schemeClr w14:val="tx1"/>
                  </w14:solidFill>
                </w14:textFill>
              </w:rPr>
              <w:t>②冷凝水损耗量</w:t>
            </w:r>
          </w:p>
          <w:p w14:paraId="78B10678">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本项目蒸汽为铸管车间提供热量，本次冷凝水损耗量按照10%损耗计，通过冷凝器冷凝成水，返回至生产，故冷凝回用水量为8640t/a，损耗水量为</w:t>
            </w:r>
            <w:r>
              <w:rPr>
                <w:rFonts w:hint="default" w:ascii="Times New Roman" w:hAnsi="Times New Roman" w:eastAsia="宋体" w:cs="Times New Roman"/>
                <w:bCs/>
                <w:color w:val="auto"/>
                <w:sz w:val="24"/>
                <w:szCs w:val="24"/>
                <w:lang w:val="en-US" w:eastAsia="zh-CN"/>
              </w:rPr>
              <w:t>960</w:t>
            </w:r>
            <w:r>
              <w:rPr>
                <w:rFonts w:hint="eastAsia" w:ascii="Times New Roman" w:hAnsi="Times New Roman" w:eastAsia="宋体" w:cs="Times New Roman"/>
                <w:bCs/>
                <w:color w:val="auto"/>
                <w:sz w:val="24"/>
                <w:szCs w:val="24"/>
                <w:lang w:val="en-US" w:eastAsia="zh-CN"/>
              </w:rPr>
              <w:t>t</w:t>
            </w:r>
            <w:r>
              <w:rPr>
                <w:rFonts w:hint="eastAsia" w:cs="Times New Roman"/>
                <w:bCs/>
                <w:color w:val="000000" w:themeColor="text1"/>
                <w:szCs w:val="21"/>
                <w:lang w:val="en-US" w:eastAsia="zh-CN"/>
                <w14:textFill>
                  <w14:solidFill>
                    <w14:schemeClr w14:val="tx1"/>
                  </w14:solidFill>
                </w14:textFill>
              </w:rPr>
              <w:t>/a。</w:t>
            </w:r>
          </w:p>
          <w:p w14:paraId="7ECEFEEB">
            <w:pPr>
              <w:pStyle w:val="25"/>
              <w:keepNext w:val="0"/>
              <w:keepLines w:val="0"/>
              <w:suppressLineNumbers w:val="0"/>
              <w:spacing w:before="0" w:beforeAutospacing="0" w:after="0" w:afterAutospacing="0" w:line="360" w:lineRule="auto"/>
              <w:ind w:left="0" w:right="0" w:firstLine="480"/>
              <w:jc w:val="both"/>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③</w:t>
            </w:r>
            <w:r>
              <w:rPr>
                <w:rFonts w:hint="default"/>
                <w:color w:val="000000" w:themeColor="text1"/>
                <w:highlight w:val="none"/>
                <w:vertAlign w:val="baseline"/>
                <w:lang w:val="en-US" w:eastAsia="zh-CN"/>
                <w14:textFill>
                  <w14:solidFill>
                    <w14:schemeClr w14:val="tx1"/>
                  </w14:solidFill>
                </w14:textFill>
              </w:rPr>
              <w:t>管道汽水损失</w:t>
            </w:r>
          </w:p>
          <w:p w14:paraId="0962D699">
            <w:pPr>
              <w:pStyle w:val="25"/>
              <w:keepNext w:val="0"/>
              <w:keepLines w:val="0"/>
              <w:suppressLineNumbers w:val="0"/>
              <w:spacing w:before="0" w:beforeAutospacing="0" w:after="0" w:afterAutospacing="0" w:line="360" w:lineRule="auto"/>
              <w:ind w:left="0" w:right="0" w:firstLine="480"/>
              <w:jc w:val="both"/>
              <w:rPr>
                <w:rFonts w:hint="default"/>
                <w:color w:val="000000" w:themeColor="text1"/>
                <w:highlight w:val="none"/>
                <w:vertAlign w:val="baseline"/>
                <w:lang w:val="en-US" w:eastAsia="zh-CN"/>
                <w14:textFill>
                  <w14:solidFill>
                    <w14:schemeClr w14:val="tx1"/>
                  </w14:solidFill>
                </w14:textFill>
              </w:rPr>
            </w:pPr>
            <w:r>
              <w:rPr>
                <w:rFonts w:hint="default"/>
                <w:color w:val="000000" w:themeColor="text1"/>
                <w:highlight w:val="none"/>
                <w:vertAlign w:val="baseline"/>
                <w:lang w:val="en-US" w:eastAsia="zh-CN"/>
                <w14:textFill>
                  <w14:solidFill>
                    <w14:schemeClr w14:val="tx1"/>
                  </w14:solidFill>
                </w14:textFill>
              </w:rPr>
              <w:t>根据类比分析，蒸汽锅炉的汽水损失系数约为0.03，本项目锅炉循环水量为</w:t>
            </w:r>
            <w:r>
              <w:rPr>
                <w:rFonts w:hint="eastAsia"/>
                <w:color w:val="000000" w:themeColor="text1"/>
                <w:highlight w:val="none"/>
                <w:vertAlign w:val="baseline"/>
                <w:lang w:val="en-US" w:eastAsia="zh-CN"/>
                <w14:textFill>
                  <w14:solidFill>
                    <w14:schemeClr w14:val="tx1"/>
                  </w14:solidFill>
                </w14:textFill>
              </w:rPr>
              <w:t>9600</w:t>
            </w:r>
            <w:r>
              <w:rPr>
                <w:rFonts w:hint="default"/>
                <w:color w:val="000000" w:themeColor="text1"/>
                <w:highlight w:val="none"/>
                <w:vertAlign w:val="baseline"/>
                <w:lang w:val="en-US" w:eastAsia="zh-CN"/>
                <w14:textFill>
                  <w14:solidFill>
                    <w14:schemeClr w14:val="tx1"/>
                  </w14:solidFill>
                </w14:textFill>
              </w:rPr>
              <w:t>t</w:t>
            </w:r>
            <w:r>
              <w:rPr>
                <w:rFonts w:hint="eastAsia"/>
                <w:color w:val="000000" w:themeColor="text1"/>
                <w:highlight w:val="none"/>
                <w:vertAlign w:val="baseline"/>
                <w:lang w:val="en-US" w:eastAsia="zh-CN"/>
                <w14:textFill>
                  <w14:solidFill>
                    <w14:schemeClr w14:val="tx1"/>
                  </w14:solidFill>
                </w14:textFill>
              </w:rPr>
              <w:t>/</w:t>
            </w:r>
            <w:r>
              <w:rPr>
                <w:rFonts w:hint="default"/>
                <w:color w:val="000000" w:themeColor="text1"/>
                <w:highlight w:val="none"/>
                <w:vertAlign w:val="baseline"/>
                <w:lang w:val="en-US" w:eastAsia="zh-CN"/>
                <w14:textFill>
                  <w14:solidFill>
                    <w14:schemeClr w14:val="tx1"/>
                  </w14:solidFill>
                </w14:textFill>
              </w:rPr>
              <w:t>a，</w:t>
            </w:r>
            <w:r>
              <w:rPr>
                <w:rFonts w:hint="eastAsia"/>
                <w:color w:val="000000" w:themeColor="text1"/>
                <w:highlight w:val="none"/>
                <w:vertAlign w:val="baseline"/>
                <w:lang w:val="en-US" w:eastAsia="zh-CN"/>
                <w14:textFill>
                  <w14:solidFill>
                    <w14:schemeClr w14:val="tx1"/>
                  </w14:solidFill>
                </w14:textFill>
              </w:rPr>
              <w:t>故管道</w:t>
            </w:r>
            <w:r>
              <w:rPr>
                <w:rFonts w:hint="default"/>
                <w:color w:val="000000" w:themeColor="text1"/>
                <w:highlight w:val="none"/>
                <w:vertAlign w:val="baseline"/>
                <w:lang w:val="en-US" w:eastAsia="zh-CN"/>
                <w14:textFill>
                  <w14:solidFill>
                    <w14:schemeClr w14:val="tx1"/>
                  </w14:solidFill>
                </w14:textFill>
              </w:rPr>
              <w:t>汽水损失量约为</w:t>
            </w:r>
            <w:r>
              <w:rPr>
                <w:rFonts w:hint="eastAsia"/>
                <w:color w:val="000000" w:themeColor="text1"/>
                <w:highlight w:val="none"/>
                <w:vertAlign w:val="baseline"/>
                <w:lang w:val="en-US" w:eastAsia="zh-CN"/>
                <w14:textFill>
                  <w14:solidFill>
                    <w14:schemeClr w14:val="tx1"/>
                  </w14:solidFill>
                </w14:textFill>
              </w:rPr>
              <w:t>288</w:t>
            </w:r>
            <w:r>
              <w:rPr>
                <w:rFonts w:hint="default"/>
                <w:color w:val="000000" w:themeColor="text1"/>
                <w:highlight w:val="none"/>
                <w:vertAlign w:val="baseline"/>
                <w:lang w:val="en-US" w:eastAsia="zh-CN"/>
                <w14:textFill>
                  <w14:solidFill>
                    <w14:schemeClr w14:val="tx1"/>
                  </w14:solidFill>
                </w14:textFill>
              </w:rPr>
              <w:t>t</w:t>
            </w:r>
            <w:r>
              <w:rPr>
                <w:rFonts w:hint="eastAsia"/>
                <w:color w:val="000000" w:themeColor="text1"/>
                <w:highlight w:val="none"/>
                <w:vertAlign w:val="baseline"/>
                <w:lang w:val="en-US" w:eastAsia="zh-CN"/>
                <w14:textFill>
                  <w14:solidFill>
                    <w14:schemeClr w14:val="tx1"/>
                  </w14:solidFill>
                </w14:textFill>
              </w:rPr>
              <w:t>/</w:t>
            </w:r>
            <w:r>
              <w:rPr>
                <w:rFonts w:hint="default"/>
                <w:color w:val="000000" w:themeColor="text1"/>
                <w:highlight w:val="none"/>
                <w:vertAlign w:val="baseline"/>
                <w:lang w:val="en-US" w:eastAsia="zh-CN"/>
                <w14:textFill>
                  <w14:solidFill>
                    <w14:schemeClr w14:val="tx1"/>
                  </w14:solidFill>
                </w14:textFill>
              </w:rPr>
              <w:t>a</w:t>
            </w:r>
            <w:r>
              <w:rPr>
                <w:rFonts w:hint="eastAsia"/>
                <w:color w:val="000000" w:themeColor="text1"/>
                <w:highlight w:val="none"/>
                <w:vertAlign w:val="baseline"/>
                <w:lang w:val="en-US" w:eastAsia="zh-CN"/>
                <w14:textFill>
                  <w14:solidFill>
                    <w14:schemeClr w14:val="tx1"/>
                  </w14:solidFill>
                </w14:textFill>
              </w:rPr>
              <w:t>。</w:t>
            </w:r>
          </w:p>
          <w:p w14:paraId="2C3A8268">
            <w:pPr>
              <w:pStyle w:val="25"/>
              <w:keepNext w:val="0"/>
              <w:keepLines w:val="0"/>
              <w:suppressLineNumbers w:val="0"/>
              <w:spacing w:before="0" w:beforeAutospacing="0" w:after="0" w:afterAutospacing="0" w:line="360" w:lineRule="auto"/>
              <w:ind w:left="0" w:right="0" w:firstLine="480"/>
              <w:jc w:val="both"/>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④软水制备废水</w:t>
            </w:r>
          </w:p>
          <w:p w14:paraId="56A8E7CB">
            <w:pPr>
              <w:pStyle w:val="25"/>
              <w:keepNext w:val="0"/>
              <w:keepLines w:val="0"/>
              <w:suppressLineNumbers w:val="0"/>
              <w:spacing w:before="0" w:beforeAutospacing="0" w:after="0" w:afterAutospacing="0" w:line="360" w:lineRule="auto"/>
              <w:ind w:left="0" w:right="0" w:firstLine="480"/>
              <w:jc w:val="both"/>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本燃气锅炉</w:t>
            </w:r>
            <w:r>
              <w:rPr>
                <w:rFonts w:hint="eastAsia"/>
                <w:color w:val="000000" w:themeColor="text1"/>
                <w:highlight w:val="none"/>
                <w:vertAlign w:val="baseline"/>
                <w:lang w:val="en-US" w:eastAsia="zh-CN"/>
                <w14:textFill>
                  <w14:solidFill>
                    <w14:schemeClr w14:val="tx1"/>
                  </w14:solidFill>
                </w14:textFill>
              </w:rPr>
              <w:t>软水制取采用离子交换树脂法，实际出效率约为85%，则新鲜水用水量为2329.408t，故本项目燃气锅炉产生的软水制备废水约为349.4t。</w:t>
            </w:r>
          </w:p>
          <w:p w14:paraId="4C955B06">
            <w:pPr>
              <w:pStyle w:val="25"/>
              <w:keepNext w:val="0"/>
              <w:keepLines w:val="0"/>
              <w:suppressLineNumbers w:val="0"/>
              <w:spacing w:before="0" w:beforeAutospacing="0" w:after="0" w:afterAutospacing="0" w:line="360" w:lineRule="auto"/>
              <w:ind w:left="0" w:right="0" w:firstLine="48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本项目水平衡见表2</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cs="Times New Roman"/>
                <w:bCs/>
                <w:color w:val="000000" w:themeColor="text1"/>
                <w:sz w:val="24"/>
                <w:szCs w:val="24"/>
                <w:lang w:val="en-US" w:eastAsia="zh-CN"/>
                <w14:textFill>
                  <w14:solidFill>
                    <w14:schemeClr w14:val="tx1"/>
                  </w14:solidFill>
                </w14:textFill>
              </w:rPr>
              <w:t>9</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p>
          <w:p w14:paraId="524AAA0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表2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本项目水平衡分析表（单位</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/a</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bl>
            <w:tblPr>
              <w:tblStyle w:val="29"/>
              <w:tblW w:w="4996"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63"/>
              <w:gridCol w:w="1228"/>
              <w:gridCol w:w="842"/>
              <w:gridCol w:w="984"/>
              <w:gridCol w:w="1165"/>
              <w:gridCol w:w="2096"/>
            </w:tblGrid>
            <w:tr w14:paraId="623139A8">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3" w:type="pct"/>
                  <w:vMerge w:val="restart"/>
                  <w:tcBorders>
                    <w:top w:val="single" w:color="auto" w:sz="12" w:space="0"/>
                    <w:left w:val="nil"/>
                    <w:bottom w:val="single" w:color="auto" w:sz="4" w:space="0"/>
                    <w:right w:val="single" w:color="auto" w:sz="4" w:space="0"/>
                  </w:tcBorders>
                  <w:shd w:val="clear" w:color="auto" w:fill="auto"/>
                  <w:vAlign w:val="center"/>
                </w:tcPr>
                <w:p w14:paraId="0AD04596">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用水项目</w:t>
                  </w:r>
                </w:p>
              </w:tc>
              <w:tc>
                <w:tcPr>
                  <w:tcW w:w="1365" w:type="pct"/>
                  <w:gridSpan w:val="2"/>
                  <w:tcBorders>
                    <w:top w:val="single" w:color="auto" w:sz="12" w:space="0"/>
                    <w:left w:val="single" w:color="auto" w:sz="4" w:space="0"/>
                    <w:bottom w:val="single" w:color="auto" w:sz="4" w:space="0"/>
                    <w:right w:val="single" w:color="auto" w:sz="4" w:space="0"/>
                  </w:tcBorders>
                  <w:shd w:val="clear" w:color="auto" w:fill="auto"/>
                  <w:vAlign w:val="center"/>
                </w:tcPr>
                <w:p w14:paraId="1DCDC6DA">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进水</w:t>
                  </w:r>
                </w:p>
              </w:tc>
              <w:tc>
                <w:tcPr>
                  <w:tcW w:w="1417" w:type="pct"/>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336AC6D">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排水</w:t>
                  </w:r>
                </w:p>
              </w:tc>
              <w:tc>
                <w:tcPr>
                  <w:tcW w:w="1382" w:type="pct"/>
                  <w:vMerge w:val="restart"/>
                  <w:tcBorders>
                    <w:top w:val="single" w:color="auto" w:sz="12" w:space="0"/>
                    <w:left w:val="single" w:color="auto" w:sz="4" w:space="0"/>
                    <w:bottom w:val="single" w:color="auto" w:sz="4" w:space="0"/>
                    <w:right w:val="nil"/>
                  </w:tcBorders>
                  <w:shd w:val="clear" w:color="auto" w:fill="auto"/>
                  <w:vAlign w:val="center"/>
                </w:tcPr>
                <w:p w14:paraId="5A0D38DE">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排放去向</w:t>
                  </w:r>
                </w:p>
              </w:tc>
            </w:tr>
            <w:tr w14:paraId="0959367B">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3" w:type="pct"/>
                  <w:vMerge w:val="continue"/>
                  <w:tcBorders>
                    <w:top w:val="single" w:color="auto" w:sz="12" w:space="0"/>
                    <w:left w:val="nil"/>
                    <w:bottom w:val="single" w:color="auto" w:sz="4" w:space="0"/>
                    <w:right w:val="single" w:color="auto" w:sz="4" w:space="0"/>
                  </w:tcBorders>
                  <w:shd w:val="clear" w:color="auto" w:fill="auto"/>
                  <w:vAlign w:val="center"/>
                </w:tcPr>
                <w:p w14:paraId="4D46EFAD">
                  <w:pPr>
                    <w:keepNext w:val="0"/>
                    <w:keepLines w:val="0"/>
                    <w:suppressLineNumbers w:val="0"/>
                    <w:spacing w:before="0" w:beforeAutospacing="0" w:after="0" w:afterAutospacing="0"/>
                    <w:ind w:left="0" w:right="0"/>
                    <w:rPr>
                      <w:rFonts w:hint="default" w:ascii="Times New Roman" w:hAnsi="Times New Roman" w:cs="Times New Roman"/>
                      <w:b/>
                      <w:bCs/>
                      <w:sz w:val="20"/>
                      <w:szCs w:val="20"/>
                    </w:rPr>
                  </w:pPr>
                </w:p>
              </w:tc>
              <w:tc>
                <w:tcPr>
                  <w:tcW w:w="810" w:type="pct"/>
                  <w:tcBorders>
                    <w:top w:val="single" w:color="auto" w:sz="4" w:space="0"/>
                    <w:left w:val="single" w:color="auto" w:sz="4" w:space="0"/>
                    <w:bottom w:val="single" w:color="auto" w:sz="12" w:space="0"/>
                    <w:right w:val="single" w:color="auto" w:sz="4" w:space="0"/>
                  </w:tcBorders>
                  <w:shd w:val="clear" w:color="auto" w:fill="auto"/>
                  <w:vAlign w:val="center"/>
                </w:tcPr>
                <w:p w14:paraId="6DEE66D0">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新鲜水</w:t>
                  </w:r>
                </w:p>
              </w:tc>
              <w:tc>
                <w:tcPr>
                  <w:tcW w:w="554" w:type="pct"/>
                  <w:tcBorders>
                    <w:top w:val="single" w:color="auto" w:sz="4" w:space="0"/>
                    <w:left w:val="single" w:color="auto" w:sz="4" w:space="0"/>
                    <w:bottom w:val="single" w:color="auto" w:sz="12" w:space="0"/>
                    <w:right w:val="single" w:color="auto" w:sz="4" w:space="0"/>
                  </w:tcBorders>
                  <w:shd w:val="clear" w:color="auto" w:fill="auto"/>
                  <w:vAlign w:val="center"/>
                </w:tcPr>
                <w:p w14:paraId="0F815142">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循环水</w:t>
                  </w:r>
                </w:p>
              </w:tc>
              <w:tc>
                <w:tcPr>
                  <w:tcW w:w="649" w:type="pct"/>
                  <w:tcBorders>
                    <w:top w:val="single" w:color="auto" w:sz="4" w:space="0"/>
                    <w:left w:val="single" w:color="auto" w:sz="4" w:space="0"/>
                    <w:bottom w:val="single" w:color="auto" w:sz="12" w:space="0"/>
                    <w:right w:val="single" w:color="auto" w:sz="4" w:space="0"/>
                  </w:tcBorders>
                  <w:shd w:val="clear" w:color="auto" w:fill="auto"/>
                  <w:vAlign w:val="center"/>
                </w:tcPr>
                <w:p w14:paraId="10B82BA5">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损耗水量</w:t>
                  </w:r>
                </w:p>
              </w:tc>
              <w:tc>
                <w:tcPr>
                  <w:tcW w:w="768" w:type="pct"/>
                  <w:tcBorders>
                    <w:top w:val="single" w:color="auto" w:sz="4" w:space="0"/>
                    <w:left w:val="single" w:color="auto" w:sz="4" w:space="0"/>
                    <w:bottom w:val="single" w:color="auto" w:sz="12" w:space="0"/>
                    <w:right w:val="single" w:color="auto" w:sz="4" w:space="0"/>
                  </w:tcBorders>
                  <w:shd w:val="clear" w:color="auto" w:fill="auto"/>
                  <w:vAlign w:val="center"/>
                </w:tcPr>
                <w:p w14:paraId="4970F249">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排水量</w:t>
                  </w:r>
                </w:p>
              </w:tc>
              <w:tc>
                <w:tcPr>
                  <w:tcW w:w="1382" w:type="pct"/>
                  <w:vMerge w:val="continue"/>
                  <w:tcBorders>
                    <w:top w:val="single" w:color="auto" w:sz="12" w:space="0"/>
                    <w:left w:val="single" w:color="auto" w:sz="4" w:space="0"/>
                    <w:bottom w:val="single" w:color="auto" w:sz="4" w:space="0"/>
                    <w:right w:val="nil"/>
                  </w:tcBorders>
                  <w:shd w:val="clear" w:color="auto" w:fill="auto"/>
                  <w:vAlign w:val="center"/>
                </w:tcPr>
                <w:p w14:paraId="7A3A0F3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16EF2BB2">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33" w:type="pct"/>
                  <w:tcBorders>
                    <w:top w:val="single" w:color="auto" w:sz="12" w:space="0"/>
                    <w:left w:val="nil"/>
                    <w:bottom w:val="single" w:color="auto" w:sz="4" w:space="0"/>
                    <w:right w:val="single" w:color="auto" w:sz="4" w:space="0"/>
                  </w:tcBorders>
                  <w:shd w:val="clear" w:color="auto" w:fill="auto"/>
                  <w:vAlign w:val="center"/>
                </w:tcPr>
                <w:p w14:paraId="1646D58A">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锅炉用水</w:t>
                  </w:r>
                </w:p>
              </w:tc>
              <w:tc>
                <w:tcPr>
                  <w:tcW w:w="810" w:type="pct"/>
                  <w:tcBorders>
                    <w:top w:val="single" w:color="auto" w:sz="12" w:space="0"/>
                    <w:left w:val="single" w:color="auto" w:sz="4" w:space="0"/>
                    <w:bottom w:val="single" w:color="auto" w:sz="4" w:space="0"/>
                    <w:right w:val="single" w:color="auto" w:sz="4" w:space="0"/>
                  </w:tcBorders>
                  <w:shd w:val="clear" w:color="auto" w:fill="auto"/>
                  <w:vAlign w:val="center"/>
                </w:tcPr>
                <w:p w14:paraId="16E0647C">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rPr>
                  </w:pPr>
                  <w:r>
                    <w:rPr>
                      <w:rFonts w:hint="default" w:ascii="Times New Roman" w:hAnsi="Times New Roman" w:eastAsia="宋体" w:cs="Times New Roman"/>
                      <w:b w:val="0"/>
                      <w:bCs/>
                      <w:color w:val="000000"/>
                      <w:kern w:val="0"/>
                      <w:sz w:val="21"/>
                      <w:szCs w:val="21"/>
                      <w:lang w:val="en-US"/>
                    </w:rPr>
                    <w:t>2329.408</w:t>
                  </w:r>
                </w:p>
              </w:tc>
              <w:tc>
                <w:tcPr>
                  <w:tcW w:w="554" w:type="pct"/>
                  <w:tcBorders>
                    <w:top w:val="single" w:color="auto" w:sz="12" w:space="0"/>
                    <w:left w:val="single" w:color="auto" w:sz="4" w:space="0"/>
                    <w:bottom w:val="single" w:color="auto" w:sz="4" w:space="0"/>
                    <w:right w:val="single" w:color="auto" w:sz="4" w:space="0"/>
                  </w:tcBorders>
                  <w:shd w:val="clear" w:color="auto" w:fill="auto"/>
                  <w:vAlign w:val="center"/>
                </w:tcPr>
                <w:p w14:paraId="03A8D539">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rPr>
                  </w:pPr>
                  <w:r>
                    <w:rPr>
                      <w:rFonts w:hint="eastAsia" w:ascii="Times New Roman" w:hAnsi="Times New Roman" w:cs="Times New Roman"/>
                      <w:b w:val="0"/>
                      <w:bCs/>
                      <w:color w:val="000000"/>
                      <w:kern w:val="0"/>
                      <w:sz w:val="21"/>
                      <w:szCs w:val="21"/>
                      <w:lang w:val="en-US" w:eastAsia="zh-CN" w:bidi="ar"/>
                    </w:rPr>
                    <w:t>8640</w:t>
                  </w:r>
                </w:p>
              </w:tc>
              <w:tc>
                <w:tcPr>
                  <w:tcW w:w="649" w:type="pct"/>
                  <w:tcBorders>
                    <w:top w:val="single" w:color="auto" w:sz="12" w:space="0"/>
                    <w:left w:val="single" w:color="auto" w:sz="4" w:space="0"/>
                    <w:bottom w:val="single" w:color="auto" w:sz="4" w:space="0"/>
                    <w:right w:val="single" w:color="auto" w:sz="4" w:space="0"/>
                  </w:tcBorders>
                  <w:shd w:val="clear" w:color="auto" w:fill="auto"/>
                  <w:vAlign w:val="center"/>
                </w:tcPr>
                <w:p w14:paraId="4741ECB5">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ascii="Times New Roman" w:hAnsi="Times New Roman" w:eastAsia="宋体" w:cs="Times New Roman"/>
                      <w:b w:val="0"/>
                      <w:bCs/>
                      <w:color w:val="000000"/>
                      <w:kern w:val="0"/>
                      <w:sz w:val="21"/>
                      <w:szCs w:val="21"/>
                      <w:lang w:val="en-US" w:eastAsia="zh-CN"/>
                    </w:rPr>
                    <w:t>12</w:t>
                  </w:r>
                  <w:r>
                    <w:rPr>
                      <w:rFonts w:hint="eastAsia" w:ascii="Times New Roman" w:hAnsi="Times New Roman" w:cs="Times New Roman"/>
                      <w:b w:val="0"/>
                      <w:bCs/>
                      <w:color w:val="000000"/>
                      <w:kern w:val="0"/>
                      <w:sz w:val="21"/>
                      <w:szCs w:val="21"/>
                      <w:lang w:val="en-US" w:eastAsia="zh-CN"/>
                    </w:rPr>
                    <w:t>4</w:t>
                  </w:r>
                  <w:r>
                    <w:rPr>
                      <w:rFonts w:hint="eastAsia" w:ascii="Times New Roman" w:hAnsi="Times New Roman" w:eastAsia="宋体" w:cs="Times New Roman"/>
                      <w:b w:val="0"/>
                      <w:bCs/>
                      <w:color w:val="000000"/>
                      <w:kern w:val="0"/>
                      <w:sz w:val="21"/>
                      <w:szCs w:val="21"/>
                      <w:lang w:val="en-US" w:eastAsia="zh-CN"/>
                    </w:rPr>
                    <w:t>8</w:t>
                  </w:r>
                </w:p>
              </w:tc>
              <w:tc>
                <w:tcPr>
                  <w:tcW w:w="768" w:type="pct"/>
                  <w:tcBorders>
                    <w:top w:val="single" w:color="auto" w:sz="12" w:space="0"/>
                    <w:left w:val="single" w:color="auto" w:sz="4" w:space="0"/>
                    <w:bottom w:val="single" w:color="auto" w:sz="4" w:space="0"/>
                    <w:right w:val="single" w:color="auto" w:sz="4" w:space="0"/>
                  </w:tcBorders>
                  <w:shd w:val="clear" w:color="auto" w:fill="auto"/>
                  <w:vAlign w:val="center"/>
                </w:tcPr>
                <w:p w14:paraId="2C0E13CF">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rPr>
                  </w:pPr>
                  <w:r>
                    <w:rPr>
                      <w:rFonts w:hint="eastAsia" w:ascii="Times New Roman" w:hAnsi="Times New Roman" w:eastAsia="宋体" w:cs="Times New Roman"/>
                      <w:b w:val="0"/>
                      <w:bCs/>
                      <w:color w:val="000000"/>
                      <w:kern w:val="0"/>
                      <w:sz w:val="21"/>
                      <w:szCs w:val="21"/>
                      <w:lang w:val="en-US" w:eastAsia="zh-CN" w:bidi="ar"/>
                    </w:rPr>
                    <w:t>10</w:t>
                  </w:r>
                  <w:r>
                    <w:rPr>
                      <w:rFonts w:hint="eastAsia" w:ascii="Times New Roman" w:hAnsi="Times New Roman" w:cs="Times New Roman"/>
                      <w:b w:val="0"/>
                      <w:bCs/>
                      <w:color w:val="000000"/>
                      <w:kern w:val="0"/>
                      <w:sz w:val="21"/>
                      <w:szCs w:val="21"/>
                      <w:lang w:val="en-US" w:eastAsia="zh-CN" w:bidi="ar"/>
                    </w:rPr>
                    <w:t>8</w:t>
                  </w:r>
                  <w:r>
                    <w:rPr>
                      <w:rFonts w:hint="eastAsia" w:ascii="Times New Roman" w:hAnsi="Times New Roman" w:eastAsia="宋体" w:cs="Times New Roman"/>
                      <w:b w:val="0"/>
                      <w:bCs/>
                      <w:color w:val="000000"/>
                      <w:kern w:val="0"/>
                      <w:sz w:val="21"/>
                      <w:szCs w:val="21"/>
                      <w:lang w:val="en-US" w:eastAsia="zh-CN" w:bidi="ar"/>
                    </w:rPr>
                    <w:t>1.408</w:t>
                  </w:r>
                </w:p>
              </w:tc>
              <w:tc>
                <w:tcPr>
                  <w:tcW w:w="1382" w:type="pct"/>
                  <w:tcBorders>
                    <w:top w:val="single" w:color="auto" w:sz="12" w:space="0"/>
                    <w:left w:val="single" w:color="auto" w:sz="4" w:space="0"/>
                    <w:bottom w:val="single" w:color="auto" w:sz="4" w:space="0"/>
                    <w:right w:val="nil"/>
                  </w:tcBorders>
                  <w:shd w:val="clear" w:color="auto" w:fill="auto"/>
                  <w:vAlign w:val="center"/>
                </w:tcPr>
                <w:p w14:paraId="69D3E019">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rPr>
                    <w:t>经循环水池收集后，全部用于铸管车间涂衬工序</w:t>
                  </w:r>
                </w:p>
              </w:tc>
            </w:tr>
            <w:tr w14:paraId="3449573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3" w:type="pct"/>
                  <w:tcBorders>
                    <w:top w:val="single" w:color="auto" w:sz="4" w:space="0"/>
                    <w:left w:val="nil"/>
                    <w:bottom w:val="single" w:color="auto" w:sz="12" w:space="0"/>
                    <w:right w:val="single" w:color="auto" w:sz="4" w:space="0"/>
                  </w:tcBorders>
                  <w:shd w:val="clear" w:color="auto" w:fill="auto"/>
                  <w:vAlign w:val="center"/>
                </w:tcPr>
                <w:p w14:paraId="6C1EC611">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合计</w:t>
                  </w:r>
                </w:p>
              </w:tc>
              <w:tc>
                <w:tcPr>
                  <w:tcW w:w="1229" w:type="dxa"/>
                  <w:tcBorders>
                    <w:top w:val="single" w:color="auto" w:sz="4" w:space="0"/>
                    <w:left w:val="single" w:color="auto" w:sz="4" w:space="0"/>
                    <w:bottom w:val="single" w:color="auto" w:sz="12" w:space="0"/>
                    <w:right w:val="single" w:color="auto" w:sz="4" w:space="0"/>
                  </w:tcBorders>
                  <w:shd w:val="clear" w:color="auto" w:fill="auto"/>
                  <w:vAlign w:val="center"/>
                </w:tcPr>
                <w:p w14:paraId="17775BE5">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rPr>
                    <w:t>2329.408</w:t>
                  </w:r>
                </w:p>
              </w:tc>
              <w:tc>
                <w:tcPr>
                  <w:tcW w:w="841" w:type="dxa"/>
                  <w:tcBorders>
                    <w:top w:val="single" w:color="auto" w:sz="4" w:space="0"/>
                    <w:left w:val="single" w:color="auto" w:sz="4" w:space="0"/>
                    <w:bottom w:val="single" w:color="auto" w:sz="12" w:space="0"/>
                    <w:right w:val="single" w:color="auto" w:sz="4" w:space="0"/>
                  </w:tcBorders>
                  <w:shd w:val="clear" w:color="auto" w:fill="auto"/>
                  <w:vAlign w:val="center"/>
                </w:tcPr>
                <w:p w14:paraId="2A8FBE27">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rPr>
                  </w:pPr>
                  <w:r>
                    <w:rPr>
                      <w:rFonts w:hint="eastAsia" w:ascii="Times New Roman" w:hAnsi="Times New Roman" w:cs="Times New Roman"/>
                      <w:b w:val="0"/>
                      <w:bCs/>
                      <w:color w:val="000000"/>
                      <w:kern w:val="0"/>
                      <w:sz w:val="21"/>
                      <w:szCs w:val="21"/>
                      <w:lang w:val="en-US" w:eastAsia="zh-CN" w:bidi="ar"/>
                    </w:rPr>
                    <w:t>8640</w:t>
                  </w:r>
                </w:p>
              </w:tc>
              <w:tc>
                <w:tcPr>
                  <w:tcW w:w="649" w:type="pct"/>
                  <w:tcBorders>
                    <w:top w:val="single" w:color="auto" w:sz="4" w:space="0"/>
                    <w:left w:val="single" w:color="auto" w:sz="4" w:space="0"/>
                    <w:bottom w:val="single" w:color="auto" w:sz="12" w:space="0"/>
                    <w:right w:val="single" w:color="auto" w:sz="4" w:space="0"/>
                  </w:tcBorders>
                  <w:shd w:val="clear" w:color="auto" w:fill="auto"/>
                  <w:vAlign w:val="center"/>
                </w:tcPr>
                <w:p w14:paraId="0C2CF46F">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Times New Roman" w:hAnsi="Times New Roman" w:eastAsia="宋体" w:cs="Times New Roman"/>
                      <w:b w:val="0"/>
                      <w:bCs/>
                      <w:color w:val="000000"/>
                      <w:kern w:val="0"/>
                      <w:sz w:val="21"/>
                      <w:szCs w:val="21"/>
                      <w:lang w:val="en-US" w:eastAsia="zh-CN"/>
                    </w:rPr>
                    <w:t>12</w:t>
                  </w:r>
                  <w:r>
                    <w:rPr>
                      <w:rFonts w:hint="eastAsia" w:ascii="Times New Roman" w:hAnsi="Times New Roman" w:cs="Times New Roman"/>
                      <w:b w:val="0"/>
                      <w:bCs/>
                      <w:color w:val="000000"/>
                      <w:kern w:val="0"/>
                      <w:sz w:val="21"/>
                      <w:szCs w:val="21"/>
                      <w:lang w:val="en-US" w:eastAsia="zh-CN"/>
                    </w:rPr>
                    <w:t>4</w:t>
                  </w:r>
                  <w:r>
                    <w:rPr>
                      <w:rFonts w:hint="eastAsia" w:ascii="Times New Roman" w:hAnsi="Times New Roman" w:eastAsia="宋体" w:cs="Times New Roman"/>
                      <w:b w:val="0"/>
                      <w:bCs/>
                      <w:color w:val="000000"/>
                      <w:kern w:val="0"/>
                      <w:sz w:val="21"/>
                      <w:szCs w:val="21"/>
                      <w:lang w:val="en-US" w:eastAsia="zh-CN"/>
                    </w:rPr>
                    <w:t>8</w:t>
                  </w:r>
                </w:p>
              </w:tc>
              <w:tc>
                <w:tcPr>
                  <w:tcW w:w="768" w:type="pct"/>
                  <w:tcBorders>
                    <w:top w:val="single" w:color="auto" w:sz="4" w:space="0"/>
                    <w:left w:val="single" w:color="auto" w:sz="4" w:space="0"/>
                    <w:bottom w:val="single" w:color="auto" w:sz="12" w:space="0"/>
                    <w:right w:val="single" w:color="auto" w:sz="4" w:space="0"/>
                  </w:tcBorders>
                  <w:shd w:val="clear" w:color="auto" w:fill="auto"/>
                  <w:vAlign w:val="center"/>
                </w:tcPr>
                <w:p w14:paraId="74348BA3">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Times New Roman" w:hAnsi="Times New Roman" w:eastAsia="宋体" w:cs="Times New Roman"/>
                      <w:b w:val="0"/>
                      <w:bCs/>
                      <w:color w:val="000000"/>
                      <w:kern w:val="0"/>
                      <w:sz w:val="21"/>
                      <w:szCs w:val="21"/>
                      <w:lang w:val="en-US" w:eastAsia="zh-CN" w:bidi="ar"/>
                    </w:rPr>
                    <w:t>10</w:t>
                  </w:r>
                  <w:r>
                    <w:rPr>
                      <w:rFonts w:hint="eastAsia" w:ascii="Times New Roman" w:hAnsi="Times New Roman" w:cs="Times New Roman"/>
                      <w:b w:val="0"/>
                      <w:bCs/>
                      <w:color w:val="000000"/>
                      <w:kern w:val="0"/>
                      <w:sz w:val="21"/>
                      <w:szCs w:val="21"/>
                      <w:lang w:val="en-US" w:eastAsia="zh-CN" w:bidi="ar"/>
                    </w:rPr>
                    <w:t>8</w:t>
                  </w:r>
                  <w:r>
                    <w:rPr>
                      <w:rFonts w:hint="eastAsia" w:ascii="Times New Roman" w:hAnsi="Times New Roman" w:eastAsia="宋体" w:cs="Times New Roman"/>
                      <w:b w:val="0"/>
                      <w:bCs/>
                      <w:color w:val="000000"/>
                      <w:kern w:val="0"/>
                      <w:sz w:val="21"/>
                      <w:szCs w:val="21"/>
                      <w:lang w:val="en-US" w:eastAsia="zh-CN" w:bidi="ar"/>
                    </w:rPr>
                    <w:t>1.408</w:t>
                  </w:r>
                </w:p>
              </w:tc>
              <w:tc>
                <w:tcPr>
                  <w:tcW w:w="1382" w:type="pct"/>
                  <w:tcBorders>
                    <w:top w:val="single" w:color="auto" w:sz="4" w:space="0"/>
                    <w:left w:val="single" w:color="auto" w:sz="4" w:space="0"/>
                    <w:bottom w:val="single" w:color="auto" w:sz="12" w:space="0"/>
                    <w:right w:val="nil"/>
                  </w:tcBorders>
                  <w:shd w:val="clear" w:color="auto" w:fill="auto"/>
                  <w:vAlign w:val="center"/>
                </w:tcPr>
                <w:p w14:paraId="0F4BBE8B">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bidi="ar"/>
                    </w:rPr>
                    <w:t>--</w:t>
                  </w:r>
                </w:p>
              </w:tc>
            </w:tr>
          </w:tbl>
          <w:p w14:paraId="2480484F">
            <w:pPr>
              <w:pStyle w:val="25"/>
              <w:keepNext w:val="0"/>
              <w:keepLines w:val="0"/>
              <w:suppressLineNumbers w:val="0"/>
              <w:spacing w:before="0" w:beforeAutospacing="0" w:after="0" w:afterAutospacing="0" w:line="360" w:lineRule="auto"/>
              <w:ind w:left="0" w:leftChars="0" w:right="0" w:firstLine="480" w:firstLineChars="2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本项目水平衡见下图</w:t>
            </w:r>
            <w:r>
              <w:rPr>
                <w:rFonts w:hint="eastAsia" w:cs="Times New Roman"/>
                <w:b w:val="0"/>
                <w:bCs w:val="0"/>
                <w:color w:val="auto"/>
                <w:sz w:val="24"/>
                <w:szCs w:val="24"/>
                <w:lang w:val="en-US" w:eastAsia="zh-CN"/>
              </w:rPr>
              <w:t>。</w:t>
            </w:r>
            <w:r>
              <w:rPr>
                <w:rFonts w:hint="default" w:ascii="宋体" w:hAnsi="宋体" w:eastAsia="宋体" w:cs="宋体"/>
                <w:sz w:val="24"/>
                <w:szCs w:val="24"/>
              </w:rPr>
              <w:drawing>
                <wp:inline distT="0" distB="0" distL="114300" distR="114300">
                  <wp:extent cx="4809490" cy="1277620"/>
                  <wp:effectExtent l="0" t="0" r="10160" b="17780"/>
                  <wp:docPr id="4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descr="IMG_256"/>
                          <pic:cNvPicPr>
                            <a:picLocks noChangeAspect="1"/>
                          </pic:cNvPicPr>
                        </pic:nvPicPr>
                        <pic:blipFill>
                          <a:blip r:embed="rId13"/>
                          <a:stretch>
                            <a:fillRect/>
                          </a:stretch>
                        </pic:blipFill>
                        <pic:spPr>
                          <a:xfrm>
                            <a:off x="0" y="0"/>
                            <a:ext cx="4809490" cy="1277620"/>
                          </a:xfrm>
                          <a:prstGeom prst="rect">
                            <a:avLst/>
                          </a:prstGeom>
                          <a:noFill/>
                          <a:ln w="9525">
                            <a:noFill/>
                          </a:ln>
                        </pic:spPr>
                      </pic:pic>
                    </a:graphicData>
                  </a:graphic>
                </wp:inline>
              </w:drawing>
            </w:r>
          </w:p>
          <w:p w14:paraId="67FE631A">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图</w:t>
            </w:r>
            <w:r>
              <w:rPr>
                <w:rFonts w:hint="eastAsia" w:cs="Times New Roman"/>
                <w:b/>
                <w:bCs/>
                <w:color w:val="auto"/>
                <w:sz w:val="21"/>
                <w:szCs w:val="21"/>
                <w:lang w:val="en-US" w:eastAsia="zh-CN"/>
              </w:rPr>
              <w:t>2</w:t>
            </w:r>
            <w:r>
              <w:rPr>
                <w:rFonts w:hint="default" w:ascii="Times New Roman" w:hAnsi="Times New Roman" w:eastAsia="宋体" w:cs="Times New Roman"/>
                <w:b/>
                <w:bCs/>
                <w:color w:val="auto"/>
                <w:sz w:val="21"/>
                <w:szCs w:val="21"/>
                <w:lang w:eastAsia="zh-CN"/>
              </w:rPr>
              <w:t>-1</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lang w:eastAsia="zh-CN"/>
              </w:rPr>
              <w:t>项目水平衡图（单位：m</w:t>
            </w:r>
            <w:r>
              <w:rPr>
                <w:rFonts w:hint="eastAsia"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eastAsia="zh-CN"/>
              </w:rPr>
              <w:t>/a）</w:t>
            </w:r>
          </w:p>
          <w:p w14:paraId="29308AF4">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 xml:space="preserve"> 工作制度及劳动定员</w:t>
            </w:r>
          </w:p>
          <w:p w14:paraId="31C45DC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项目运营期不新增劳动定员，由铸管车间现有人员调配，负责锅炉日常巡检、操作</w:t>
            </w:r>
            <w:r>
              <w:rPr>
                <w:rFonts w:hint="eastAsia"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年运行时间为100天（主要集中在</w:t>
            </w:r>
            <w:r>
              <w:rPr>
                <w:rFonts w:hint="eastAsia" w:cs="Times New Roman"/>
                <w:bCs/>
                <w:color w:val="000000" w:themeColor="text1"/>
                <w:sz w:val="24"/>
                <w:szCs w:val="24"/>
                <w:highlight w:val="none"/>
                <w:lang w:val="en-US" w:eastAsia="zh-CN"/>
                <w14:textFill>
                  <w14:solidFill>
                    <w14:schemeClr w14:val="tx1"/>
                  </w14:solidFill>
                </w14:textFill>
              </w:rPr>
              <w:t>冬季11、12月份及来年1月份</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），每天24小时连续运行，合计工作时间2400小时。</w:t>
            </w:r>
          </w:p>
          <w:p w14:paraId="294BEF7F">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6 总平面布置</w:t>
            </w:r>
          </w:p>
          <w:p w14:paraId="416F813A">
            <w:pPr>
              <w:pStyle w:val="25"/>
              <w:keepNext w:val="0"/>
              <w:keepLines w:val="0"/>
              <w:suppressLineNumbers w:val="0"/>
              <w:spacing w:before="0" w:beforeAutospacing="0" w:after="0" w:afterAutospacing="0"/>
              <w:ind w:left="0" w:right="0" w:firstLine="480"/>
              <w:jc w:val="both"/>
              <w:rPr>
                <w:rFonts w:hint="eastAsia"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本项目在新疆维吾尔自治区昌吉回族自治州阜康市新兴铸管能源有限公司铸管车间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内</w:t>
            </w:r>
            <w:r>
              <w:rPr>
                <w:rFonts w:hint="default" w:ascii="Times New Roman" w:hAnsi="Times New Roman" w:eastAsia="宋体" w:cs="Times New Roman"/>
                <w:b w:val="0"/>
                <w:bCs/>
                <w:color w:val="000000" w:themeColor="text1"/>
                <w:lang w:val="en-US" w:eastAsia="zh-CN"/>
                <w14:textFill>
                  <w14:solidFill>
                    <w14:schemeClr w14:val="tx1"/>
                  </w14:solidFill>
                </w14:textFill>
              </w:rPr>
              <w:t>建设，利用新兴铸管能源有限公司</w:t>
            </w:r>
            <w:r>
              <w:rPr>
                <w:rFonts w:hint="default" w:ascii="Times New Roman" w:hAnsi="Times New Roman" w:eastAsia="宋体" w:cs="Times New Roman"/>
                <w:color w:val="000000" w:themeColor="text1"/>
                <w:lang w:val="en-US" w:eastAsia="zh-CN"/>
                <w14:textFill>
                  <w14:solidFill>
                    <w14:schemeClr w14:val="tx1"/>
                  </w14:solidFill>
                </w14:textFill>
              </w:rPr>
              <w:t>现有铸管车间，</w:t>
            </w:r>
            <w:r>
              <w:rPr>
                <w:rFonts w:hint="default" w:ascii="Times New Roman" w:hAnsi="Times New Roman" w:eastAsia="宋体" w:cs="Times New Roman"/>
                <w:b w:val="0"/>
                <w:bCs/>
                <w:color w:val="000000" w:themeColor="text1"/>
                <w:lang w:val="en-US" w:eastAsia="zh-CN"/>
                <w14:textFill>
                  <w14:solidFill>
                    <w14:schemeClr w14:val="tx1"/>
                  </w14:solidFill>
                </w14:textFill>
              </w:rPr>
              <w:t>无新增用地</w:t>
            </w:r>
            <w:r>
              <w:rPr>
                <w:rFonts w:hint="eastAsia" w:cs="Times New Roman"/>
                <w:b w:val="0"/>
                <w:bCs/>
                <w:color w:val="000000" w:themeColor="text1"/>
                <w:lang w:val="en-US" w:eastAsia="zh-CN"/>
                <w14:textFill>
                  <w14:solidFill>
                    <w14:schemeClr w14:val="tx1"/>
                  </w14:solidFill>
                </w14:textFill>
              </w:rPr>
              <w:t>。</w:t>
            </w:r>
          </w:p>
          <w:p w14:paraId="1D96286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本项目</w:t>
            </w:r>
            <w:r>
              <w:rPr>
                <w:rFonts w:hint="default" w:ascii="Times New Roman" w:hAnsi="Times New Roman" w:eastAsia="宋体" w:cs="Times New Roman"/>
                <w:color w:val="000000" w:themeColor="text1"/>
                <w:lang w:val="en-US" w:eastAsia="zh-CN"/>
                <w14:textFill>
                  <w14:solidFill>
                    <w14:schemeClr w14:val="tx1"/>
                  </w14:solidFill>
                </w14:textFill>
              </w:rPr>
              <w:t>新增一台4吨燃气采暖蒸汽锅炉及配套附属设施，用于铸管车间供暖，</w:t>
            </w:r>
            <w:r>
              <w:rPr>
                <w:rFonts w:hint="default" w:ascii="Times New Roman" w:hAnsi="Times New Roman" w:eastAsia="宋体" w:cs="Times New Roman"/>
                <w:bCs/>
                <w:color w:val="000000" w:themeColor="text1"/>
                <w:szCs w:val="21"/>
                <w:lang w:val="en-US" w:eastAsia="zh-CN"/>
                <w14:textFill>
                  <w14:solidFill>
                    <w14:schemeClr w14:val="tx1"/>
                  </w14:solidFill>
                </w14:textFill>
              </w:rPr>
              <w:t>建设位置</w:t>
            </w:r>
            <w:r>
              <w:rPr>
                <w:rFonts w:hint="eastAsia" w:cs="Times New Roman"/>
                <w:bCs/>
                <w:color w:val="000000" w:themeColor="text1"/>
                <w:szCs w:val="21"/>
                <w:lang w:val="en-US" w:eastAsia="zh-CN"/>
                <w14:textFill>
                  <w14:solidFill>
                    <w14:schemeClr w14:val="tx1"/>
                  </w14:solidFill>
                </w14:textFill>
              </w:rPr>
              <w:t>位于</w:t>
            </w:r>
            <w:r>
              <w:rPr>
                <w:rFonts w:hint="default" w:ascii="Times New Roman" w:hAnsi="Times New Roman" w:eastAsia="宋体" w:cs="Times New Roman"/>
                <w:bCs/>
                <w:color w:val="000000" w:themeColor="text1"/>
                <w:szCs w:val="21"/>
                <w:lang w:val="en-US" w:eastAsia="zh-CN"/>
                <w14:textFill>
                  <w14:solidFill>
                    <w14:schemeClr w14:val="tx1"/>
                  </w14:solidFill>
                </w14:textFill>
              </w:rPr>
              <w:t>铸管车间东南角</w:t>
            </w:r>
            <w:r>
              <w:rPr>
                <w:rFonts w:hint="eastAsia" w:ascii="Times New Roman" w:hAnsi="Times New Roman" w:eastAsia="宋体" w:cs="Times New Roman"/>
                <w:bCs/>
                <w:color w:val="000000" w:themeColor="text1"/>
                <w:szCs w:val="21"/>
                <w:lang w:val="en-US" w:eastAsia="zh-CN"/>
                <w14:textFill>
                  <w14:solidFill>
                    <w14:schemeClr w14:val="tx1"/>
                  </w14:solidFill>
                </w14:textFill>
              </w:rPr>
              <w:t>，</w:t>
            </w:r>
            <w:r>
              <w:rPr>
                <w:rFonts w:hint="default" w:ascii="Times New Roman" w:hAnsi="Times New Roman" w:eastAsia="宋体" w:cs="Times New Roman"/>
                <w:bCs/>
                <w:color w:val="000000" w:themeColor="text1"/>
                <w:szCs w:val="21"/>
                <w:lang w:val="en-US" w:eastAsia="zh-CN"/>
                <w14:textFill>
                  <w14:solidFill>
                    <w14:schemeClr w14:val="tx1"/>
                  </w14:solidFill>
                </w14:textFill>
              </w:rPr>
              <w:t>处于全年主导风向的下风向。废气经22m高排气筒排放，可有效降低废气对厂区及周边环境的影响。软水制备间紧邻锅炉房，减少软水输送损耗；</w:t>
            </w:r>
            <w:r>
              <w:rPr>
                <w:rFonts w:hint="eastAsia" w:cs="Times New Roman"/>
                <w:bCs/>
                <w:color w:val="000000" w:themeColor="text1"/>
                <w:szCs w:val="21"/>
                <w:lang w:val="en-US" w:eastAsia="zh-CN"/>
                <w14:textFill>
                  <w14:solidFill>
                    <w14:schemeClr w14:val="tx1"/>
                  </w14:solidFill>
                </w14:textFill>
              </w:rPr>
              <w:t>循环</w:t>
            </w:r>
            <w:r>
              <w:rPr>
                <w:rFonts w:hint="default" w:ascii="Times New Roman" w:hAnsi="Times New Roman" w:eastAsia="宋体" w:cs="Times New Roman"/>
                <w:bCs/>
                <w:color w:val="000000" w:themeColor="text1"/>
                <w:szCs w:val="21"/>
                <w:lang w:val="en-US" w:eastAsia="zh-CN"/>
                <w14:textFill>
                  <w14:solidFill>
                    <w14:schemeClr w14:val="tx1"/>
                  </w14:solidFill>
                </w14:textFill>
              </w:rPr>
              <w:t>水池位于锅炉房北侧，排污水输送距离短，降低管道损失</w:t>
            </w:r>
            <w:r>
              <w:rPr>
                <w:rFonts w:hint="eastAsia" w:cs="Times New Roman"/>
                <w:bCs/>
                <w:color w:val="000000" w:themeColor="text1"/>
                <w:szCs w:val="21"/>
                <w:lang w:val="en-US" w:eastAsia="zh-CN"/>
                <w14:textFill>
                  <w14:solidFill>
                    <w14:schemeClr w14:val="tx1"/>
                  </w14:solidFill>
                </w14:textFill>
              </w:rPr>
              <w:t>。</w:t>
            </w:r>
          </w:p>
          <w:p w14:paraId="7F9761C1">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综上分析，本项目总平面布置功能区划明确，设施设备布置合理，交通便利，项目平面布局从环保方面分析基本合理。平面布置图见</w:t>
            </w:r>
            <w:r>
              <w:rPr>
                <w:rFonts w:hint="default" w:ascii="Times New Roman" w:hAnsi="Times New Roman" w:eastAsia="宋体" w:cs="Times New Roman"/>
                <w:b/>
                <w:bCs w:val="0"/>
                <w:color w:val="000000" w:themeColor="text1"/>
                <w:szCs w:val="21"/>
                <w:lang w:val="en-US" w:eastAsia="zh-CN"/>
                <w14:textFill>
                  <w14:solidFill>
                    <w14:schemeClr w14:val="tx1"/>
                  </w14:solidFill>
                </w14:textFill>
              </w:rPr>
              <w:t>附图</w:t>
            </w:r>
            <w:r>
              <w:rPr>
                <w:rFonts w:hint="eastAsia" w:cs="Times New Roman"/>
                <w:b/>
                <w:bCs w:val="0"/>
                <w:color w:val="000000" w:themeColor="text1"/>
                <w:szCs w:val="21"/>
                <w:lang w:val="en-US" w:eastAsia="zh-CN"/>
                <w14:textFill>
                  <w14:solidFill>
                    <w14:schemeClr w14:val="tx1"/>
                  </w14:solidFill>
                </w14:textFill>
              </w:rPr>
              <w:t>6</w:t>
            </w:r>
            <w:r>
              <w:rPr>
                <w:rFonts w:hint="default" w:ascii="Times New Roman" w:hAnsi="Times New Roman" w:eastAsia="宋体" w:cs="Times New Roman"/>
                <w:bCs/>
                <w:color w:val="000000" w:themeColor="text1"/>
                <w:szCs w:val="21"/>
                <w:lang w:val="en-US" w:eastAsia="zh-CN"/>
                <w14:textFill>
                  <w14:solidFill>
                    <w14:schemeClr w14:val="tx1"/>
                  </w14:solidFill>
                </w14:textFill>
              </w:rPr>
              <w:t>。</w:t>
            </w:r>
          </w:p>
        </w:tc>
      </w:tr>
      <w:tr w14:paraId="386F9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tcBorders>
              <w:tl2br w:val="nil"/>
              <w:tr2bl w:val="nil"/>
            </w:tcBorders>
            <w:vAlign w:val="center"/>
          </w:tcPr>
          <w:p w14:paraId="2EA4C0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工艺流程和产排污环节</w:t>
            </w:r>
          </w:p>
        </w:tc>
        <w:tc>
          <w:tcPr>
            <w:tcW w:w="7800" w:type="dxa"/>
            <w:tcBorders>
              <w:tl2br w:val="nil"/>
              <w:tr2bl w:val="nil"/>
            </w:tcBorders>
          </w:tcPr>
          <w:p w14:paraId="258BC17A">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 施工期工艺流程</w:t>
            </w:r>
          </w:p>
          <w:p w14:paraId="322F05BB">
            <w:pPr>
              <w:pStyle w:val="6"/>
              <w:keepNext/>
              <w:keepLines/>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outlineLvl w:val="2"/>
              <w:rPr>
                <w:rFonts w:hint="eastAsia" w:ascii="Times New Roman" w:hAnsi="Times New Roman" w:eastAsia="宋体" w:cs="Times New Roman"/>
                <w:b w:val="0"/>
                <w:bCs/>
                <w:color w:val="000000" w:themeColor="text1"/>
                <w:kern w:val="2"/>
                <w:sz w:val="24"/>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4"/>
                <w:szCs w:val="21"/>
                <w:lang w:val="en-US" w:eastAsia="zh-CN" w:bidi="ar-SA"/>
                <w14:textFill>
                  <w14:solidFill>
                    <w14:schemeClr w14:val="tx1"/>
                  </w14:solidFill>
                </w14:textFill>
              </w:rPr>
              <w:t>本项目利用</w:t>
            </w:r>
            <w:r>
              <w:rPr>
                <w:rFonts w:hint="default" w:ascii="Times New Roman" w:hAnsi="Times New Roman" w:eastAsia="宋体" w:cs="Times New Roman"/>
                <w:b w:val="0"/>
                <w:bCs/>
                <w:color w:val="000000" w:themeColor="text1"/>
                <w:lang w:val="en-US" w:eastAsia="zh-CN"/>
                <w14:textFill>
                  <w14:solidFill>
                    <w14:schemeClr w14:val="tx1"/>
                  </w14:solidFill>
                </w14:textFill>
              </w:rPr>
              <w:t>新兴铸管能源有限公司</w:t>
            </w:r>
            <w:r>
              <w:rPr>
                <w:rFonts w:hint="default" w:ascii="Times New Roman" w:hAnsi="Times New Roman" w:eastAsia="宋体" w:cs="Times New Roman"/>
                <w:b w:val="0"/>
                <w:bCs/>
                <w:color w:val="000000" w:themeColor="text1"/>
                <w:kern w:val="2"/>
                <w:sz w:val="24"/>
                <w:szCs w:val="21"/>
                <w:lang w:val="en-US" w:eastAsia="zh-CN" w:bidi="ar-SA"/>
                <w14:textFill>
                  <w14:solidFill>
                    <w14:schemeClr w14:val="tx1"/>
                  </w14:solidFill>
                </w14:textFill>
              </w:rPr>
              <w:t>现有铸管车间，</w:t>
            </w:r>
            <w:r>
              <w:rPr>
                <w:rFonts w:hint="default" w:ascii="Times New Roman" w:hAnsi="Times New Roman" w:eastAsia="宋体" w:cs="Times New Roman"/>
                <w:b w:val="0"/>
                <w:bCs w:val="0"/>
                <w:color w:val="000000"/>
                <w:sz w:val="24"/>
                <w:szCs w:val="24"/>
              </w:rPr>
              <w:t>本项目施工内容主</w:t>
            </w:r>
            <w:r>
              <w:rPr>
                <w:rFonts w:hint="default" w:ascii="Times New Roman" w:hAnsi="Times New Roman" w:eastAsia="宋体" w:cs="Times New Roman"/>
                <w:b w:val="0"/>
                <w:bCs w:val="0"/>
                <w:color w:val="000000"/>
                <w:sz w:val="24"/>
                <w:szCs w:val="24"/>
                <w:lang w:eastAsia="zh-CN"/>
              </w:rPr>
              <w:t>要是</w:t>
            </w:r>
            <w:r>
              <w:rPr>
                <w:rFonts w:hint="default" w:ascii="Times New Roman" w:hAnsi="Times New Roman" w:eastAsia="宋体" w:cs="Times New Roman"/>
                <w:b w:val="0"/>
                <w:bCs w:val="0"/>
                <w:color w:val="auto"/>
                <w:sz w:val="24"/>
                <w:szCs w:val="24"/>
              </w:rPr>
              <w:t>燃气</w:t>
            </w:r>
            <w:r>
              <w:rPr>
                <w:rFonts w:hint="default" w:ascii="Times New Roman" w:hAnsi="Times New Roman" w:eastAsia="宋体" w:cs="Times New Roman"/>
                <w:b w:val="0"/>
                <w:bCs w:val="0"/>
                <w:color w:val="auto"/>
                <w:sz w:val="24"/>
                <w:szCs w:val="24"/>
                <w:lang w:val="en-US" w:eastAsia="zh-CN"/>
              </w:rPr>
              <w:t>蒸汽</w:t>
            </w:r>
            <w:r>
              <w:rPr>
                <w:rFonts w:hint="default" w:ascii="Times New Roman" w:hAnsi="Times New Roman" w:eastAsia="宋体" w:cs="Times New Roman"/>
                <w:b w:val="0"/>
                <w:bCs w:val="0"/>
                <w:color w:val="auto"/>
                <w:sz w:val="24"/>
                <w:szCs w:val="24"/>
              </w:rPr>
              <w:t>锅炉设备</w:t>
            </w:r>
            <w:r>
              <w:rPr>
                <w:rFonts w:hint="default" w:ascii="Times New Roman" w:hAnsi="Times New Roman" w:eastAsia="宋体" w:cs="Times New Roman"/>
                <w:b w:val="0"/>
                <w:bCs w:val="0"/>
                <w:color w:val="000000"/>
                <w:sz w:val="24"/>
                <w:szCs w:val="24"/>
              </w:rPr>
              <w:t>的安装。施工期工艺流程及产污环节详见图2-</w:t>
            </w:r>
            <w:r>
              <w:rPr>
                <w:rFonts w:hint="eastAsia" w:cs="Times New Roman"/>
                <w:b w:val="0"/>
                <w:bCs w:val="0"/>
                <w:color w:val="000000"/>
                <w:sz w:val="24"/>
                <w:szCs w:val="24"/>
                <w:lang w:val="en-US" w:eastAsia="zh-CN"/>
              </w:rPr>
              <w:t>2</w:t>
            </w:r>
            <w:r>
              <w:rPr>
                <w:rFonts w:hint="eastAsia" w:cs="Times New Roman"/>
                <w:b w:val="0"/>
                <w:bCs w:val="0"/>
                <w:color w:val="000000"/>
                <w:sz w:val="24"/>
                <w:szCs w:val="24"/>
                <w:lang w:eastAsia="zh-CN"/>
              </w:rPr>
              <w:t>。</w:t>
            </w:r>
          </w:p>
          <w:p w14:paraId="36BA0E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drawing>
                <wp:inline distT="0" distB="0" distL="114300" distR="114300">
                  <wp:extent cx="4026535" cy="1818640"/>
                  <wp:effectExtent l="0" t="0" r="12065" b="1016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4"/>
                          <a:stretch>
                            <a:fillRect/>
                          </a:stretch>
                        </pic:blipFill>
                        <pic:spPr>
                          <a:xfrm>
                            <a:off x="0" y="0"/>
                            <a:ext cx="4026535" cy="1818640"/>
                          </a:xfrm>
                          <a:prstGeom prst="rect">
                            <a:avLst/>
                          </a:prstGeom>
                          <a:noFill/>
                          <a:ln>
                            <a:noFill/>
                          </a:ln>
                        </pic:spPr>
                      </pic:pic>
                    </a:graphicData>
                  </a:graphic>
                </wp:inline>
              </w:drawing>
            </w:r>
          </w:p>
          <w:p w14:paraId="5E1E51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图</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w:t>
            </w:r>
            <w:r>
              <w:rPr>
                <w:rFonts w:hint="default" w:ascii="Times New Roman" w:hAnsi="Times New Roman" w:eastAsia="宋体" w:cs="Times New Roman"/>
                <w:color w:val="000000" w:themeColor="text1"/>
                <w:sz w:val="21"/>
                <w:szCs w:val="21"/>
                <w14:textFill>
                  <w14:solidFill>
                    <w14:schemeClr w14:val="tx1"/>
                  </w14:solidFill>
                </w14:textFill>
              </w:rPr>
              <w:t xml:space="preserve">   施工期工艺流程及产污环节图</w:t>
            </w:r>
          </w:p>
          <w:p w14:paraId="71709F66">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 营运期工艺流程简述</w:t>
            </w:r>
          </w:p>
          <w:p w14:paraId="0E984060">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2.1 生产工艺流程图</w:t>
            </w:r>
          </w:p>
          <w:p w14:paraId="04BD7751">
            <w:pPr>
              <w:pStyle w:val="25"/>
              <w:keepNext w:val="0"/>
              <w:keepLines w:val="0"/>
              <w:suppressLineNumbers w:val="0"/>
              <w:spacing w:before="0" w:beforeAutospacing="0" w:after="0" w:afterAutospacing="0"/>
              <w:ind w:left="0" w:right="0" w:firstLine="480"/>
              <w:jc w:val="left"/>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项目工艺流程详见下图。</w:t>
            </w:r>
          </w:p>
          <w:p w14:paraId="64BDE7AC">
            <w:pPr>
              <w:pStyle w:val="25"/>
              <w:keepNext w:val="0"/>
              <w:keepLines w:val="0"/>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70C0"/>
                <w:lang w:eastAsia="zh-CN"/>
              </w:rPr>
              <w:drawing>
                <wp:inline distT="0" distB="0" distL="114300" distR="114300">
                  <wp:extent cx="4868545" cy="1913255"/>
                  <wp:effectExtent l="0" t="0" r="0" b="0"/>
                  <wp:docPr id="9"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B019B1-382A-4266-B25C-5B523AA43C14-1" descr="wps"/>
                          <pic:cNvPicPr>
                            <a:picLocks noChangeAspect="1"/>
                          </pic:cNvPicPr>
                        </pic:nvPicPr>
                        <pic:blipFill>
                          <a:blip r:embed="rId15"/>
                          <a:stretch>
                            <a:fillRect/>
                          </a:stretch>
                        </pic:blipFill>
                        <pic:spPr>
                          <a:xfrm>
                            <a:off x="0" y="0"/>
                            <a:ext cx="4868545" cy="1913255"/>
                          </a:xfrm>
                          <a:prstGeom prst="rect">
                            <a:avLst/>
                          </a:prstGeom>
                        </pic:spPr>
                      </pic:pic>
                    </a:graphicData>
                  </a:graphic>
                </wp:inline>
              </w:drawing>
            </w:r>
          </w:p>
          <w:p w14:paraId="0103CB99">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图</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14:textFill>
                  <w14:solidFill>
                    <w14:schemeClr w14:val="tx1"/>
                  </w14:solidFill>
                </w14:textFill>
              </w:rPr>
              <w:t xml:space="preserve">   运营期工艺流程及产污环节</w:t>
            </w:r>
          </w:p>
          <w:p w14:paraId="157C413B">
            <w:pPr>
              <w:pStyle w:val="25"/>
              <w:keepNext w:val="0"/>
              <w:keepLines w:val="0"/>
              <w:suppressLineNumbers w:val="0"/>
              <w:spacing w:before="0" w:beforeAutospacing="0" w:after="0" w:afterAutospacing="0"/>
              <w:ind w:left="0" w:right="0" w:firstLine="0" w:firstLineChars="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生产工艺流程简述：</w:t>
            </w:r>
          </w:p>
          <w:p w14:paraId="798032F0">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本项目</w:t>
            </w:r>
            <w:r>
              <w:rPr>
                <w:rFonts w:hint="eastAsia" w:cs="Times New Roman"/>
                <w:i w:val="0"/>
                <w:iCs w:val="0"/>
                <w:caps w:val="0"/>
                <w:spacing w:val="0"/>
                <w:sz w:val="24"/>
                <w:szCs w:val="24"/>
                <w:shd w:val="clear" w:fill="FFFFFF"/>
                <w:lang w:val="en-US" w:eastAsia="zh-CN"/>
              </w:rPr>
              <w:t>天然气供给由</w:t>
            </w:r>
            <w:r>
              <w:rPr>
                <w:rFonts w:hint="default" w:ascii="Times New Roman" w:hAnsi="Times New Roman" w:eastAsia="宋体" w:cs="Times New Roman"/>
                <w:i w:val="0"/>
                <w:iCs w:val="0"/>
                <w:caps w:val="0"/>
                <w:spacing w:val="0"/>
                <w:sz w:val="24"/>
                <w:szCs w:val="24"/>
                <w:shd w:val="clear" w:fill="FFFFFF"/>
                <w:lang w:val="en-US" w:eastAsia="zh-CN"/>
              </w:rPr>
              <w:t>槽车</w:t>
            </w:r>
            <w:r>
              <w:rPr>
                <w:rFonts w:hint="eastAsia" w:cs="Times New Roman"/>
                <w:i w:val="0"/>
                <w:iCs w:val="0"/>
                <w:caps w:val="0"/>
                <w:spacing w:val="0"/>
                <w:sz w:val="24"/>
                <w:szCs w:val="24"/>
                <w:shd w:val="clear" w:fill="FFFFFF"/>
                <w:lang w:val="en-US" w:eastAsia="zh-CN"/>
              </w:rPr>
              <w:t>运输</w:t>
            </w:r>
            <w:r>
              <w:rPr>
                <w:rFonts w:hint="default" w:ascii="Times New Roman" w:hAnsi="Times New Roman" w:eastAsia="宋体" w:cs="Times New Roman"/>
                <w:i w:val="0"/>
                <w:iCs w:val="0"/>
                <w:caps w:val="0"/>
                <w:spacing w:val="0"/>
                <w:sz w:val="24"/>
                <w:szCs w:val="24"/>
                <w:shd w:val="clear" w:fill="FFFFFF"/>
                <w:lang w:val="en-US" w:eastAsia="zh-CN"/>
              </w:rPr>
              <w:t>，通过“燃气接收</w:t>
            </w:r>
            <w:r>
              <w:rPr>
                <w:rFonts w:hint="eastAsia" w:cs="Times New Roman"/>
                <w:i w:val="0"/>
                <w:iCs w:val="0"/>
                <w:caps w:val="0"/>
                <w:spacing w:val="0"/>
                <w:sz w:val="24"/>
                <w:szCs w:val="24"/>
                <w:shd w:val="clear" w:fill="FFFFFF"/>
                <w:lang w:val="en-US" w:eastAsia="zh-CN"/>
              </w:rPr>
              <w:t>－</w:t>
            </w:r>
            <w:r>
              <w:rPr>
                <w:rFonts w:hint="default" w:ascii="Times New Roman" w:hAnsi="Times New Roman" w:eastAsia="宋体" w:cs="Times New Roman"/>
                <w:i w:val="0"/>
                <w:iCs w:val="0"/>
                <w:caps w:val="0"/>
                <w:spacing w:val="0"/>
                <w:sz w:val="24"/>
                <w:szCs w:val="24"/>
                <w:shd w:val="clear" w:fill="FFFFFF"/>
                <w:lang w:val="en-US" w:eastAsia="zh-CN"/>
              </w:rPr>
              <w:t>预处理</w:t>
            </w:r>
            <w:r>
              <w:rPr>
                <w:rFonts w:hint="eastAsia" w:cs="Times New Roman"/>
                <w:i w:val="0"/>
                <w:iCs w:val="0"/>
                <w:caps w:val="0"/>
                <w:spacing w:val="0"/>
                <w:sz w:val="24"/>
                <w:szCs w:val="24"/>
                <w:shd w:val="clear" w:fill="FFFFFF"/>
                <w:lang w:val="en-US" w:eastAsia="zh-CN"/>
              </w:rPr>
              <w:t>－</w:t>
            </w:r>
            <w:r>
              <w:rPr>
                <w:rFonts w:hint="default" w:ascii="Times New Roman" w:hAnsi="Times New Roman" w:eastAsia="宋体" w:cs="Times New Roman"/>
                <w:i w:val="0"/>
                <w:iCs w:val="0"/>
                <w:caps w:val="0"/>
                <w:spacing w:val="0"/>
                <w:sz w:val="24"/>
                <w:szCs w:val="24"/>
                <w:shd w:val="clear" w:fill="FFFFFF"/>
                <w:lang w:val="en-US" w:eastAsia="zh-CN"/>
              </w:rPr>
              <w:t>燃烧换热</w:t>
            </w:r>
            <w:r>
              <w:rPr>
                <w:rFonts w:hint="eastAsia" w:cs="Times New Roman"/>
                <w:i w:val="0"/>
                <w:iCs w:val="0"/>
                <w:caps w:val="0"/>
                <w:spacing w:val="0"/>
                <w:sz w:val="24"/>
                <w:szCs w:val="24"/>
                <w:shd w:val="clear" w:fill="FFFFFF"/>
                <w:lang w:val="en-US" w:eastAsia="zh-CN"/>
              </w:rPr>
              <w:t>－</w:t>
            </w:r>
            <w:r>
              <w:rPr>
                <w:rFonts w:hint="default" w:ascii="Times New Roman" w:hAnsi="Times New Roman" w:eastAsia="宋体" w:cs="Times New Roman"/>
                <w:i w:val="0"/>
                <w:iCs w:val="0"/>
                <w:caps w:val="0"/>
                <w:spacing w:val="0"/>
                <w:sz w:val="24"/>
                <w:szCs w:val="24"/>
                <w:shd w:val="clear" w:fill="FFFFFF"/>
                <w:lang w:val="en-US" w:eastAsia="zh-CN"/>
              </w:rPr>
              <w:t>蒸汽输送</w:t>
            </w:r>
            <w:r>
              <w:rPr>
                <w:rFonts w:hint="eastAsia" w:cs="Times New Roman"/>
                <w:i w:val="0"/>
                <w:iCs w:val="0"/>
                <w:caps w:val="0"/>
                <w:spacing w:val="0"/>
                <w:sz w:val="24"/>
                <w:szCs w:val="24"/>
                <w:shd w:val="clear" w:fill="FFFFFF"/>
                <w:lang w:val="en-US" w:eastAsia="zh-CN"/>
              </w:rPr>
              <w:t>－</w:t>
            </w:r>
            <w:r>
              <w:rPr>
                <w:rFonts w:hint="default" w:ascii="Times New Roman" w:hAnsi="Times New Roman" w:eastAsia="宋体" w:cs="Times New Roman"/>
                <w:i w:val="0"/>
                <w:iCs w:val="0"/>
                <w:caps w:val="0"/>
                <w:spacing w:val="0"/>
                <w:sz w:val="24"/>
                <w:szCs w:val="24"/>
                <w:shd w:val="clear" w:fill="FFFFFF"/>
                <w:lang w:val="en-US" w:eastAsia="zh-CN"/>
              </w:rPr>
              <w:t>车间供暖”全链条，实现铸管车间供暖需求，完善后工艺流程逻辑及关键节点如下：</w:t>
            </w:r>
          </w:p>
          <w:p w14:paraId="31A44F8C">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（1）</w:t>
            </w:r>
            <w:r>
              <w:rPr>
                <w:rFonts w:hint="default" w:ascii="Times New Roman" w:hAnsi="Times New Roman" w:eastAsia="宋体" w:cs="Times New Roman"/>
                <w:i w:val="0"/>
                <w:iCs w:val="0"/>
                <w:caps w:val="0"/>
                <w:spacing w:val="0"/>
                <w:sz w:val="24"/>
                <w:szCs w:val="24"/>
                <w:shd w:val="clear" w:fill="FFFFFF"/>
                <w:lang w:val="en-US" w:eastAsia="zh-CN"/>
              </w:rPr>
              <w:t>天然气接收与预处理阶段</w:t>
            </w:r>
          </w:p>
          <w:p w14:paraId="1B40EB54">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槽车卸气：天然气专用槽车抵达厂区指定卸车区，通过密闭式卸气臂与厂区卸气管道连接，避免燃气泄漏；卸气过程中由专人监护，同步开启静电接地装置，防止静电引发安全风险。</w:t>
            </w:r>
          </w:p>
          <w:p w14:paraId="456BB51D">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调压计量撬处理：卸气后的天然气经管道输送至调压计量撬，依次完成三项核心操作：</w:t>
            </w:r>
          </w:p>
          <w:p w14:paraId="2BD67149">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①</w:t>
            </w:r>
            <w:r>
              <w:rPr>
                <w:rFonts w:hint="default" w:ascii="Times New Roman" w:hAnsi="Times New Roman" w:eastAsia="宋体" w:cs="Times New Roman"/>
                <w:i w:val="0"/>
                <w:iCs w:val="0"/>
                <w:caps w:val="0"/>
                <w:spacing w:val="0"/>
                <w:sz w:val="24"/>
                <w:szCs w:val="24"/>
                <w:shd w:val="clear" w:fill="FFFFFF"/>
                <w:lang w:val="en-US" w:eastAsia="zh-CN"/>
              </w:rPr>
              <w:t>气质过滤：通过高精度滤网去除燃气中微量粉尘、液态烃等杂质，避免堵塞燃烧器喷嘴，保障燃烧效率；</w:t>
            </w:r>
          </w:p>
          <w:p w14:paraId="578B7126">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②</w:t>
            </w:r>
            <w:r>
              <w:rPr>
                <w:rFonts w:hint="default" w:ascii="Times New Roman" w:hAnsi="Times New Roman" w:eastAsia="宋体" w:cs="Times New Roman"/>
                <w:i w:val="0"/>
                <w:iCs w:val="0"/>
                <w:caps w:val="0"/>
                <w:spacing w:val="0"/>
                <w:sz w:val="24"/>
                <w:szCs w:val="24"/>
                <w:shd w:val="clear" w:fill="FFFFFF"/>
                <w:lang w:val="en-US" w:eastAsia="zh-CN"/>
              </w:rPr>
              <w:t>压力调节：根据燃气采暖锅炉运行需求，将进气压力稳定在0.3-0.5MPa，防止压力波动导致锅炉燃烧不稳定；</w:t>
            </w:r>
          </w:p>
          <w:p w14:paraId="2045AB5A">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③</w:t>
            </w:r>
            <w:r>
              <w:rPr>
                <w:rFonts w:hint="default" w:ascii="Times New Roman" w:hAnsi="Times New Roman" w:eastAsia="宋体" w:cs="Times New Roman"/>
                <w:i w:val="0"/>
                <w:iCs w:val="0"/>
                <w:caps w:val="0"/>
                <w:spacing w:val="0"/>
                <w:sz w:val="24"/>
                <w:szCs w:val="24"/>
                <w:shd w:val="clear" w:fill="FFFFFF"/>
                <w:lang w:val="en-US" w:eastAsia="zh-CN"/>
              </w:rPr>
              <w:t xml:space="preserve">流量计量：采用智能涡轮流量计记录瞬时及累计用气量，数据同步传输至控制室，便于能耗统计与成本核算。 </w:t>
            </w:r>
          </w:p>
          <w:p w14:paraId="219FED15">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（2）</w:t>
            </w:r>
            <w:r>
              <w:rPr>
                <w:rFonts w:hint="default" w:ascii="Times New Roman" w:hAnsi="Times New Roman" w:eastAsia="宋体" w:cs="Times New Roman"/>
                <w:i w:val="0"/>
                <w:iCs w:val="0"/>
                <w:caps w:val="0"/>
                <w:spacing w:val="0"/>
                <w:sz w:val="24"/>
                <w:szCs w:val="24"/>
                <w:shd w:val="clear" w:fill="FFFFFF"/>
                <w:lang w:val="en-US" w:eastAsia="zh-CN"/>
              </w:rPr>
              <w:t>燃烧换热与蒸汽生成阶段</w:t>
            </w:r>
          </w:p>
          <w:p w14:paraId="6D95034D">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预处理后的洁净天然气通过专用管道输送至燃气采暖锅炉燃烧器，同时水处理间软化后的软水经补水泵输送至锅炉汽包，二者在锅炉内完成燃烧换热：</w:t>
            </w:r>
          </w:p>
          <w:p w14:paraId="57EC7FE5">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低氮燃烧器+烟气再循环技术工艺：天然气与助燃空气按</w:t>
            </w:r>
            <w:r>
              <w:rPr>
                <w:rFonts w:hint="eastAsia" w:cs="Times New Roman"/>
                <w:i w:val="0"/>
                <w:iCs w:val="0"/>
                <w:caps w:val="0"/>
                <w:spacing w:val="0"/>
                <w:sz w:val="24"/>
                <w:szCs w:val="24"/>
                <w:shd w:val="clear" w:fill="FFFFFF"/>
                <w:lang w:val="en-US" w:eastAsia="zh-CN"/>
              </w:rPr>
              <w:t>照</w:t>
            </w:r>
            <w:r>
              <w:rPr>
                <w:rFonts w:hint="default" w:ascii="Times New Roman" w:hAnsi="Times New Roman" w:eastAsia="宋体" w:cs="Times New Roman"/>
                <w:i w:val="0"/>
                <w:iCs w:val="0"/>
                <w:caps w:val="0"/>
                <w:spacing w:val="0"/>
                <w:sz w:val="24"/>
                <w:szCs w:val="24"/>
                <w:shd w:val="clear" w:fill="FFFFFF"/>
                <w:lang w:val="en-US" w:eastAsia="zh-CN"/>
              </w:rPr>
              <w:t>最佳空燃比混合，在低氮燃烧器内燃烧；通过喷嘴周边空气入口引入分级空气，形成局部氧气气层，确保燃料充分燃烧，抑制氮氧化物生成，燃烧温度控制在950-1100℃。</w:t>
            </w:r>
          </w:p>
          <w:p w14:paraId="678B7D20">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蒸汽生成：燃烧释放的热量传递至锅炉管束内的软水，使软水升温至180-200℃、压力达到1.0-1.2MPa，转化为饱和蒸汽；蒸汽经锅炉顶部汽水分离器分离水分后，进入蒸汽集汽包暂存，确保蒸汽干度≥95%，满足车间供暖需求。</w:t>
            </w:r>
          </w:p>
          <w:p w14:paraId="347FCCBE">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（3）</w:t>
            </w:r>
            <w:r>
              <w:rPr>
                <w:rFonts w:hint="default" w:ascii="Times New Roman" w:hAnsi="Times New Roman" w:eastAsia="宋体" w:cs="Times New Roman"/>
                <w:i w:val="0"/>
                <w:iCs w:val="0"/>
                <w:caps w:val="0"/>
                <w:spacing w:val="0"/>
                <w:sz w:val="24"/>
                <w:szCs w:val="24"/>
                <w:shd w:val="clear" w:fill="FFFFFF"/>
                <w:lang w:val="en-US" w:eastAsia="zh-CN"/>
              </w:rPr>
              <w:t>蒸汽输送与车间供暖阶段</w:t>
            </w:r>
          </w:p>
          <w:p w14:paraId="1133DF55">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 xml:space="preserve">蒸汽输送：集汽包内的饱和蒸汽通过保温蒸汽管网输送至铸管车间；管网沿途设置压力表、温度计及疏水阀，定期排出管道内冷凝水，防止水击现象损坏管道。 </w:t>
            </w:r>
          </w:p>
          <w:p w14:paraId="1E4652AA">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车间供暖利用：蒸汽进入车间后，通过散热器与车间空气进行热交换，释放热量后温度降至100-120℃，冷凝为冷凝水；冷凝水经车间疏水回收管道收集，返回厂区冷凝水回收罐，再由回水泵输送至锅炉补水系统，实现水资源循环利用，降低新鲜水消耗。</w:t>
            </w:r>
          </w:p>
          <w:p w14:paraId="73602C13">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（4）</w:t>
            </w:r>
            <w:r>
              <w:rPr>
                <w:rFonts w:hint="default" w:ascii="Times New Roman" w:hAnsi="Times New Roman" w:eastAsia="宋体" w:cs="Times New Roman"/>
                <w:i w:val="0"/>
                <w:iCs w:val="0"/>
                <w:caps w:val="0"/>
                <w:spacing w:val="0"/>
                <w:sz w:val="24"/>
                <w:szCs w:val="24"/>
                <w:shd w:val="clear" w:fill="FFFFFF"/>
                <w:lang w:val="en-US" w:eastAsia="zh-CN"/>
              </w:rPr>
              <w:t>辅助系统保障</w:t>
            </w:r>
          </w:p>
          <w:p w14:paraId="59C37D01">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水处理间：自来水先进入原水箱，经多全自动软水器去除钙、镁离子；软化后的水储存于软化水箱，由补水泵根据锅炉水位自动补水，循环泵保障锅炉内水循环流动，避免局部水温过高。</w:t>
            </w:r>
          </w:p>
          <w:p w14:paraId="47F6C9EA">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eastAsia="宋体" w:cs="Times New Roman"/>
                <w:i w:val="0"/>
                <w:iCs w:val="0"/>
                <w:caps w:val="0"/>
                <w:spacing w:val="0"/>
                <w:sz w:val="24"/>
                <w:szCs w:val="24"/>
                <w:shd w:val="clear" w:fill="FFFFFF"/>
                <w:lang w:val="en-US" w:eastAsia="zh-CN"/>
              </w:rPr>
              <w:t>控制室：通过PLC自动化控制系统，实时监测天然气压力、流量，锅炉水位、温度、压力，蒸汽温度、压力及水处理系统水质等参数；当参数超出设定范围时，自动触发报警并联动紧急切断装置，确保系统安全稳定运行。</w:t>
            </w:r>
          </w:p>
          <w:p w14:paraId="42DB63BD">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（5）烟气循环器工作原理</w:t>
            </w:r>
          </w:p>
          <w:p w14:paraId="470C408F">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烟气再循环的本质是通过将燃烧产出的烟气重新引入燃烧区域，实现对燃烧温度氧化物浓度的控制，从而实现降低氮氧化物的排放和节约能源的效果。其减排机理可以用热力型NOx的生成机理来解释。在高温条件下，由空气中的氮经氧化而生成的NOx，称为热力型NOx（Thermal NOx）。其生成过程可用下面一组连锁反应来描述。</w:t>
            </w:r>
          </w:p>
          <w:p w14:paraId="00EAC557">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center"/>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N</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+O=N+NO    （1）</w:t>
            </w:r>
          </w:p>
          <w:p w14:paraId="64C43583">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center"/>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O</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+N=O+NO    （2）</w:t>
            </w:r>
          </w:p>
          <w:p w14:paraId="422D1A81">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center"/>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N+OH=NO+H   （3）</w:t>
            </w:r>
          </w:p>
          <w:p w14:paraId="2352E248">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上述反应中，式（1）的活化能较高，故由式（1）表示的反应控制NOx的生成量。热力型NOx的生成速率可由式（4）表示：</w:t>
            </w:r>
          </w:p>
          <w:p w14:paraId="3F568DE8">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d[NO]/dt=6×1016[O</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]0.5[N</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]T-0.5e-69090/T    （4）</w:t>
            </w:r>
          </w:p>
          <w:p w14:paraId="15A2C6A1">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式中：d[NO]/dt—热力型NOx的生成速率，mol/（cm</w:t>
            </w:r>
            <w:r>
              <w:rPr>
                <w:rFonts w:hint="eastAsia" w:cs="Times New Roman"/>
                <w:i w:val="0"/>
                <w:iCs w:val="0"/>
                <w:caps w:val="0"/>
                <w:spacing w:val="0"/>
                <w:sz w:val="24"/>
                <w:szCs w:val="24"/>
                <w:shd w:val="clear" w:fill="FFFFFF"/>
                <w:vertAlign w:val="superscript"/>
                <w:lang w:val="en-US" w:eastAsia="zh-CN"/>
              </w:rPr>
              <w:t>3</w:t>
            </w:r>
            <w:r>
              <w:rPr>
                <w:rFonts w:hint="eastAsia" w:cs="Times New Roman"/>
                <w:i w:val="0"/>
                <w:iCs w:val="0"/>
                <w:caps w:val="0"/>
                <w:spacing w:val="0"/>
                <w:sz w:val="24"/>
                <w:szCs w:val="24"/>
                <w:shd w:val="clear" w:fill="FFFFFF"/>
                <w:lang w:val="en-US" w:eastAsia="zh-CN"/>
              </w:rPr>
              <w:t>·s）；</w:t>
            </w:r>
          </w:p>
          <w:p w14:paraId="512D0AE8">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[NO]、[O</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]、[N</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]—分别为NO、O</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、N</w:t>
            </w:r>
            <w:r>
              <w:rPr>
                <w:rFonts w:hint="eastAsia" w:cs="Times New Roman"/>
                <w:i w:val="0"/>
                <w:iCs w:val="0"/>
                <w:caps w:val="0"/>
                <w:spacing w:val="0"/>
                <w:sz w:val="24"/>
                <w:szCs w:val="24"/>
                <w:shd w:val="clear" w:fill="FFFFFF"/>
                <w:vertAlign w:val="subscript"/>
                <w:lang w:val="en-US" w:eastAsia="zh-CN"/>
              </w:rPr>
              <w:t>2</w:t>
            </w:r>
            <w:r>
              <w:rPr>
                <w:rFonts w:hint="eastAsia" w:cs="Times New Roman"/>
                <w:i w:val="0"/>
                <w:iCs w:val="0"/>
                <w:caps w:val="0"/>
                <w:spacing w:val="0"/>
                <w:sz w:val="24"/>
                <w:szCs w:val="24"/>
                <w:shd w:val="clear" w:fill="FFFFFF"/>
                <w:lang w:val="en-US" w:eastAsia="zh-CN"/>
              </w:rPr>
              <w:t>等组分的摩尔浓度，mol/cm</w:t>
            </w:r>
            <w:r>
              <w:rPr>
                <w:rFonts w:hint="eastAsia" w:cs="Times New Roman"/>
                <w:i w:val="0"/>
                <w:iCs w:val="0"/>
                <w:caps w:val="0"/>
                <w:spacing w:val="0"/>
                <w:sz w:val="24"/>
                <w:szCs w:val="24"/>
                <w:shd w:val="clear" w:fill="FFFFFF"/>
                <w:vertAlign w:val="superscript"/>
                <w:lang w:val="en-US" w:eastAsia="zh-CN"/>
              </w:rPr>
              <w:t>3</w:t>
            </w:r>
            <w:r>
              <w:rPr>
                <w:rFonts w:hint="eastAsia" w:cs="Times New Roman"/>
                <w:i w:val="0"/>
                <w:iCs w:val="0"/>
                <w:caps w:val="0"/>
                <w:spacing w:val="0"/>
                <w:sz w:val="24"/>
                <w:szCs w:val="24"/>
                <w:shd w:val="clear" w:fill="FFFFFF"/>
                <w:lang w:val="en-US" w:eastAsia="zh-CN"/>
              </w:rPr>
              <w:t>；</w:t>
            </w:r>
          </w:p>
          <w:p w14:paraId="2ABE5CFC">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T—反应温度，K；</w:t>
            </w:r>
          </w:p>
          <w:p w14:paraId="182028E1">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t—反应时间，s。</w:t>
            </w:r>
          </w:p>
          <w:p w14:paraId="5215624A">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热力型NOx形成的主要控制因素是温度，温度对NOx生成速率的影响呈指数关系。影响热力型NOx生成的另一个主要因素是烟气中的氧浓度，其生成速率与氧浓度的0.5次方成正比。</w:t>
            </w:r>
          </w:p>
          <w:p w14:paraId="2CA4DC1A">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eastAsia"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烟气再循环技术降低了火焰区域的最高温度，降低火焰就可以降低NOx的形成。同时烟气再循环降低了氧和氮的浓度，同样起到降低NOx的作用。烟气再循环技术中高温烟气对氧化剂和燃料起到预热的作用，有明显节能效果。</w:t>
            </w:r>
          </w:p>
          <w:p w14:paraId="02AE0B2A">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eastAsia" w:cs="Times New Roman"/>
                <w:i w:val="0"/>
                <w:iCs w:val="0"/>
                <w:caps w:val="0"/>
                <w:spacing w:val="0"/>
                <w:sz w:val="24"/>
                <w:szCs w:val="24"/>
                <w:shd w:val="clear" w:fill="FFFFFF"/>
                <w:lang w:val="en-US" w:eastAsia="zh-CN"/>
              </w:rPr>
              <w:t>（6）低氮燃烧器</w:t>
            </w:r>
            <w:r>
              <w:rPr>
                <w:rFonts w:hint="eastAsia" w:ascii="Times New Roman" w:hAnsi="Times New Roman" w:cs="Times New Roman"/>
                <w:b w:val="0"/>
                <w:bCs w:val="0"/>
                <w:color w:val="000000" w:themeColor="text1"/>
                <w:sz w:val="24"/>
                <w:lang w:val="en-US" w:eastAsia="zh-CN"/>
                <w14:textFill>
                  <w14:solidFill>
                    <w14:schemeClr w14:val="tx1"/>
                  </w14:solidFill>
                </w14:textFill>
              </w:rPr>
              <w:t>工艺说明</w:t>
            </w:r>
          </w:p>
          <w:p w14:paraId="05169248">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i w:val="0"/>
                <w:iCs w:val="0"/>
                <w:caps w:val="0"/>
                <w:spacing w:val="0"/>
                <w:sz w:val="24"/>
                <w:szCs w:val="24"/>
                <w:shd w:val="clear" w:fill="FFFFFF"/>
                <w:lang w:val="en-US" w:eastAsia="zh-CN"/>
              </w:rPr>
            </w:pPr>
            <w:r>
              <w:rPr>
                <w:rFonts w:hint="default" w:ascii="Times New Roman" w:hAnsi="Times New Roman" w:cs="Times New Roman"/>
                <w:b w:val="0"/>
                <w:bCs w:val="0"/>
                <w:color w:val="000000" w:themeColor="text1"/>
                <w:sz w:val="24"/>
                <w:lang w:val="en-US" w:eastAsia="zh-CN"/>
                <w14:textFill>
                  <w14:solidFill>
                    <w14:schemeClr w14:val="tx1"/>
                  </w14:solidFill>
                </w14:textFill>
              </w:rPr>
              <w:t>在燃烧器内部，燃烧器喷口的喷口角度可以根据实际需求进行设置。同时，在喷嘴的周围设置了空气进入口，使空气在燃烧器内部混合燃料形成可燃气体。此时，引入的空气流量逐渐增大，并在燃料混合气中形成有氧气气层。该氧</w:t>
            </w:r>
            <w:r>
              <w:rPr>
                <w:rFonts w:hint="eastAsia" w:cs="Times New Roman"/>
                <w:b w:val="0"/>
                <w:bCs w:val="0"/>
                <w:color w:val="000000" w:themeColor="text1"/>
                <w:sz w:val="24"/>
                <w:lang w:val="en-US" w:eastAsia="zh-CN"/>
                <w14:textFill>
                  <w14:solidFill>
                    <w14:schemeClr w14:val="tx1"/>
                  </w14:solidFill>
                </w14:textFill>
              </w:rPr>
              <w:t>气</w:t>
            </w:r>
            <w:r>
              <w:rPr>
                <w:rFonts w:hint="default" w:ascii="Times New Roman" w:hAnsi="Times New Roman" w:cs="Times New Roman"/>
                <w:b w:val="0"/>
                <w:bCs w:val="0"/>
                <w:color w:val="000000" w:themeColor="text1"/>
                <w:sz w:val="24"/>
                <w:lang w:val="en-US" w:eastAsia="zh-CN"/>
                <w14:textFill>
                  <w14:solidFill>
                    <w14:schemeClr w14:val="tx1"/>
                  </w14:solidFill>
                </w14:textFill>
              </w:rPr>
              <w:t>层能够确保燃料在燃烧过程中充分燃烧，从而降低氮氧化物的排放。同时，由于氧气是不连续存在的，所以燃烧越完全，氮氧化物的排放就越低。通过调整喷嘴和空气引入口的结构，以及对空气流动的调节，低氮燃烧器可以灵活调节氧气的混合量，从而控制氮氧化物的排放</w:t>
            </w:r>
            <w:r>
              <w:rPr>
                <w:rFonts w:hint="eastAsia" w:ascii="Times New Roman" w:hAnsi="Times New Roman" w:cs="Times New Roman"/>
                <w:b w:val="0"/>
                <w:bCs w:val="0"/>
                <w:color w:val="000000" w:themeColor="text1"/>
                <w:sz w:val="24"/>
                <w:lang w:val="en-US" w:eastAsia="zh-CN"/>
                <w14:textFill>
                  <w14:solidFill>
                    <w14:schemeClr w14:val="tx1"/>
                  </w14:solidFill>
                </w14:textFill>
              </w:rPr>
              <w:t>。</w:t>
            </w:r>
          </w:p>
          <w:p w14:paraId="0FDD1A02">
            <w:pPr>
              <w:pStyle w:val="25"/>
              <w:keepNext w:val="0"/>
              <w:keepLines w:val="0"/>
              <w:pageBreakBefore w:val="0"/>
              <w:widowControl w:val="0"/>
              <w:suppressLineNumbers w:val="0"/>
              <w:kinsoku/>
              <w:wordWrap/>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本项目运营期工艺流程及产污环节见图</w:t>
            </w:r>
            <w:r>
              <w:rPr>
                <w:rFonts w:hint="eastAsia" w:cs="Times New Roman"/>
                <w:b w:val="0"/>
                <w:bCs w:val="0"/>
                <w:color w:val="000000" w:themeColor="text1"/>
                <w:sz w:val="24"/>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w:t>
            </w:r>
          </w:p>
          <w:p w14:paraId="727244EF">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2.2 产排污环节</w:t>
            </w:r>
          </w:p>
          <w:p w14:paraId="1B725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本项目运营期污染工序与污染因子见表2-</w:t>
            </w:r>
            <w:r>
              <w:rPr>
                <w:rFonts w:hint="eastAsia" w:cs="Times New Roman"/>
                <w:b w:val="0"/>
                <w:bCs/>
                <w:color w:val="000000" w:themeColor="text1"/>
                <w:lang w:val="en-US" w:eastAsia="zh-CN"/>
                <w14:textFill>
                  <w14:solidFill>
                    <w14:schemeClr w14:val="tx1"/>
                  </w14:solidFill>
                </w14:textFill>
              </w:rPr>
              <w:t>10</w:t>
            </w:r>
            <w:r>
              <w:rPr>
                <w:rFonts w:hint="default" w:ascii="Times New Roman" w:hAnsi="Times New Roman" w:eastAsia="宋体" w:cs="Times New Roman"/>
                <w:b w:val="0"/>
                <w:bCs/>
                <w:color w:val="000000" w:themeColor="text1"/>
                <w:lang w:val="en-US" w:eastAsia="zh-CN"/>
                <w14:textFill>
                  <w14:solidFill>
                    <w14:schemeClr w14:val="tx1"/>
                  </w14:solidFill>
                </w14:textFill>
              </w:rPr>
              <w:t>。</w:t>
            </w:r>
          </w:p>
          <w:p w14:paraId="3D3CC11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w:t>
            </w:r>
            <w:r>
              <w:rPr>
                <w:rFonts w:hint="eastAsia"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项目产排污情况汇总表</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5"/>
              <w:gridCol w:w="828"/>
              <w:gridCol w:w="1550"/>
              <w:gridCol w:w="1917"/>
              <w:gridCol w:w="2731"/>
            </w:tblGrid>
            <w:tr w14:paraId="4CBA5C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66" w:type="pct"/>
                  <w:tcBorders>
                    <w:bottom w:val="single" w:color="auto" w:sz="12" w:space="0"/>
                  </w:tcBorders>
                  <w:noWrap w:val="0"/>
                  <w:vAlign w:val="center"/>
                </w:tcPr>
                <w:p w14:paraId="4627369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546" w:type="pct"/>
                  <w:tcBorders>
                    <w:bottom w:val="single" w:color="auto" w:sz="12" w:space="0"/>
                  </w:tcBorders>
                  <w:noWrap w:val="0"/>
                  <w:vAlign w:val="center"/>
                </w:tcPr>
                <w:p w14:paraId="73EE6FC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污染类别</w:t>
                  </w:r>
                </w:p>
              </w:tc>
              <w:tc>
                <w:tcPr>
                  <w:tcW w:w="1022" w:type="pct"/>
                  <w:tcBorders>
                    <w:bottom w:val="single" w:color="auto" w:sz="12" w:space="0"/>
                  </w:tcBorders>
                  <w:noWrap w:val="0"/>
                  <w:vAlign w:val="center"/>
                </w:tcPr>
                <w:p w14:paraId="7E78A30F">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污染物来源</w:t>
                  </w:r>
                </w:p>
              </w:tc>
              <w:tc>
                <w:tcPr>
                  <w:tcW w:w="1264" w:type="pct"/>
                  <w:tcBorders>
                    <w:bottom w:val="single" w:color="auto" w:sz="12" w:space="0"/>
                  </w:tcBorders>
                  <w:noWrap w:val="0"/>
                  <w:vAlign w:val="center"/>
                </w:tcPr>
                <w:p w14:paraId="12277CA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污染因子</w:t>
                  </w:r>
                </w:p>
              </w:tc>
              <w:tc>
                <w:tcPr>
                  <w:tcW w:w="1801" w:type="pct"/>
                  <w:tcBorders>
                    <w:bottom w:val="single" w:color="auto" w:sz="12" w:space="0"/>
                  </w:tcBorders>
                  <w:noWrap w:val="0"/>
                  <w:vAlign w:val="center"/>
                </w:tcPr>
                <w:p w14:paraId="3529697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污染防治措施</w:t>
                  </w:r>
                </w:p>
              </w:tc>
            </w:tr>
            <w:tr w14:paraId="785288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66" w:type="pct"/>
                  <w:tcBorders>
                    <w:top w:val="single" w:color="auto" w:sz="12" w:space="0"/>
                    <w:tl2br w:val="nil"/>
                    <w:tr2bl w:val="nil"/>
                  </w:tcBorders>
                  <w:noWrap w:val="0"/>
                  <w:vAlign w:val="center"/>
                </w:tcPr>
                <w:p w14:paraId="17AE875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w:t>
                  </w:r>
                </w:p>
              </w:tc>
              <w:tc>
                <w:tcPr>
                  <w:tcW w:w="546" w:type="pct"/>
                  <w:tcBorders>
                    <w:top w:val="single" w:color="auto" w:sz="12" w:space="0"/>
                    <w:tl2br w:val="nil"/>
                    <w:tr2bl w:val="nil"/>
                  </w:tcBorders>
                  <w:noWrap w:val="0"/>
                  <w:vAlign w:val="center"/>
                </w:tcPr>
                <w:p w14:paraId="553433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废气</w:t>
                  </w:r>
                </w:p>
              </w:tc>
              <w:tc>
                <w:tcPr>
                  <w:tcW w:w="1022" w:type="pct"/>
                  <w:tcBorders>
                    <w:top w:val="single" w:color="auto" w:sz="12" w:space="0"/>
                    <w:tl2br w:val="nil"/>
                    <w:tr2bl w:val="nil"/>
                  </w:tcBorders>
                  <w:noWrap w:val="0"/>
                  <w:vAlign w:val="center"/>
                </w:tcPr>
                <w:p w14:paraId="4AB7C7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
                      <w14:textFill>
                        <w14:solidFill>
                          <w14:schemeClr w14:val="tx1"/>
                        </w14:solidFill>
                      </w14:textFill>
                    </w:rPr>
                    <w:t>锅</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炉燃烧废气</w:t>
                  </w:r>
                </w:p>
              </w:tc>
              <w:tc>
                <w:tcPr>
                  <w:tcW w:w="1264" w:type="pct"/>
                  <w:tcBorders>
                    <w:top w:val="single" w:color="auto" w:sz="12" w:space="0"/>
                    <w:tl2br w:val="nil"/>
                    <w:tr2bl w:val="nil"/>
                  </w:tcBorders>
                  <w:noWrap w:val="0"/>
                  <w:vAlign w:val="center"/>
                </w:tcPr>
                <w:p w14:paraId="4428B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颗粒物、二氧化硫、氮氧化物、林格曼黑度</w:t>
                  </w:r>
                </w:p>
              </w:tc>
              <w:tc>
                <w:tcPr>
                  <w:tcW w:w="1801" w:type="pct"/>
                  <w:tcBorders>
                    <w:top w:val="single" w:color="auto" w:sz="12" w:space="0"/>
                    <w:tl2br w:val="nil"/>
                    <w:tr2bl w:val="nil"/>
                  </w:tcBorders>
                  <w:noWrap w:val="0"/>
                  <w:vAlign w:val="center"/>
                </w:tcPr>
                <w:p w14:paraId="420083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低氮燃烧器+烟气再循环技术</w:t>
                  </w:r>
                </w:p>
              </w:tc>
            </w:tr>
            <w:tr w14:paraId="500BF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366" w:type="pct"/>
                  <w:tcBorders>
                    <w:tl2br w:val="nil"/>
                    <w:tr2bl w:val="nil"/>
                  </w:tcBorders>
                  <w:noWrap w:val="0"/>
                  <w:vAlign w:val="center"/>
                </w:tcPr>
                <w:p w14:paraId="2E62DBD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w:t>
                  </w:r>
                </w:p>
              </w:tc>
              <w:tc>
                <w:tcPr>
                  <w:tcW w:w="546" w:type="pct"/>
                  <w:tcBorders>
                    <w:tl2br w:val="nil"/>
                    <w:tr2bl w:val="nil"/>
                  </w:tcBorders>
                  <w:noWrap w:val="0"/>
                  <w:vAlign w:val="center"/>
                </w:tcPr>
                <w:p w14:paraId="61AAAF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废水</w:t>
                  </w:r>
                </w:p>
              </w:tc>
              <w:tc>
                <w:tcPr>
                  <w:tcW w:w="1022" w:type="pct"/>
                  <w:tcBorders>
                    <w:tl2br w:val="nil"/>
                    <w:tr2bl w:val="nil"/>
                  </w:tcBorders>
                  <w:noWrap w:val="0"/>
                  <w:vAlign w:val="center"/>
                </w:tcPr>
                <w:p w14:paraId="3688A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锅炉排污水、软水制备废水</w:t>
                  </w:r>
                </w:p>
              </w:tc>
              <w:tc>
                <w:tcPr>
                  <w:tcW w:w="1264" w:type="pct"/>
                  <w:tcBorders>
                    <w:tl2br w:val="nil"/>
                    <w:tr2bl w:val="nil"/>
                  </w:tcBorders>
                  <w:noWrap w:val="0"/>
                  <w:vAlign w:val="center"/>
                </w:tcPr>
                <w:p w14:paraId="0ABE3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pH、悬浮物（SS）、化学需氧量、氨氮、溶解性总固体</w:t>
                  </w:r>
                </w:p>
              </w:tc>
              <w:tc>
                <w:tcPr>
                  <w:tcW w:w="1801" w:type="pct"/>
                  <w:tcBorders>
                    <w:tl2br w:val="nil"/>
                    <w:tr2bl w:val="nil"/>
                  </w:tcBorders>
                  <w:noWrap w:val="0"/>
                  <w:vAlign w:val="center"/>
                </w:tcPr>
                <w:p w14:paraId="2B0BD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经循环水池收集后，全部用于铸管车间涂衬工序</w:t>
                  </w:r>
                </w:p>
              </w:tc>
            </w:tr>
            <w:tr w14:paraId="532DB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66" w:type="pct"/>
                  <w:tcBorders>
                    <w:tl2br w:val="nil"/>
                    <w:tr2bl w:val="nil"/>
                  </w:tcBorders>
                  <w:noWrap w:val="0"/>
                  <w:vAlign w:val="center"/>
                </w:tcPr>
                <w:p w14:paraId="15311469">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3</w:t>
                  </w:r>
                </w:p>
              </w:tc>
              <w:tc>
                <w:tcPr>
                  <w:tcW w:w="546" w:type="pct"/>
                  <w:tcBorders>
                    <w:tl2br w:val="nil"/>
                    <w:tr2bl w:val="nil"/>
                  </w:tcBorders>
                  <w:noWrap w:val="0"/>
                  <w:vAlign w:val="center"/>
                </w:tcPr>
                <w:p w14:paraId="7F68DD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噪声</w:t>
                  </w:r>
                </w:p>
              </w:tc>
              <w:tc>
                <w:tcPr>
                  <w:tcW w:w="1022" w:type="pct"/>
                  <w:tcBorders>
                    <w:tl2br w:val="nil"/>
                    <w:tr2bl w:val="nil"/>
                  </w:tcBorders>
                  <w:noWrap w:val="0"/>
                  <w:vAlign w:val="center"/>
                </w:tcPr>
                <w:p w14:paraId="2A3F26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燃烧器、风机噪</w:t>
                  </w:r>
                  <w:r>
                    <w:rPr>
                      <w:rFonts w:hint="default" w:ascii="Times New Roman" w:hAnsi="Times New Roman" w:cs="Times New Roman"/>
                      <w:b w:val="0"/>
                      <w:bCs w:val="0"/>
                      <w:color w:val="000000" w:themeColor="text1"/>
                      <w:kern w:val="0"/>
                      <w:sz w:val="21"/>
                      <w:szCs w:val="21"/>
                      <w:lang w:val="en-US" w:eastAsia="zh-CN" w:bidi="ar"/>
                      <w14:textFill>
                        <w14:solidFill>
                          <w14:schemeClr w14:val="tx1"/>
                        </w14:solidFill>
                      </w14:textFill>
                    </w:rPr>
                    <w:t>声</w:t>
                  </w:r>
                </w:p>
              </w:tc>
              <w:tc>
                <w:tcPr>
                  <w:tcW w:w="1264" w:type="pct"/>
                  <w:tcBorders>
                    <w:tl2br w:val="nil"/>
                    <w:tr2bl w:val="nil"/>
                  </w:tcBorders>
                  <w:noWrap w:val="0"/>
                  <w:vAlign w:val="center"/>
                </w:tcPr>
                <w:p w14:paraId="5495B0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等效连续A声级（Leq）</w:t>
                  </w:r>
                </w:p>
              </w:tc>
              <w:tc>
                <w:tcPr>
                  <w:tcW w:w="1801" w:type="pct"/>
                  <w:tcBorders>
                    <w:tl2br w:val="nil"/>
                    <w:tr2bl w:val="nil"/>
                  </w:tcBorders>
                  <w:noWrap w:val="0"/>
                  <w:vAlign w:val="center"/>
                </w:tcPr>
                <w:p w14:paraId="4F106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选用低噪声设备、采取减振隔声等降噪措施</w:t>
                  </w:r>
                </w:p>
              </w:tc>
            </w:tr>
            <w:tr w14:paraId="605096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66" w:type="pct"/>
                  <w:vMerge w:val="restart"/>
                  <w:tcBorders>
                    <w:tl2br w:val="nil"/>
                    <w:tr2bl w:val="nil"/>
                  </w:tcBorders>
                  <w:noWrap w:val="0"/>
                  <w:vAlign w:val="center"/>
                </w:tcPr>
                <w:p w14:paraId="428FE62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w:t>
                  </w:r>
                </w:p>
              </w:tc>
              <w:tc>
                <w:tcPr>
                  <w:tcW w:w="546" w:type="pct"/>
                  <w:vMerge w:val="restart"/>
                  <w:tcBorders>
                    <w:tl2br w:val="nil"/>
                    <w:tr2bl w:val="nil"/>
                  </w:tcBorders>
                  <w:noWrap w:val="0"/>
                  <w:vAlign w:val="center"/>
                </w:tcPr>
                <w:p w14:paraId="1E939D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固废</w:t>
                  </w:r>
                </w:p>
              </w:tc>
              <w:tc>
                <w:tcPr>
                  <w:tcW w:w="1022" w:type="pct"/>
                  <w:tcBorders>
                    <w:tl2br w:val="nil"/>
                    <w:tr2bl w:val="nil"/>
                  </w:tcBorders>
                  <w:shd w:val="clear" w:color="auto" w:fill="auto"/>
                  <w:noWrap w:val="0"/>
                  <w:vAlign w:val="center"/>
                </w:tcPr>
                <w:p w14:paraId="7F129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软化水处理</w:t>
                  </w:r>
                </w:p>
              </w:tc>
              <w:tc>
                <w:tcPr>
                  <w:tcW w:w="1264" w:type="pct"/>
                  <w:tcBorders>
                    <w:tl2br w:val="nil"/>
                    <w:tr2bl w:val="nil"/>
                  </w:tcBorders>
                  <w:shd w:val="clear" w:color="auto" w:fill="auto"/>
                  <w:noWrap w:val="0"/>
                  <w:vAlign w:val="center"/>
                </w:tcPr>
                <w:p w14:paraId="0F841E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废离子交换树脂</w:t>
                  </w:r>
                </w:p>
              </w:tc>
              <w:tc>
                <w:tcPr>
                  <w:tcW w:w="1801" w:type="pct"/>
                  <w:tcBorders>
                    <w:tl2br w:val="nil"/>
                    <w:tr2bl w:val="nil"/>
                  </w:tcBorders>
                  <w:noWrap w:val="0"/>
                  <w:vAlign w:val="center"/>
                </w:tcPr>
                <w:p w14:paraId="250A33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废离子交换树脂由厂家更换回收，即产即处理，不在厂区暂存</w:t>
                  </w:r>
                </w:p>
              </w:tc>
            </w:tr>
            <w:tr w14:paraId="267CED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66" w:type="pct"/>
                  <w:vMerge w:val="continue"/>
                  <w:tcBorders>
                    <w:tl2br w:val="nil"/>
                    <w:tr2bl w:val="nil"/>
                  </w:tcBorders>
                  <w:noWrap w:val="0"/>
                  <w:vAlign w:val="center"/>
                </w:tcPr>
                <w:p w14:paraId="3594E83B">
                  <w:pPr>
                    <w:pStyle w:val="39"/>
                    <w:keepNext w:val="0"/>
                    <w:keepLines w:val="0"/>
                    <w:widowControl w:val="0"/>
                    <w:suppressLineNumbers w:val="0"/>
                    <w:bidi w:val="0"/>
                    <w:spacing w:before="0" w:beforeAutospacing="0" w:after="0" w:afterAutospacing="0"/>
                    <w:ind w:left="0" w:right="0"/>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546" w:type="pct"/>
                  <w:vMerge w:val="continue"/>
                  <w:tcBorders>
                    <w:tl2br w:val="nil"/>
                    <w:tr2bl w:val="nil"/>
                  </w:tcBorders>
                  <w:noWrap w:val="0"/>
                  <w:vAlign w:val="center"/>
                </w:tcPr>
                <w:p w14:paraId="0C6520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top"/>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pPr>
                </w:p>
              </w:tc>
              <w:tc>
                <w:tcPr>
                  <w:tcW w:w="1022" w:type="pct"/>
                  <w:tcBorders>
                    <w:tl2br w:val="nil"/>
                    <w:tr2bl w:val="nil"/>
                  </w:tcBorders>
                  <w:shd w:val="clear" w:color="auto" w:fill="auto"/>
                  <w:noWrap w:val="0"/>
                  <w:vAlign w:val="center"/>
                </w:tcPr>
                <w:p w14:paraId="6798C2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机械维修</w:t>
                  </w:r>
                </w:p>
              </w:tc>
              <w:tc>
                <w:tcPr>
                  <w:tcW w:w="1264" w:type="pct"/>
                  <w:tcBorders>
                    <w:tl2br w:val="nil"/>
                    <w:tr2bl w:val="nil"/>
                  </w:tcBorders>
                  <w:shd w:val="clear" w:color="auto" w:fill="auto"/>
                  <w:noWrap w:val="0"/>
                  <w:vAlign w:val="center"/>
                </w:tcPr>
                <w:p w14:paraId="03E41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bidi="ar"/>
                      <w14:textFill>
                        <w14:solidFill>
                          <w14:schemeClr w14:val="tx1"/>
                        </w14:solidFill>
                      </w14:textFill>
                    </w:rPr>
                    <w:t>废机油</w:t>
                  </w:r>
                </w:p>
              </w:tc>
              <w:tc>
                <w:tcPr>
                  <w:tcW w:w="1801" w:type="pct"/>
                  <w:tcBorders>
                    <w:tl2br w:val="nil"/>
                    <w:tr2bl w:val="nil"/>
                  </w:tcBorders>
                  <w:noWrap w:val="0"/>
                  <w:vAlign w:val="center"/>
                </w:tcPr>
                <w:p w14:paraId="2C2A08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废机油暂存于厂区内现有危险废物贮存库，委托有资质单位进行处置</w:t>
                  </w:r>
                </w:p>
              </w:tc>
            </w:tr>
          </w:tbl>
          <w:p w14:paraId="387B8C05">
            <w:pPr>
              <w:pStyle w:val="2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r>
      <w:tr w14:paraId="59744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722" w:type="dxa"/>
            <w:tcBorders>
              <w:tl2br w:val="nil"/>
              <w:tr2bl w:val="nil"/>
            </w:tcBorders>
            <w:vAlign w:val="center"/>
          </w:tcPr>
          <w:p w14:paraId="754F15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Cs/>
                <w:color w:val="000000" w:themeColor="text1"/>
                <w14:textFill>
                  <w14:solidFill>
                    <w14:schemeClr w14:val="tx1"/>
                  </w14:solidFill>
                </w14:textFill>
              </w:rPr>
              <w:t>与项目有关的</w:t>
            </w:r>
            <w:r>
              <w:rPr>
                <w:rFonts w:hint="default" w:ascii="Times New Roman" w:hAnsi="Times New Roman" w:eastAsia="宋体" w:cs="Times New Roman"/>
                <w:bCs/>
                <w:color w:val="000000" w:themeColor="text1"/>
                <w:lang w:eastAsia="zh-CN"/>
                <w14:textFill>
                  <w14:solidFill>
                    <w14:schemeClr w14:val="tx1"/>
                  </w14:solidFill>
                </w14:textFill>
              </w:rPr>
              <w:t>现有</w:t>
            </w:r>
            <w:r>
              <w:rPr>
                <w:rFonts w:hint="default" w:ascii="Times New Roman" w:hAnsi="Times New Roman" w:eastAsia="宋体" w:cs="Times New Roman"/>
                <w:bCs/>
                <w:color w:val="000000" w:themeColor="text1"/>
                <w14:textFill>
                  <w14:solidFill>
                    <w14:schemeClr w14:val="tx1"/>
                  </w14:solidFill>
                </w14:textFill>
              </w:rPr>
              <w:t>环境污染问题</w:t>
            </w:r>
          </w:p>
        </w:tc>
        <w:tc>
          <w:tcPr>
            <w:tcW w:w="7800" w:type="dxa"/>
            <w:tcBorders>
              <w:tl2br w:val="nil"/>
              <w:tr2bl w:val="nil"/>
            </w:tcBorders>
            <w:vAlign w:val="center"/>
          </w:tcPr>
          <w:p w14:paraId="4448D20F">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 现有工程概况</w:t>
            </w:r>
          </w:p>
          <w:p w14:paraId="674B154B">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1.1</w:t>
            </w:r>
            <w:r>
              <w:rPr>
                <w:rFonts w:hint="eastAsia"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highlight w:val="none"/>
                <w:lang w:val="en-US" w:eastAsia="zh-CN"/>
                <w14:textFill>
                  <w14:solidFill>
                    <w14:schemeClr w14:val="tx1"/>
                  </w14:solidFill>
                </w14:textFill>
              </w:rPr>
              <w:t>现有工程基本情况</w:t>
            </w:r>
          </w:p>
          <w:p w14:paraId="5AE0ABEE">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新兴铸管阜康能源有限公司，位于新疆昌吉州阜康市产业园阜东一区百盛路29号，公司经营范围广泛，涉及矿业、能源投资，矿产品、化工产品等销售，矿业技术咨询服务，离心球墨铸铁管生产与销售等多个领域。实际建设内容包括两条球墨铸铁管生产线（一条DN100~1000冷模生产线、一条DN1100~2000热模生产线），项目总占地面积192649m²。</w:t>
            </w:r>
          </w:p>
          <w:p w14:paraId="7814A18C">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生产规模：现有工程建设2条球墨铸铁管专用生产线，分别为冷模球墨铸铁管生产线（管径覆盖DN100~DN1000）、热模球墨铸铁管生产线（管径覆盖DN1100~DN2000），</w:t>
            </w:r>
            <w:r>
              <w:rPr>
                <w:rFonts w:hint="eastAsia" w:cs="Times New Roman"/>
                <w:color w:val="000000" w:themeColor="text1"/>
                <w:lang w:val="en-US" w:eastAsia="zh-CN"/>
                <w14:textFill>
                  <w14:solidFill>
                    <w14:schemeClr w14:val="tx1"/>
                  </w14:solidFill>
                </w14:textFill>
              </w:rPr>
              <w:t>设计</w:t>
            </w:r>
            <w:r>
              <w:rPr>
                <w:rFonts w:hint="default" w:ascii="Times New Roman" w:hAnsi="Times New Roman" w:eastAsia="宋体" w:cs="Times New Roman"/>
                <w:color w:val="000000" w:themeColor="text1"/>
                <w:lang w:val="en-US" w:eastAsia="zh-CN"/>
                <w14:textFill>
                  <w14:solidFill>
                    <w14:schemeClr w14:val="tx1"/>
                  </w14:solidFill>
                </w14:textFill>
              </w:rPr>
              <w:t>总产能为20万吨/年。</w:t>
            </w:r>
          </w:p>
          <w:p w14:paraId="3113F07E">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经现场核查及生产台账统计，2023</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2025年工程实际年产量稳定在18.5万吨/年，</w:t>
            </w:r>
            <w:r>
              <w:rPr>
                <w:rFonts w:hint="default" w:ascii="Times New Roman" w:hAnsi="Times New Roman" w:eastAsia="宋体" w:cs="Times New Roman"/>
                <w:color w:val="000000" w:themeColor="text1"/>
                <w:highlight w:val="yellow"/>
                <w:lang w:val="en-US" w:eastAsia="zh-CN"/>
                <w14:textFill>
                  <w14:solidFill>
                    <w14:schemeClr w14:val="tx1"/>
                  </w14:solidFill>
                </w14:textFill>
              </w:rPr>
              <w:t>设备平均负荷率为</w:t>
            </w:r>
            <w:r>
              <w:rPr>
                <w:rFonts w:hint="eastAsia" w:ascii="Times New Roman" w:hAnsi="Times New Roman" w:eastAsia="宋体" w:cs="Times New Roman"/>
                <w:bCs/>
                <w:color w:val="000000" w:themeColor="text1"/>
                <w:sz w:val="24"/>
                <w:szCs w:val="24"/>
                <w:highlight w:val="yellow"/>
                <w:lang w:val="en-US" w:eastAsia="zh-CN"/>
                <w14:textFill>
                  <w14:solidFill>
                    <w14:schemeClr w14:val="tx1"/>
                  </w14:solidFill>
                </w14:textFill>
              </w:rPr>
              <w:t>29.31%</w:t>
            </w:r>
            <w:r>
              <w:rPr>
                <w:rFonts w:hint="default" w:ascii="Times New Roman" w:hAnsi="Times New Roman" w:eastAsia="宋体" w:cs="Times New Roman"/>
                <w:color w:val="000000" w:themeColor="text1"/>
                <w:highlight w:val="none"/>
                <w:lang w:val="en-US" w:eastAsia="zh-CN"/>
                <w14:textFill>
                  <w14:solidFill>
                    <w14:schemeClr w14:val="tx1"/>
                  </w14:solidFill>
                </w14:textFill>
              </w:rPr>
              <w:t>，实际产能未超出环评批复及排污许可证载明的产能限值，生产规模处于合理可控区间。</w:t>
            </w:r>
          </w:p>
          <w:p w14:paraId="1F6DC524">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生产状况：生产线运行</w:t>
            </w:r>
            <w:r>
              <w:rPr>
                <w:rFonts w:hint="eastAsia" w:cs="Times New Roman"/>
                <w:color w:val="000000" w:themeColor="text1"/>
                <w:highlight w:val="none"/>
                <w:lang w:val="en-US" w:eastAsia="zh-CN"/>
                <w14:textFill>
                  <w14:solidFill>
                    <w14:schemeClr w14:val="tx1"/>
                  </w14:solidFill>
                </w14:textFill>
              </w:rPr>
              <w:t>稳定，</w:t>
            </w:r>
            <w:r>
              <w:rPr>
                <w:rFonts w:hint="default" w:ascii="Times New Roman" w:hAnsi="Times New Roman" w:eastAsia="宋体" w:cs="Times New Roman"/>
                <w:color w:val="000000" w:themeColor="text1"/>
                <w:highlight w:val="none"/>
                <w:lang w:val="en-US" w:eastAsia="zh-CN"/>
                <w14:textFill>
                  <w14:solidFill>
                    <w14:schemeClr w14:val="tx1"/>
                  </w14:solidFill>
                </w14:textFill>
              </w:rPr>
              <w:t>冷模生产线于2015年建成投运，热模生产线于2020年建成投运，两条生产线均处于持续稳定运行状态。核心生产设备（水冷型离心机、台车式退火炉等）日常开机率达85%以上，设备运行参数（转速、温度、压力等）均符合工艺设计要求，未发生因设备故障导致的长时间停产情况，生产连续性良好。</w:t>
            </w:r>
          </w:p>
          <w:p w14:paraId="20944B33">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热源系统运行情况</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配套建设Φ3.6米煤气发生炉作为台车式退火炉的核心热源，燃料为</w:t>
            </w:r>
            <w:r>
              <w:rPr>
                <w:rFonts w:hint="eastAsia" w:cs="Times New Roman"/>
                <w:color w:val="000000" w:themeColor="text1"/>
                <w:lang w:val="en-US" w:eastAsia="zh-CN"/>
                <w14:textFill>
                  <w14:solidFill>
                    <w14:schemeClr w14:val="tx1"/>
                  </w14:solidFill>
                </w14:textFill>
              </w:rPr>
              <w:t>煤气</w:t>
            </w:r>
            <w:r>
              <w:rPr>
                <w:rFonts w:hint="default" w:ascii="Times New Roman" w:hAnsi="Times New Roman" w:eastAsia="宋体" w:cs="Times New Roman"/>
                <w:color w:val="000000" w:themeColor="text1"/>
                <w:lang w:val="en-US" w:eastAsia="zh-CN"/>
                <w14:textFill>
                  <w14:solidFill>
                    <w14:schemeClr w14:val="tx1"/>
                  </w14:solidFill>
                </w14:textFill>
              </w:rPr>
              <w:t>，煤气发生炉运行过程中，配套脱硫设施与主体生产设备同步投运、同步检修，确保退火炉供热稳定的同时，削减燃烧废气中二氧化硫等污染物的排放，满足污染治理设施与生产设施“三同时”运行要求。</w:t>
            </w:r>
          </w:p>
          <w:p w14:paraId="3DB64300">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生产负荷匹配性</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结合近三年实际产量核算，</w:t>
            </w:r>
            <w:r>
              <w:rPr>
                <w:rFonts w:hint="default" w:ascii="Times New Roman" w:hAnsi="Times New Roman" w:eastAsia="宋体" w:cs="Times New Roman"/>
                <w:color w:val="000000" w:themeColor="text1"/>
                <w:highlight w:val="yellow"/>
                <w:lang w:val="en-US" w:eastAsia="zh-CN"/>
                <w14:textFill>
                  <w14:solidFill>
                    <w14:schemeClr w14:val="tx1"/>
                  </w14:solidFill>
                </w14:textFill>
              </w:rPr>
              <w:t>生产线设备负荷率维持</w:t>
            </w:r>
            <w:r>
              <w:rPr>
                <w:rFonts w:hint="eastAsia" w:cs="Times New Roman"/>
                <w:color w:val="000000" w:themeColor="text1"/>
                <w:highlight w:val="yellow"/>
                <w:lang w:val="en-US" w:eastAsia="zh-CN"/>
                <w14:textFill>
                  <w14:solidFill>
                    <w14:schemeClr w14:val="tx1"/>
                  </w14:solidFill>
                </w14:textFill>
              </w:rPr>
              <w:t>29.31</w:t>
            </w:r>
            <w:r>
              <w:rPr>
                <w:rFonts w:hint="default" w:ascii="Times New Roman" w:hAnsi="Times New Roman" w:eastAsia="宋体" w:cs="Times New Roman"/>
                <w:color w:val="000000" w:themeColor="text1"/>
                <w:highlight w:val="yellow"/>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处</w:t>
            </w:r>
            <w:r>
              <w:rPr>
                <w:rFonts w:hint="default" w:ascii="Times New Roman" w:hAnsi="Times New Roman" w:eastAsia="宋体" w:cs="Times New Roman"/>
                <w:color w:val="000000" w:themeColor="text1"/>
                <w:lang w:val="en-US" w:eastAsia="zh-CN"/>
                <w14:textFill>
                  <w14:solidFill>
                    <w14:schemeClr w14:val="tx1"/>
                  </w14:solidFill>
                </w14:textFill>
              </w:rPr>
              <w:t>于设计负荷的合理区间，生产节奏平稳。生产过程中各工序（熔炼、离心浇注、退火、喷锌、喷漆、清砂等）衔接有序，未出现工序间产能不匹配导致的物料积压或产能浪费情况，整体生产工况稳定。</w:t>
            </w:r>
          </w:p>
          <w:p w14:paraId="64E006CD">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highlight w:val="none"/>
                <w:lang w:val="en-US" w:eastAsia="zh-CN"/>
                <w14:textFill>
                  <w14:solidFill>
                    <w14:schemeClr w14:val="tx1"/>
                  </w14:solidFill>
                </w14:textFill>
              </w:rPr>
              <w:t>.2 现有</w:t>
            </w:r>
            <w:r>
              <w:rPr>
                <w:rFonts w:hint="default" w:ascii="Times New Roman" w:hAnsi="Times New Roman" w:eastAsia="宋体" w:cs="Times New Roman"/>
                <w:color w:val="000000" w:themeColor="text1"/>
                <w:highlight w:val="none"/>
                <w14:textFill>
                  <w14:solidFill>
                    <w14:schemeClr w14:val="tx1"/>
                  </w14:solidFill>
                </w14:textFill>
              </w:rPr>
              <w:t>工程环保手续履行情况</w:t>
            </w:r>
          </w:p>
          <w:p w14:paraId="119B2836">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
                <w14:textFill>
                  <w14:solidFill>
                    <w14:schemeClr w14:val="tx1"/>
                  </w14:solidFill>
                </w14:textFill>
              </w:rPr>
              <w:t>（1）环境影</w:t>
            </w:r>
            <w:r>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t>响评价</w:t>
            </w:r>
          </w:p>
          <w:p w14:paraId="6E5D5524">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2013年10月，中国人民解放军后勤工程学院环境保护科学研究所编制完成《新兴铸管阜康能源有限公司20万吨/年球墨铸铁管项目环境影响报告书》。2013年12月3日，原昌吉回族自治州环境保护局以《昌吉州环保局关于对新兴铸管阜康能源有限公司20万吨/年球墨铸铁管项目环境影响报告书的批复》</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昌州环评〔2013〕191号</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同意项目建设。</w:t>
            </w:r>
          </w:p>
          <w:p w14:paraId="56BA4B49">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b w:val="0"/>
                <w:bCs/>
                <w:color w:val="000000" w:themeColor="text1"/>
                <w:kern w:val="0"/>
                <w:sz w:val="24"/>
                <w:szCs w:val="24"/>
                <w:lang w:val="en-US" w:eastAsia="zh-CN" w:bidi="ar"/>
                <w14:textFill>
                  <w14:solidFill>
                    <w14:schemeClr w14:val="tx1"/>
                  </w14:solidFill>
                </w14:textFill>
              </w:rPr>
              <w:t>2</w:t>
            </w:r>
            <w:r>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t>）环境影响评价</w:t>
            </w:r>
            <w:r>
              <w:rPr>
                <w:rFonts w:hint="eastAsia" w:ascii="Times New Roman" w:hAnsi="Times New Roman" w:cs="Times New Roman"/>
                <w:b w:val="0"/>
                <w:bCs/>
                <w:color w:val="000000" w:themeColor="text1"/>
                <w:kern w:val="0"/>
                <w:sz w:val="24"/>
                <w:szCs w:val="24"/>
                <w:lang w:val="en-US" w:eastAsia="zh-CN" w:bidi="ar"/>
                <w14:textFill>
                  <w14:solidFill>
                    <w14:schemeClr w14:val="tx1"/>
                  </w14:solidFill>
                </w14:textFill>
              </w:rPr>
              <w:t>变更</w:t>
            </w:r>
          </w:p>
          <w:p w14:paraId="4AF5122F">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冷模生产线于2014年4月开工建设，建设过程中原批复的燃料一焦炉煤气因前段焦化项目未能如期投建而无法正常供给，因此将燃料供应方式变更为自建1台LD-Φ3.6米煤气发生炉。2015年3月，新兴铸管阜康能源有限公司委托新疆净源环境咨询有限公司编制了《新兴铸管阜康能源有限公司20万吨/年球墨铸铁管项目环评变更报告》，原昌吉回族自治州环境保护局于2015年3月25日下发了《昌吉州环保局关于新兴铸管阜康能源有限公司20万吨/年球墨铸铁管项目环评变更意见的复函》</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昌州环函〔2015〕66号</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同意燃料变更。</w:t>
            </w:r>
          </w:p>
          <w:p w14:paraId="313F56CF">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《新兴铸管阜康能源有限公司20万吨/年球墨铸铁管项目</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电炉原批复为10t</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5台，变动后为20t</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3台，其中2台用于熔炼，1台用于保温，生产线的生产能力仍保持在20万t/a。昌吉州工信局出具《关于对阜康市新兴铸管能源有限公司建设20吨中频电炉项目的复函》中明确未新增产能</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生产工艺微调且未有重大变动，项目由于原料形式和产品规格发生了变动，取消了混铁炉，由原来的两条冷模线变为了1条热模线、1条冷模线。后续的退火、喷锌、精整、涂衬、喷漆等工序均无变化</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污染物排放总量大幅度降低，项目燃气设施增加炉后脱硫，各产尘环节均配套袋式除尘器，燃气设备增加SNCR脱硝，喷漆工序增加活性炭吸附设施，增加了MBR污水处理站。</w:t>
            </w:r>
          </w:p>
          <w:p w14:paraId="400789DD">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eastAsia"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调整后，变动后颗粒物、二氧化硫、氮氧化物、挥发性有机物均得到了大幅度的削减，对环境的影响没有加重。上述调整不属于重大变动，不需要重新进行环境影响评价，纳入竣工环保验收即可。昌吉回族自治州环境保护局于20</w:t>
            </w:r>
            <w:r>
              <w:rPr>
                <w:rFonts w:hint="eastAsia" w:cs="Times New Roman"/>
                <w:color w:val="000000" w:themeColor="text1"/>
                <w:highlight w:val="none"/>
                <w:lang w:val="en-US" w:eastAsia="zh-CN"/>
                <w14:textFill>
                  <w14:solidFill>
                    <w14:schemeClr w14:val="tx1"/>
                  </w14:solidFill>
                </w14:textFill>
              </w:rPr>
              <w:t>21</w:t>
            </w:r>
            <w:r>
              <w:rPr>
                <w:rFonts w:hint="default" w:ascii="Times New Roman" w:hAnsi="Times New Roman" w:eastAsia="宋体" w:cs="Times New Roman"/>
                <w:color w:val="000000" w:themeColor="text1"/>
                <w:highlight w:val="none"/>
                <w:lang w:val="en-US" w:eastAsia="zh-CN"/>
                <w14:textFill>
                  <w14:solidFill>
                    <w14:schemeClr w14:val="tx1"/>
                  </w14:solidFill>
                </w14:textFill>
              </w:rPr>
              <w:t>年</w:t>
            </w:r>
            <w:r>
              <w:rPr>
                <w:rFonts w:hint="eastAsia" w:cs="Times New Roman"/>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月5日下发了</w:t>
            </w:r>
            <w:r>
              <w:rPr>
                <w:rFonts w:hint="eastAsia" w:cs="Times New Roman"/>
                <w:color w:val="000000" w:themeColor="text1"/>
                <w:highlight w:val="none"/>
                <w:lang w:val="en-US" w:eastAsia="zh-CN"/>
                <w14:textFill>
                  <w14:solidFill>
                    <w14:schemeClr w14:val="tx1"/>
                  </w14:solidFill>
                </w14:textFill>
              </w:rPr>
              <w:t>《关于新兴铸管阜康能源有限公司20万吨/年球墨铸铁管项目环评重大变动界定有关事宜的复函》。</w:t>
            </w:r>
          </w:p>
          <w:p w14:paraId="726D03DB">
            <w:pPr>
              <w:pStyle w:val="25"/>
              <w:keepNext w:val="0"/>
              <w:keepLines w:val="0"/>
              <w:suppressLineNumbers w:val="0"/>
              <w:spacing w:before="0" w:beforeAutospacing="0" w:after="0" w:afterAutospacing="0"/>
              <w:ind w:left="0" w:leftChars="0" w:right="0" w:firstLine="480" w:firstLineChars="200"/>
              <w:jc w:val="both"/>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b w:val="0"/>
                <w:bCs/>
                <w:color w:val="000000" w:themeColor="text1"/>
                <w:kern w:val="0"/>
                <w:sz w:val="24"/>
                <w:szCs w:val="24"/>
                <w:highlight w:val="none"/>
                <w:lang w:val="en-US" w:eastAsia="zh-CN" w:bidi="ar"/>
                <w14:textFill>
                  <w14:solidFill>
                    <w14:schemeClr w14:val="tx1"/>
                  </w14:solidFill>
                </w14:textFill>
              </w:rPr>
              <w:t>3</w:t>
            </w:r>
            <w:r>
              <w:rPr>
                <w:rFonts w:hint="default" w:ascii="Times New Roman" w:hAnsi="Times New Roman" w:eastAsia="宋体" w:cs="Times New Roman"/>
                <w:b w:val="0"/>
                <w:bCs/>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b w:val="0"/>
                <w:bCs/>
                <w:color w:val="000000" w:themeColor="text1"/>
                <w:highlight w:val="none"/>
                <w:lang w:val="en-US" w:eastAsia="zh-CN"/>
                <w14:textFill>
                  <w14:solidFill>
                    <w14:schemeClr w14:val="tx1"/>
                  </w14:solidFill>
                </w14:textFill>
              </w:rPr>
              <w:t>环境影响登记表</w:t>
            </w:r>
          </w:p>
          <w:p w14:paraId="1BAF570E">
            <w:pPr>
              <w:pStyle w:val="25"/>
              <w:keepNext w:val="0"/>
              <w:keepLines w:val="0"/>
              <w:suppressLineNumbers w:val="0"/>
              <w:spacing w:before="0" w:beforeAutospacing="0" w:after="0" w:afterAutospacing="0"/>
              <w:ind w:left="0" w:leftChars="0" w:right="0" w:firstLine="480" w:firstLineChars="200"/>
              <w:jc w:val="both"/>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企业于2025年完成原有煤气发生炉拆除工作，同步新建1套3000立方米/小时天然气调压计量撬设备，并针对《新兴铸管阜康能源有限公司调压计量撬及配套设施建设项目》完成环境影响登记表备案，相关资料详见附件4。</w:t>
            </w:r>
          </w:p>
          <w:p w14:paraId="2213DC88">
            <w:pPr>
              <w:pStyle w:val="25"/>
              <w:keepNext w:val="0"/>
              <w:keepLines w:val="0"/>
              <w:suppressLineNumbers w:val="0"/>
              <w:spacing w:before="0" w:beforeAutospacing="0" w:after="0" w:afterAutospacing="0"/>
              <w:ind w:left="0" w:leftChars="0" w:right="0" w:firstLine="480" w:firstLineChars="200"/>
              <w:jc w:val="both"/>
              <w:rPr>
                <w:rFonts w:hint="default"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公司现有年产20万吨球墨铸铁管生产项目，本次仅对生产线退火炉实施燃料替换改造，将原有煤气燃料更换为天然气；厂区内配套新建1套处理能力3000m³/h天然气调压计量装置，天然气原料依托槽车运输，槽车停放布置于调压计量装置周边，项目其余生产工艺、产能、配套设施及厂区布局均保持原有状态不变。针对本次改造环保手续办理事宜，已专程咨询新疆维吾尔自治区生态环境厅，相关答复内容详见附件8。</w:t>
            </w:r>
          </w:p>
          <w:p w14:paraId="784FD7E7">
            <w:pPr>
              <w:pStyle w:val="25"/>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w:t>
            </w:r>
            <w:r>
              <w:rPr>
                <w:rFonts w:hint="eastAsia" w:cs="Times New Roman"/>
                <w:b w:val="0"/>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环保竣工验收</w:t>
            </w:r>
          </w:p>
          <w:p w14:paraId="20521E88">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冷模生产线于2015年</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月建设完成，</w:t>
            </w:r>
            <w:r>
              <w:rPr>
                <w:rFonts w:hint="eastAsia" w:cs="Times New Roman"/>
                <w:color w:val="000000" w:themeColor="text1"/>
                <w:highlight w:val="none"/>
                <w:lang w:val="en-US" w:eastAsia="zh-CN"/>
                <w14:textFill>
                  <w14:solidFill>
                    <w14:schemeClr w14:val="tx1"/>
                  </w14:solidFill>
                </w14:textFill>
              </w:rPr>
              <w:t>同年4月</w:t>
            </w:r>
            <w:r>
              <w:rPr>
                <w:rFonts w:hint="default" w:ascii="Times New Roman" w:hAnsi="Times New Roman" w:eastAsia="宋体" w:cs="Times New Roman"/>
                <w:color w:val="000000" w:themeColor="text1"/>
                <w:highlight w:val="none"/>
                <w:lang w:val="en-US" w:eastAsia="zh-CN"/>
                <w14:textFill>
                  <w14:solidFill>
                    <w14:schemeClr w14:val="tx1"/>
                  </w14:solidFill>
                </w14:textFill>
              </w:rPr>
              <w:t>新兴铸管阜康能源有限公司委托昌吉州环境监测站对20</w:t>
            </w:r>
            <w:r>
              <w:rPr>
                <w:rFonts w:hint="default" w:ascii="Times New Roman" w:hAnsi="Times New Roman" w:eastAsia="宋体" w:cs="Times New Roman"/>
                <w:color w:val="000000" w:themeColor="text1"/>
                <w:lang w:val="en-US" w:eastAsia="zh-CN"/>
                <w14:textFill>
                  <w14:solidFill>
                    <w14:schemeClr w14:val="tx1"/>
                  </w14:solidFill>
                </w14:textFill>
              </w:rPr>
              <w:t>万吨/年球墨铸铁管项目进行建设项目竣工环保验收监测；</w:t>
            </w:r>
            <w:r>
              <w:rPr>
                <w:rFonts w:hint="eastAsia" w:cs="Times New Roman"/>
                <w:color w:val="000000" w:themeColor="text1"/>
                <w:lang w:val="en-US" w:eastAsia="zh-CN"/>
                <w14:textFill>
                  <w14:solidFill>
                    <w14:schemeClr w14:val="tx1"/>
                  </w14:solidFill>
                </w14:textFill>
              </w:rPr>
              <w:t>2015年</w:t>
            </w:r>
            <w:r>
              <w:rPr>
                <w:rFonts w:hint="default" w:ascii="Times New Roman" w:hAnsi="Times New Roman" w:eastAsia="宋体" w:cs="Times New Roman"/>
                <w:color w:val="000000" w:themeColor="text1"/>
                <w:lang w:val="en-US" w:eastAsia="zh-CN"/>
                <w14:textFill>
                  <w14:solidFill>
                    <w14:schemeClr w14:val="tx1"/>
                  </w14:solidFill>
                </w14:textFill>
              </w:rPr>
              <w:t>10月，</w:t>
            </w:r>
            <w:r>
              <w:rPr>
                <w:rFonts w:hint="eastAsia" w:cs="Times New Roman"/>
                <w:color w:val="000000" w:themeColor="text1"/>
                <w:lang w:val="en-US" w:eastAsia="zh-CN"/>
                <w14:textFill>
                  <w14:solidFill>
                    <w14:schemeClr w14:val="tx1"/>
                  </w14:solidFill>
                </w14:textFill>
              </w:rPr>
              <w:t>原</w:t>
            </w:r>
            <w:r>
              <w:rPr>
                <w:rFonts w:hint="default" w:ascii="Times New Roman" w:hAnsi="Times New Roman" w:eastAsia="宋体" w:cs="Times New Roman"/>
                <w:color w:val="000000" w:themeColor="text1"/>
                <w:lang w:val="en-US" w:eastAsia="zh-CN"/>
                <w14:textFill>
                  <w14:solidFill>
                    <w14:schemeClr w14:val="tx1"/>
                  </w14:solidFill>
                </w14:textFill>
              </w:rPr>
              <w:t>昌吉州环保局《昌吉州环保局关于新兴铸管阜康能源有限公司20万吨/年球墨铸铁管项目竣工环境保护验收意见的函》（昌州环函〔2015〕385号）同意通过竣工环境保护验收</w:t>
            </w:r>
            <w:r>
              <w:rPr>
                <w:rFonts w:hint="eastAsia" w:cs="Times New Roman"/>
                <w:color w:val="000000" w:themeColor="text1"/>
                <w:lang w:val="en-US" w:eastAsia="zh-CN"/>
                <w14:textFill>
                  <w14:solidFill>
                    <w14:schemeClr w14:val="tx1"/>
                  </w14:solidFill>
                </w14:textFill>
              </w:rPr>
              <w:t>。</w:t>
            </w:r>
          </w:p>
          <w:p w14:paraId="30194F5E">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热模生产线于2019年12月开工建设，2020年6月建设完成并投入调试运行</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auto"/>
                <w:lang w:val="en-US" w:eastAsia="zh-CN"/>
              </w:rPr>
              <w:t>2021年5月30—6月6日</w:t>
            </w:r>
            <w:r>
              <w:rPr>
                <w:rFonts w:hint="default" w:ascii="Times New Roman" w:hAnsi="Times New Roman" w:eastAsia="宋体" w:cs="Times New Roman"/>
                <w:color w:val="000000" w:themeColor="text1"/>
                <w:lang w:val="en-US" w:eastAsia="zh-CN"/>
                <w14:textFill>
                  <w14:solidFill>
                    <w14:schemeClr w14:val="tx1"/>
                  </w14:solidFill>
                </w14:textFill>
              </w:rPr>
              <w:t>委托新疆中检联检测有限公司进行现场监测，于2021年11月通过竣工环境保护验收</w:t>
            </w:r>
            <w:r>
              <w:rPr>
                <w:rFonts w:hint="eastAsia" w:cs="Times New Roman"/>
                <w:color w:val="000000" w:themeColor="text1"/>
                <w:lang w:val="en-US" w:eastAsia="zh-CN"/>
                <w14:textFill>
                  <w14:solidFill>
                    <w14:schemeClr w14:val="tx1"/>
                  </w14:solidFill>
                </w14:textFill>
              </w:rPr>
              <w:t>，验收意见详见附件</w:t>
            </w:r>
            <w:r>
              <w:rPr>
                <w:rFonts w:hint="default" w:ascii="Times New Roman" w:hAnsi="Times New Roman" w:eastAsia="宋体" w:cs="Times New Roman"/>
                <w:color w:val="000000" w:themeColor="text1"/>
                <w:lang w:val="en-US" w:eastAsia="zh-CN"/>
                <w14:textFill>
                  <w14:solidFill>
                    <w14:schemeClr w14:val="tx1"/>
                  </w14:solidFill>
                </w14:textFill>
              </w:rPr>
              <w:t>。</w:t>
            </w:r>
          </w:p>
          <w:p w14:paraId="11643996">
            <w:pPr>
              <w:pStyle w:val="25"/>
              <w:keepNext w:val="0"/>
              <w:keepLines w:val="0"/>
              <w:numPr>
                <w:ilvl w:val="0"/>
                <w:numId w:val="0"/>
              </w:numPr>
              <w:suppressLineNumbers w:val="0"/>
              <w:bidi w:val="0"/>
              <w:spacing w:before="0" w:beforeAutospacing="0" w:after="0" w:afterAutospacing="0"/>
              <w:ind w:left="0" w:right="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w:t>
            </w:r>
            <w:r>
              <w:rPr>
                <w:rFonts w:hint="eastAsia" w:cs="Times New Roman"/>
                <w:b w:val="0"/>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排污许可证申领情况</w:t>
            </w:r>
          </w:p>
          <w:p w14:paraId="63B768F3">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2020年7月14日，新兴铸管阜康能源有限公司首次取得阜康市环保局下发的《新兴铸管阜康能源有限公司排污许可证》（证书编号：916523027516920284001R），</w:t>
            </w:r>
            <w:r>
              <w:rPr>
                <w:rFonts w:hint="eastAsia" w:cs="Times New Roman"/>
                <w:color w:val="000000" w:themeColor="text1"/>
                <w:lang w:val="en-US" w:eastAsia="zh-CN"/>
                <w14:textFill>
                  <w14:solidFill>
                    <w14:schemeClr w14:val="tx1"/>
                  </w14:solidFill>
                </w14:textFill>
              </w:rPr>
              <w:t>于2024年1月26日</w:t>
            </w:r>
            <w:r>
              <w:rPr>
                <w:rFonts w:hint="default" w:ascii="Times New Roman" w:hAnsi="Times New Roman" w:eastAsia="宋体" w:cs="Times New Roman"/>
                <w:color w:val="000000" w:themeColor="text1"/>
                <w:lang w:val="en-US" w:eastAsia="zh-CN"/>
                <w14:textFill>
                  <w14:solidFill>
                    <w14:schemeClr w14:val="tx1"/>
                  </w14:solidFill>
                </w14:textFill>
              </w:rPr>
              <w:t>进行了变更</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有效期至2029年1月25日。</w:t>
            </w:r>
          </w:p>
          <w:p w14:paraId="74201C33">
            <w:pPr>
              <w:pStyle w:val="25"/>
              <w:keepNext w:val="0"/>
              <w:keepLines w:val="0"/>
              <w:numPr>
                <w:ilvl w:val="0"/>
                <w:numId w:val="0"/>
              </w:numPr>
              <w:suppressLineNumbers w:val="0"/>
              <w:bidi w:val="0"/>
              <w:spacing w:before="0" w:beforeAutospacing="0" w:after="0" w:afterAutospacing="0"/>
              <w:ind w:left="0" w:right="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w:t>
            </w:r>
            <w:r>
              <w:rPr>
                <w:rFonts w:hint="eastAsia" w:cs="Times New Roman"/>
                <w:b w:val="0"/>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突发环境事件应急预案</w:t>
            </w:r>
          </w:p>
          <w:p w14:paraId="271BDF09">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新兴铸管阜康能源有限公司于2025年1月向昌吉回族自治州生态环境局阜康市分局报备</w:t>
            </w:r>
            <w:r>
              <w:rPr>
                <w:rFonts w:hint="eastAsia" w:cs="Times New Roman"/>
                <w:color w:val="000000" w:themeColor="text1"/>
                <w:lang w:val="en-US" w:eastAsia="zh-CN"/>
                <w14:textFill>
                  <w14:solidFill>
                    <w14:schemeClr w14:val="tx1"/>
                  </w14:solidFill>
                </w14:textFill>
              </w:rPr>
              <w:t>，备案编号为652302-2025-056-L，备案表详见附件。</w:t>
            </w:r>
          </w:p>
          <w:p w14:paraId="269C19BB">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1.3 现有工程建设情况</w:t>
            </w:r>
          </w:p>
          <w:p w14:paraId="50A5A81A">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auto"/>
                <w:lang w:val="en-US" w:eastAsia="zh-CN"/>
              </w:rPr>
              <w:t>现有工程建设情况及污染物排放情况均来源于新兴铸管阜康能源有限公司20万吨/年球墨铸铁管项目竣工环境保护验收监测报告。</w:t>
            </w:r>
            <w:r>
              <w:rPr>
                <w:rFonts w:hint="default" w:ascii="Times New Roman" w:hAnsi="Times New Roman" w:eastAsia="宋体" w:cs="Times New Roman"/>
                <w:color w:val="auto"/>
                <w:lang w:val="en-US" w:eastAsia="zh-CN"/>
              </w:rPr>
              <w:t>根据现场踏勘，该公司已完成建设内容为两条球墨铸铁管生产线</w:t>
            </w:r>
            <w:r>
              <w:rPr>
                <w:rFonts w:hint="eastAsia" w:cs="Times New Roman"/>
                <w:color w:val="auto"/>
                <w:lang w:val="en-US" w:eastAsia="zh-CN"/>
              </w:rPr>
              <w:t>：</w:t>
            </w:r>
            <w:r>
              <w:rPr>
                <w:rFonts w:hint="default" w:ascii="Times New Roman" w:hAnsi="Times New Roman" w:eastAsia="宋体" w:cs="Times New Roman"/>
                <w:color w:val="auto"/>
                <w:lang w:val="en-US" w:eastAsia="zh-CN"/>
              </w:rPr>
              <w:t>一条DN</w:t>
            </w:r>
            <w:r>
              <w:rPr>
                <w:rFonts w:hint="default" w:ascii="Times New Roman" w:hAnsi="Times New Roman" w:eastAsia="宋体" w:cs="Times New Roman"/>
                <w:color w:val="000000" w:themeColor="text1"/>
                <w:lang w:val="en-US" w:eastAsia="zh-CN"/>
                <w14:textFill>
                  <w14:solidFill>
                    <w14:schemeClr w14:val="tx1"/>
                  </w14:solidFill>
                </w14:textFill>
              </w:rPr>
              <w:t>100~1000冷模生产线、一条DN1100-2000热模生产线。项目建设规模为年产DN100~DN1000、DN1100~DN2000球墨铸铁管20万吨。</w:t>
            </w:r>
          </w:p>
          <w:p w14:paraId="647838F2">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w:t>
            </w:r>
            <w:r>
              <w:rPr>
                <w:rFonts w:hint="eastAsia" w:cs="Times New Roman"/>
                <w:color w:val="000000" w:themeColor="text1"/>
                <w:sz w:val="21"/>
                <w:szCs w:val="21"/>
                <w:lang w:val="en-US" w:eastAsia="zh-CN"/>
                <w14:textFill>
                  <w14:solidFill>
                    <w14:schemeClr w14:val="tx1"/>
                  </w14:solidFill>
                </w14:textFill>
              </w:rPr>
              <w:t>11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现有工程建设情况一览表</w:t>
            </w:r>
          </w:p>
          <w:tbl>
            <w:tblPr>
              <w:tblStyle w:val="29"/>
              <w:tblW w:w="768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6560"/>
            </w:tblGrid>
            <w:tr w14:paraId="03D732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9" w:type="pct"/>
                  <w:tcBorders>
                    <w:bottom w:val="single" w:color="auto" w:sz="12" w:space="0"/>
                  </w:tcBorders>
                  <w:noWrap w:val="0"/>
                  <w:vAlign w:val="center"/>
                </w:tcPr>
                <w:p w14:paraId="2A391F9C">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工程类型</w:t>
                  </w:r>
                </w:p>
              </w:tc>
              <w:tc>
                <w:tcPr>
                  <w:tcW w:w="4270" w:type="pct"/>
                  <w:tcBorders>
                    <w:bottom w:val="single" w:color="auto" w:sz="12" w:space="0"/>
                  </w:tcBorders>
                  <w:noWrap w:val="0"/>
                  <w:vAlign w:val="center"/>
                </w:tcPr>
                <w:p w14:paraId="06285C6B">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建设内容</w:t>
                  </w:r>
                </w:p>
              </w:tc>
            </w:tr>
            <w:tr w14:paraId="3205D2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29" w:type="pct"/>
                  <w:tcBorders>
                    <w:top w:val="single" w:color="auto" w:sz="12" w:space="0"/>
                    <w:tl2br w:val="nil"/>
                    <w:tr2bl w:val="nil"/>
                  </w:tcBorders>
                  <w:noWrap w:val="0"/>
                  <w:vAlign w:val="center"/>
                </w:tcPr>
                <w:p w14:paraId="75D55F5D">
                  <w:pPr>
                    <w:pStyle w:val="39"/>
                    <w:keepNext w:val="0"/>
                    <w:keepLines w:val="0"/>
                    <w:widowControl/>
                    <w:suppressLineNumbers w:val="0"/>
                    <w:bidi w:val="0"/>
                    <w:spacing w:before="0" w:beforeAutospacing="0" w:after="0" w:afterAutospacing="0"/>
                    <w:ind w:left="0" w:right="0"/>
                    <w:jc w:val="left"/>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主体工程</w:t>
                  </w:r>
                </w:p>
              </w:tc>
              <w:tc>
                <w:tcPr>
                  <w:tcW w:w="4270" w:type="pct"/>
                  <w:tcBorders>
                    <w:top w:val="single" w:color="auto" w:sz="12" w:space="0"/>
                    <w:tl2br w:val="nil"/>
                    <w:tr2bl w:val="nil"/>
                  </w:tcBorders>
                  <w:noWrap w:val="0"/>
                  <w:vAlign w:val="center"/>
                </w:tcPr>
                <w:p w14:paraId="139D8110">
                  <w:pPr>
                    <w:pStyle w:val="39"/>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座铸管+精整综合车间，年DN100-DN1000、DN1100-DN2000球墨铸铁管20万吨。包括2条球墨铸铁管生产线（1条DN100-1000冷模生产线、1条DN1100-2000热模生产线），其中冷模生产线建设3台水冷型离心机（1台DN100-300、1台DN400-800、1台DN700-1000</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、1座60m长冷模退火炉、2台制芯机（1台DN100-DN400、1台DN350-DN1</w:t>
                  </w:r>
                  <w:r>
                    <w:rPr>
                      <w:rFonts w:hint="default" w:ascii="Times New Roman" w:hAnsi="Times New Roman" w:eastAsia="宋体" w:cs="Times New Roman"/>
                      <w:b w:val="0"/>
                      <w:bCs w:val="0"/>
                      <w:color w:val="000000" w:themeColor="text1"/>
                      <w14:textFill>
                        <w14:solidFill>
                          <w14:schemeClr w14:val="tx1"/>
                        </w14:solidFill>
                      </w14:textFill>
                    </w:rPr>
                    <w:t>000</w:t>
                  </w:r>
                  <w:r>
                    <w:rPr>
                      <w:rFonts w:hint="default" w:ascii="Times New Roman" w:hAnsi="Times New Roman" w:eastAsia="宋体"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、1套废砂芯回收再利用设备以及1套喷漆设备：热模生产</w:t>
                  </w:r>
                  <w:r>
                    <w:rPr>
                      <w:rFonts w:hint="default" w:ascii="Times New Roman" w:hAnsi="Times New Roman" w:eastAsia="宋体" w:cs="Times New Roman"/>
                      <w:color w:val="000000" w:themeColor="text1"/>
                      <w14:textFill>
                        <w14:solidFill>
                          <w14:schemeClr w14:val="tx1"/>
                        </w14:solidFill>
                      </w14:textFill>
                    </w:rPr>
                    <w:t>线建设1台热模（双工位）离心机（DN1100-2000）2台DN1100-2000热模台车式退火炉、1台制芯机（DN1100-DN2000）以及1套喷漆设备</w:t>
                  </w:r>
                  <w:r>
                    <w:rPr>
                      <w:rFonts w:hint="default" w:ascii="Times New Roman" w:hAnsi="Times New Roman" w:eastAsia="宋体" w:cs="Times New Roman"/>
                      <w:color w:val="000000" w:themeColor="text1"/>
                      <w:lang w:eastAsia="zh-CN"/>
                      <w14:textFill>
                        <w14:solidFill>
                          <w14:schemeClr w14:val="tx1"/>
                        </w14:solidFill>
                      </w14:textFill>
                    </w:rPr>
                    <w:t>。</w:t>
                  </w:r>
                </w:p>
              </w:tc>
            </w:tr>
            <w:tr w14:paraId="068AFF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29" w:type="pct"/>
                  <w:tcBorders>
                    <w:tl2br w:val="nil"/>
                    <w:tr2bl w:val="nil"/>
                  </w:tcBorders>
                  <w:noWrap w:val="0"/>
                  <w:vAlign w:val="center"/>
                </w:tcPr>
                <w:p w14:paraId="6AC5F927">
                  <w:pPr>
                    <w:pStyle w:val="39"/>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辅助工程</w:t>
                  </w:r>
                </w:p>
              </w:tc>
              <w:tc>
                <w:tcPr>
                  <w:tcW w:w="4270" w:type="pct"/>
                  <w:tcBorders>
                    <w:tl2br w:val="nil"/>
                    <w:tr2bl w:val="nil"/>
                  </w:tcBorders>
                  <w:noWrap w:val="0"/>
                  <w:vAlign w:val="center"/>
                </w:tcPr>
                <w:p w14:paraId="0D9BD2AD">
                  <w:pPr>
                    <w:pStyle w:val="39"/>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3000立方米/小时的调压计量撬1座及配套附属设施</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办</w:t>
                  </w:r>
                  <w:r>
                    <w:rPr>
                      <w:rFonts w:hint="default" w:ascii="Times New Roman" w:hAnsi="Times New Roman" w:eastAsia="宋体" w:cs="Times New Roman"/>
                      <w:b w:val="0"/>
                      <w:bCs w:val="0"/>
                      <w:color w:val="000000" w:themeColor="text1"/>
                      <w:highlight w:val="none"/>
                      <w14:textFill>
                        <w14:solidFill>
                          <w14:schemeClr w14:val="tx1"/>
                        </w14:solidFill>
                      </w14:textFill>
                    </w:rPr>
                    <w:t>公楼、宿舍、食堂各1座</w:t>
                  </w:r>
                  <w: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厂内建设1套循环冷却水系统</w:t>
                  </w:r>
                  <w: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t>。</w:t>
                  </w:r>
                </w:p>
              </w:tc>
            </w:tr>
            <w:tr w14:paraId="52F19D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29" w:type="pct"/>
                  <w:tcBorders>
                    <w:tl2br w:val="nil"/>
                    <w:tr2bl w:val="nil"/>
                  </w:tcBorders>
                  <w:noWrap w:val="0"/>
                  <w:vAlign w:val="center"/>
                </w:tcPr>
                <w:p w14:paraId="63DFECC6">
                  <w:pPr>
                    <w:pStyle w:val="39"/>
                    <w:keepNext w:val="0"/>
                    <w:keepLines w:val="0"/>
                    <w:widowControl/>
                    <w:suppressLineNumbers w:val="0"/>
                    <w:bidi w:val="0"/>
                    <w:spacing w:before="0" w:beforeAutospacing="0" w:after="0" w:afterAutospacing="0"/>
                    <w:ind w:left="0" w:right="0"/>
                    <w:jc w:val="both"/>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公用工程</w:t>
                  </w:r>
                </w:p>
              </w:tc>
              <w:tc>
                <w:tcPr>
                  <w:tcW w:w="4270" w:type="pct"/>
                  <w:tcBorders>
                    <w:tl2br w:val="nil"/>
                    <w:tr2bl w:val="nil"/>
                  </w:tcBorders>
                  <w:noWrap w:val="0"/>
                  <w:vAlign w:val="center"/>
                </w:tcPr>
                <w:p w14:paraId="639BA015">
                  <w:pPr>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生产及生活用水由厂内2口自备井供给。生产用水循环</w:t>
                  </w:r>
                  <w:r>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t>使</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用不外排：生活污水经MBR污水处理设施（处理能力40</w:t>
                  </w:r>
                  <w:r>
                    <w:rPr>
                      <w:rFonts w:hint="default" w:ascii="Times New Roman" w:hAnsi="Times New Roman" w:eastAsia="宋体" w:cs="Times New Roman"/>
                      <w:b w:val="0"/>
                      <w:color w:val="000000" w:themeColor="text1"/>
                      <w:kern w:val="2"/>
                      <w:sz w:val="21"/>
                      <w:szCs w:val="24"/>
                      <w:highlight w:val="none"/>
                      <w:lang w:val="zh-TW" w:eastAsia="zh-TW" w:bidi="ar-SA"/>
                      <w14:textFill>
                        <w14:solidFill>
                          <w14:schemeClr w14:val="tx1"/>
                        </w14:solidFill>
                      </w14:textFill>
                    </w:rPr>
                    <w:t>m</w:t>
                  </w:r>
                  <w:r>
                    <w:rPr>
                      <w:rFonts w:hint="default" w:ascii="Times New Roman" w:hAnsi="Times New Roman" w:eastAsia="宋体" w:cs="Times New Roman"/>
                      <w:b w:val="0"/>
                      <w:color w:val="000000" w:themeColor="text1"/>
                      <w:kern w:val="2"/>
                      <w:sz w:val="21"/>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color w:val="000000" w:themeColor="text1"/>
                      <w:kern w:val="2"/>
                      <w:sz w:val="21"/>
                      <w:szCs w:val="24"/>
                      <w:highlight w:val="none"/>
                      <w:lang w:val="en-US" w:eastAsia="zh-CN" w:bidi="ar-SA"/>
                      <w14:textFill>
                        <w14:solidFill>
                          <w14:schemeClr w14:val="tx1"/>
                        </w14:solidFill>
                      </w14:textFill>
                    </w:rPr>
                    <w:t>/d</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）处理后冬储夏灌，污水池容积300m</w:t>
                  </w:r>
                  <w:r>
                    <w:rPr>
                      <w:rFonts w:hint="default" w:ascii="Times New Roman" w:hAnsi="Times New Roman" w:eastAsia="宋体" w:cs="Times New Roman"/>
                      <w:b w:val="0"/>
                      <w:color w:val="000000" w:themeColor="text1"/>
                      <w:kern w:val="2"/>
                      <w:sz w:val="21"/>
                      <w:szCs w:val="24"/>
                      <w:vertAlign w:val="superscript"/>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lang w:eastAsia="zh-CN"/>
                      <w14:textFill>
                        <w14:solidFill>
                          <w14:schemeClr w14:val="tx1"/>
                        </w14:solidFill>
                      </w14:textFill>
                    </w:rPr>
                    <w:t>。</w:t>
                  </w:r>
                </w:p>
              </w:tc>
            </w:tr>
            <w:tr w14:paraId="5E792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29" w:type="pct"/>
                  <w:tcBorders>
                    <w:tl2br w:val="nil"/>
                    <w:tr2bl w:val="nil"/>
                  </w:tcBorders>
                  <w:noWrap w:val="0"/>
                  <w:vAlign w:val="center"/>
                </w:tcPr>
                <w:p w14:paraId="5B927C25">
                  <w:pPr>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t>环保工程</w:t>
                  </w:r>
                </w:p>
              </w:tc>
              <w:tc>
                <w:tcPr>
                  <w:tcW w:w="4270" w:type="pct"/>
                  <w:tcBorders>
                    <w:tl2br w:val="nil"/>
                    <w:tr2bl w:val="nil"/>
                  </w:tcBorders>
                  <w:noWrap w:val="0"/>
                  <w:vAlign w:val="center"/>
                </w:tcPr>
                <w:p w14:paraId="14911CAD">
                  <w:pPr>
                    <w:keepNext w:val="0"/>
                    <w:keepLines w:val="0"/>
                    <w:suppressLineNumbers w:val="0"/>
                    <w:bidi w:val="0"/>
                    <w:spacing w:before="0" w:beforeAutospacing="0" w:after="0" w:afterAutospacing="0"/>
                    <w:ind w:left="0" w:right="0"/>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生产用水循环使用不外排：生活污水经MBR污水处理设施（处理能力</w:t>
                  </w:r>
                  <w:r>
                    <w:rPr>
                      <w:rFonts w:hint="default" w:ascii="Times New Roman" w:hAnsi="Times New Roman" w:eastAsia="宋体" w:cs="Times New Roman"/>
                      <w:b w:val="0"/>
                      <w:color w:val="000000" w:themeColor="text1"/>
                      <w:kern w:val="2"/>
                      <w:sz w:val="21"/>
                      <w:szCs w:val="24"/>
                      <w:highlight w:val="none"/>
                      <w:lang w:val="zh-TW" w:eastAsia="zh-TW" w:bidi="ar-SA"/>
                      <w14:textFill>
                        <w14:solidFill>
                          <w14:schemeClr w14:val="tx1"/>
                        </w14:solidFill>
                      </w14:textFill>
                    </w:rPr>
                    <w:t>40m</w:t>
                  </w:r>
                  <w:r>
                    <w:rPr>
                      <w:rFonts w:hint="default" w:ascii="Times New Roman" w:hAnsi="Times New Roman" w:eastAsia="宋体" w:cs="Times New Roman"/>
                      <w:b w:val="0"/>
                      <w:color w:val="000000" w:themeColor="text1"/>
                      <w:kern w:val="2"/>
                      <w:sz w:val="21"/>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color w:val="000000" w:themeColor="text1"/>
                      <w:kern w:val="2"/>
                      <w:sz w:val="21"/>
                      <w:szCs w:val="24"/>
                      <w:highlight w:val="none"/>
                      <w:lang w:val="en-US" w:eastAsia="zh-CN" w:bidi="ar-SA"/>
                      <w14:textFill>
                        <w14:solidFill>
                          <w14:schemeClr w14:val="tx1"/>
                        </w14:solidFill>
                      </w14:textFill>
                    </w:rPr>
                    <w:t>/d</w:t>
                  </w:r>
                  <w:r>
                    <w:rPr>
                      <w:rFonts w:hint="default" w:ascii="Times New Roman" w:hAnsi="Times New Roman" w:eastAsia="宋体" w:cs="Times New Roman"/>
                      <w:b w:val="0"/>
                      <w:color w:val="000000" w:themeColor="text1"/>
                      <w:kern w:val="2"/>
                      <w:sz w:val="21"/>
                      <w:szCs w:val="24"/>
                      <w:highlight w:val="none"/>
                      <w:lang w:val="zh-TW" w:eastAsia="zh-TW" w:bidi="ar-SA"/>
                      <w14:textFill>
                        <w14:solidFill>
                          <w14:schemeClr w14:val="tx1"/>
                        </w14:solidFill>
                      </w14:textFill>
                    </w:rPr>
                    <w:t>）处</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理后冬储夏灌，污水池容积300m</w:t>
                  </w:r>
                  <w:r>
                    <w:rPr>
                      <w:rFonts w:hint="default" w:ascii="Times New Roman" w:hAnsi="Times New Roman" w:eastAsia="宋体" w:cs="Times New Roman"/>
                      <w:b w:val="0"/>
                      <w:color w:val="000000" w:themeColor="text1"/>
                      <w:kern w:val="2"/>
                      <w:sz w:val="21"/>
                      <w:szCs w:val="24"/>
                      <w:vertAlign w:val="superscript"/>
                      <w:lang w:val="en-US" w:eastAsia="zh-CN" w:bidi="ar-SA"/>
                      <w14:textFill>
                        <w14:solidFill>
                          <w14:schemeClr w14:val="tx1"/>
                        </w14:solidFill>
                      </w14:textFill>
                    </w:rPr>
                    <w:t>2</w:t>
                  </w:r>
                  <w:r>
                    <w:rPr>
                      <w:rFonts w:hint="default" w:ascii="Times New Roman" w:hAnsi="Times New Roman" w:eastAsia="宋体" w:cs="Times New Roman"/>
                      <w:b w:val="0"/>
                      <w:color w:val="000000" w:themeColor="text1"/>
                      <w:kern w:val="2"/>
                      <w:sz w:val="21"/>
                      <w:szCs w:val="24"/>
                      <w:lang w:val="zh-TW" w:eastAsia="zh-CN" w:bidi="ar-SA"/>
                      <w14:textFill>
                        <w14:solidFill>
                          <w14:schemeClr w14:val="tx1"/>
                        </w14:solidFill>
                      </w14:textFill>
                    </w:rPr>
                    <w:t>。</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建设一座一般工业固废堆棚（建筑面积2027m</w:t>
                  </w:r>
                  <w:r>
                    <w:rPr>
                      <w:rFonts w:hint="default" w:ascii="Times New Roman" w:hAnsi="Times New Roman" w:eastAsia="宋体" w:cs="Times New Roman"/>
                      <w:b w:val="0"/>
                      <w:color w:val="000000" w:themeColor="text1"/>
                      <w:kern w:val="2"/>
                      <w:sz w:val="21"/>
                      <w:szCs w:val="24"/>
                      <w:vertAlign w:val="superscript"/>
                      <w:lang w:val="en-US" w:eastAsia="zh-CN" w:bidi="ar-SA"/>
                      <w14:textFill>
                        <w14:solidFill>
                          <w14:schemeClr w14:val="tx1"/>
                        </w14:solidFill>
                      </w14:textFill>
                    </w:rPr>
                    <w:t>2</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w:t>
                  </w:r>
                  <w:r>
                    <w:rPr>
                      <w:rFonts w:hint="default" w:ascii="Times New Roman" w:hAnsi="Times New Roman" w:eastAsia="宋体" w:cs="Times New Roman"/>
                      <w:b w:val="0"/>
                      <w:color w:val="000000" w:themeColor="text1"/>
                      <w:kern w:val="2"/>
                      <w:sz w:val="21"/>
                      <w:szCs w:val="24"/>
                      <w:lang w:val="zh-TW" w:eastAsia="zh-CN" w:bidi="ar-SA"/>
                      <w14:textFill>
                        <w14:solidFill>
                          <w14:schemeClr w14:val="tx1"/>
                        </w14:solidFill>
                      </w14:textFill>
                    </w:rPr>
                    <w:t>、一</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座危险废物贮存间（建筑面积182m</w:t>
                  </w:r>
                  <w:r>
                    <w:rPr>
                      <w:rFonts w:hint="default" w:ascii="Times New Roman" w:hAnsi="Times New Roman" w:eastAsia="宋体" w:cs="Times New Roman"/>
                      <w:b w:val="0"/>
                      <w:color w:val="000000" w:themeColor="text1"/>
                      <w:kern w:val="2"/>
                      <w:sz w:val="21"/>
                      <w:szCs w:val="24"/>
                      <w:vertAlign w:val="superscript"/>
                      <w:lang w:val="en-US" w:eastAsia="zh-CN" w:bidi="ar-SA"/>
                      <w14:textFill>
                        <w14:solidFill>
                          <w14:schemeClr w14:val="tx1"/>
                        </w14:solidFill>
                      </w14:textFill>
                    </w:rPr>
                    <w:t>2</w:t>
                  </w:r>
                  <w:r>
                    <w:rPr>
                      <w:rFonts w:hint="default" w:ascii="Times New Roman" w:hAnsi="Times New Roman" w:eastAsia="宋体" w:cs="Times New Roman"/>
                      <w:b w:val="0"/>
                      <w:color w:val="000000" w:themeColor="text1"/>
                      <w:kern w:val="2"/>
                      <w:sz w:val="21"/>
                      <w:szCs w:val="24"/>
                      <w:lang w:val="zh-TW" w:eastAsia="zh-TW" w:bidi="ar-SA"/>
                      <w14:textFill>
                        <w14:solidFill>
                          <w14:schemeClr w14:val="tx1"/>
                        </w14:solidFill>
                      </w14:textFill>
                    </w:rPr>
                    <w:t>）</w:t>
                  </w:r>
                  <w:r>
                    <w:rPr>
                      <w:rFonts w:hint="eastAsia" w:cs="Times New Roman"/>
                      <w:b w:val="0"/>
                      <w:color w:val="000000" w:themeColor="text1"/>
                      <w:kern w:val="2"/>
                      <w:sz w:val="21"/>
                      <w:szCs w:val="24"/>
                      <w:lang w:val="zh-TW" w:eastAsia="zh-CN" w:bidi="ar-SA"/>
                      <w14:textFill>
                        <w14:solidFill>
                          <w14:schemeClr w14:val="tx1"/>
                        </w14:solidFill>
                      </w14:textFill>
                    </w:rPr>
                    <w:t>。</w:t>
                  </w:r>
                </w:p>
              </w:tc>
            </w:tr>
          </w:tbl>
          <w:p w14:paraId="34F32291">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 现有工程污染物产排情况</w:t>
            </w:r>
          </w:p>
          <w:p w14:paraId="2C55C7AF">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2.1 现有工程产排污核算</w:t>
            </w:r>
          </w:p>
          <w:p w14:paraId="01F9898C">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本次评价现有工程污染物排放总量参考排污许可证执行报告中的排放量进行核算。</w:t>
            </w:r>
          </w:p>
          <w:p w14:paraId="420A3B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2.2 废气污染物排放情况</w:t>
            </w:r>
          </w:p>
          <w:p w14:paraId="2843EC87">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i w:val="0"/>
                <w:iCs w:val="0"/>
                <w:caps w:val="0"/>
                <w:color w:val="auto"/>
                <w:spacing w:val="0"/>
                <w:sz w:val="24"/>
                <w:szCs w:val="24"/>
              </w:rPr>
            </w:pPr>
            <w:r>
              <w:rPr>
                <w:rFonts w:hint="default" w:ascii="Times New Roman" w:hAnsi="Times New Roman" w:eastAsia="宋体" w:cs="Times New Roman"/>
                <w:i w:val="0"/>
                <w:iCs w:val="0"/>
                <w:caps w:val="0"/>
                <w:color w:val="auto"/>
                <w:spacing w:val="0"/>
                <w:sz w:val="24"/>
                <w:szCs w:val="24"/>
              </w:rPr>
              <w:t>6t/h燃气锅炉采用煤气发生炉产生的煤气为燃料，主要污染物为颗粒物、二氧化硫、氮氧化物和林格曼黑度，锅炉配套烟气回收利用系统，废气经SNCR脱硝+布袋除尘+双碱法脱硫设施处理后通过16m高排气筒排放。</w:t>
            </w:r>
          </w:p>
          <w:p w14:paraId="0B2BD066">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2.3 废水污染物排放情况</w:t>
            </w:r>
          </w:p>
          <w:p w14:paraId="734B82CA">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现有项目废水主要为电炉冷却废水（用水量0.5m³/d）、铸机循环冷却补水废水（用水量0.5m³/d）、水泥砂浆制备废水（用水量15m³/d）、水压试验机补水废水（用水量1m³/d）及生活污水。生产废水经沉淀、过滤、软化等预处理后全部循环回用，不外排；生活污水经MBR污水处理设施处理，处理后水质满足《污水综合排放标准》</w:t>
            </w:r>
            <w:r>
              <w:rPr>
                <w:rFonts w:hint="eastAsia" w:cs="Times New Roman"/>
                <w:color w:val="000000" w:themeColor="text1"/>
                <w:lang w:val="en-US" w:eastAsia="zh-CN"/>
                <w14:textFill>
                  <w14:solidFill>
                    <w14:schemeClr w14:val="tx1"/>
                  </w14:solidFill>
                </w14:textFill>
              </w:rPr>
              <w:t>二</w:t>
            </w:r>
            <w:r>
              <w:rPr>
                <w:rFonts w:hint="default" w:ascii="Times New Roman" w:hAnsi="Times New Roman" w:eastAsia="宋体" w:cs="Times New Roman"/>
                <w:color w:val="000000" w:themeColor="text1"/>
                <w:lang w:val="en-US" w:eastAsia="zh-CN"/>
                <w14:textFill>
                  <w14:solidFill>
                    <w14:schemeClr w14:val="tx1"/>
                  </w14:solidFill>
                </w14:textFill>
              </w:rPr>
              <w:t>级标准要求，达标排入市政污水管网。</w:t>
            </w:r>
          </w:p>
          <w:p w14:paraId="18665449">
            <w:pPr>
              <w:pStyle w:val="6"/>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2.4 噪声</w:t>
            </w:r>
          </w:p>
          <w:p w14:paraId="71E86A7D">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现有工程</w:t>
            </w:r>
            <w:r>
              <w:rPr>
                <w:rFonts w:hint="default" w:ascii="Times New Roman" w:hAnsi="Times New Roman" w:eastAsia="宋体" w:cs="Times New Roman"/>
                <w:color w:val="000000" w:themeColor="text1"/>
                <w14:textFill>
                  <w14:solidFill>
                    <w14:schemeClr w14:val="tx1"/>
                  </w14:solidFill>
                </w14:textFill>
              </w:rPr>
              <w:t>噪声源主要为</w:t>
            </w:r>
            <w:r>
              <w:rPr>
                <w:rFonts w:hint="default" w:ascii="Times New Roman" w:hAnsi="Times New Roman" w:eastAsia="宋体" w:cs="Times New Roman"/>
                <w:color w:val="000000" w:themeColor="text1"/>
                <w:lang w:val="en-US" w:eastAsia="zh-CN"/>
                <w14:textFill>
                  <w14:solidFill>
                    <w14:schemeClr w14:val="tx1"/>
                  </w14:solidFill>
                </w14:textFill>
              </w:rPr>
              <w:t>各类除尘风机、清整线设备以及泵类等产生的设备噪声。</w:t>
            </w:r>
          </w:p>
          <w:p w14:paraId="7CE99924">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2.5 固废</w:t>
            </w:r>
          </w:p>
          <w:p w14:paraId="686DF470">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本项目固体废物主要为一般工业固废、危险废物和生活垃圾。一般工业固废主要为布袋除尘器收集的除尘灰、电炉炉渣、清整线生产过</w:t>
            </w:r>
            <w:r>
              <w:rPr>
                <w:rFonts w:hint="default" w:ascii="Times New Roman" w:hAnsi="Times New Roman" w:eastAsia="宋体" w:cs="Times New Roman"/>
                <w:color w:val="000000" w:themeColor="text1"/>
                <w:lang w:eastAsia="zh-CN"/>
                <w14:textFill>
                  <w14:solidFill>
                    <w14:schemeClr w14:val="tx1"/>
                  </w14:solidFill>
                </w14:textFill>
              </w:rPr>
              <w:t>程中</w:t>
            </w:r>
            <w:r>
              <w:rPr>
                <w:rFonts w:hint="default" w:ascii="Times New Roman" w:hAnsi="Times New Roman" w:eastAsia="宋体" w:cs="Times New Roman"/>
                <w:color w:val="000000" w:themeColor="text1"/>
                <w14:textFill>
                  <w14:solidFill>
                    <w14:schemeClr w14:val="tx1"/>
                  </w14:solidFill>
                </w14:textFill>
              </w:rPr>
              <w:t>产生的废铁屑、离心铸造机残铁和废砂芯、涂衬水泥浆、煤气发生炉炉渣以及脱硫废物。危险废物</w:t>
            </w:r>
            <w:r>
              <w:rPr>
                <w:rFonts w:hint="default" w:ascii="Times New Roman" w:hAnsi="Times New Roman" w:eastAsia="宋体" w:cs="Times New Roman"/>
                <w:color w:val="000000" w:themeColor="text1"/>
                <w:lang w:val="en-US" w:eastAsia="zh-CN"/>
                <w14:textFill>
                  <w14:solidFill>
                    <w14:schemeClr w14:val="tx1"/>
                  </w14:solidFill>
                </w14:textFill>
              </w:rPr>
              <w:t>主要为</w:t>
            </w:r>
            <w:r>
              <w:rPr>
                <w:rFonts w:hint="default" w:ascii="Times New Roman" w:hAnsi="Times New Roman" w:eastAsia="宋体" w:cs="Times New Roman"/>
                <w:color w:val="000000" w:themeColor="text1"/>
                <w14:textFill>
                  <w14:solidFill>
                    <w14:schemeClr w14:val="tx1"/>
                  </w14:solidFill>
                </w14:textFill>
              </w:rPr>
              <w:t>设备检修产</w:t>
            </w:r>
            <w:r>
              <w:rPr>
                <w:rFonts w:hint="default" w:ascii="Times New Roman" w:hAnsi="Times New Roman" w:eastAsia="宋体" w:cs="Times New Roman"/>
                <w:color w:val="000000" w:themeColor="text1"/>
                <w:highlight w:val="none"/>
                <w14:textFill>
                  <w14:solidFill>
                    <w14:schemeClr w14:val="tx1"/>
                  </w14:solidFill>
                </w14:textFill>
              </w:rPr>
              <w:t>生的废机油、煤气发生炉产生的煤焦油、喷锌机除尘灰、废活性炭、废UV灯管、废油</w:t>
            </w:r>
            <w:r>
              <w:rPr>
                <w:rFonts w:hint="default" w:ascii="Times New Roman" w:hAnsi="Times New Roman" w:eastAsia="宋体" w:cs="Times New Roman"/>
                <w:color w:val="000000" w:themeColor="text1"/>
                <w14:textFill>
                  <w14:solidFill>
                    <w14:schemeClr w14:val="tx1"/>
                  </w14:solidFill>
                </w14:textFill>
              </w:rPr>
              <w:t>漆桶及漆渣。</w:t>
            </w:r>
          </w:p>
          <w:p w14:paraId="7F0C2324">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本次评价</w:t>
            </w:r>
            <w:r>
              <w:rPr>
                <w:rFonts w:hint="default" w:ascii="Times New Roman" w:hAnsi="Times New Roman" w:eastAsia="宋体" w:cs="Times New Roman"/>
                <w:color w:val="000000" w:themeColor="text1"/>
                <w:lang w:val="en-US" w:eastAsia="zh-CN"/>
                <w14:textFill>
                  <w14:solidFill>
                    <w14:schemeClr w14:val="tx1"/>
                  </w14:solidFill>
                </w14:textFill>
              </w:rPr>
              <w:t>现有</w:t>
            </w:r>
            <w:r>
              <w:rPr>
                <w:rFonts w:hint="default" w:ascii="Times New Roman" w:hAnsi="Times New Roman" w:eastAsia="宋体" w:cs="Times New Roman"/>
                <w:color w:val="000000" w:themeColor="text1"/>
                <w14:textFill>
                  <w14:solidFill>
                    <w14:schemeClr w14:val="tx1"/>
                  </w14:solidFill>
                </w14:textFill>
              </w:rPr>
              <w:t>工程污染物排放总量参考</w:t>
            </w:r>
            <w:r>
              <w:rPr>
                <w:rFonts w:hint="default" w:ascii="Times New Roman" w:hAnsi="Times New Roman" w:eastAsia="宋体" w:cs="Times New Roman"/>
                <w:color w:val="000000" w:themeColor="text1"/>
                <w:lang w:val="en-US" w:eastAsia="zh-CN"/>
                <w14:textFill>
                  <w14:solidFill>
                    <w14:schemeClr w14:val="tx1"/>
                  </w14:solidFill>
                </w14:textFill>
              </w:rPr>
              <w:t>排污许可证执行报告</w:t>
            </w:r>
            <w:r>
              <w:rPr>
                <w:rFonts w:hint="default" w:ascii="Times New Roman" w:hAnsi="Times New Roman" w:eastAsia="宋体" w:cs="Times New Roman"/>
                <w:color w:val="000000" w:themeColor="text1"/>
                <w14:textFill>
                  <w14:solidFill>
                    <w14:schemeClr w14:val="tx1"/>
                  </w14:solidFill>
                </w14:textFill>
              </w:rPr>
              <w:t>中的</w:t>
            </w:r>
            <w:r>
              <w:rPr>
                <w:rFonts w:hint="default" w:ascii="Times New Roman" w:hAnsi="Times New Roman" w:eastAsia="宋体" w:cs="Times New Roman"/>
                <w:color w:val="000000" w:themeColor="text1"/>
                <w:lang w:val="en-US" w:eastAsia="zh-CN"/>
                <w14:textFill>
                  <w14:solidFill>
                    <w14:schemeClr w14:val="tx1"/>
                  </w14:solidFill>
                </w14:textFill>
              </w:rPr>
              <w:t>排放量</w:t>
            </w:r>
            <w:r>
              <w:rPr>
                <w:rFonts w:hint="default" w:ascii="Times New Roman" w:hAnsi="Times New Roman" w:eastAsia="宋体" w:cs="Times New Roman"/>
                <w:color w:val="000000" w:themeColor="text1"/>
                <w14:textFill>
                  <w14:solidFill>
                    <w14:schemeClr w14:val="tx1"/>
                  </w14:solidFill>
                </w14:textFill>
              </w:rPr>
              <w:t>进行核算</w:t>
            </w:r>
            <w:r>
              <w:rPr>
                <w:rFonts w:hint="eastAsia" w:cs="Times New Roman"/>
                <w:color w:val="000000" w:themeColor="text1"/>
                <w:lang w:val="en-US" w:eastAsia="zh-CN"/>
                <w14:textFill>
                  <w14:solidFill>
                    <w14:schemeClr w14:val="tx1"/>
                  </w14:solidFill>
                </w14:textFill>
              </w:rPr>
              <w:t>，现有项目污染物排放量及</w:t>
            </w:r>
            <w:r>
              <w:rPr>
                <w:rFonts w:hint="default" w:ascii="Times New Roman" w:hAnsi="Times New Roman" w:eastAsia="宋体" w:cs="Times New Roman"/>
                <w:color w:val="000000" w:themeColor="text1"/>
                <w:lang w:val="en-US" w:eastAsia="zh-CN"/>
                <w14:textFill>
                  <w14:solidFill>
                    <w14:schemeClr w14:val="tx1"/>
                  </w14:solidFill>
                </w14:textFill>
              </w:rPr>
              <w:t>治理措施一览表，</w:t>
            </w:r>
            <w:r>
              <w:rPr>
                <w:rFonts w:hint="eastAsia" w:cs="Times New Roman"/>
                <w:color w:val="000000" w:themeColor="text1"/>
                <w:lang w:val="en-US" w:eastAsia="zh-CN"/>
                <w14:textFill>
                  <w14:solidFill>
                    <w14:schemeClr w14:val="tx1"/>
                  </w14:solidFill>
                </w14:textFill>
              </w:rPr>
              <w:t>详</w:t>
            </w:r>
            <w:r>
              <w:rPr>
                <w:rFonts w:hint="default" w:ascii="Times New Roman" w:hAnsi="Times New Roman" w:eastAsia="宋体" w:cs="Times New Roman"/>
                <w:color w:val="000000" w:themeColor="text1"/>
                <w:lang w:val="en-US" w:eastAsia="zh-CN"/>
                <w14:textFill>
                  <w14:solidFill>
                    <w14:schemeClr w14:val="tx1"/>
                  </w14:solidFill>
                </w14:textFill>
              </w:rPr>
              <w:t>见表2-</w:t>
            </w:r>
            <w:r>
              <w:rPr>
                <w:rFonts w:hint="eastAsia" w:cs="Times New Roman"/>
                <w:color w:val="000000" w:themeColor="text1"/>
                <w:lang w:val="en-US" w:eastAsia="zh-CN"/>
                <w14:textFill>
                  <w14:solidFill>
                    <w14:schemeClr w14:val="tx1"/>
                  </w14:solidFill>
                </w14:textFill>
              </w:rPr>
              <w:t>12</w:t>
            </w:r>
            <w:r>
              <w:rPr>
                <w:rFonts w:hint="default" w:ascii="Times New Roman" w:hAnsi="Times New Roman" w:eastAsia="宋体" w:cs="Times New Roman"/>
                <w:color w:val="000000" w:themeColor="text1"/>
                <w:lang w:val="en-US" w:eastAsia="zh-CN"/>
                <w14:textFill>
                  <w14:solidFill>
                    <w14:schemeClr w14:val="tx1"/>
                  </w14:solidFill>
                </w14:textFill>
              </w:rPr>
              <w:t>。</w:t>
            </w:r>
          </w:p>
          <w:p w14:paraId="5814F264">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w:t>
            </w:r>
            <w:r>
              <w:rPr>
                <w:rFonts w:hint="eastAsia" w:cs="Times New Roman"/>
                <w:color w:val="000000" w:themeColor="text1"/>
                <w:sz w:val="21"/>
                <w:szCs w:val="21"/>
                <w:lang w:val="en-US" w:eastAsia="zh-CN"/>
                <w14:textFill>
                  <w14:solidFill>
                    <w14:schemeClr w14:val="tx1"/>
                  </w14:solidFill>
                </w14:textFill>
              </w:rPr>
              <w:t>12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现有项目污染物排放及治理措施一览表</w:t>
            </w:r>
          </w:p>
          <w:tbl>
            <w:tblPr>
              <w:tblStyle w:val="3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222"/>
              <w:gridCol w:w="2602"/>
              <w:gridCol w:w="989"/>
              <w:gridCol w:w="1349"/>
            </w:tblGrid>
            <w:tr w14:paraId="0B01FF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5" w:type="pct"/>
                  <w:vMerge w:val="restart"/>
                  <w:tcBorders>
                    <w:bottom w:val="single" w:color="auto" w:sz="4" w:space="0"/>
                  </w:tcBorders>
                  <w:vAlign w:val="center"/>
                </w:tcPr>
                <w:p w14:paraId="514DC7C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污染源</w:t>
                  </w:r>
                </w:p>
              </w:tc>
              <w:tc>
                <w:tcPr>
                  <w:tcW w:w="805" w:type="pct"/>
                  <w:vMerge w:val="restart"/>
                  <w:tcBorders>
                    <w:bottom w:val="single" w:color="auto" w:sz="4" w:space="0"/>
                  </w:tcBorders>
                  <w:vAlign w:val="center"/>
                </w:tcPr>
                <w:p w14:paraId="1B51DA3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污染物</w:t>
                  </w:r>
                </w:p>
              </w:tc>
              <w:tc>
                <w:tcPr>
                  <w:tcW w:w="1716" w:type="pct"/>
                  <w:vMerge w:val="restart"/>
                  <w:tcBorders>
                    <w:bottom w:val="single" w:color="auto" w:sz="4" w:space="0"/>
                  </w:tcBorders>
                  <w:vAlign w:val="center"/>
                </w:tcPr>
                <w:p w14:paraId="607494E5">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治理措施</w:t>
                  </w:r>
                </w:p>
              </w:tc>
              <w:tc>
                <w:tcPr>
                  <w:tcW w:w="652" w:type="pct"/>
                  <w:vMerge w:val="restart"/>
                  <w:vAlign w:val="center"/>
                </w:tcPr>
                <w:p w14:paraId="05944CB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排放标准</w:t>
                  </w:r>
                </w:p>
              </w:tc>
              <w:tc>
                <w:tcPr>
                  <w:tcW w:w="889" w:type="pct"/>
                  <w:tcBorders>
                    <w:bottom w:val="single" w:color="auto" w:sz="4" w:space="0"/>
                  </w:tcBorders>
                  <w:vAlign w:val="center"/>
                </w:tcPr>
                <w:p w14:paraId="19BB09A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排放情况</w:t>
                  </w:r>
                </w:p>
              </w:tc>
            </w:tr>
            <w:tr w14:paraId="78337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5" w:type="pct"/>
                  <w:vMerge w:val="continue"/>
                  <w:tcBorders>
                    <w:top w:val="single" w:color="auto" w:sz="4" w:space="0"/>
                    <w:bottom w:val="single" w:color="auto" w:sz="12" w:space="0"/>
                  </w:tcBorders>
                  <w:vAlign w:val="center"/>
                </w:tcPr>
                <w:p w14:paraId="20D5A27F">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805" w:type="pct"/>
                  <w:vMerge w:val="continue"/>
                  <w:tcBorders>
                    <w:top w:val="single" w:color="auto" w:sz="4" w:space="0"/>
                    <w:bottom w:val="single" w:color="auto" w:sz="12" w:space="0"/>
                  </w:tcBorders>
                  <w:vAlign w:val="center"/>
                </w:tcPr>
                <w:p w14:paraId="5219D1EC">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1716" w:type="pct"/>
                  <w:vMerge w:val="continue"/>
                  <w:tcBorders>
                    <w:top w:val="single" w:color="auto" w:sz="4" w:space="0"/>
                    <w:bottom w:val="single" w:color="auto" w:sz="12" w:space="0"/>
                  </w:tcBorders>
                  <w:vAlign w:val="center"/>
                </w:tcPr>
                <w:p w14:paraId="0FD4299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652" w:type="pct"/>
                  <w:vMerge w:val="continue"/>
                  <w:tcBorders>
                    <w:bottom w:val="single" w:color="auto" w:sz="12" w:space="0"/>
                  </w:tcBorders>
                  <w:vAlign w:val="center"/>
                </w:tcPr>
                <w:p w14:paraId="26CE952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889" w:type="pct"/>
                  <w:tcBorders>
                    <w:top w:val="single" w:color="auto" w:sz="4" w:space="0"/>
                    <w:bottom w:val="single" w:color="auto" w:sz="12" w:space="0"/>
                  </w:tcBorders>
                  <w:vAlign w:val="center"/>
                </w:tcPr>
                <w:p w14:paraId="2F4ECBB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实际</w:t>
                  </w:r>
                  <w:r>
                    <w:rPr>
                      <w:rFonts w:hint="default" w:ascii="Times New Roman" w:hAnsi="Times New Roman" w:eastAsia="宋体" w:cs="Times New Roman"/>
                      <w:b/>
                      <w:bCs/>
                      <w:color w:val="000000" w:themeColor="text1"/>
                      <w:lang w:val="en-US" w:eastAsia="zh-CN"/>
                      <w14:textFill>
                        <w14:solidFill>
                          <w14:schemeClr w14:val="tx1"/>
                        </w14:solidFill>
                      </w14:textFill>
                    </w:rPr>
                    <w:t>排放量</w:t>
                  </w:r>
                </w:p>
              </w:tc>
            </w:tr>
            <w:tr w14:paraId="3E167A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000" w:type="pct"/>
                  <w:gridSpan w:val="5"/>
                  <w:tcBorders>
                    <w:top w:val="single" w:color="auto" w:sz="12" w:space="0"/>
                    <w:bottom w:val="single" w:color="auto" w:sz="4" w:space="0"/>
                  </w:tcBorders>
                  <w:vAlign w:val="center"/>
                </w:tcPr>
                <w:p w14:paraId="4D003A7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废气</w:t>
                  </w:r>
                </w:p>
              </w:tc>
            </w:tr>
            <w:tr w14:paraId="1CC45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35" w:type="pct"/>
                  <w:tcBorders>
                    <w:top w:val="single" w:color="auto" w:sz="4" w:space="0"/>
                    <w:bottom w:val="single" w:color="auto" w:sz="4" w:space="0"/>
                  </w:tcBorders>
                  <w:vAlign w:val="center"/>
                </w:tcPr>
                <w:p w14:paraId="0A7F1D8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lang w:val="en-US" w:eastAsia="zh-CN"/>
                      <w14:textFill>
                        <w14:solidFill>
                          <w14:schemeClr w14:val="tx1"/>
                        </w14:solidFill>
                      </w14:textFill>
                    </w:rPr>
                    <w:t>电炉废气、离心</w:t>
                  </w:r>
                  <w:r>
                    <w:rPr>
                      <w:rFonts w:hint="eastAsia" w:ascii="Times New Roman" w:hAnsi="Times New Roman" w:eastAsia="宋体" w:cs="Times New Roman"/>
                      <w:color w:val="000000" w:themeColor="text1"/>
                      <w:lang w:val="en-US" w:eastAsia="zh-CN"/>
                      <w14:textFill>
                        <w14:solidFill>
                          <w14:schemeClr w14:val="tx1"/>
                        </w14:solidFill>
                      </w14:textFill>
                    </w:rPr>
                    <w:t>浇筑</w:t>
                  </w:r>
                  <w:r>
                    <w:rPr>
                      <w:rFonts w:hint="default" w:ascii="Times New Roman" w:hAnsi="Times New Roman" w:eastAsia="宋体" w:cs="Times New Roman"/>
                      <w:color w:val="000000" w:themeColor="text1"/>
                      <w:lang w:val="en-US" w:eastAsia="zh-CN"/>
                      <w14:textFill>
                        <w14:solidFill>
                          <w14:schemeClr w14:val="tx1"/>
                        </w14:solidFill>
                      </w14:textFill>
                    </w:rPr>
                    <w:t>废气</w:t>
                  </w:r>
                </w:p>
              </w:tc>
              <w:tc>
                <w:tcPr>
                  <w:tcW w:w="805" w:type="pct"/>
                  <w:tcBorders>
                    <w:top w:val="single" w:color="auto" w:sz="4" w:space="0"/>
                    <w:bottom w:val="single" w:color="auto" w:sz="4" w:space="0"/>
                  </w:tcBorders>
                  <w:vAlign w:val="center"/>
                </w:tcPr>
                <w:p w14:paraId="1F12885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颗粒物</w:t>
                  </w:r>
                </w:p>
              </w:tc>
              <w:tc>
                <w:tcPr>
                  <w:tcW w:w="1716" w:type="pct"/>
                  <w:tcBorders>
                    <w:top w:val="single" w:color="auto" w:sz="4" w:space="0"/>
                    <w:bottom w:val="single" w:color="auto" w:sz="4" w:space="0"/>
                  </w:tcBorders>
                  <w:vAlign w:val="center"/>
                </w:tcPr>
                <w:p w14:paraId="1272BDE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布袋除尘器，废气合并通过2</w:t>
                  </w:r>
                  <w:r>
                    <w:rPr>
                      <w:rFonts w:hint="eastAsia" w:cs="Times New Roman"/>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lang w:val="en-US" w:eastAsia="zh-CN"/>
                      <w14:textFill>
                        <w14:solidFill>
                          <w14:schemeClr w14:val="tx1"/>
                        </w14:solidFill>
                      </w14:textFill>
                    </w:rPr>
                    <w:t>m高排气筒排放</w:t>
                  </w:r>
                </w:p>
              </w:tc>
              <w:tc>
                <w:tcPr>
                  <w:tcW w:w="652" w:type="pct"/>
                  <w:vMerge w:val="restart"/>
                  <w:tcBorders>
                    <w:top w:val="single" w:color="auto" w:sz="4" w:space="0"/>
                    <w:bottom w:val="single" w:color="auto" w:sz="4" w:space="0"/>
                  </w:tcBorders>
                  <w:vAlign w:val="center"/>
                </w:tcPr>
                <w:p w14:paraId="5B2DEF93">
                  <w:pPr>
                    <w:pStyle w:val="39"/>
                    <w:keepNext w:val="0"/>
                    <w:keepLines w:val="0"/>
                    <w:widowControl w:val="0"/>
                    <w:suppressLineNumbers w:val="0"/>
                    <w:tabs>
                      <w:tab w:val="left" w:pos="455"/>
                    </w:tabs>
                    <w:bidi w:val="0"/>
                    <w:spacing w:before="0" w:beforeAutospacing="0" w:after="0" w:afterAutospacing="0"/>
                    <w:ind w:left="0" w:right="0"/>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《铸造工业大气污染物排放标准》（GB 39726-2020）</w:t>
                  </w:r>
                </w:p>
              </w:tc>
              <w:tc>
                <w:tcPr>
                  <w:tcW w:w="889" w:type="pct"/>
                  <w:vMerge w:val="restart"/>
                  <w:tcBorders>
                    <w:top w:val="single" w:color="auto" w:sz="4" w:space="0"/>
                    <w:bottom w:val="single" w:color="auto" w:sz="4" w:space="0"/>
                  </w:tcBorders>
                  <w:vAlign w:val="center"/>
                </w:tcPr>
                <w:p w14:paraId="28B9F6F4">
                  <w:pPr>
                    <w:pStyle w:val="39"/>
                    <w:keepNext w:val="0"/>
                    <w:keepLines w:val="0"/>
                    <w:widowControl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二氧化硫：</w:t>
                  </w:r>
                  <w:r>
                    <w:rPr>
                      <w:rFonts w:hint="eastAsia" w:cs="Times New Roman"/>
                      <w:color w:val="000000" w:themeColor="text1"/>
                      <w:sz w:val="21"/>
                      <w:szCs w:val="21"/>
                      <w:highlight w:val="none"/>
                      <w:lang w:val="en-US" w:eastAsia="zh-CN"/>
                      <w14:textFill>
                        <w14:solidFill>
                          <w14:schemeClr w14:val="tx1"/>
                        </w14:solidFill>
                      </w14:textFill>
                    </w:rPr>
                    <w:t>6.24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p w14:paraId="2E6148C3">
                  <w:pPr>
                    <w:pStyle w:val="40"/>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p>
                <w:p w14:paraId="7A07CB0A">
                  <w:pPr>
                    <w:pStyle w:val="40"/>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p>
                <w:p w14:paraId="031827AC">
                  <w:pPr>
                    <w:pStyle w:val="40"/>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氮氧化物：</w:t>
                  </w:r>
                  <w:r>
                    <w:rPr>
                      <w:rFonts w:hint="eastAsia" w:cs="Times New Roman"/>
                      <w:b w:val="0"/>
                      <w:bCs/>
                      <w:color w:val="000000" w:themeColor="text1"/>
                      <w:kern w:val="2"/>
                      <w:sz w:val="21"/>
                      <w:szCs w:val="21"/>
                      <w:highlight w:val="none"/>
                      <w:lang w:val="en-US" w:eastAsia="zh-CN" w:bidi="ar-SA"/>
                      <w14:textFill>
                        <w14:solidFill>
                          <w14:schemeClr w14:val="tx1"/>
                        </w14:solidFill>
                      </w14:textFill>
                    </w:rPr>
                    <w:t>16.2</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t/a</w:t>
                  </w:r>
                </w:p>
                <w:p w14:paraId="765CBBE9">
                  <w:pPr>
                    <w:pStyle w:val="40"/>
                    <w:keepNext w:val="0"/>
                    <w:keepLines w:val="0"/>
                    <w:suppressLineNumbers w:val="0"/>
                    <w:spacing w:before="0" w:beforeAutospacing="0" w:after="0" w:afterAutospacing="0"/>
                    <w:ind w:left="0" w:leftChars="0" w:right="0" w:firstLine="0" w:firstLineChars="0"/>
                    <w:jc w:val="left"/>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p w14:paraId="4D5DF670">
                  <w:pPr>
                    <w:pStyle w:val="40"/>
                    <w:keepNext w:val="0"/>
                    <w:keepLines w:val="0"/>
                    <w:suppressLineNumbers w:val="0"/>
                    <w:spacing w:before="0" w:beforeAutospacing="0" w:after="0" w:afterAutospacing="0"/>
                    <w:ind w:left="0" w:leftChars="0" w:right="0" w:firstLine="0" w:firstLineChars="0"/>
                    <w:jc w:val="left"/>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p w14:paraId="390A93D1">
                  <w:pPr>
                    <w:pStyle w:val="40"/>
                    <w:keepNext w:val="0"/>
                    <w:keepLines w:val="0"/>
                    <w:suppressLineNumbers w:val="0"/>
                    <w:spacing w:before="0" w:beforeAutospacing="0" w:after="0" w:afterAutospacing="0"/>
                    <w:ind w:left="0" w:leftChars="0" w:right="0" w:firstLine="0" w:firstLineChars="0"/>
                    <w:jc w:val="left"/>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VOC</w:t>
                  </w:r>
                  <w:r>
                    <w:rPr>
                      <w:rFonts w:hint="default" w:ascii="Times New Roman" w:hAnsi="Times New Roman" w:eastAsia="宋体" w:cs="Times New Roman"/>
                      <w:b w:val="0"/>
                      <w:bCs/>
                      <w:color w:val="000000" w:themeColor="text1"/>
                      <w:sz w:val="21"/>
                      <w:szCs w:val="21"/>
                      <w:highlight w:val="none"/>
                      <w:vertAlign w:val="subscript"/>
                      <w:lang w:val="en-US" w:eastAsia="zh-CN"/>
                      <w14:textFill>
                        <w14:solidFill>
                          <w14:schemeClr w14:val="tx1"/>
                        </w14:solidFill>
                      </w14:textFill>
                    </w:rPr>
                    <w:t>S</w:t>
                  </w:r>
                  <w:r>
                    <w:rPr>
                      <w:rFonts w:hint="eastAsia" w:cs="Times New Roman"/>
                      <w:b w:val="0"/>
                      <w:bCs/>
                      <w:color w:val="000000" w:themeColor="text1"/>
                      <w:sz w:val="21"/>
                      <w:szCs w:val="21"/>
                      <w:highlight w:val="none"/>
                      <w:vertAlign w:val="subscript"/>
                      <w:lang w:val="en-US" w:eastAsia="zh-CN"/>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.00892</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t/a</w:t>
                  </w:r>
                </w:p>
              </w:tc>
            </w:tr>
            <w:tr w14:paraId="649A2B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5" w:type="pct"/>
                  <w:tcBorders>
                    <w:top w:val="single" w:color="auto" w:sz="4" w:space="0"/>
                    <w:bottom w:val="single" w:color="auto" w:sz="4" w:space="0"/>
                  </w:tcBorders>
                  <w:vAlign w:val="center"/>
                </w:tcPr>
                <w:p w14:paraId="6270E99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电炉废气</w:t>
                  </w:r>
                </w:p>
              </w:tc>
              <w:tc>
                <w:tcPr>
                  <w:tcW w:w="805" w:type="pct"/>
                  <w:tcBorders>
                    <w:top w:val="single" w:color="auto" w:sz="4" w:space="0"/>
                    <w:bottom w:val="single" w:color="auto" w:sz="4" w:space="0"/>
                  </w:tcBorders>
                  <w:vAlign w:val="center"/>
                </w:tcPr>
                <w:p w14:paraId="1B3DE96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颗粒物</w:t>
                  </w:r>
                </w:p>
              </w:tc>
              <w:tc>
                <w:tcPr>
                  <w:tcW w:w="1716" w:type="pct"/>
                  <w:tcBorders>
                    <w:top w:val="single" w:color="auto" w:sz="4" w:space="0"/>
                    <w:bottom w:val="single" w:color="auto" w:sz="4" w:space="0"/>
                  </w:tcBorders>
                  <w:vAlign w:val="center"/>
                </w:tcPr>
                <w:p w14:paraId="486854F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保温炉废气通过24m高排气筒排放</w:t>
                  </w:r>
                </w:p>
              </w:tc>
              <w:tc>
                <w:tcPr>
                  <w:tcW w:w="652" w:type="pct"/>
                  <w:vMerge w:val="continue"/>
                  <w:tcBorders>
                    <w:top w:val="single" w:color="auto" w:sz="4" w:space="0"/>
                    <w:bottom w:val="single" w:color="auto" w:sz="4" w:space="0"/>
                  </w:tcBorders>
                  <w:vAlign w:val="center"/>
                </w:tcPr>
                <w:p w14:paraId="3D95E0D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c>
                <w:tcPr>
                  <w:tcW w:w="889" w:type="pct"/>
                  <w:vMerge w:val="continue"/>
                  <w:tcBorders>
                    <w:top w:val="single" w:color="auto" w:sz="4" w:space="0"/>
                    <w:bottom w:val="single" w:color="auto" w:sz="4" w:space="0"/>
                  </w:tcBorders>
                  <w:vAlign w:val="center"/>
                </w:tcPr>
                <w:p w14:paraId="13F8DD5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r>
            <w:tr w14:paraId="649435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5" w:type="pct"/>
                  <w:tcBorders>
                    <w:top w:val="single" w:color="auto" w:sz="4" w:space="0"/>
                    <w:bottom w:val="single" w:color="auto" w:sz="4" w:space="0"/>
                  </w:tcBorders>
                  <w:vAlign w:val="center"/>
                </w:tcPr>
                <w:p w14:paraId="29C0081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清砂废气</w:t>
                  </w:r>
                </w:p>
              </w:tc>
              <w:tc>
                <w:tcPr>
                  <w:tcW w:w="805" w:type="pct"/>
                  <w:tcBorders>
                    <w:top w:val="single" w:color="auto" w:sz="4" w:space="0"/>
                    <w:bottom w:val="single" w:color="auto" w:sz="4" w:space="0"/>
                  </w:tcBorders>
                  <w:vAlign w:val="center"/>
                </w:tcPr>
                <w:p w14:paraId="03650E8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1716" w:type="pct"/>
                  <w:tcBorders>
                    <w:top w:val="single" w:color="auto" w:sz="4" w:space="0"/>
                    <w:bottom w:val="single" w:color="auto" w:sz="4" w:space="0"/>
                  </w:tcBorders>
                  <w:vAlign w:val="center"/>
                </w:tcPr>
                <w:p w14:paraId="37802E0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经布袋除尘器处理后通过20m高排气筒排放</w:t>
                  </w:r>
                </w:p>
              </w:tc>
              <w:tc>
                <w:tcPr>
                  <w:tcW w:w="652" w:type="pct"/>
                  <w:vMerge w:val="continue"/>
                  <w:tcBorders>
                    <w:top w:val="single" w:color="auto" w:sz="4" w:space="0"/>
                    <w:bottom w:val="single" w:color="auto" w:sz="4" w:space="0"/>
                  </w:tcBorders>
                  <w:vAlign w:val="center"/>
                </w:tcPr>
                <w:p w14:paraId="6723F90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c>
                <w:tcPr>
                  <w:tcW w:w="889" w:type="pct"/>
                  <w:vMerge w:val="continue"/>
                  <w:tcBorders>
                    <w:top w:val="single" w:color="auto" w:sz="4" w:space="0"/>
                    <w:bottom w:val="single" w:color="auto" w:sz="4" w:space="0"/>
                  </w:tcBorders>
                  <w:vAlign w:val="center"/>
                </w:tcPr>
                <w:p w14:paraId="34A70E8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27B713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tcBorders>
                    <w:top w:val="single" w:color="auto" w:sz="4" w:space="0"/>
                    <w:bottom w:val="single" w:color="auto" w:sz="4" w:space="0"/>
                  </w:tcBorders>
                  <w:vAlign w:val="center"/>
                </w:tcPr>
                <w:p w14:paraId="22FE06E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制芯及废砂回收废气</w:t>
                  </w:r>
                </w:p>
              </w:tc>
              <w:tc>
                <w:tcPr>
                  <w:tcW w:w="805" w:type="pct"/>
                  <w:tcBorders>
                    <w:top w:val="single" w:color="auto" w:sz="4" w:space="0"/>
                    <w:bottom w:val="single" w:color="auto" w:sz="4" w:space="0"/>
                  </w:tcBorders>
                  <w:vAlign w:val="center"/>
                </w:tcPr>
                <w:p w14:paraId="31694F49">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颗粒物、</w:t>
                  </w:r>
                  <w:r>
                    <w:rPr>
                      <w:rFonts w:hint="default" w:ascii="Times New Roman" w:hAnsi="Times New Roman" w:eastAsia="宋体" w:cs="Times New Roman"/>
                      <w:color w:val="000000" w:themeColor="text1"/>
                      <w:lang w:val="en-US" w:eastAsia="zh-CN"/>
                      <w14:textFill>
                        <w14:solidFill>
                          <w14:schemeClr w14:val="tx1"/>
                        </w14:solidFill>
                      </w14:textFill>
                    </w:rPr>
                    <w:t>二氧化硫、氮氧化物</w:t>
                  </w:r>
                </w:p>
              </w:tc>
              <w:tc>
                <w:tcPr>
                  <w:tcW w:w="1716" w:type="pct"/>
                  <w:tcBorders>
                    <w:top w:val="single" w:color="auto" w:sz="4" w:space="0"/>
                    <w:bottom w:val="single" w:color="auto" w:sz="4" w:space="0"/>
                  </w:tcBorders>
                  <w:vAlign w:val="center"/>
                </w:tcPr>
                <w:p w14:paraId="6E62981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布袋除尘器+光氧一体机处理后</w:t>
                  </w:r>
                  <w:r>
                    <w:rPr>
                      <w:rFonts w:hint="default" w:ascii="Times New Roman" w:hAnsi="Times New Roman" w:eastAsia="宋体" w:cs="Times New Roman"/>
                      <w:color w:val="000000" w:themeColor="text1"/>
                      <w:highlight w:val="none"/>
                      <w:lang w:val="en-US" w:eastAsia="zh-CN"/>
                      <w14:textFill>
                        <w14:solidFill>
                          <w14:schemeClr w14:val="tx1"/>
                        </w14:solidFill>
                      </w14:textFill>
                    </w:rPr>
                    <w:t>通过17m高排气筒排放</w:t>
                  </w:r>
                </w:p>
              </w:tc>
              <w:tc>
                <w:tcPr>
                  <w:tcW w:w="652" w:type="pct"/>
                  <w:vMerge w:val="continue"/>
                  <w:tcBorders>
                    <w:top w:val="single" w:color="auto" w:sz="4" w:space="0"/>
                    <w:bottom w:val="single" w:color="auto" w:sz="4" w:space="0"/>
                  </w:tcBorders>
                  <w:vAlign w:val="center"/>
                </w:tcPr>
                <w:p w14:paraId="744623B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89" w:type="pct"/>
                  <w:vMerge w:val="continue"/>
                  <w:tcBorders>
                    <w:top w:val="single" w:color="auto" w:sz="4" w:space="0"/>
                    <w:bottom w:val="single" w:color="auto" w:sz="4" w:space="0"/>
                  </w:tcBorders>
                  <w:vAlign w:val="center"/>
                </w:tcPr>
                <w:p w14:paraId="72B92AA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7BD007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tcBorders>
                    <w:top w:val="single" w:color="auto" w:sz="4" w:space="0"/>
                    <w:bottom w:val="single" w:color="auto" w:sz="4" w:space="0"/>
                  </w:tcBorders>
                  <w:vAlign w:val="center"/>
                </w:tcPr>
                <w:p w14:paraId="397871A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退火炉</w:t>
                  </w:r>
                </w:p>
              </w:tc>
              <w:tc>
                <w:tcPr>
                  <w:tcW w:w="805" w:type="pct"/>
                  <w:tcBorders>
                    <w:top w:val="single" w:color="auto" w:sz="4" w:space="0"/>
                    <w:bottom w:val="single" w:color="auto" w:sz="4" w:space="0"/>
                  </w:tcBorders>
                  <w:vAlign w:val="center"/>
                </w:tcPr>
                <w:p w14:paraId="6D9E62A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颗粒物、</w:t>
                  </w:r>
                  <w:r>
                    <w:rPr>
                      <w:rFonts w:hint="default" w:ascii="Times New Roman" w:hAnsi="Times New Roman" w:eastAsia="宋体" w:cs="Times New Roman"/>
                      <w:color w:val="000000" w:themeColor="text1"/>
                      <w:lang w:val="en-US" w:eastAsia="zh-CN"/>
                      <w14:textFill>
                        <w14:solidFill>
                          <w14:schemeClr w14:val="tx1"/>
                        </w14:solidFill>
                      </w14:textFill>
                    </w:rPr>
                    <w:t>二氧化硫、氮氧化物</w:t>
                  </w:r>
                </w:p>
              </w:tc>
              <w:tc>
                <w:tcPr>
                  <w:tcW w:w="1716" w:type="pct"/>
                  <w:tcBorders>
                    <w:top w:val="single" w:color="auto" w:sz="4" w:space="0"/>
                    <w:bottom w:val="single" w:color="auto" w:sz="4" w:space="0"/>
                  </w:tcBorders>
                  <w:vAlign w:val="center"/>
                </w:tcPr>
                <w:p w14:paraId="3898E355">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冷模线、热模线退火炉废气各配套1套SNCR脱硝+双碱法脱硫设施处理后分别通过20m高排气筒排放</w:t>
                  </w:r>
                </w:p>
              </w:tc>
              <w:tc>
                <w:tcPr>
                  <w:tcW w:w="652" w:type="pct"/>
                  <w:vMerge w:val="continue"/>
                  <w:tcBorders>
                    <w:top w:val="single" w:color="auto" w:sz="4" w:space="0"/>
                    <w:bottom w:val="single" w:color="auto" w:sz="4" w:space="0"/>
                  </w:tcBorders>
                  <w:vAlign w:val="center"/>
                </w:tcPr>
                <w:p w14:paraId="42E07B2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89" w:type="pct"/>
                  <w:vMerge w:val="continue"/>
                  <w:tcBorders>
                    <w:top w:val="single" w:color="auto" w:sz="4" w:space="0"/>
                    <w:bottom w:val="single" w:color="auto" w:sz="4" w:space="0"/>
                  </w:tcBorders>
                  <w:vAlign w:val="center"/>
                </w:tcPr>
                <w:p w14:paraId="3693BF5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0D7DC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tcBorders>
                    <w:top w:val="single" w:color="auto" w:sz="4" w:space="0"/>
                    <w:bottom w:val="single" w:color="auto" w:sz="4" w:space="0"/>
                  </w:tcBorders>
                  <w:vAlign w:val="center"/>
                </w:tcPr>
                <w:p w14:paraId="1793109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喷锌打磨及水泥筒仓</w:t>
                  </w:r>
                </w:p>
              </w:tc>
              <w:tc>
                <w:tcPr>
                  <w:tcW w:w="805" w:type="pct"/>
                  <w:tcBorders>
                    <w:top w:val="single" w:color="auto" w:sz="4" w:space="0"/>
                    <w:bottom w:val="single" w:color="auto" w:sz="4" w:space="0"/>
                  </w:tcBorders>
                  <w:vAlign w:val="center"/>
                </w:tcPr>
                <w:p w14:paraId="044565C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1716" w:type="pct"/>
                  <w:tcBorders>
                    <w:top w:val="single" w:color="auto" w:sz="4" w:space="0"/>
                    <w:bottom w:val="single" w:color="auto" w:sz="4" w:space="0"/>
                  </w:tcBorders>
                  <w:vAlign w:val="center"/>
                </w:tcPr>
                <w:p w14:paraId="130F9CA5">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经布袋除尘器处理与冷/热模喷锌机废气经重力+布袋除尘器处理后一并通过20m高排气筒排放（共用1个排气筒）</w:t>
                  </w:r>
                </w:p>
              </w:tc>
              <w:tc>
                <w:tcPr>
                  <w:tcW w:w="652" w:type="pct"/>
                  <w:vMerge w:val="continue"/>
                  <w:tcBorders>
                    <w:top w:val="single" w:color="auto" w:sz="4" w:space="0"/>
                    <w:bottom w:val="single" w:color="auto" w:sz="4" w:space="0"/>
                  </w:tcBorders>
                  <w:vAlign w:val="center"/>
                </w:tcPr>
                <w:p w14:paraId="7553AB3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vMerge w:val="continue"/>
                  <w:tcBorders>
                    <w:top w:val="single" w:color="auto" w:sz="4" w:space="0"/>
                    <w:bottom w:val="single" w:color="auto" w:sz="4" w:space="0"/>
                  </w:tcBorders>
                  <w:vAlign w:val="center"/>
                </w:tcPr>
                <w:p w14:paraId="0D1E7B5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1A6F8A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tcBorders>
                    <w:top w:val="single" w:color="auto" w:sz="4" w:space="0"/>
                  </w:tcBorders>
                  <w:vAlign w:val="center"/>
                </w:tcPr>
                <w:p w14:paraId="13C4B294">
                  <w:pPr>
                    <w:pStyle w:val="40"/>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喷漆废气</w:t>
                  </w:r>
                </w:p>
              </w:tc>
              <w:tc>
                <w:tcPr>
                  <w:tcW w:w="805" w:type="pct"/>
                  <w:tcBorders>
                    <w:top w:val="single" w:color="auto" w:sz="4" w:space="0"/>
                    <w:bottom w:val="single" w:color="auto" w:sz="4" w:space="0"/>
                  </w:tcBorders>
                  <w:vAlign w:val="center"/>
                </w:tcPr>
                <w:p w14:paraId="44722BE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颗粒物、苯系物、非甲烷总烃、TVOC</w:t>
                  </w:r>
                </w:p>
              </w:tc>
              <w:tc>
                <w:tcPr>
                  <w:tcW w:w="1716" w:type="pct"/>
                  <w:tcBorders>
                    <w:top w:val="single" w:color="auto" w:sz="4" w:space="0"/>
                  </w:tcBorders>
                  <w:vAlign w:val="center"/>
                </w:tcPr>
                <w:p w14:paraId="2DAA00F2">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冷模、热</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喷漆废气各设1套活性炭吸附+催化燃烧装置处理后分别通过排气筒排放（冷模喷漆排口排气筒高度20m：热模喷漆排口排气筒高度23m）</w:t>
                  </w:r>
                </w:p>
              </w:tc>
              <w:tc>
                <w:tcPr>
                  <w:tcW w:w="652" w:type="pct"/>
                  <w:vMerge w:val="continue"/>
                  <w:tcBorders>
                    <w:top w:val="single" w:color="auto" w:sz="4" w:space="0"/>
                    <w:bottom w:val="single" w:color="auto" w:sz="4" w:space="0"/>
                  </w:tcBorders>
                  <w:vAlign w:val="center"/>
                </w:tcPr>
                <w:p w14:paraId="12A07F54">
                  <w:pPr>
                    <w:pStyle w:val="39"/>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89" w:type="pct"/>
                  <w:vMerge w:val="continue"/>
                  <w:tcBorders>
                    <w:top w:val="single" w:color="auto" w:sz="4" w:space="0"/>
                    <w:bottom w:val="single" w:color="auto" w:sz="4" w:space="0"/>
                  </w:tcBorders>
                  <w:vAlign w:val="center"/>
                </w:tcPr>
                <w:p w14:paraId="4D02C7D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3F241A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5"/>
                  <w:vAlign w:val="center"/>
                </w:tcPr>
                <w:p w14:paraId="247C304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4"/>
                      <w:lang w:val="en-US" w:eastAsia="zh-CN" w:bidi="ar-SA"/>
                      <w14:textFill>
                        <w14:solidFill>
                          <w14:schemeClr w14:val="tx1"/>
                        </w14:solidFill>
                      </w14:textFill>
                    </w:rPr>
                    <w:t>废水</w:t>
                  </w:r>
                </w:p>
              </w:tc>
            </w:tr>
            <w:tr w14:paraId="7B7A6D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935" w:type="pct"/>
                  <w:vAlign w:val="center"/>
                </w:tcPr>
                <w:p w14:paraId="2072F62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生活污水</w:t>
                  </w:r>
                </w:p>
              </w:tc>
              <w:tc>
                <w:tcPr>
                  <w:tcW w:w="805" w:type="pct"/>
                  <w:tcBorders>
                    <w:top w:val="single" w:color="auto" w:sz="4" w:space="0"/>
                  </w:tcBorders>
                  <w:vAlign w:val="center"/>
                </w:tcPr>
                <w:p w14:paraId="4863644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716" w:type="pct"/>
                  <w:tcBorders>
                    <w:top w:val="single" w:color="auto" w:sz="4" w:space="0"/>
                  </w:tcBorders>
                  <w:vAlign w:val="center"/>
                </w:tcPr>
                <w:p w14:paraId="4CDB283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循环使用不外排</w:t>
                  </w:r>
                </w:p>
              </w:tc>
              <w:tc>
                <w:tcPr>
                  <w:tcW w:w="652" w:type="pct"/>
                  <w:vMerge w:val="restart"/>
                  <w:tcBorders>
                    <w:top w:val="single" w:color="auto" w:sz="4" w:space="0"/>
                  </w:tcBorders>
                  <w:vAlign w:val="center"/>
                </w:tcPr>
                <w:p w14:paraId="0C748D2F">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《污水综合排放标准》（GB 8978-1996）</w:t>
                  </w:r>
                </w:p>
              </w:tc>
              <w:tc>
                <w:tcPr>
                  <w:tcW w:w="889" w:type="pct"/>
                  <w:tcBorders>
                    <w:top w:val="single" w:color="auto" w:sz="4" w:space="0"/>
                    <w:bottom w:val="single" w:color="auto" w:sz="4" w:space="0"/>
                  </w:tcBorders>
                  <w:vAlign w:val="center"/>
                </w:tcPr>
                <w:p w14:paraId="4E97D1A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0</w:t>
                  </w:r>
                </w:p>
              </w:tc>
            </w:tr>
            <w:tr w14:paraId="54D376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35" w:type="pct"/>
                  <w:vAlign w:val="center"/>
                </w:tcPr>
                <w:p w14:paraId="3432331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生活污水</w:t>
                  </w:r>
                </w:p>
              </w:tc>
              <w:tc>
                <w:tcPr>
                  <w:tcW w:w="805" w:type="pct"/>
                  <w:tcBorders>
                    <w:top w:val="single" w:color="auto" w:sz="4" w:space="0"/>
                  </w:tcBorders>
                  <w:vAlign w:val="center"/>
                </w:tcPr>
                <w:p w14:paraId="37D9651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BOD</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lang w:val="en-US" w:eastAsia="zh-CN"/>
                      <w14:textFill>
                        <w14:solidFill>
                          <w14:schemeClr w14:val="tx1"/>
                        </w14:solidFill>
                      </w14:textFill>
                    </w:rPr>
                    <w:t>、氨氮、COD</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CR</w:t>
                  </w:r>
                  <w:r>
                    <w:rPr>
                      <w:rFonts w:hint="default" w:ascii="Times New Roman" w:hAnsi="Times New Roman" w:eastAsia="宋体" w:cs="Times New Roman"/>
                      <w:color w:val="000000" w:themeColor="text1"/>
                      <w:lang w:val="en-US" w:eastAsia="zh-CN"/>
                      <w14:textFill>
                        <w14:solidFill>
                          <w14:schemeClr w14:val="tx1"/>
                        </w14:solidFill>
                      </w14:textFill>
                    </w:rPr>
                    <w:t>、悬浮物</w:t>
                  </w:r>
                </w:p>
              </w:tc>
              <w:tc>
                <w:tcPr>
                  <w:tcW w:w="1716" w:type="pct"/>
                  <w:vAlign w:val="center"/>
                </w:tcPr>
                <w:p w14:paraId="3D19568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经MBR污水处理设施处理后用于厂区绿化处理后冬储夏灌</w:t>
                  </w:r>
                </w:p>
              </w:tc>
              <w:tc>
                <w:tcPr>
                  <w:tcW w:w="652" w:type="pct"/>
                  <w:vMerge w:val="continue"/>
                  <w:tcBorders>
                    <w:bottom w:val="single" w:color="auto" w:sz="4" w:space="0"/>
                  </w:tcBorders>
                  <w:vAlign w:val="center"/>
                </w:tcPr>
                <w:p w14:paraId="1FFC789F">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op w:val="single" w:color="auto" w:sz="4" w:space="0"/>
                    <w:bottom w:val="single" w:color="auto" w:sz="4" w:space="0"/>
                  </w:tcBorders>
                  <w:vAlign w:val="center"/>
                </w:tcPr>
                <w:p w14:paraId="5FD2B08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0</w:t>
                  </w:r>
                </w:p>
              </w:tc>
            </w:tr>
            <w:tr w14:paraId="3143FC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l2br w:val="nil"/>
                    <w:tr2bl w:val="nil"/>
                  </w:tcBorders>
                  <w:vAlign w:val="center"/>
                </w:tcPr>
                <w:p w14:paraId="33FAF0C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固体废物</w:t>
                  </w:r>
                </w:p>
              </w:tc>
            </w:tr>
            <w:tr w14:paraId="459758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restart"/>
                  <w:tcBorders>
                    <w:tl2br w:val="nil"/>
                    <w:tr2bl w:val="nil"/>
                  </w:tcBorders>
                  <w:vAlign w:val="center"/>
                </w:tcPr>
                <w:p w14:paraId="4C3B064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一般固废</w:t>
                  </w:r>
                </w:p>
              </w:tc>
              <w:tc>
                <w:tcPr>
                  <w:tcW w:w="805" w:type="pct"/>
                  <w:tcBorders>
                    <w:tl2br w:val="nil"/>
                    <w:tr2bl w:val="nil"/>
                  </w:tcBorders>
                  <w:vAlign w:val="center"/>
                </w:tcPr>
                <w:p w14:paraId="2F2AFAE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布袋除尘器灰尘</w:t>
                  </w:r>
                </w:p>
              </w:tc>
              <w:tc>
                <w:tcPr>
                  <w:tcW w:w="1716" w:type="pct"/>
                  <w:tcBorders>
                    <w:tl2br w:val="nil"/>
                    <w:tr2bl w:val="nil"/>
                  </w:tcBorders>
                  <w:vAlign w:val="center"/>
                </w:tcPr>
                <w:p w14:paraId="16AD0A1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统一收集后售出</w:t>
                  </w:r>
                </w:p>
              </w:tc>
              <w:tc>
                <w:tcPr>
                  <w:tcW w:w="652" w:type="pct"/>
                  <w:vMerge w:val="restart"/>
                  <w:tcBorders>
                    <w:tl2br w:val="nil"/>
                    <w:tr2bl w:val="nil"/>
                  </w:tcBorders>
                  <w:vAlign w:val="center"/>
                </w:tcPr>
                <w:p w14:paraId="7DADF3E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《一般工业固体废物贮存和填埋污染控制标准》（GB 18599-2020）</w:t>
                  </w:r>
                </w:p>
              </w:tc>
              <w:tc>
                <w:tcPr>
                  <w:tcW w:w="889" w:type="pct"/>
                  <w:tcBorders>
                    <w:tl2br w:val="nil"/>
                    <w:tr2bl w:val="nil"/>
                  </w:tcBorders>
                  <w:vAlign w:val="center"/>
                </w:tcPr>
                <w:p w14:paraId="1C31967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151.7t/a</w:t>
                  </w:r>
                </w:p>
              </w:tc>
            </w:tr>
            <w:tr w14:paraId="40EB3A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935" w:type="pct"/>
                  <w:vMerge w:val="continue"/>
                  <w:tcBorders>
                    <w:tl2br w:val="nil"/>
                    <w:tr2bl w:val="nil"/>
                  </w:tcBorders>
                  <w:vAlign w:val="center"/>
                </w:tcPr>
                <w:p w14:paraId="2EF54A0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4A987C7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废铁屑</w:t>
                  </w:r>
                </w:p>
              </w:tc>
              <w:tc>
                <w:tcPr>
                  <w:tcW w:w="1716" w:type="pct"/>
                  <w:tcBorders>
                    <w:tl2br w:val="nil"/>
                    <w:tr2bl w:val="nil"/>
                  </w:tcBorders>
                  <w:vAlign w:val="center"/>
                </w:tcPr>
                <w:p w14:paraId="175FCDE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电炉回用</w:t>
                  </w:r>
                </w:p>
              </w:tc>
              <w:tc>
                <w:tcPr>
                  <w:tcW w:w="652" w:type="pct"/>
                  <w:vMerge w:val="continue"/>
                  <w:tcBorders>
                    <w:tl2br w:val="nil"/>
                    <w:tr2bl w:val="nil"/>
                  </w:tcBorders>
                  <w:vAlign w:val="center"/>
                </w:tcPr>
                <w:p w14:paraId="2353FE9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43AEBA1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0.6t/a</w:t>
                  </w:r>
                </w:p>
              </w:tc>
            </w:tr>
            <w:tr w14:paraId="1B51AD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5" w:type="pct"/>
                  <w:vMerge w:val="continue"/>
                  <w:tcBorders>
                    <w:tl2br w:val="nil"/>
                    <w:tr2bl w:val="nil"/>
                  </w:tcBorders>
                  <w:vAlign w:val="center"/>
                </w:tcPr>
                <w:p w14:paraId="71EA3F5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1EC2EF1C">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涂衬水泥浆</w:t>
                  </w:r>
                </w:p>
              </w:tc>
              <w:tc>
                <w:tcPr>
                  <w:tcW w:w="1716" w:type="pct"/>
                  <w:vMerge w:val="restart"/>
                  <w:tcBorders>
                    <w:tl2br w:val="nil"/>
                    <w:tr2bl w:val="nil"/>
                  </w:tcBorders>
                  <w:vAlign w:val="center"/>
                </w:tcPr>
                <w:p w14:paraId="0BCE3C4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收集后</w:t>
                  </w:r>
                  <w:r>
                    <w:rPr>
                      <w:rFonts w:hint="default" w:ascii="Times New Roman" w:hAnsi="Times New Roman" w:eastAsia="宋体" w:cs="Times New Roman"/>
                      <w:color w:val="000000" w:themeColor="text1"/>
                      <w:lang w:val="en-US" w:eastAsia="zh-CN"/>
                      <w14:textFill>
                        <w14:solidFill>
                          <w14:schemeClr w14:val="tx1"/>
                        </w14:solidFill>
                      </w14:textFill>
                    </w:rPr>
                    <w:t>外售</w:t>
                  </w:r>
                </w:p>
              </w:tc>
              <w:tc>
                <w:tcPr>
                  <w:tcW w:w="652" w:type="pct"/>
                  <w:vMerge w:val="continue"/>
                  <w:tcBorders>
                    <w:tl2br w:val="nil"/>
                    <w:tr2bl w:val="nil"/>
                  </w:tcBorders>
                  <w:vAlign w:val="center"/>
                </w:tcPr>
                <w:p w14:paraId="197309A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110034D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1620t/a</w:t>
                  </w:r>
                </w:p>
              </w:tc>
            </w:tr>
            <w:tr w14:paraId="5E168E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05556063">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0D924BF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煤气发生炉炉渣</w:t>
                  </w:r>
                </w:p>
              </w:tc>
              <w:tc>
                <w:tcPr>
                  <w:tcW w:w="1716" w:type="pct"/>
                  <w:vMerge w:val="continue"/>
                  <w:tcBorders>
                    <w:tl2br w:val="nil"/>
                    <w:tr2bl w:val="nil"/>
                  </w:tcBorders>
                  <w:vAlign w:val="center"/>
                </w:tcPr>
                <w:p w14:paraId="11B0914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7998332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89" w:type="pct"/>
                  <w:tcBorders>
                    <w:tl2br w:val="nil"/>
                    <w:tr2bl w:val="nil"/>
                  </w:tcBorders>
                  <w:vAlign w:val="center"/>
                </w:tcPr>
                <w:p w14:paraId="481D02F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800t/a</w:t>
                  </w:r>
                </w:p>
              </w:tc>
            </w:tr>
            <w:tr w14:paraId="0DF06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35" w:type="pct"/>
                  <w:vMerge w:val="continue"/>
                  <w:tcBorders>
                    <w:tl2br w:val="nil"/>
                    <w:tr2bl w:val="nil"/>
                  </w:tcBorders>
                  <w:vAlign w:val="center"/>
                </w:tcPr>
                <w:p w14:paraId="28E3E61B">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3099B6D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电炉炉渣</w:t>
                  </w:r>
                </w:p>
              </w:tc>
              <w:tc>
                <w:tcPr>
                  <w:tcW w:w="1716" w:type="pct"/>
                  <w:tcBorders>
                    <w:tl2br w:val="nil"/>
                    <w:tr2bl w:val="nil"/>
                  </w:tcBorders>
                  <w:vAlign w:val="center"/>
                </w:tcPr>
                <w:p w14:paraId="6C771E2C">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统一收集后售出</w:t>
                  </w:r>
                </w:p>
              </w:tc>
              <w:tc>
                <w:tcPr>
                  <w:tcW w:w="652" w:type="pct"/>
                  <w:vMerge w:val="continue"/>
                  <w:tcBorders>
                    <w:tl2br w:val="nil"/>
                    <w:tr2bl w:val="nil"/>
                  </w:tcBorders>
                  <w:vAlign w:val="center"/>
                </w:tcPr>
                <w:p w14:paraId="32D150D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889" w:type="pct"/>
                  <w:tcBorders>
                    <w:tl2br w:val="nil"/>
                    <w:tr2bl w:val="nil"/>
                  </w:tcBorders>
                  <w:vAlign w:val="center"/>
                </w:tcPr>
                <w:p w14:paraId="046874A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4907.8t/a</w:t>
                  </w:r>
                </w:p>
              </w:tc>
            </w:tr>
            <w:tr w14:paraId="2F900E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55487BE4">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38E96CD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离心机残铁</w:t>
                  </w:r>
                </w:p>
              </w:tc>
              <w:tc>
                <w:tcPr>
                  <w:tcW w:w="1716" w:type="pct"/>
                  <w:tcBorders>
                    <w:tl2br w:val="nil"/>
                    <w:tr2bl w:val="nil"/>
                  </w:tcBorders>
                  <w:vAlign w:val="center"/>
                </w:tcPr>
                <w:p w14:paraId="53B61D5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电炉回用</w:t>
                  </w:r>
                </w:p>
              </w:tc>
              <w:tc>
                <w:tcPr>
                  <w:tcW w:w="652" w:type="pct"/>
                  <w:vMerge w:val="continue"/>
                  <w:tcBorders>
                    <w:tl2br w:val="nil"/>
                    <w:tr2bl w:val="nil"/>
                  </w:tcBorders>
                  <w:vAlign w:val="center"/>
                </w:tcPr>
                <w:p w14:paraId="21BB579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37A592C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1160t/a</w:t>
                  </w:r>
                </w:p>
              </w:tc>
            </w:tr>
            <w:tr w14:paraId="7C67CF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1F17E0A5">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4935D47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脱硫废物</w:t>
                  </w:r>
                </w:p>
              </w:tc>
              <w:tc>
                <w:tcPr>
                  <w:tcW w:w="1716" w:type="pct"/>
                  <w:tcBorders>
                    <w:tl2br w:val="nil"/>
                    <w:tr2bl w:val="nil"/>
                  </w:tcBorders>
                  <w:vAlign w:val="center"/>
                </w:tcPr>
                <w:p w14:paraId="7CAB185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统一处置</w:t>
                  </w:r>
                </w:p>
              </w:tc>
              <w:tc>
                <w:tcPr>
                  <w:tcW w:w="652" w:type="pct"/>
                  <w:vMerge w:val="continue"/>
                  <w:tcBorders>
                    <w:tl2br w:val="nil"/>
                    <w:tr2bl w:val="nil"/>
                  </w:tcBorders>
                  <w:vAlign w:val="center"/>
                </w:tcPr>
                <w:p w14:paraId="2A2AF4C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5AA214F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w:t>
                  </w:r>
                </w:p>
              </w:tc>
            </w:tr>
            <w:tr w14:paraId="7393E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0F17042A">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68C8AC6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废砂芯</w:t>
                  </w:r>
                </w:p>
              </w:tc>
              <w:tc>
                <w:tcPr>
                  <w:tcW w:w="1716" w:type="pct"/>
                  <w:tcBorders>
                    <w:tl2br w:val="nil"/>
                    <w:tr2bl w:val="nil"/>
                  </w:tcBorders>
                  <w:vAlign w:val="center"/>
                </w:tcPr>
                <w:p w14:paraId="2CA5380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再生处理后回用于制芯</w:t>
                  </w:r>
                </w:p>
              </w:tc>
              <w:tc>
                <w:tcPr>
                  <w:tcW w:w="652" w:type="pct"/>
                  <w:vMerge w:val="continue"/>
                  <w:tcBorders>
                    <w:tl2br w:val="nil"/>
                    <w:tr2bl w:val="nil"/>
                  </w:tcBorders>
                  <w:vAlign w:val="center"/>
                </w:tcPr>
                <w:p w14:paraId="1666E99B">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44A2ACB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1617.3t/a</w:t>
                  </w:r>
                </w:p>
              </w:tc>
            </w:tr>
            <w:tr w14:paraId="2551C4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74521FC6">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24FF901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生活垃圾及污泥</w:t>
                  </w:r>
                </w:p>
              </w:tc>
              <w:tc>
                <w:tcPr>
                  <w:tcW w:w="1716" w:type="pct"/>
                  <w:tcBorders>
                    <w:tl2br w:val="nil"/>
                    <w:tr2bl w:val="nil"/>
                  </w:tcBorders>
                  <w:vAlign w:val="center"/>
                </w:tcPr>
                <w:p w14:paraId="482390FF">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由环卫部门进行处理</w:t>
                  </w:r>
                </w:p>
              </w:tc>
              <w:tc>
                <w:tcPr>
                  <w:tcW w:w="652" w:type="pct"/>
                  <w:vMerge w:val="continue"/>
                  <w:tcBorders>
                    <w:tl2br w:val="nil"/>
                    <w:tr2bl w:val="nil"/>
                  </w:tcBorders>
                  <w:vAlign w:val="center"/>
                </w:tcPr>
                <w:p w14:paraId="4F47CCE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1447671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66t/a</w:t>
                  </w:r>
                </w:p>
              </w:tc>
            </w:tr>
            <w:tr w14:paraId="7C08E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restart"/>
                  <w:tcBorders>
                    <w:tl2br w:val="nil"/>
                    <w:tr2bl w:val="nil"/>
                  </w:tcBorders>
                  <w:vAlign w:val="center"/>
                </w:tcPr>
                <w:p w14:paraId="6C440DF2">
                  <w:pPr>
                    <w:pStyle w:val="40"/>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危险废物</w:t>
                  </w:r>
                </w:p>
              </w:tc>
              <w:tc>
                <w:tcPr>
                  <w:tcW w:w="805" w:type="pct"/>
                  <w:tcBorders>
                    <w:tl2br w:val="nil"/>
                    <w:tr2bl w:val="nil"/>
                  </w:tcBorders>
                  <w:vAlign w:val="center"/>
                </w:tcPr>
                <w:p w14:paraId="272BF9D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废机油</w:t>
                  </w:r>
                </w:p>
              </w:tc>
              <w:tc>
                <w:tcPr>
                  <w:tcW w:w="1716" w:type="pct"/>
                  <w:vMerge w:val="restart"/>
                  <w:tcBorders>
                    <w:tl2br w:val="nil"/>
                    <w:tr2bl w:val="nil"/>
                  </w:tcBorders>
                  <w:vAlign w:val="center"/>
                </w:tcPr>
                <w:p w14:paraId="1596F721">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委托有资质单位处理</w:t>
                  </w:r>
                </w:p>
              </w:tc>
              <w:tc>
                <w:tcPr>
                  <w:tcW w:w="652" w:type="pct"/>
                  <w:vMerge w:val="restart"/>
                  <w:tcBorders>
                    <w:tl2br w:val="nil"/>
                    <w:tr2bl w:val="nil"/>
                  </w:tcBorders>
                  <w:vAlign w:val="center"/>
                </w:tcPr>
                <w:p w14:paraId="52AFB20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《危险废物贮存污染控制标准》（GB 18597-2001）</w:t>
                  </w:r>
                </w:p>
              </w:tc>
              <w:tc>
                <w:tcPr>
                  <w:tcW w:w="889" w:type="pct"/>
                  <w:tcBorders>
                    <w:tl2br w:val="nil"/>
                    <w:tr2bl w:val="nil"/>
                  </w:tcBorders>
                  <w:vAlign w:val="center"/>
                </w:tcPr>
                <w:p w14:paraId="0EB908F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6t/a</w:t>
                  </w:r>
                </w:p>
              </w:tc>
            </w:tr>
            <w:tr w14:paraId="5FD43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33C3E2E5">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4548745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煤焦油</w:t>
                  </w:r>
                </w:p>
              </w:tc>
              <w:tc>
                <w:tcPr>
                  <w:tcW w:w="1716" w:type="pct"/>
                  <w:vMerge w:val="continue"/>
                  <w:tcBorders>
                    <w:tl2br w:val="nil"/>
                    <w:tr2bl w:val="nil"/>
                  </w:tcBorders>
                  <w:vAlign w:val="center"/>
                </w:tcPr>
                <w:p w14:paraId="0C5B5C1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6D5C3B9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89" w:type="pct"/>
                  <w:tcBorders>
                    <w:tl2br w:val="nil"/>
                    <w:tr2bl w:val="nil"/>
                  </w:tcBorders>
                  <w:vAlign w:val="center"/>
                </w:tcPr>
                <w:p w14:paraId="0C4C769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660t/a</w:t>
                  </w:r>
                </w:p>
              </w:tc>
            </w:tr>
            <w:tr w14:paraId="1C3D5C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5CF93C0B">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50E379B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锌灰</w:t>
                  </w:r>
                </w:p>
              </w:tc>
              <w:tc>
                <w:tcPr>
                  <w:tcW w:w="1716" w:type="pct"/>
                  <w:vMerge w:val="continue"/>
                  <w:tcBorders>
                    <w:tl2br w:val="nil"/>
                    <w:tr2bl w:val="nil"/>
                  </w:tcBorders>
                  <w:vAlign w:val="center"/>
                </w:tcPr>
                <w:p w14:paraId="5406793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199F0D4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89" w:type="pct"/>
                  <w:tcBorders>
                    <w:tl2br w:val="nil"/>
                    <w:tr2bl w:val="nil"/>
                  </w:tcBorders>
                  <w:vAlign w:val="center"/>
                </w:tcPr>
                <w:p w14:paraId="7755BB04">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35t/a</w:t>
                  </w:r>
                </w:p>
              </w:tc>
            </w:tr>
            <w:tr w14:paraId="3E1852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6957FC7A">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1CD55D4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废活性炭</w:t>
                  </w:r>
                </w:p>
              </w:tc>
              <w:tc>
                <w:tcPr>
                  <w:tcW w:w="1716" w:type="pct"/>
                  <w:vMerge w:val="continue"/>
                  <w:tcBorders>
                    <w:tl2br w:val="nil"/>
                    <w:tr2bl w:val="nil"/>
                  </w:tcBorders>
                  <w:vAlign w:val="center"/>
                </w:tcPr>
                <w:p w14:paraId="7471AF45">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52ED7805">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89" w:type="pct"/>
                  <w:tcBorders>
                    <w:tl2br w:val="nil"/>
                    <w:tr2bl w:val="nil"/>
                  </w:tcBorders>
                  <w:vAlign w:val="center"/>
                </w:tcPr>
                <w:p w14:paraId="405F02ED">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0.70t/a</w:t>
                  </w:r>
                </w:p>
              </w:tc>
            </w:tr>
            <w:tr w14:paraId="41DA3B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1DAEE454">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61F9FA19">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46F6F23A">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废漆渣</w:t>
                  </w:r>
                </w:p>
              </w:tc>
              <w:tc>
                <w:tcPr>
                  <w:tcW w:w="1716" w:type="pct"/>
                  <w:vMerge w:val="continue"/>
                  <w:tcBorders>
                    <w:tl2br w:val="nil"/>
                    <w:tr2bl w:val="nil"/>
                  </w:tcBorders>
                  <w:vAlign w:val="center"/>
                </w:tcPr>
                <w:p w14:paraId="27814BB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508E68C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89" w:type="pct"/>
                  <w:tcBorders>
                    <w:tl2br w:val="nil"/>
                    <w:tr2bl w:val="nil"/>
                  </w:tcBorders>
                  <w:vAlign w:val="center"/>
                </w:tcPr>
                <w:p w14:paraId="70487BC6">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0.48t/a</w:t>
                  </w:r>
                </w:p>
              </w:tc>
            </w:tr>
            <w:tr w14:paraId="017AD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78A62D25">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6D74B590">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废漆桶</w:t>
                  </w:r>
                </w:p>
              </w:tc>
              <w:tc>
                <w:tcPr>
                  <w:tcW w:w="1716" w:type="pct"/>
                  <w:vMerge w:val="continue"/>
                  <w:tcBorders>
                    <w:tl2br w:val="nil"/>
                    <w:tr2bl w:val="nil"/>
                  </w:tcBorders>
                  <w:vAlign w:val="center"/>
                </w:tcPr>
                <w:p w14:paraId="59F6A32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36032D4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89" w:type="pct"/>
                  <w:tcBorders>
                    <w:tl2br w:val="nil"/>
                    <w:tr2bl w:val="nil"/>
                  </w:tcBorders>
                  <w:vAlign w:val="center"/>
                </w:tcPr>
                <w:p w14:paraId="21F1B26C">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12.96t/a</w:t>
                  </w:r>
                </w:p>
              </w:tc>
            </w:tr>
            <w:tr w14:paraId="66195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5" w:type="pct"/>
                  <w:vMerge w:val="continue"/>
                  <w:tcBorders>
                    <w:tl2br w:val="nil"/>
                    <w:tr2bl w:val="nil"/>
                  </w:tcBorders>
                  <w:vAlign w:val="center"/>
                </w:tcPr>
                <w:p w14:paraId="64EC5F34">
                  <w:pPr>
                    <w:pStyle w:val="40"/>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p>
              </w:tc>
              <w:tc>
                <w:tcPr>
                  <w:tcW w:w="805" w:type="pct"/>
                  <w:tcBorders>
                    <w:tl2br w:val="nil"/>
                    <w:tr2bl w:val="nil"/>
                  </w:tcBorders>
                  <w:vAlign w:val="center"/>
                </w:tcPr>
                <w:p w14:paraId="48017A23">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废UV灯管</w:t>
                  </w:r>
                </w:p>
              </w:tc>
              <w:tc>
                <w:tcPr>
                  <w:tcW w:w="1716" w:type="pct"/>
                  <w:vMerge w:val="continue"/>
                  <w:tcBorders>
                    <w:tl2br w:val="nil"/>
                    <w:tr2bl w:val="nil"/>
                  </w:tcBorders>
                  <w:vAlign w:val="center"/>
                </w:tcPr>
                <w:p w14:paraId="05F5A9DC">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652" w:type="pct"/>
                  <w:vMerge w:val="continue"/>
                  <w:tcBorders>
                    <w:tl2br w:val="nil"/>
                    <w:tr2bl w:val="nil"/>
                  </w:tcBorders>
                  <w:vAlign w:val="center"/>
                </w:tcPr>
                <w:p w14:paraId="2F02D1CE">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c>
                <w:tcPr>
                  <w:tcW w:w="889" w:type="pct"/>
                  <w:tcBorders>
                    <w:tl2br w:val="nil"/>
                    <w:tr2bl w:val="nil"/>
                  </w:tcBorders>
                  <w:vAlign w:val="center"/>
                </w:tcPr>
                <w:p w14:paraId="58D5B24F">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w:t>
                  </w:r>
                </w:p>
              </w:tc>
            </w:tr>
          </w:tbl>
          <w:p w14:paraId="63B9DC55">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 现有工程污染物总量核算</w:t>
            </w:r>
          </w:p>
          <w:p w14:paraId="6311A43F">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参考排污许可证执行报告中</w:t>
            </w:r>
            <w:r>
              <w:rPr>
                <w:rFonts w:hint="eastAsia" w:cs="Times New Roman"/>
                <w:color w:val="000000" w:themeColor="text1"/>
                <w:lang w:val="en-US" w:eastAsia="zh-CN"/>
                <w14:textFill>
                  <w14:solidFill>
                    <w14:schemeClr w14:val="tx1"/>
                  </w14:solidFill>
                </w14:textFill>
              </w:rPr>
              <w:t>排放量得知：二氧化硫排放量为6.24t/a，氮氧化物排放量为16.2t/a，未超过《昌吉州环保局关于新兴铸管阜康能源有限公司20万吨/年球墨铸铁管项目环评变更意见的复函》（昌州环函〔2015〕66号）核定的氮氧化物排放量及二氧化硫排放量。</w:t>
            </w:r>
          </w:p>
          <w:p w14:paraId="77C6C217">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 现有工程环境管理情况</w:t>
            </w:r>
          </w:p>
          <w:p w14:paraId="76CC290C">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根据查阅新兴铸管阜康能源有限公司排污许可执行报告填报记录，企业已根据排污许可证申请与核发技术规范进行了填报</w:t>
            </w:r>
            <w:r>
              <w:rPr>
                <w:rFonts w:hint="eastAsia" w:cs="Times New Roman"/>
                <w:color w:val="000000" w:themeColor="text1"/>
                <w:lang w:val="en-US" w:eastAsia="zh-CN"/>
                <w14:textFill>
                  <w14:solidFill>
                    <w14:schemeClr w14:val="tx1"/>
                  </w14:solidFill>
                </w14:textFill>
              </w:rPr>
              <w:t>，且落实自行监测、环境管理台账要求，</w:t>
            </w:r>
            <w:r>
              <w:rPr>
                <w:rFonts w:hint="default" w:ascii="Times New Roman" w:hAnsi="Times New Roman" w:eastAsia="宋体" w:cs="Times New Roman"/>
                <w:color w:val="000000" w:themeColor="text1"/>
                <w:lang w:val="en-US" w:eastAsia="zh-CN"/>
                <w14:textFill>
                  <w14:solidFill>
                    <w14:schemeClr w14:val="tx1"/>
                  </w14:solidFill>
                </w14:textFill>
              </w:rPr>
              <w:t>同时，项目污染物已采取相应治理措施。</w:t>
            </w:r>
          </w:p>
          <w:p w14:paraId="52D6EEA0">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t>根据企业自身情况，</w:t>
            </w:r>
            <w:r>
              <w:rPr>
                <w:rFonts w:hint="default" w:ascii="Times New Roman" w:hAnsi="Times New Roman" w:eastAsia="宋体" w:cs="Times New Roman"/>
                <w:color w:val="000000" w:themeColor="text1"/>
                <w:lang w:val="en-US" w:eastAsia="zh-CN"/>
                <w14:textFill>
                  <w14:solidFill>
                    <w14:schemeClr w14:val="tx1"/>
                  </w14:solidFill>
                </w14:textFill>
              </w:rPr>
              <w:t>新兴铸管阜康能源有限公司</w:t>
            </w:r>
            <w:r>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t>设有专人负责相关环境管理工作并建立档案及相关环境保护规章制度。</w:t>
            </w:r>
          </w:p>
          <w:p w14:paraId="7F9972C7">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经现场查验和收集相关资料，新兴铸管阜康能源有限公司自建成至今，各装置运行稳定，未发生过环境风险事故，未受到环保投诉，未受到生态环境管理部门的处罚以及环保督察需要整改的问题。</w:t>
            </w:r>
          </w:p>
          <w:p w14:paraId="05025B11">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 存在的环境问题</w:t>
            </w:r>
          </w:p>
          <w:p w14:paraId="3BF7827E">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根据现场资料收集与勘查，与本项目有关的现有问题（6t/h燃气锅炉已停用）基本不存在环境问题。</w:t>
            </w:r>
          </w:p>
          <w:p w14:paraId="60B8BF60">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0A2C83BD">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76C08C96">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20BD1654">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6A74EC3C">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20152705">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4BB12740">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6357927F">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0B7737B3">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2869009F">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61B63E8F">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18D22568">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p>
          <w:p w14:paraId="70F7646F">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tc>
      </w:tr>
    </w:tbl>
    <w:p w14:paraId="6D0E23B0">
      <w:pPr>
        <w:jc w:val="both"/>
        <w:rPr>
          <w:rFonts w:hint="default" w:ascii="Times New Roman" w:hAnsi="Times New Roman" w:eastAsia="宋体"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EA5520A">
      <w:pPr>
        <w:pStyle w:val="4"/>
        <w:numPr>
          <w:ilvl w:val="0"/>
          <w:numId w:val="0"/>
        </w:numPr>
        <w:jc w:val="center"/>
        <w:rPr>
          <w:rFonts w:hint="default" w:ascii="Times New Roman" w:hAnsi="Times New Roman" w:eastAsia="宋体" w:cs="Times New Roman"/>
          <w:b w:val="0"/>
          <w:bCs/>
        </w:rPr>
      </w:pPr>
      <w:r>
        <w:rPr>
          <w:rFonts w:hint="default" w:ascii="Times New Roman" w:hAnsi="Times New Roman" w:eastAsia="宋体" w:cs="Times New Roman"/>
          <w:b/>
          <w:bCs w:val="0"/>
          <w:kern w:val="44"/>
          <w:sz w:val="30"/>
          <w:szCs w:val="24"/>
          <w:lang w:val="en-US" w:eastAsia="zh-CN" w:bidi="ar-SA"/>
        </w:rPr>
        <w:t>三、</w:t>
      </w:r>
      <w:r>
        <w:rPr>
          <w:rFonts w:hint="default" w:ascii="Times New Roman" w:hAnsi="Times New Roman" w:eastAsia="宋体" w:cs="Times New Roman"/>
          <w:b/>
          <w:bCs w:val="0"/>
        </w:rPr>
        <w:t>区域环境质量现状、环境保护目标及评价标准</w:t>
      </w:r>
    </w:p>
    <w:tbl>
      <w:tblPr>
        <w:tblStyle w:val="30"/>
        <w:tblpPr w:leftFromText="180" w:rightFromText="180" w:vertAnchor="text" w:tblpXSpec="center" w:tblpY="1"/>
        <w:tblOverlap w:val="never"/>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7900"/>
      </w:tblGrid>
      <w:tr w14:paraId="3C62A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vAlign w:val="center"/>
          </w:tcPr>
          <w:p w14:paraId="564132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区域</w:t>
            </w:r>
          </w:p>
          <w:p w14:paraId="6BA1C1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环境</w:t>
            </w:r>
          </w:p>
          <w:p w14:paraId="3ED5E4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质量</w:t>
            </w:r>
          </w:p>
          <w:p w14:paraId="79ABA2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现状</w:t>
            </w:r>
          </w:p>
        </w:tc>
        <w:tc>
          <w:tcPr>
            <w:tcW w:w="7900" w:type="dxa"/>
            <w:tcBorders>
              <w:tl2br w:val="nil"/>
              <w:tr2bl w:val="nil"/>
            </w:tcBorders>
          </w:tcPr>
          <w:p w14:paraId="0D0D9206">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 大气环境质量现状与评价</w:t>
            </w:r>
          </w:p>
          <w:p w14:paraId="78836CD7">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1.1 </w:t>
            </w:r>
            <w:r>
              <w:rPr>
                <w:rFonts w:hint="default" w:ascii="Times New Roman" w:hAnsi="Times New Roman" w:eastAsia="宋体" w:cs="Times New Roman"/>
                <w:b/>
                <w:bCs/>
                <w:color w:val="000000" w:themeColor="text1"/>
                <w:sz w:val="24"/>
                <w14:textFill>
                  <w14:solidFill>
                    <w14:schemeClr w14:val="tx1"/>
                  </w14:solidFill>
                </w14:textFill>
              </w:rPr>
              <w:t>基本污染物环境质量现状评价</w:t>
            </w:r>
          </w:p>
          <w:p w14:paraId="73AD9E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（1）基本污染物数据来源 </w:t>
            </w:r>
          </w:p>
          <w:p w14:paraId="2C714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根据《建设项目环境影响报告表编制技术指南</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生态影响类</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试行</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》，常规污染物引用与建设项目距离近的有效数据包括近3年的规划环境影响评价的监测数据，国家、地方环境空气质量监测网数据或生态环境主管部门公开发布的质量数据等。</w:t>
            </w:r>
          </w:p>
          <w:p w14:paraId="1D5702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本次评价引用</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《新疆维吾尔自治区2024年生态环境状况公报》</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环境空气质量数据。符合《环境影响评价技术导则 大气环境》</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HJ2.2-2018</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中</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环境空气质量现状调查数据应采用评价基准年前3年的连续监测数据</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的要求</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p>
          <w:p w14:paraId="68D7C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达标区判定</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对标GB3095-20</w:t>
            </w:r>
            <w:r>
              <w:rPr>
                <w:rFonts w:hint="eastAsia" w:ascii="Times New Roman" w:hAnsi="Times New Roman" w:cs="Times New Roman"/>
                <w:b w:val="0"/>
                <w:bCs/>
                <w:color w:val="000000" w:themeColor="text1"/>
                <w:highlight w:val="none"/>
                <w:lang w:val="en-US" w:eastAsia="zh-CN"/>
                <w14:textFill>
                  <w14:solidFill>
                    <w14:schemeClr w14:val="tx1"/>
                  </w14:solidFill>
                </w14:textFill>
              </w:rPr>
              <w:t>26</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二级</w:t>
            </w:r>
            <w:r>
              <w:rPr>
                <w:rFonts w:hint="eastAsia" w:ascii="Times New Roman" w:hAnsi="Times New Roman" w:cs="Times New Roman"/>
                <w:b w:val="0"/>
                <w:bCs/>
                <w:color w:val="000000" w:themeColor="text1"/>
                <w:highlight w:val="none"/>
                <w:lang w:val="en-US" w:eastAsia="zh-CN"/>
                <w14:textFill>
                  <w14:solidFill>
                    <w14:schemeClr w14:val="tx1"/>
                  </w14:solidFill>
                </w14:textFill>
              </w:rPr>
              <w:t>过渡阶段浓度限值</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p>
          <w:p w14:paraId="41611E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根据《环境影响评价技术导则大气环境》</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HJ2.2-2018</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中</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城市环境空气质量达标区判定规则</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六项污染物年平均浓度及相应百分位数日均浓度均满足GB3095-20</w:t>
            </w:r>
            <w:r>
              <w:rPr>
                <w:rFonts w:hint="eastAsia" w:ascii="Times New Roman" w:hAnsi="Times New Roman"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二级</w:t>
            </w:r>
            <w:r>
              <w:rPr>
                <w:rFonts w:hint="eastAsia" w:ascii="Times New Roman" w:hAnsi="Times New Roman" w:cs="Times New Roman"/>
                <w:b w:val="0"/>
                <w:bCs/>
                <w:color w:val="000000" w:themeColor="text1"/>
                <w:highlight w:val="none"/>
                <w:lang w:val="en-US" w:eastAsia="zh-CN"/>
                <w14:textFill>
                  <w14:solidFill>
                    <w14:schemeClr w14:val="tx1"/>
                  </w14:solidFill>
                </w14:textFill>
              </w:rPr>
              <w:t>过渡阶段浓度限值</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要求，判定为达标区</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，阜康市2024年监测数据如下</w:t>
            </w:r>
            <w:r>
              <w:rPr>
                <w:rFonts w:hint="default" w:ascii="Times New Roman" w:hAnsi="Times New Roman" w:cs="Times New Roman"/>
                <w:b w:val="0"/>
                <w:bCs/>
                <w:color w:val="000000" w:themeColor="text1"/>
                <w:highlight w:val="none"/>
                <w:lang w:val="en-US" w:eastAsia="zh-CN"/>
                <w14:textFill>
                  <w14:solidFill>
                    <w14:schemeClr w14:val="tx1"/>
                  </w14:solidFill>
                </w14:textFill>
              </w:rPr>
              <w:t>：</w:t>
            </w:r>
          </w:p>
          <w:p w14:paraId="5B67680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表3-1   环境空气质量标准</w:t>
            </w:r>
          </w:p>
          <w:tbl>
            <w:tblPr>
              <w:tblStyle w:val="2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55"/>
              <w:gridCol w:w="1730"/>
              <w:gridCol w:w="2128"/>
              <w:gridCol w:w="2128"/>
              <w:gridCol w:w="1040"/>
            </w:tblGrid>
            <w:tr w14:paraId="69B845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tcBorders>
                    <w:bottom w:val="single" w:color="000000" w:sz="12" w:space="0"/>
                  </w:tcBorders>
                  <w:noWrap w:val="0"/>
                  <w:vAlign w:val="center"/>
                </w:tcPr>
                <w:p w14:paraId="636C7F0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序号</w:t>
                  </w:r>
                </w:p>
              </w:tc>
              <w:tc>
                <w:tcPr>
                  <w:tcW w:w="1126" w:type="pct"/>
                  <w:tcBorders>
                    <w:bottom w:val="single" w:color="000000" w:sz="12" w:space="0"/>
                  </w:tcBorders>
                  <w:noWrap w:val="0"/>
                  <w:vAlign w:val="center"/>
                </w:tcPr>
                <w:p w14:paraId="658A998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污染物项目</w:t>
                  </w:r>
                </w:p>
              </w:tc>
              <w:tc>
                <w:tcPr>
                  <w:tcW w:w="1385" w:type="pct"/>
                  <w:tcBorders>
                    <w:bottom w:val="single" w:color="000000" w:sz="12" w:space="0"/>
                  </w:tcBorders>
                  <w:noWrap w:val="0"/>
                  <w:vAlign w:val="center"/>
                </w:tcPr>
                <w:p w14:paraId="78B99C7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平均时间</w:t>
                  </w:r>
                </w:p>
              </w:tc>
              <w:tc>
                <w:tcPr>
                  <w:tcW w:w="1385" w:type="pct"/>
                  <w:tcBorders>
                    <w:bottom w:val="single" w:color="000000" w:sz="12" w:space="0"/>
                  </w:tcBorders>
                  <w:noWrap w:val="0"/>
                  <w:vAlign w:val="center"/>
                </w:tcPr>
                <w:p w14:paraId="045CC59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浓度限值</w:t>
                  </w:r>
                </w:p>
              </w:tc>
              <w:tc>
                <w:tcPr>
                  <w:tcW w:w="676" w:type="pct"/>
                  <w:tcBorders>
                    <w:bottom w:val="single" w:color="000000" w:sz="12" w:space="0"/>
                  </w:tcBorders>
                  <w:noWrap w:val="0"/>
                  <w:vAlign w:val="center"/>
                </w:tcPr>
                <w:p w14:paraId="07C4FAA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单位</w:t>
                  </w:r>
                </w:p>
              </w:tc>
            </w:tr>
            <w:tr w14:paraId="70AFC4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restart"/>
                  <w:tcBorders>
                    <w:top w:val="single" w:color="000000" w:sz="12" w:space="0"/>
                    <w:tl2br w:val="nil"/>
                    <w:tr2bl w:val="nil"/>
                  </w:tcBorders>
                  <w:noWrap w:val="0"/>
                  <w:vAlign w:val="center"/>
                </w:tcPr>
                <w:p w14:paraId="3C4D795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w:t>
                  </w:r>
                </w:p>
              </w:tc>
              <w:tc>
                <w:tcPr>
                  <w:tcW w:w="1126" w:type="pct"/>
                  <w:vMerge w:val="restart"/>
                  <w:tcBorders>
                    <w:top w:val="single" w:color="000000" w:sz="12" w:space="0"/>
                    <w:tl2br w:val="nil"/>
                    <w:tr2bl w:val="nil"/>
                  </w:tcBorders>
                  <w:noWrap w:val="0"/>
                  <w:vAlign w:val="center"/>
                </w:tcPr>
                <w:p w14:paraId="5B1BAD6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SO</w:t>
                  </w:r>
                  <w:r>
                    <w:rPr>
                      <w:rFonts w:hint="default" w:ascii="Times New Roman" w:hAnsi="Times New Roman" w:eastAsia="宋体" w:cs="Times New Roman"/>
                      <w:color w:val="000000" w:themeColor="text1"/>
                      <w:highlight w:val="none"/>
                      <w:vertAlign w:val="subscript"/>
                      <w14:textFill>
                        <w14:solidFill>
                          <w14:schemeClr w14:val="tx1"/>
                        </w14:solidFill>
                      </w14:textFill>
                    </w:rPr>
                    <w:t>2</w:t>
                  </w:r>
                </w:p>
              </w:tc>
              <w:tc>
                <w:tcPr>
                  <w:tcW w:w="1385" w:type="pct"/>
                  <w:tcBorders>
                    <w:top w:val="single" w:color="000000" w:sz="12" w:space="0"/>
                    <w:tl2br w:val="nil"/>
                    <w:tr2bl w:val="nil"/>
                  </w:tcBorders>
                  <w:noWrap w:val="0"/>
                  <w:vAlign w:val="center"/>
                </w:tcPr>
                <w:p w14:paraId="2267752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年平均</w:t>
                  </w:r>
                </w:p>
              </w:tc>
              <w:tc>
                <w:tcPr>
                  <w:tcW w:w="1385" w:type="pct"/>
                  <w:tcBorders>
                    <w:top w:val="single" w:color="000000" w:sz="12" w:space="0"/>
                    <w:tl2br w:val="nil"/>
                    <w:tr2bl w:val="nil"/>
                  </w:tcBorders>
                  <w:noWrap w:val="0"/>
                  <w:vAlign w:val="center"/>
                </w:tcPr>
                <w:p w14:paraId="7AC5372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60</w:t>
                  </w:r>
                </w:p>
              </w:tc>
              <w:tc>
                <w:tcPr>
                  <w:tcW w:w="676" w:type="pct"/>
                  <w:vMerge w:val="restart"/>
                  <w:tcBorders>
                    <w:top w:val="single" w:color="000000" w:sz="12" w:space="0"/>
                    <w:tl2br w:val="nil"/>
                    <w:tr2bl w:val="nil"/>
                  </w:tcBorders>
                  <w:noWrap w:val="0"/>
                  <w:vAlign w:val="center"/>
                </w:tcPr>
                <w:p w14:paraId="0E0860F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μg/m</w:t>
                  </w:r>
                  <w:r>
                    <w:rPr>
                      <w:rFonts w:hint="default" w:ascii="Times New Roman" w:hAnsi="Times New Roman" w:eastAsia="宋体" w:cs="Times New Roman"/>
                      <w:color w:val="000000" w:themeColor="text1"/>
                      <w:highlight w:val="none"/>
                      <w:vertAlign w:val="superscript"/>
                      <w14:textFill>
                        <w14:solidFill>
                          <w14:schemeClr w14:val="tx1"/>
                        </w14:solidFill>
                      </w14:textFill>
                    </w:rPr>
                    <w:t>3</w:t>
                  </w:r>
                </w:p>
              </w:tc>
            </w:tr>
            <w:tr w14:paraId="6B37B3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641893D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1DF7D93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1A47982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平均</w:t>
                  </w:r>
                </w:p>
              </w:tc>
              <w:tc>
                <w:tcPr>
                  <w:tcW w:w="1385" w:type="pct"/>
                  <w:tcBorders>
                    <w:tl2br w:val="nil"/>
                    <w:tr2bl w:val="nil"/>
                  </w:tcBorders>
                  <w:noWrap w:val="0"/>
                  <w:vAlign w:val="center"/>
                </w:tcPr>
                <w:p w14:paraId="5044696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150</w:t>
                  </w:r>
                </w:p>
              </w:tc>
              <w:tc>
                <w:tcPr>
                  <w:tcW w:w="676" w:type="pct"/>
                  <w:vMerge w:val="continue"/>
                  <w:tcBorders>
                    <w:tl2br w:val="nil"/>
                    <w:tr2bl w:val="nil"/>
                  </w:tcBorders>
                  <w:noWrap w:val="0"/>
                  <w:vAlign w:val="center"/>
                </w:tcPr>
                <w:p w14:paraId="7A10B3B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5132A8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713CBA5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777B4CD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4CF0D0E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1小时平均</w:t>
                  </w:r>
                </w:p>
              </w:tc>
              <w:tc>
                <w:tcPr>
                  <w:tcW w:w="1385" w:type="pct"/>
                  <w:tcBorders>
                    <w:tl2br w:val="nil"/>
                    <w:tr2bl w:val="nil"/>
                  </w:tcBorders>
                  <w:noWrap w:val="0"/>
                  <w:vAlign w:val="center"/>
                </w:tcPr>
                <w:p w14:paraId="349F68E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500</w:t>
                  </w:r>
                </w:p>
              </w:tc>
              <w:tc>
                <w:tcPr>
                  <w:tcW w:w="676" w:type="pct"/>
                  <w:vMerge w:val="continue"/>
                  <w:tcBorders>
                    <w:tl2br w:val="nil"/>
                    <w:tr2bl w:val="nil"/>
                  </w:tcBorders>
                  <w:noWrap w:val="0"/>
                  <w:vAlign w:val="center"/>
                </w:tcPr>
                <w:p w14:paraId="4EAC600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71D513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restart"/>
                  <w:tcBorders>
                    <w:tl2br w:val="nil"/>
                    <w:tr2bl w:val="nil"/>
                  </w:tcBorders>
                  <w:noWrap w:val="0"/>
                  <w:vAlign w:val="center"/>
                </w:tcPr>
                <w:p w14:paraId="68F2344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2</w:t>
                  </w:r>
                </w:p>
              </w:tc>
              <w:tc>
                <w:tcPr>
                  <w:tcW w:w="1126" w:type="pct"/>
                  <w:vMerge w:val="restart"/>
                  <w:tcBorders>
                    <w:tl2br w:val="nil"/>
                    <w:tr2bl w:val="nil"/>
                  </w:tcBorders>
                  <w:noWrap w:val="0"/>
                  <w:vAlign w:val="center"/>
                </w:tcPr>
                <w:p w14:paraId="5E3123B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NO</w:t>
                  </w:r>
                  <w:r>
                    <w:rPr>
                      <w:rFonts w:hint="default" w:ascii="Times New Roman" w:hAnsi="Times New Roman" w:eastAsia="宋体" w:cs="Times New Roman"/>
                      <w:color w:val="000000" w:themeColor="text1"/>
                      <w:highlight w:val="none"/>
                      <w:vertAlign w:val="subscript"/>
                      <w14:textFill>
                        <w14:solidFill>
                          <w14:schemeClr w14:val="tx1"/>
                        </w14:solidFill>
                      </w14:textFill>
                    </w:rPr>
                    <w:t>2</w:t>
                  </w:r>
                </w:p>
              </w:tc>
              <w:tc>
                <w:tcPr>
                  <w:tcW w:w="1385" w:type="pct"/>
                  <w:tcBorders>
                    <w:tl2br w:val="nil"/>
                    <w:tr2bl w:val="nil"/>
                  </w:tcBorders>
                  <w:noWrap w:val="0"/>
                  <w:vAlign w:val="center"/>
                </w:tcPr>
                <w:p w14:paraId="2E147C6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年平均</w:t>
                  </w:r>
                </w:p>
              </w:tc>
              <w:tc>
                <w:tcPr>
                  <w:tcW w:w="1385" w:type="pct"/>
                  <w:tcBorders>
                    <w:tl2br w:val="nil"/>
                    <w:tr2bl w:val="nil"/>
                  </w:tcBorders>
                  <w:noWrap w:val="0"/>
                  <w:vAlign w:val="center"/>
                </w:tcPr>
                <w:p w14:paraId="7B46281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40</w:t>
                  </w:r>
                </w:p>
              </w:tc>
              <w:tc>
                <w:tcPr>
                  <w:tcW w:w="676" w:type="pct"/>
                  <w:vMerge w:val="continue"/>
                  <w:tcBorders>
                    <w:tl2br w:val="nil"/>
                    <w:tr2bl w:val="nil"/>
                  </w:tcBorders>
                  <w:noWrap w:val="0"/>
                  <w:vAlign w:val="center"/>
                </w:tcPr>
                <w:p w14:paraId="1947776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3B62EA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71329E4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4EA9921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051F1DC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平均</w:t>
                  </w:r>
                </w:p>
              </w:tc>
              <w:tc>
                <w:tcPr>
                  <w:tcW w:w="1385" w:type="pct"/>
                  <w:tcBorders>
                    <w:tl2br w:val="nil"/>
                    <w:tr2bl w:val="nil"/>
                  </w:tcBorders>
                  <w:noWrap w:val="0"/>
                  <w:vAlign w:val="center"/>
                </w:tcPr>
                <w:p w14:paraId="326E8FD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80</w:t>
                  </w:r>
                </w:p>
              </w:tc>
              <w:tc>
                <w:tcPr>
                  <w:tcW w:w="676" w:type="pct"/>
                  <w:vMerge w:val="continue"/>
                  <w:tcBorders>
                    <w:tl2br w:val="nil"/>
                    <w:tr2bl w:val="nil"/>
                  </w:tcBorders>
                  <w:noWrap w:val="0"/>
                  <w:vAlign w:val="center"/>
                </w:tcPr>
                <w:p w14:paraId="1E12D7C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4F3E7B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57D9701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393EB3F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4B7BDEF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1小时平均</w:t>
                  </w:r>
                </w:p>
              </w:tc>
              <w:tc>
                <w:tcPr>
                  <w:tcW w:w="1385" w:type="pct"/>
                  <w:tcBorders>
                    <w:tl2br w:val="nil"/>
                    <w:tr2bl w:val="nil"/>
                  </w:tcBorders>
                  <w:noWrap w:val="0"/>
                  <w:vAlign w:val="center"/>
                </w:tcPr>
                <w:p w14:paraId="21609AA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200</w:t>
                  </w:r>
                </w:p>
              </w:tc>
              <w:tc>
                <w:tcPr>
                  <w:tcW w:w="676" w:type="pct"/>
                  <w:vMerge w:val="continue"/>
                  <w:tcBorders>
                    <w:tl2br w:val="nil"/>
                    <w:tr2bl w:val="nil"/>
                  </w:tcBorders>
                  <w:noWrap w:val="0"/>
                  <w:vAlign w:val="center"/>
                </w:tcPr>
                <w:p w14:paraId="7EFACF5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283288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restart"/>
                  <w:tcBorders>
                    <w:tl2br w:val="nil"/>
                    <w:tr2bl w:val="nil"/>
                  </w:tcBorders>
                  <w:noWrap w:val="0"/>
                  <w:vAlign w:val="center"/>
                </w:tcPr>
                <w:p w14:paraId="00D8A8E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3</w:t>
                  </w:r>
                </w:p>
              </w:tc>
              <w:tc>
                <w:tcPr>
                  <w:tcW w:w="1126" w:type="pct"/>
                  <w:vMerge w:val="restart"/>
                  <w:tcBorders>
                    <w:tl2br w:val="nil"/>
                    <w:tr2bl w:val="nil"/>
                  </w:tcBorders>
                  <w:noWrap w:val="0"/>
                  <w:vAlign w:val="center"/>
                </w:tcPr>
                <w:p w14:paraId="29760D4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CO</w:t>
                  </w:r>
                </w:p>
              </w:tc>
              <w:tc>
                <w:tcPr>
                  <w:tcW w:w="1385" w:type="pct"/>
                  <w:tcBorders>
                    <w:tl2br w:val="nil"/>
                    <w:tr2bl w:val="nil"/>
                  </w:tcBorders>
                  <w:noWrap w:val="0"/>
                  <w:vAlign w:val="center"/>
                </w:tcPr>
                <w:p w14:paraId="504DF28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平均</w:t>
                  </w:r>
                </w:p>
              </w:tc>
              <w:tc>
                <w:tcPr>
                  <w:tcW w:w="1385" w:type="pct"/>
                  <w:tcBorders>
                    <w:tl2br w:val="nil"/>
                    <w:tr2bl w:val="nil"/>
                  </w:tcBorders>
                  <w:noWrap w:val="0"/>
                  <w:vAlign w:val="center"/>
                </w:tcPr>
                <w:p w14:paraId="65B7C72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4</w:t>
                  </w:r>
                </w:p>
              </w:tc>
              <w:tc>
                <w:tcPr>
                  <w:tcW w:w="676" w:type="pct"/>
                  <w:vMerge w:val="restart"/>
                  <w:tcBorders>
                    <w:tl2br w:val="nil"/>
                    <w:tr2bl w:val="nil"/>
                  </w:tcBorders>
                  <w:noWrap w:val="0"/>
                  <w:vAlign w:val="center"/>
                </w:tcPr>
                <w:p w14:paraId="1EA3B66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14:textFill>
                        <w14:solidFill>
                          <w14:schemeClr w14:val="tx1"/>
                        </w14:solidFill>
                      </w14:textFill>
                    </w:rPr>
                    <w:t>g/m</w:t>
                  </w:r>
                  <w:r>
                    <w:rPr>
                      <w:rFonts w:hint="default" w:ascii="Times New Roman" w:hAnsi="Times New Roman" w:eastAsia="宋体" w:cs="Times New Roman"/>
                      <w:color w:val="000000" w:themeColor="text1"/>
                      <w:highlight w:val="none"/>
                      <w:vertAlign w:val="superscript"/>
                      <w14:textFill>
                        <w14:solidFill>
                          <w14:schemeClr w14:val="tx1"/>
                        </w14:solidFill>
                      </w14:textFill>
                    </w:rPr>
                    <w:t>3</w:t>
                  </w:r>
                </w:p>
              </w:tc>
            </w:tr>
            <w:tr w14:paraId="678671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0CE1749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60CC6EB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276CB07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1小时平均</w:t>
                  </w:r>
                </w:p>
              </w:tc>
              <w:tc>
                <w:tcPr>
                  <w:tcW w:w="1385" w:type="pct"/>
                  <w:tcBorders>
                    <w:tl2br w:val="nil"/>
                    <w:tr2bl w:val="nil"/>
                  </w:tcBorders>
                  <w:noWrap w:val="0"/>
                  <w:vAlign w:val="center"/>
                </w:tcPr>
                <w:p w14:paraId="799C851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10</w:t>
                  </w:r>
                </w:p>
              </w:tc>
              <w:tc>
                <w:tcPr>
                  <w:tcW w:w="676" w:type="pct"/>
                  <w:vMerge w:val="continue"/>
                  <w:tcBorders>
                    <w:tl2br w:val="nil"/>
                    <w:tr2bl w:val="nil"/>
                  </w:tcBorders>
                  <w:noWrap w:val="0"/>
                  <w:vAlign w:val="center"/>
                </w:tcPr>
                <w:p w14:paraId="036995F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01FEBC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restart"/>
                  <w:tcBorders>
                    <w:tl2br w:val="nil"/>
                    <w:tr2bl w:val="nil"/>
                  </w:tcBorders>
                  <w:noWrap w:val="0"/>
                  <w:vAlign w:val="center"/>
                </w:tcPr>
                <w:p w14:paraId="341FC8E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4</w:t>
                  </w:r>
                </w:p>
              </w:tc>
              <w:tc>
                <w:tcPr>
                  <w:tcW w:w="1126" w:type="pct"/>
                  <w:vMerge w:val="restart"/>
                  <w:tcBorders>
                    <w:tl2br w:val="nil"/>
                    <w:tr2bl w:val="nil"/>
                  </w:tcBorders>
                  <w:noWrap w:val="0"/>
                  <w:vAlign w:val="center"/>
                </w:tcPr>
                <w:p w14:paraId="716E7D8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O</w:t>
                  </w:r>
                  <w:r>
                    <w:rPr>
                      <w:rFonts w:hint="default" w:ascii="Times New Roman" w:hAnsi="Times New Roman" w:eastAsia="宋体" w:cs="Times New Roman"/>
                      <w:color w:val="000000" w:themeColor="text1"/>
                      <w:highlight w:val="none"/>
                      <w:vertAlign w:val="subscript"/>
                      <w14:textFill>
                        <w14:solidFill>
                          <w14:schemeClr w14:val="tx1"/>
                        </w14:solidFill>
                      </w14:textFill>
                    </w:rPr>
                    <w:t>3</w:t>
                  </w:r>
                </w:p>
              </w:tc>
              <w:tc>
                <w:tcPr>
                  <w:tcW w:w="1385" w:type="pct"/>
                  <w:tcBorders>
                    <w:tl2br w:val="nil"/>
                    <w:tr2bl w:val="nil"/>
                  </w:tcBorders>
                  <w:noWrap w:val="0"/>
                  <w:vAlign w:val="center"/>
                </w:tcPr>
                <w:p w14:paraId="5FDC9D6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日最大8小时平均</w:t>
                  </w:r>
                </w:p>
              </w:tc>
              <w:tc>
                <w:tcPr>
                  <w:tcW w:w="1385" w:type="pct"/>
                  <w:tcBorders>
                    <w:tl2br w:val="nil"/>
                    <w:tr2bl w:val="nil"/>
                  </w:tcBorders>
                  <w:noWrap w:val="0"/>
                  <w:vAlign w:val="center"/>
                </w:tcPr>
                <w:p w14:paraId="30F8EA4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160</w:t>
                  </w:r>
                </w:p>
              </w:tc>
              <w:tc>
                <w:tcPr>
                  <w:tcW w:w="676" w:type="pct"/>
                  <w:vMerge w:val="restart"/>
                  <w:tcBorders>
                    <w:tl2br w:val="nil"/>
                    <w:tr2bl w:val="nil"/>
                  </w:tcBorders>
                  <w:noWrap w:val="0"/>
                  <w:vAlign w:val="center"/>
                </w:tcPr>
                <w:p w14:paraId="33CFACD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μg/m</w:t>
                  </w:r>
                  <w:r>
                    <w:rPr>
                      <w:rFonts w:hint="default" w:ascii="Times New Roman" w:hAnsi="Times New Roman" w:eastAsia="宋体" w:cs="Times New Roman"/>
                      <w:color w:val="000000" w:themeColor="text1"/>
                      <w:highlight w:val="none"/>
                      <w:vertAlign w:val="superscript"/>
                      <w14:textFill>
                        <w14:solidFill>
                          <w14:schemeClr w14:val="tx1"/>
                        </w14:solidFill>
                      </w14:textFill>
                    </w:rPr>
                    <w:t>3</w:t>
                  </w:r>
                </w:p>
              </w:tc>
            </w:tr>
            <w:tr w14:paraId="70A8DA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0E9A0FB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7AB7C6D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6D05670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1小时平均</w:t>
                  </w:r>
                </w:p>
              </w:tc>
              <w:tc>
                <w:tcPr>
                  <w:tcW w:w="1385" w:type="pct"/>
                  <w:tcBorders>
                    <w:tl2br w:val="nil"/>
                    <w:tr2bl w:val="nil"/>
                  </w:tcBorders>
                  <w:noWrap w:val="0"/>
                  <w:vAlign w:val="center"/>
                </w:tcPr>
                <w:p w14:paraId="387F89B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200</w:t>
                  </w:r>
                </w:p>
              </w:tc>
              <w:tc>
                <w:tcPr>
                  <w:tcW w:w="676" w:type="pct"/>
                  <w:vMerge w:val="continue"/>
                  <w:tcBorders>
                    <w:tl2br w:val="nil"/>
                    <w:tr2bl w:val="nil"/>
                  </w:tcBorders>
                  <w:noWrap w:val="0"/>
                  <w:vAlign w:val="center"/>
                </w:tcPr>
                <w:p w14:paraId="142BDE9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3FECB3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restart"/>
                  <w:tcBorders>
                    <w:tl2br w:val="nil"/>
                    <w:tr2bl w:val="nil"/>
                  </w:tcBorders>
                  <w:noWrap w:val="0"/>
                  <w:vAlign w:val="center"/>
                </w:tcPr>
                <w:p w14:paraId="135C615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5</w:t>
                  </w:r>
                </w:p>
              </w:tc>
              <w:tc>
                <w:tcPr>
                  <w:tcW w:w="1126" w:type="pct"/>
                  <w:vMerge w:val="restart"/>
                  <w:tcBorders>
                    <w:tl2br w:val="nil"/>
                    <w:tr2bl w:val="nil"/>
                  </w:tcBorders>
                  <w:noWrap w:val="0"/>
                  <w:vAlign w:val="center"/>
                </w:tcPr>
                <w:p w14:paraId="0C0754C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PM</w:t>
                  </w:r>
                  <w:r>
                    <w:rPr>
                      <w:rFonts w:hint="default" w:ascii="Times New Roman" w:hAnsi="Times New Roman" w:eastAsia="宋体" w:cs="Times New Roman"/>
                      <w:color w:val="000000" w:themeColor="text1"/>
                      <w:highlight w:val="none"/>
                      <w:vertAlign w:val="subscript"/>
                      <w14:textFill>
                        <w14:solidFill>
                          <w14:schemeClr w14:val="tx1"/>
                        </w14:solidFill>
                      </w14:textFill>
                    </w:rPr>
                    <w:t>10</w:t>
                  </w:r>
                </w:p>
              </w:tc>
              <w:tc>
                <w:tcPr>
                  <w:tcW w:w="1385" w:type="pct"/>
                  <w:tcBorders>
                    <w:tl2br w:val="nil"/>
                    <w:tr2bl w:val="nil"/>
                  </w:tcBorders>
                  <w:noWrap w:val="0"/>
                  <w:vAlign w:val="center"/>
                </w:tcPr>
                <w:p w14:paraId="74AD1A3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年平均</w:t>
                  </w:r>
                </w:p>
              </w:tc>
              <w:tc>
                <w:tcPr>
                  <w:tcW w:w="1385" w:type="pct"/>
                  <w:tcBorders>
                    <w:tl2br w:val="nil"/>
                    <w:tr2bl w:val="nil"/>
                  </w:tcBorders>
                  <w:noWrap w:val="0"/>
                  <w:vAlign w:val="center"/>
                </w:tcPr>
                <w:p w14:paraId="5D847DE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60</w:t>
                  </w:r>
                </w:p>
              </w:tc>
              <w:tc>
                <w:tcPr>
                  <w:tcW w:w="676" w:type="pct"/>
                  <w:vMerge w:val="continue"/>
                  <w:tcBorders>
                    <w:tl2br w:val="nil"/>
                    <w:tr2bl w:val="nil"/>
                  </w:tcBorders>
                  <w:noWrap w:val="0"/>
                  <w:vAlign w:val="center"/>
                </w:tcPr>
                <w:p w14:paraId="5C29719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1EAD37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4948D02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3F053A0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0290688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平均</w:t>
                  </w:r>
                </w:p>
              </w:tc>
              <w:tc>
                <w:tcPr>
                  <w:tcW w:w="1385" w:type="pct"/>
                  <w:tcBorders>
                    <w:tl2br w:val="nil"/>
                    <w:tr2bl w:val="nil"/>
                  </w:tcBorders>
                  <w:noWrap w:val="0"/>
                  <w:vAlign w:val="center"/>
                </w:tcPr>
                <w:p w14:paraId="792D5FF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120</w:t>
                  </w:r>
                </w:p>
              </w:tc>
              <w:tc>
                <w:tcPr>
                  <w:tcW w:w="676" w:type="pct"/>
                  <w:vMerge w:val="continue"/>
                  <w:tcBorders>
                    <w:tl2br w:val="nil"/>
                    <w:tr2bl w:val="nil"/>
                  </w:tcBorders>
                  <w:noWrap w:val="0"/>
                  <w:vAlign w:val="center"/>
                </w:tcPr>
                <w:p w14:paraId="1008043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4131CA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restart"/>
                  <w:tcBorders>
                    <w:tl2br w:val="nil"/>
                    <w:tr2bl w:val="nil"/>
                  </w:tcBorders>
                  <w:noWrap w:val="0"/>
                  <w:vAlign w:val="center"/>
                </w:tcPr>
                <w:p w14:paraId="2FF0245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6</w:t>
                  </w:r>
                </w:p>
              </w:tc>
              <w:tc>
                <w:tcPr>
                  <w:tcW w:w="1126" w:type="pct"/>
                  <w:vMerge w:val="restart"/>
                  <w:tcBorders>
                    <w:tl2br w:val="nil"/>
                    <w:tr2bl w:val="nil"/>
                  </w:tcBorders>
                  <w:noWrap w:val="0"/>
                  <w:vAlign w:val="center"/>
                </w:tcPr>
                <w:p w14:paraId="5D9AF53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PM</w:t>
                  </w:r>
                  <w:r>
                    <w:rPr>
                      <w:rFonts w:hint="default" w:ascii="Times New Roman" w:hAnsi="Times New Roman" w:eastAsia="宋体" w:cs="Times New Roman"/>
                      <w:color w:val="000000" w:themeColor="text1"/>
                      <w:highlight w:val="none"/>
                      <w:vertAlign w:val="subscript"/>
                      <w14:textFill>
                        <w14:solidFill>
                          <w14:schemeClr w14:val="tx1"/>
                        </w14:solidFill>
                      </w14:textFill>
                    </w:rPr>
                    <w:t>2.5</w:t>
                  </w:r>
                </w:p>
              </w:tc>
              <w:tc>
                <w:tcPr>
                  <w:tcW w:w="1385" w:type="pct"/>
                  <w:tcBorders>
                    <w:tl2br w:val="nil"/>
                    <w:tr2bl w:val="nil"/>
                  </w:tcBorders>
                  <w:noWrap w:val="0"/>
                  <w:vAlign w:val="center"/>
                </w:tcPr>
                <w:p w14:paraId="3024D19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年平均</w:t>
                  </w:r>
                </w:p>
              </w:tc>
              <w:tc>
                <w:tcPr>
                  <w:tcW w:w="1385" w:type="pct"/>
                  <w:tcBorders>
                    <w:tl2br w:val="nil"/>
                    <w:tr2bl w:val="nil"/>
                  </w:tcBorders>
                  <w:noWrap w:val="0"/>
                  <w:vAlign w:val="center"/>
                </w:tcPr>
                <w:p w14:paraId="76295F0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30</w:t>
                  </w:r>
                </w:p>
              </w:tc>
              <w:tc>
                <w:tcPr>
                  <w:tcW w:w="676" w:type="pct"/>
                  <w:vMerge w:val="continue"/>
                  <w:tcBorders>
                    <w:tl2br w:val="nil"/>
                    <w:tr2bl w:val="nil"/>
                  </w:tcBorders>
                  <w:noWrap w:val="0"/>
                  <w:vAlign w:val="center"/>
                </w:tcPr>
                <w:p w14:paraId="3C4D789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r w14:paraId="654C9B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6" w:type="pct"/>
                  <w:vMerge w:val="continue"/>
                  <w:tcBorders>
                    <w:tl2br w:val="nil"/>
                    <w:tr2bl w:val="nil"/>
                  </w:tcBorders>
                  <w:noWrap w:val="0"/>
                  <w:vAlign w:val="center"/>
                </w:tcPr>
                <w:p w14:paraId="21AAB3A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126" w:type="pct"/>
                  <w:vMerge w:val="continue"/>
                  <w:tcBorders>
                    <w:tl2br w:val="nil"/>
                    <w:tr2bl w:val="nil"/>
                  </w:tcBorders>
                  <w:noWrap w:val="0"/>
                  <w:vAlign w:val="center"/>
                </w:tcPr>
                <w:p w14:paraId="7A52980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c>
                <w:tcPr>
                  <w:tcW w:w="1385" w:type="pct"/>
                  <w:tcBorders>
                    <w:tl2br w:val="nil"/>
                    <w:tr2bl w:val="nil"/>
                  </w:tcBorders>
                  <w:noWrap w:val="0"/>
                  <w:vAlign w:val="center"/>
                </w:tcPr>
                <w:p w14:paraId="5B78F24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日</w:t>
                  </w:r>
                  <w:r>
                    <w:rPr>
                      <w:rFonts w:hint="default" w:ascii="Times New Roman" w:hAnsi="Times New Roman" w:eastAsia="宋体" w:cs="Times New Roman"/>
                      <w:color w:val="000000" w:themeColor="text1"/>
                      <w:highlight w:val="none"/>
                      <w14:textFill>
                        <w14:solidFill>
                          <w14:schemeClr w14:val="tx1"/>
                        </w14:solidFill>
                      </w14:textFill>
                    </w:rPr>
                    <w:t>平均</w:t>
                  </w:r>
                </w:p>
              </w:tc>
              <w:tc>
                <w:tcPr>
                  <w:tcW w:w="1385" w:type="pct"/>
                  <w:tcBorders>
                    <w:tl2br w:val="nil"/>
                    <w:tr2bl w:val="nil"/>
                  </w:tcBorders>
                  <w:noWrap w:val="0"/>
                  <w:vAlign w:val="center"/>
                </w:tcPr>
                <w:p w14:paraId="76CFF98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60</w:t>
                  </w:r>
                </w:p>
              </w:tc>
              <w:tc>
                <w:tcPr>
                  <w:tcW w:w="676" w:type="pct"/>
                  <w:vMerge w:val="continue"/>
                  <w:tcBorders>
                    <w:tl2br w:val="nil"/>
                    <w:tr2bl w:val="nil"/>
                  </w:tcBorders>
                  <w:noWrap w:val="0"/>
                  <w:vAlign w:val="center"/>
                </w:tcPr>
                <w:p w14:paraId="19E6C60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tc>
            </w:tr>
          </w:tbl>
          <w:p w14:paraId="18B4636E">
            <w:pPr>
              <w:pStyle w:val="25"/>
              <w:keepNext w:val="0"/>
              <w:keepLines w:val="0"/>
              <w:numPr>
                <w:ilvl w:val="0"/>
                <w:numId w:val="0"/>
              </w:numPr>
              <w:suppressLineNumbers w:val="0"/>
              <w:bidi w:val="0"/>
              <w:spacing w:before="0" w:beforeAutospacing="0" w:after="0" w:afterAutospacing="0"/>
              <w:ind w:left="480" w:leftChars="200" w:right="0"/>
              <w:jc w:val="both"/>
              <w:rPr>
                <w:rFonts w:hint="default" w:ascii="Times New Roman" w:hAnsi="Times New Roman" w:eastAsia="宋体" w:cs="Times New Roman"/>
                <w:color w:val="000000" w:themeColor="text1"/>
                <w:highlight w:val="none"/>
                <w14:textFill>
                  <w14:solidFill>
                    <w14:schemeClr w14:val="tx1"/>
                  </w14:solidFill>
                </w14:textFill>
              </w:rPr>
            </w:pPr>
            <w:r>
              <w:rPr>
                <w:rStyle w:val="78"/>
                <w:rFonts w:hint="default" w:ascii="Times New Roman" w:hAnsi="Times New Roman" w:eastAsia="宋体" w:cs="Times New Roman"/>
                <w:color w:val="000000" w:themeColor="text1"/>
                <w:highlight w:val="none"/>
                <w:lang w:eastAsia="zh-CN"/>
                <w14:textFill>
                  <w14:solidFill>
                    <w14:schemeClr w14:val="tx1"/>
                  </w14:solidFill>
                </w14:textFill>
              </w:rPr>
              <w:t>（</w:t>
            </w:r>
            <w:r>
              <w:rPr>
                <w:rStyle w:val="78"/>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Style w:val="78"/>
                <w:rFonts w:hint="default" w:ascii="Times New Roman" w:hAnsi="Times New Roman" w:eastAsia="宋体" w:cs="Times New Roman"/>
                <w:color w:val="000000" w:themeColor="text1"/>
                <w:highlight w:val="none"/>
                <w:lang w:eastAsia="zh-CN"/>
                <w14:textFill>
                  <w14:solidFill>
                    <w14:schemeClr w14:val="tx1"/>
                  </w14:solidFill>
                </w14:textFill>
              </w:rPr>
              <w:t>）</w:t>
            </w:r>
            <w:r>
              <w:rPr>
                <w:rStyle w:val="78"/>
                <w:rFonts w:hint="default" w:ascii="Times New Roman" w:hAnsi="Times New Roman" w:eastAsia="宋体" w:cs="Times New Roman"/>
                <w:color w:val="000000" w:themeColor="text1"/>
                <w:highlight w:val="none"/>
                <w14:textFill>
                  <w14:solidFill>
                    <w14:schemeClr w14:val="tx1"/>
                  </w14:solidFill>
                </w14:textFill>
              </w:rPr>
              <w:t>评价方法</w:t>
            </w:r>
          </w:p>
          <w:p w14:paraId="2F8970E1">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基本污染物按照《环境空气质量评价技术规范（试行）》（HJ 663-2013）中各评价项目的年评价指标进行判定。年评价指标中的年均浓度和相应百分位数24h平均或8h平均质量浓度满足GB3095中浓度限值要求的即为达标。对于超标的污染物，计算其超标倍数和超标率。空气环境质量现状采用单项污染指数法、计算公式为：超</w:t>
            </w:r>
            <w:r>
              <w:rPr>
                <w:rFonts w:hint="default" w:ascii="Times New Roman" w:hAnsi="Times New Roman" w:eastAsia="宋体" w:cs="Times New Roman"/>
                <w:color w:val="000000" w:themeColor="text1"/>
                <w14:textFill>
                  <w14:solidFill>
                    <w14:schemeClr w14:val="tx1"/>
                  </w14:solidFill>
                </w14:textFill>
              </w:rPr>
              <w:t>标率=超标数据个数/总监测数据个数×100%</w:t>
            </w:r>
          </w:p>
          <w:p w14:paraId="0D4F7AE4">
            <w:pPr>
              <w:pStyle w:val="12"/>
              <w:keepNext w:val="0"/>
              <w:keepLines w:val="0"/>
              <w:suppressLineNumbers w:val="0"/>
              <w:spacing w:beforeAutospacing="0" w:afterAutospacing="0"/>
              <w:ind w:left="0" w:firstLine="0" w:firstLineChars="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object>
                <v:shape id="_x0000_i1025" o:spt="75" type="#_x0000_t75" style="height:33.25pt;width:89.1pt;" o:ole="t" filled="f" o:preferrelative="t" stroked="f" coordsize="21600,21600">
                  <v:path/>
                  <v:fill on="f" focussize="0,0"/>
                  <v:stroke on="f"/>
                  <v:imagedata r:id="rId17" o:title=""/>
                  <o:lock v:ext="edit" aspectratio="t"/>
                  <w10:wrap type="none"/>
                  <w10:anchorlock/>
                </v:shape>
                <o:OLEObject Type="Embed" ProgID="Equation.AxMath" ShapeID="_x0000_i1025" DrawAspect="Content" ObjectID="_1468075725" r:id="rId16">
                  <o:LockedField>false</o:LockedField>
                </o:OLEObject>
              </w:object>
            </w:r>
          </w:p>
          <w:p w14:paraId="0DB5DAD1">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式中：P</w:t>
            </w:r>
            <w:r>
              <w:rPr>
                <w:rFonts w:hint="default" w:ascii="Times New Roman" w:hAnsi="Times New Roman" w:eastAsia="宋体" w:cs="Times New Roman"/>
                <w:color w:val="000000" w:themeColor="text1"/>
                <w:vertAlign w:val="subscript"/>
                <w14:textFill>
                  <w14:solidFill>
                    <w14:schemeClr w14:val="tx1"/>
                  </w14:solidFill>
                </w14:textFill>
              </w:rPr>
              <w:t>i</w:t>
            </w:r>
            <w:r>
              <w:rPr>
                <w:rFonts w:hint="default" w:ascii="Times New Roman" w:hAnsi="Times New Roman" w:eastAsia="宋体" w:cs="Times New Roman"/>
                <w:color w:val="000000" w:themeColor="text1"/>
                <w14:textFill>
                  <w14:solidFill>
                    <w14:schemeClr w14:val="tx1"/>
                  </w14:solidFill>
                </w14:textFill>
              </w:rPr>
              <w:t>—第i个污染物的最大浓度占标率（无量纲）；</w:t>
            </w:r>
          </w:p>
          <w:p w14:paraId="54F34C16">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 xml:space="preserve">      C</w:t>
            </w:r>
            <w:r>
              <w:rPr>
                <w:rFonts w:hint="default" w:ascii="Times New Roman" w:hAnsi="Times New Roman" w:eastAsia="宋体" w:cs="Times New Roman"/>
                <w:color w:val="000000" w:themeColor="text1"/>
                <w:vertAlign w:val="subscript"/>
                <w14:textFill>
                  <w14:solidFill>
                    <w14:schemeClr w14:val="tx1"/>
                  </w14:solidFill>
                </w14:textFill>
              </w:rPr>
              <w:t>i</w:t>
            </w:r>
            <w:r>
              <w:rPr>
                <w:rFonts w:hint="default" w:ascii="Times New Roman" w:hAnsi="Times New Roman" w:eastAsia="宋体" w:cs="Times New Roman"/>
                <w:color w:val="000000" w:themeColor="text1"/>
                <w14:textFill>
                  <w14:solidFill>
                    <w14:schemeClr w14:val="tx1"/>
                  </w14:solidFill>
                </w14:textFill>
              </w:rPr>
              <w:t>—第i个污染物的最大浓度（μg/m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w:t>
            </w:r>
          </w:p>
          <w:p w14:paraId="532906E0">
            <w:pPr>
              <w:pStyle w:val="25"/>
              <w:keepNext w:val="0"/>
              <w:keepLines w:val="0"/>
              <w:suppressLineNumbers w:val="0"/>
              <w:bidi w:val="0"/>
              <w:spacing w:before="0" w:beforeAutospacing="0" w:after="0" w:afterAutospacing="0"/>
              <w:ind w:left="0" w:right="0" w:firstLine="1200" w:firstLineChars="50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C</w:t>
            </w:r>
            <w:r>
              <w:rPr>
                <w:rFonts w:hint="default" w:ascii="Times New Roman" w:hAnsi="Times New Roman" w:eastAsia="宋体" w:cs="Times New Roman"/>
                <w:color w:val="000000" w:themeColor="text1"/>
                <w:vertAlign w:val="subscript"/>
                <w14:textFill>
                  <w14:solidFill>
                    <w14:schemeClr w14:val="tx1"/>
                  </w14:solidFill>
                </w14:textFill>
              </w:rPr>
              <w:t>oi</w:t>
            </w:r>
            <w:r>
              <w:rPr>
                <w:rFonts w:hint="default" w:ascii="Times New Roman" w:hAnsi="Times New Roman" w:eastAsia="宋体" w:cs="Times New Roman"/>
                <w:color w:val="000000" w:themeColor="text1"/>
                <w14:textFill>
                  <w14:solidFill>
                    <w14:schemeClr w14:val="tx1"/>
                  </w14:solidFill>
                </w14:textFill>
              </w:rPr>
              <w:t>—第i个污染物的环境空气质量浓度标准（μg/m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w:t>
            </w:r>
          </w:p>
          <w:p w14:paraId="654E5933">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当P</w:t>
            </w:r>
            <w:r>
              <w:rPr>
                <w:rFonts w:hint="default" w:ascii="Times New Roman" w:hAnsi="Times New Roman" w:eastAsia="宋体" w:cs="Times New Roman"/>
                <w:color w:val="000000" w:themeColor="text1"/>
                <w:vertAlign w:val="subscript"/>
                <w14:textFill>
                  <w14:solidFill>
                    <w14:schemeClr w14:val="tx1"/>
                  </w14:solidFill>
                </w14:textFill>
              </w:rPr>
              <w:t>i</w:t>
            </w:r>
            <w:r>
              <w:rPr>
                <w:rFonts w:hint="default" w:ascii="Times New Roman" w:hAnsi="Times New Roman" w:eastAsia="宋体" w:cs="Times New Roman"/>
                <w:color w:val="000000" w:themeColor="text1"/>
                <w14:textFill>
                  <w14:solidFill>
                    <w14:schemeClr w14:val="tx1"/>
                  </w14:solidFill>
                </w14:textFill>
              </w:rPr>
              <w:t>＞1时，说明环境中i污染物含量超过标准值，当Pi≤1时，则说明i污染物符合标准。某污染物的Pi值越大，则污染相对越严重。</w:t>
            </w:r>
          </w:p>
          <w:p w14:paraId="1C599428">
            <w:pPr>
              <w:pStyle w:val="25"/>
              <w:keepNext w:val="0"/>
              <w:keepLines w:val="0"/>
              <w:numPr>
                <w:ilvl w:val="0"/>
                <w:numId w:val="0"/>
              </w:numPr>
              <w:suppressLineNumbers w:val="0"/>
              <w:bidi w:val="0"/>
              <w:spacing w:before="0" w:beforeAutospacing="0" w:after="0" w:afterAutospacing="0"/>
              <w:ind w:left="480" w:leftChars="20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基本污染物监测及评价</w:t>
            </w:r>
          </w:p>
          <w:p w14:paraId="31266AEB">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t>基本污染物环境空气质量现状评价见表3-2。</w:t>
            </w:r>
          </w:p>
          <w:p w14:paraId="3B626417">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表3-2   区域环境空气质量现状监测及评价结果</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52"/>
              <w:gridCol w:w="2040"/>
              <w:gridCol w:w="1261"/>
              <w:gridCol w:w="1496"/>
              <w:gridCol w:w="1294"/>
              <w:gridCol w:w="938"/>
            </w:tblGrid>
            <w:tr w14:paraId="518ADB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424" w:type="pct"/>
                  <w:tcBorders>
                    <w:bottom w:val="single" w:color="auto" w:sz="12" w:space="0"/>
                  </w:tcBorders>
                  <w:noWrap w:val="0"/>
                  <w:vAlign w:val="center"/>
                </w:tcPr>
                <w:p w14:paraId="0BBEC669">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w:t>
                  </w:r>
                </w:p>
              </w:tc>
              <w:tc>
                <w:tcPr>
                  <w:tcW w:w="1327" w:type="pct"/>
                  <w:tcBorders>
                    <w:bottom w:val="single" w:color="auto" w:sz="12" w:space="0"/>
                  </w:tcBorders>
                  <w:noWrap w:val="0"/>
                  <w:vAlign w:val="center"/>
                </w:tcPr>
                <w:p w14:paraId="0A4CC9E7">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平均时段</w:t>
                  </w:r>
                </w:p>
              </w:tc>
              <w:tc>
                <w:tcPr>
                  <w:tcW w:w="820" w:type="pct"/>
                  <w:tcBorders>
                    <w:bottom w:val="single" w:color="auto" w:sz="12" w:space="0"/>
                  </w:tcBorders>
                  <w:noWrap w:val="0"/>
                  <w:vAlign w:val="center"/>
                </w:tcPr>
                <w:p w14:paraId="64F65D54">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现状浓度</w:t>
                  </w:r>
                </w:p>
                <w:p w14:paraId="70AD151F">
                  <w:pPr>
                    <w:keepNext w:val="0"/>
                    <w:keepLines w:val="0"/>
                    <w:pageBreakBefore w:val="0"/>
                    <w:widowControl w:val="0"/>
                    <w:suppressLineNumbers w:val="0"/>
                    <w:kinsoku/>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(μg/m</w:t>
                  </w:r>
                  <w:r>
                    <w:rPr>
                      <w:rFonts w:hint="default" w:ascii="Times New Roman" w:hAnsi="Times New Roman" w:eastAsia="宋体" w:cs="Times New Roman"/>
                      <w:b/>
                      <w:bCs/>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w:t>
                  </w:r>
                </w:p>
              </w:tc>
              <w:tc>
                <w:tcPr>
                  <w:tcW w:w="973" w:type="pct"/>
                  <w:tcBorders>
                    <w:bottom w:val="single" w:color="auto" w:sz="12" w:space="0"/>
                  </w:tcBorders>
                  <w:noWrap w:val="0"/>
                  <w:vAlign w:val="center"/>
                </w:tcPr>
                <w:p w14:paraId="409614F7">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标准值</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（μg/m</w:t>
                  </w:r>
                  <w:r>
                    <w:rPr>
                      <w:rFonts w:hint="default" w:ascii="Times New Roman" w:hAnsi="Times New Roman" w:eastAsia="宋体" w:cs="Times New Roman"/>
                      <w:b/>
                      <w:bCs/>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w:t>
                  </w:r>
                </w:p>
              </w:tc>
              <w:tc>
                <w:tcPr>
                  <w:tcW w:w="842" w:type="pct"/>
                  <w:tcBorders>
                    <w:bottom w:val="single" w:color="auto" w:sz="12" w:space="0"/>
                  </w:tcBorders>
                  <w:noWrap w:val="0"/>
                  <w:vAlign w:val="center"/>
                </w:tcPr>
                <w:p w14:paraId="6FA5A563">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占标率（%）</w:t>
                  </w:r>
                </w:p>
              </w:tc>
              <w:tc>
                <w:tcPr>
                  <w:tcW w:w="610" w:type="pct"/>
                  <w:tcBorders>
                    <w:bottom w:val="single" w:color="auto" w:sz="12" w:space="0"/>
                  </w:tcBorders>
                  <w:noWrap w:val="0"/>
                  <w:vAlign w:val="center"/>
                </w:tcPr>
                <w:p w14:paraId="14D40452">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达标</w:t>
                  </w:r>
                </w:p>
                <w:p w14:paraId="7343DAB6">
                  <w:pPr>
                    <w:pStyle w:val="53"/>
                    <w:keepNext w:val="0"/>
                    <w:keepLines w:val="0"/>
                    <w:pageBreakBefore w:val="0"/>
                    <w:widowControl w:val="0"/>
                    <w:suppressLineNumbers w:val="0"/>
                    <w:kinsoku/>
                    <w:overflowPunct/>
                    <w:topLinePunct w:val="0"/>
                    <w:bidi w:val="0"/>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情况</w:t>
                  </w:r>
                </w:p>
              </w:tc>
            </w:tr>
            <w:tr w14:paraId="1981E5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91" w:hRule="atLeast"/>
                <w:jc w:val="center"/>
              </w:trPr>
              <w:tc>
                <w:tcPr>
                  <w:tcW w:w="424" w:type="pct"/>
                  <w:tcBorders>
                    <w:top w:val="single" w:color="auto" w:sz="12" w:space="0"/>
                  </w:tcBorders>
                  <w:noWrap w:val="0"/>
                  <w:vAlign w:val="center"/>
                </w:tcPr>
                <w:p w14:paraId="2247140E">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SO</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2</w:t>
                  </w:r>
                </w:p>
              </w:tc>
              <w:tc>
                <w:tcPr>
                  <w:tcW w:w="1327" w:type="pct"/>
                  <w:tcBorders>
                    <w:top w:val="single" w:color="auto" w:sz="12" w:space="0"/>
                  </w:tcBorders>
                  <w:noWrap w:val="0"/>
                  <w:vAlign w:val="center"/>
                </w:tcPr>
                <w:p w14:paraId="6C38D6D2">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年平均</w:t>
                  </w:r>
                </w:p>
              </w:tc>
              <w:tc>
                <w:tcPr>
                  <w:tcW w:w="820" w:type="pct"/>
                  <w:tcBorders>
                    <w:top w:val="single" w:color="auto" w:sz="12" w:space="0"/>
                  </w:tcBorders>
                  <w:noWrap w:val="0"/>
                  <w:vAlign w:val="center"/>
                </w:tcPr>
                <w:p w14:paraId="4ECA81D0">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7</w:t>
                  </w:r>
                </w:p>
              </w:tc>
              <w:tc>
                <w:tcPr>
                  <w:tcW w:w="973" w:type="pct"/>
                  <w:tcBorders>
                    <w:top w:val="single" w:color="auto" w:sz="12" w:space="0"/>
                  </w:tcBorders>
                  <w:noWrap w:val="0"/>
                  <w:vAlign w:val="center"/>
                </w:tcPr>
                <w:p w14:paraId="77C6E09F">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60</w:t>
                  </w:r>
                </w:p>
              </w:tc>
              <w:tc>
                <w:tcPr>
                  <w:tcW w:w="842" w:type="pct"/>
                  <w:tcBorders>
                    <w:top w:val="single" w:color="auto" w:sz="12" w:space="0"/>
                  </w:tcBorders>
                  <w:noWrap w:val="0"/>
                  <w:vAlign w:val="center"/>
                </w:tcPr>
                <w:p w14:paraId="304524D1">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11.</w:t>
                  </w: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67</w:t>
                  </w:r>
                </w:p>
              </w:tc>
              <w:tc>
                <w:tcPr>
                  <w:tcW w:w="610" w:type="pct"/>
                  <w:tcBorders>
                    <w:top w:val="single" w:color="auto" w:sz="12" w:space="0"/>
                  </w:tcBorders>
                  <w:noWrap w:val="0"/>
                  <w:vAlign w:val="center"/>
                </w:tcPr>
                <w:p w14:paraId="6884FBDD">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r>
            <w:tr w14:paraId="073AF2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41" w:hRule="atLeast"/>
                <w:jc w:val="center"/>
              </w:trPr>
              <w:tc>
                <w:tcPr>
                  <w:tcW w:w="424" w:type="pct"/>
                  <w:noWrap w:val="0"/>
                  <w:vAlign w:val="center"/>
                </w:tcPr>
                <w:p w14:paraId="56A20C05">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NO</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2</w:t>
                  </w:r>
                </w:p>
              </w:tc>
              <w:tc>
                <w:tcPr>
                  <w:tcW w:w="1327" w:type="pct"/>
                  <w:noWrap w:val="0"/>
                  <w:vAlign w:val="center"/>
                </w:tcPr>
                <w:p w14:paraId="0BAD913F">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年平均</w:t>
                  </w:r>
                </w:p>
              </w:tc>
              <w:tc>
                <w:tcPr>
                  <w:tcW w:w="820" w:type="pct"/>
                  <w:noWrap w:val="0"/>
                  <w:vAlign w:val="center"/>
                </w:tcPr>
                <w:p w14:paraId="4ECFA1D4">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19</w:t>
                  </w:r>
                </w:p>
              </w:tc>
              <w:tc>
                <w:tcPr>
                  <w:tcW w:w="973" w:type="pct"/>
                  <w:noWrap w:val="0"/>
                  <w:vAlign w:val="center"/>
                </w:tcPr>
                <w:p w14:paraId="10C41B13">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40</w:t>
                  </w:r>
                </w:p>
              </w:tc>
              <w:tc>
                <w:tcPr>
                  <w:tcW w:w="842" w:type="pct"/>
                  <w:noWrap w:val="0"/>
                  <w:vAlign w:val="center"/>
                </w:tcPr>
                <w:p w14:paraId="03A44345">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47.5</w:t>
                  </w:r>
                </w:p>
              </w:tc>
              <w:tc>
                <w:tcPr>
                  <w:tcW w:w="610" w:type="pct"/>
                  <w:noWrap w:val="0"/>
                  <w:vAlign w:val="center"/>
                </w:tcPr>
                <w:p w14:paraId="0621F5CB">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r>
            <w:tr w14:paraId="53A313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08" w:hRule="atLeast"/>
                <w:jc w:val="center"/>
              </w:trPr>
              <w:tc>
                <w:tcPr>
                  <w:tcW w:w="424" w:type="pct"/>
                  <w:noWrap w:val="0"/>
                  <w:vAlign w:val="center"/>
                </w:tcPr>
                <w:p w14:paraId="52218919">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PM</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10</w:t>
                  </w:r>
                </w:p>
              </w:tc>
              <w:tc>
                <w:tcPr>
                  <w:tcW w:w="1327" w:type="pct"/>
                  <w:noWrap w:val="0"/>
                  <w:vAlign w:val="center"/>
                </w:tcPr>
                <w:p w14:paraId="2225E6B3">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年平均</w:t>
                  </w:r>
                </w:p>
              </w:tc>
              <w:tc>
                <w:tcPr>
                  <w:tcW w:w="820" w:type="pct"/>
                  <w:noWrap w:val="0"/>
                  <w:vAlign w:val="center"/>
                </w:tcPr>
                <w:p w14:paraId="3BCFEAC9">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49</w:t>
                  </w:r>
                </w:p>
              </w:tc>
              <w:tc>
                <w:tcPr>
                  <w:tcW w:w="973" w:type="pct"/>
                  <w:noWrap w:val="0"/>
                  <w:vAlign w:val="center"/>
                </w:tcPr>
                <w:p w14:paraId="10FB0832">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40</w:t>
                  </w:r>
                </w:p>
              </w:tc>
              <w:tc>
                <w:tcPr>
                  <w:tcW w:w="842" w:type="pct"/>
                  <w:noWrap w:val="0"/>
                  <w:vAlign w:val="center"/>
                </w:tcPr>
                <w:p w14:paraId="35876AA2">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122.5</w:t>
                  </w:r>
                </w:p>
              </w:tc>
              <w:tc>
                <w:tcPr>
                  <w:tcW w:w="610" w:type="pct"/>
                  <w:noWrap w:val="0"/>
                  <w:vAlign w:val="center"/>
                </w:tcPr>
                <w:p w14:paraId="48F75EE2">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不达标</w:t>
                  </w:r>
                </w:p>
              </w:tc>
            </w:tr>
            <w:tr w14:paraId="5C6075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74" w:hRule="atLeast"/>
                <w:jc w:val="center"/>
              </w:trPr>
              <w:tc>
                <w:tcPr>
                  <w:tcW w:w="424" w:type="pct"/>
                  <w:noWrap w:val="0"/>
                  <w:vAlign w:val="center"/>
                </w:tcPr>
                <w:p w14:paraId="2D518DB9">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PM</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2.5</w:t>
                  </w:r>
                </w:p>
              </w:tc>
              <w:tc>
                <w:tcPr>
                  <w:tcW w:w="1327" w:type="pct"/>
                  <w:noWrap w:val="0"/>
                  <w:vAlign w:val="center"/>
                </w:tcPr>
                <w:p w14:paraId="7031CFCC">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年平均</w:t>
                  </w:r>
                </w:p>
              </w:tc>
              <w:tc>
                <w:tcPr>
                  <w:tcW w:w="820" w:type="pct"/>
                  <w:noWrap w:val="0"/>
                  <w:vAlign w:val="center"/>
                </w:tcPr>
                <w:p w14:paraId="041BE9F7">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32</w:t>
                  </w:r>
                </w:p>
              </w:tc>
              <w:tc>
                <w:tcPr>
                  <w:tcW w:w="973" w:type="pct"/>
                  <w:noWrap w:val="0"/>
                  <w:vAlign w:val="center"/>
                </w:tcPr>
                <w:p w14:paraId="1A359289">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30</w:t>
                  </w:r>
                </w:p>
              </w:tc>
              <w:tc>
                <w:tcPr>
                  <w:tcW w:w="842" w:type="pct"/>
                  <w:noWrap w:val="0"/>
                  <w:vAlign w:val="center"/>
                </w:tcPr>
                <w:p w14:paraId="5567D8F3">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106.67</w:t>
                  </w:r>
                </w:p>
              </w:tc>
              <w:tc>
                <w:tcPr>
                  <w:tcW w:w="610" w:type="pct"/>
                  <w:noWrap w:val="0"/>
                  <w:vAlign w:val="center"/>
                </w:tcPr>
                <w:p w14:paraId="36CFB676">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不达标</w:t>
                  </w:r>
                </w:p>
              </w:tc>
            </w:tr>
            <w:tr w14:paraId="13A2BC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424" w:type="pct"/>
                  <w:noWrap w:val="0"/>
                  <w:vAlign w:val="center"/>
                </w:tcPr>
                <w:p w14:paraId="75A78EDB">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CO</w:t>
                  </w:r>
                </w:p>
              </w:tc>
              <w:tc>
                <w:tcPr>
                  <w:tcW w:w="1327" w:type="pct"/>
                  <w:noWrap w:val="0"/>
                  <w:vAlign w:val="center"/>
                </w:tcPr>
                <w:p w14:paraId="0BC8B11A">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24小时平均第95百分位数</w:t>
                  </w:r>
                </w:p>
              </w:tc>
              <w:tc>
                <w:tcPr>
                  <w:tcW w:w="820" w:type="pct"/>
                  <w:noWrap w:val="0"/>
                  <w:vAlign w:val="center"/>
                </w:tcPr>
                <w:p w14:paraId="50F89D37">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700</w:t>
                  </w:r>
                </w:p>
              </w:tc>
              <w:tc>
                <w:tcPr>
                  <w:tcW w:w="973" w:type="pct"/>
                  <w:noWrap w:val="0"/>
                  <w:vAlign w:val="center"/>
                </w:tcPr>
                <w:p w14:paraId="0C687926">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14:textFill>
                        <w14:solidFill>
                          <w14:schemeClr w14:val="tx1"/>
                        </w14:solidFill>
                      </w14:textFill>
                    </w:rPr>
                    <w:t>4000</w:t>
                  </w:r>
                </w:p>
              </w:tc>
              <w:tc>
                <w:tcPr>
                  <w:tcW w:w="842" w:type="pct"/>
                  <w:noWrap w:val="0"/>
                  <w:vAlign w:val="center"/>
                </w:tcPr>
                <w:p w14:paraId="4CAA1130">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17.5</w:t>
                  </w:r>
                </w:p>
              </w:tc>
              <w:tc>
                <w:tcPr>
                  <w:tcW w:w="610" w:type="pct"/>
                  <w:noWrap w:val="0"/>
                  <w:vAlign w:val="center"/>
                </w:tcPr>
                <w:p w14:paraId="28F2DB99">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r>
            <w:tr w14:paraId="77EC07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424" w:type="pct"/>
                  <w:noWrap w:val="0"/>
                  <w:vAlign w:val="center"/>
                </w:tcPr>
                <w:p w14:paraId="64920B47">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O</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3</w:t>
                  </w:r>
                </w:p>
              </w:tc>
              <w:tc>
                <w:tcPr>
                  <w:tcW w:w="1327" w:type="pct"/>
                  <w:noWrap w:val="0"/>
                  <w:vAlign w:val="center"/>
                </w:tcPr>
                <w:p w14:paraId="14775D22">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8小时平均第90百分位数</w:t>
                  </w:r>
                </w:p>
              </w:tc>
              <w:tc>
                <w:tcPr>
                  <w:tcW w:w="820" w:type="pct"/>
                  <w:noWrap w:val="0"/>
                  <w:vAlign w:val="center"/>
                </w:tcPr>
                <w:p w14:paraId="23EB1CE9">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92</w:t>
                  </w:r>
                </w:p>
              </w:tc>
              <w:tc>
                <w:tcPr>
                  <w:tcW w:w="973" w:type="pct"/>
                  <w:noWrap w:val="0"/>
                  <w:vAlign w:val="center"/>
                </w:tcPr>
                <w:p w14:paraId="0689659E">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160</w:t>
                  </w:r>
                </w:p>
              </w:tc>
              <w:tc>
                <w:tcPr>
                  <w:tcW w:w="842" w:type="pct"/>
                  <w:noWrap w:val="0"/>
                  <w:vAlign w:val="center"/>
                </w:tcPr>
                <w:p w14:paraId="18737FEA">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highlight w:val="none"/>
                      <w:lang w:val="en-US" w:eastAsia="zh-CN"/>
                      <w14:textFill>
                        <w14:solidFill>
                          <w14:schemeClr w14:val="tx1"/>
                        </w14:solidFill>
                      </w14:textFill>
                    </w:rPr>
                    <w:t>57.50</w:t>
                  </w:r>
                </w:p>
              </w:tc>
              <w:tc>
                <w:tcPr>
                  <w:tcW w:w="610" w:type="pct"/>
                  <w:noWrap w:val="0"/>
                  <w:vAlign w:val="center"/>
                </w:tcPr>
                <w:p w14:paraId="7BD3E8BF">
                  <w:pPr>
                    <w:pStyle w:val="53"/>
                    <w:keepNext w:val="0"/>
                    <w:keepLines w:val="0"/>
                    <w:suppressLineNumbers w:val="0"/>
                    <w:spacing w:before="0" w:beforeAutospacing="0" w:after="0" w:afterAutospacing="0"/>
                    <w:ind w:left="0" w:leftChars="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达标</w:t>
                  </w:r>
                </w:p>
              </w:tc>
            </w:tr>
          </w:tbl>
          <w:p w14:paraId="6B9AE8C6">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由上表可知，本项目所在区域SO</w:t>
            </w:r>
            <w:r>
              <w:rPr>
                <w:rFonts w:hint="default" w:ascii="Times New Roman" w:hAnsi="Times New Roman" w:eastAsia="宋体" w:cs="Times New Roman"/>
                <w:b w:val="0"/>
                <w:bCs/>
                <w:color w:val="000000" w:themeColor="text1"/>
                <w:kern w:val="2"/>
                <w:sz w:val="24"/>
                <w:szCs w:val="24"/>
                <w:highlight w:val="none"/>
                <w:vertAlign w:val="subscript"/>
                <w14:textFill>
                  <w14:solidFill>
                    <w14:schemeClr w14:val="tx1"/>
                  </w14:solidFill>
                </w14:textFill>
              </w:rPr>
              <w:t>2</w:t>
            </w: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、NO</w:t>
            </w:r>
            <w:r>
              <w:rPr>
                <w:rFonts w:hint="default" w:ascii="Times New Roman" w:hAnsi="Times New Roman" w:eastAsia="宋体" w:cs="Times New Roman"/>
                <w:b w:val="0"/>
                <w:bCs/>
                <w:color w:val="000000" w:themeColor="text1"/>
                <w:kern w:val="2"/>
                <w:sz w:val="24"/>
                <w:szCs w:val="24"/>
                <w:highlight w:val="none"/>
                <w:vertAlign w:val="subscript"/>
                <w14:textFill>
                  <w14:solidFill>
                    <w14:schemeClr w14:val="tx1"/>
                  </w14:solidFill>
                </w14:textFill>
              </w:rPr>
              <w:t>2</w:t>
            </w: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、CO、O</w:t>
            </w:r>
            <w:r>
              <w:rPr>
                <w:rFonts w:hint="default" w:ascii="Times New Roman" w:hAnsi="Times New Roman" w:eastAsia="宋体" w:cs="Times New Roman"/>
                <w:b w:val="0"/>
                <w:bCs/>
                <w:color w:val="000000" w:themeColor="text1"/>
                <w:kern w:val="2"/>
                <w:sz w:val="24"/>
                <w:szCs w:val="24"/>
                <w:highlight w:val="none"/>
                <w:vertAlign w:val="subscript"/>
                <w14:textFill>
                  <w14:solidFill>
                    <w14:schemeClr w14:val="tx1"/>
                  </w14:solidFill>
                </w14:textFill>
              </w:rPr>
              <w:t>3</w:t>
            </w: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的浓度均可满足</w:t>
            </w:r>
            <w:r>
              <w:rPr>
                <w:rFonts w:hint="default" w:ascii="Times New Roman" w:hAnsi="Times New Roman" w:eastAsia="宋体" w:cs="Times New Roman"/>
                <w:b w:val="0"/>
                <w:bCs/>
                <w:color w:val="000000" w:themeColor="text1"/>
                <w:sz w:val="24"/>
                <w:highlight w:val="none"/>
                <w14:textFill>
                  <w14:solidFill>
                    <w14:schemeClr w14:val="tx1"/>
                  </w14:solidFill>
                </w14:textFill>
              </w:rPr>
              <w:t>《环境空气质量标准》（</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GB3095-2026</w:t>
            </w:r>
            <w:r>
              <w:rPr>
                <w:rFonts w:hint="default" w:ascii="Times New Roman" w:hAnsi="Times New Roman" w:eastAsia="宋体" w:cs="Times New Roman"/>
                <w:b w:val="0"/>
                <w:bCs/>
                <w:color w:val="000000" w:themeColor="text1"/>
                <w:sz w:val="24"/>
                <w:highlight w:val="none"/>
                <w14:textFill>
                  <w14:solidFill>
                    <w14:schemeClr w14:val="tx1"/>
                  </w14:solidFill>
                </w14:textFill>
              </w:rPr>
              <w:t>）</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二级过渡阶段浓度限值</w:t>
            </w: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，PM</w:t>
            </w:r>
            <w:r>
              <w:rPr>
                <w:rFonts w:hint="default" w:ascii="Times New Roman" w:hAnsi="Times New Roman" w:eastAsia="宋体" w:cs="Times New Roman"/>
                <w:b w:val="0"/>
                <w:bCs/>
                <w:color w:val="000000" w:themeColor="text1"/>
                <w:kern w:val="2"/>
                <w:sz w:val="24"/>
                <w:szCs w:val="24"/>
                <w:highlight w:val="none"/>
                <w:vertAlign w:val="subscript"/>
                <w14:textFill>
                  <w14:solidFill>
                    <w14:schemeClr w14:val="tx1"/>
                  </w14:solidFill>
                </w14:textFill>
              </w:rPr>
              <w:t>10</w:t>
            </w: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、PM</w:t>
            </w:r>
            <w:r>
              <w:rPr>
                <w:rFonts w:hint="default" w:ascii="Times New Roman" w:hAnsi="Times New Roman" w:eastAsia="宋体" w:cs="Times New Roman"/>
                <w:b w:val="0"/>
                <w:bCs/>
                <w:color w:val="000000" w:themeColor="text1"/>
                <w:kern w:val="2"/>
                <w:sz w:val="24"/>
                <w:szCs w:val="24"/>
                <w:highlight w:val="none"/>
                <w:vertAlign w:val="subscript"/>
                <w14:textFill>
                  <w14:solidFill>
                    <w14:schemeClr w14:val="tx1"/>
                  </w14:solidFill>
                </w14:textFill>
              </w:rPr>
              <w:t>2.5</w:t>
            </w:r>
            <w:r>
              <w:rPr>
                <w:rFonts w:hint="default" w:ascii="Times New Roman" w:hAnsi="Times New Roman" w:eastAsia="宋体" w:cs="Times New Roman"/>
                <w:b w:val="0"/>
                <w:bCs/>
                <w:color w:val="000000" w:themeColor="text1"/>
                <w:kern w:val="2"/>
                <w:sz w:val="24"/>
                <w:szCs w:val="24"/>
                <w:highlight w:val="none"/>
                <w14:textFill>
                  <w14:solidFill>
                    <w14:schemeClr w14:val="tx1"/>
                  </w14:solidFill>
                </w14:textFill>
              </w:rPr>
              <w:t>浓度超过</w:t>
            </w:r>
            <w:r>
              <w:rPr>
                <w:rFonts w:hint="default" w:ascii="Times New Roman" w:hAnsi="Times New Roman" w:eastAsia="宋体" w:cs="Times New Roman"/>
                <w:b w:val="0"/>
                <w:bCs/>
                <w:color w:val="000000" w:themeColor="text1"/>
                <w:sz w:val="24"/>
                <w:highlight w:val="none"/>
                <w14:textFill>
                  <w14:solidFill>
                    <w14:schemeClr w14:val="tx1"/>
                  </w14:solidFill>
                </w14:textFill>
              </w:rPr>
              <w:t>《环境空气质量标准》（</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GB3095-2026</w:t>
            </w:r>
            <w:r>
              <w:rPr>
                <w:rFonts w:hint="default" w:ascii="Times New Roman" w:hAnsi="Times New Roman" w:eastAsia="宋体" w:cs="Times New Roman"/>
                <w:b w:val="0"/>
                <w:bCs/>
                <w:color w:val="000000" w:themeColor="text1"/>
                <w:sz w:val="24"/>
                <w:highlight w:val="none"/>
                <w14:textFill>
                  <w14:solidFill>
                    <w14:schemeClr w14:val="tx1"/>
                  </w14:solidFill>
                </w14:textFill>
              </w:rPr>
              <w:t>）</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二级过渡阶段浓度限值</w:t>
            </w:r>
            <w:r>
              <w:rPr>
                <w:rFonts w:hint="default" w:ascii="Times New Roman" w:hAnsi="Times New Roman" w:eastAsia="宋体" w:cs="Times New Roman"/>
                <w:b w:val="0"/>
                <w:bCs/>
                <w:color w:val="000000" w:themeColor="text1"/>
                <w:kern w:val="2"/>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超标原因主要是区域冬季静风、小风天气占比显著提升，大气扩散条件明显减弱，使得本地扬尘及周边输入的颗粒物难以有效扩散，易在近地面累积，进一步推高PM₁₀、PM₂.₅浓度，成为颗粒物超标的重要叠加因素</w:t>
            </w:r>
            <w:r>
              <w:rPr>
                <w:rFonts w:hint="eastAsia" w:cs="Times New Roman"/>
                <w:b w:val="0"/>
                <w:bCs/>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因此判定地区为环境空气质量不达标区。</w:t>
            </w:r>
          </w:p>
          <w:p w14:paraId="3847A577">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 地表水环境质量现状调查与评价</w:t>
            </w:r>
          </w:p>
          <w:p w14:paraId="534425B9">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根据昌吉州生态环境局发布的“水环境污染防治进展情况”数据，2024年1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12月，八钢（硫磺沟）、化工厂、三屯河首等8个断面水质类别达到Ⅱ类标准，与去年同期相比有所下降（变差），较上年同期水质下降的主要影响指标是总磷；其余9个断面水质与去年同期相比均无明显变化。</w:t>
            </w:r>
          </w:p>
          <w:p w14:paraId="19FE4952">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3 声环境质量现状及分析</w:t>
            </w:r>
          </w:p>
          <w:p w14:paraId="586513DC">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根据《建设项目环境影响报告表编制技术指南（污染影响类）（试行）》中区域环境质量现状评价要求，本项目厂界外周边50m范围内无声环境保护目标，因此，可不开展声环境现状调查与评价</w:t>
            </w:r>
            <w:r>
              <w:rPr>
                <w:rFonts w:hint="default" w:ascii="Times New Roman" w:hAnsi="Times New Roman" w:eastAsia="宋体" w:cs="Times New Roman"/>
                <w:color w:val="000000" w:themeColor="text1"/>
                <w:highlight w:val="none"/>
                <w14:textFill>
                  <w14:solidFill>
                    <w14:schemeClr w14:val="tx1"/>
                  </w14:solidFill>
                </w14:textFill>
              </w:rPr>
              <w:t>。</w:t>
            </w:r>
          </w:p>
          <w:p w14:paraId="381130FC">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 生态环境</w:t>
            </w:r>
          </w:p>
          <w:p w14:paraId="4772F864">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根据《建设项目环境影响报告表编制技术指南（污染影响类）</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（试行）》</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中规定，产业园区外建设项目新增用地且用地范围内含有生态环境保护目标</w:t>
            </w:r>
            <w:r>
              <w:rPr>
                <w:rFonts w:hint="default" w:ascii="Times New Roman" w:hAnsi="Times New Roman" w:eastAsia="宋体" w:cs="Times New Roman"/>
                <w:color w:val="000000" w:themeColor="text1"/>
                <w:kern w:val="2"/>
                <w:sz w:val="24"/>
                <w:szCs w:val="24"/>
                <w:highlight w:val="none"/>
                <w:lang w:eastAsia="zh-Hans"/>
                <w14:textFill>
                  <w14:solidFill>
                    <w14:schemeClr w14:val="tx1"/>
                  </w14:solidFill>
                </w14:textFill>
              </w:rPr>
              <w:t>的</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应进行生态现状调查。本项目位于</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新疆维吾尔自治区昌吉回族自治州阜康市新兴铸管能源有限公司铸管车间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内</w:t>
            </w:r>
            <w:r>
              <w:rPr>
                <w:rFonts w:hint="default" w:ascii="Times New Roman" w:hAnsi="Times New Roman" w:eastAsia="宋体" w:cs="Times New Roman"/>
                <w:color w:val="000000" w:themeColor="text1"/>
                <w:kern w:val="2"/>
                <w:sz w:val="24"/>
                <w:szCs w:val="24"/>
                <w14:textFill>
                  <w14:solidFill>
                    <w14:schemeClr w14:val="tx1"/>
                  </w14:solidFill>
                </w14:textFill>
              </w:rPr>
              <w:t>，项目区内不存在生态环境保护目标，故本项目可不开展生态环境现状调查</w:t>
            </w:r>
            <w:r>
              <w:rPr>
                <w:rFonts w:hint="default" w:ascii="Times New Roman" w:hAnsi="Times New Roman" w:eastAsia="宋体" w:cs="Times New Roman"/>
                <w:color w:val="000000" w:themeColor="text1"/>
                <w:lang w:eastAsia="zh-CN"/>
                <w14:textFill>
                  <w14:solidFill>
                    <w14:schemeClr w14:val="tx1"/>
                  </w14:solidFill>
                </w14:textFill>
              </w:rPr>
              <w:t>。</w:t>
            </w:r>
          </w:p>
          <w:p w14:paraId="27387CC8">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 地下水、土壤环境</w:t>
            </w:r>
          </w:p>
          <w:p w14:paraId="4B87C942">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根据《建设项目环境影响报告表编制技术指南</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污染影响类</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》，地下水、土壤环境原则上不开展环境质量现状调查，建设项目存在地下水环境、土壤环境污染途径的</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应结合污染源、保护目标分布情况开展现状调查以留作背景值。由于本项目不存在土壤、地下水环境污染途径，因此本次评价不开展地下水环境和土壤环境现状调查工作。</w:t>
            </w:r>
          </w:p>
        </w:tc>
      </w:tr>
      <w:tr w14:paraId="2BF90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tcBorders>
              <w:tl2br w:val="nil"/>
              <w:tr2bl w:val="nil"/>
            </w:tcBorders>
            <w:vAlign w:val="center"/>
          </w:tcPr>
          <w:p w14:paraId="751C9F1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环境</w:t>
            </w:r>
          </w:p>
          <w:p w14:paraId="2EA8A1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保护</w:t>
            </w:r>
          </w:p>
          <w:p w14:paraId="023CCA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目标</w:t>
            </w:r>
          </w:p>
        </w:tc>
        <w:tc>
          <w:tcPr>
            <w:tcW w:w="7900" w:type="dxa"/>
            <w:tcBorders>
              <w:tl2br w:val="nil"/>
              <w:tr2bl w:val="nil"/>
            </w:tcBorders>
          </w:tcPr>
          <w:p w14:paraId="0C335BED">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 大气环境</w:t>
            </w:r>
          </w:p>
          <w:p w14:paraId="4416F567">
            <w:pPr>
              <w:pStyle w:val="6"/>
              <w:suppressLineNumbers w:val="0"/>
              <w:spacing w:before="0" w:beforeAutospacing="0" w:after="0" w:afterAutospacing="0"/>
              <w:ind w:left="0" w:right="0" w:firstLine="480" w:firstLineChars="200"/>
              <w:jc w:val="both"/>
              <w:outlineLvl w:val="2"/>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根据《环境空气质量标准》（GB3095-2012）中的二级标准保护要求，项目场地厂界外500米范围内无自然保护区、风景名胜区、居住区、文化区和农村地区中人群较集中的区域等保护目标，无敏感目标。</w:t>
            </w:r>
          </w:p>
          <w:p w14:paraId="30E6E9D0">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 声环境</w:t>
            </w:r>
          </w:p>
          <w:p w14:paraId="2C615914">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根据《声环境质量标准》（GB3096-2008）中的3类标准保护要求，项目周边为企业，项目场地厂界外50米范围内无声环境保护目标。</w:t>
            </w:r>
          </w:p>
          <w:p w14:paraId="19EDEBB4">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 地下水环境</w:t>
            </w:r>
          </w:p>
          <w:p w14:paraId="03800006">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根据《地下水质量标准》（GB/T14848-2017）中的</w:t>
            </w:r>
            <w:r>
              <w:rPr>
                <w:rFonts w:hint="default" w:ascii="Times New Roman" w:hAnsi="Times New Roman" w:eastAsia="宋体" w:cs="Times New Roman"/>
                <w:color w:val="000000" w:themeColor="text1"/>
                <w:sz w:val="24"/>
                <w:lang w:eastAsia="zh-CN"/>
                <w14:textFill>
                  <w14:solidFill>
                    <w14:schemeClr w14:val="tx1"/>
                  </w14:solidFill>
                </w14:textFill>
              </w:rPr>
              <w:t>Ⅲ类</w:t>
            </w:r>
            <w:r>
              <w:rPr>
                <w:rFonts w:hint="default" w:ascii="Times New Roman" w:hAnsi="Times New Roman" w:eastAsia="宋体" w:cs="Times New Roman"/>
                <w:color w:val="000000" w:themeColor="text1"/>
                <w:sz w:val="24"/>
                <w14:textFill>
                  <w14:solidFill>
                    <w14:schemeClr w14:val="tx1"/>
                  </w14:solidFill>
                </w14:textFill>
              </w:rPr>
              <w:t>标准保护要求，本项目厂界外500米范围内的无地下水集中式饮用水水源和热水、矿泉水、温泉等特殊地下水资源，无敏感目标</w:t>
            </w:r>
            <w:r>
              <w:rPr>
                <w:rFonts w:hint="default" w:ascii="Times New Roman" w:hAnsi="Times New Roman" w:eastAsia="宋体" w:cs="Times New Roman"/>
                <w:color w:val="000000" w:themeColor="text1"/>
                <w:lang w:eastAsia="zh-CN"/>
                <w14:textFill>
                  <w14:solidFill>
                    <w14:schemeClr w14:val="tx1"/>
                  </w14:solidFill>
                </w14:textFill>
              </w:rPr>
              <w:t>。</w:t>
            </w:r>
          </w:p>
          <w:p w14:paraId="741FBDCC">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 生态环境</w:t>
            </w:r>
          </w:p>
          <w:p w14:paraId="10BF1E48">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本项目位于</w:t>
            </w:r>
            <w:r>
              <w:rPr>
                <w:rFonts w:hint="default" w:ascii="Times New Roman" w:hAnsi="Times New Roman" w:eastAsia="宋体" w:cs="Times New Roman"/>
                <w:b w:val="0"/>
                <w:bCs/>
                <w:color w:val="000000" w:themeColor="text1"/>
                <w:lang w:val="en-US" w:eastAsia="zh-CN"/>
                <w14:textFill>
                  <w14:solidFill>
                    <w14:schemeClr w14:val="tx1"/>
                  </w14:solidFill>
                </w14:textFill>
              </w:rPr>
              <w:t>新疆维吾尔自治区昌吉回族自治州阜康市新兴铸管能源有限公司铸管车间内</w:t>
            </w:r>
            <w:r>
              <w:rPr>
                <w:rFonts w:hint="default" w:ascii="Times New Roman" w:hAnsi="Times New Roman" w:eastAsia="宋体" w:cs="Times New Roman"/>
                <w:color w:val="000000" w:themeColor="text1"/>
                <w:sz w:val="24"/>
                <w14:textFill>
                  <w14:solidFill>
                    <w14:schemeClr w14:val="tx1"/>
                  </w14:solidFill>
                </w14:textFill>
              </w:rPr>
              <w:t>，项目选址占地为工业用地，项目周边均为企业，项目周边无居民区，水源保护地等敏感目标。根据《建设项目环境影响报告表编制技术指南》（污染影响类），项目占地场地厂界外500m范围内无敏感目标。周围无生态环境保护目标</w:t>
            </w: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53111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622" w:type="dxa"/>
            <w:tcBorders>
              <w:tl2br w:val="nil"/>
              <w:tr2bl w:val="nil"/>
            </w:tcBorders>
            <w:vAlign w:val="center"/>
          </w:tcPr>
          <w:p w14:paraId="584F5B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污染</w:t>
            </w:r>
          </w:p>
          <w:p w14:paraId="22A4C1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物排</w:t>
            </w:r>
          </w:p>
          <w:p w14:paraId="51E18D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放控</w:t>
            </w:r>
          </w:p>
          <w:p w14:paraId="72EC6D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制标</w:t>
            </w:r>
          </w:p>
          <w:p w14:paraId="4F9522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准</w:t>
            </w:r>
          </w:p>
        </w:tc>
        <w:tc>
          <w:tcPr>
            <w:tcW w:w="7900" w:type="dxa"/>
            <w:tcBorders>
              <w:tl2br w:val="nil"/>
              <w:tr2bl w:val="nil"/>
            </w:tcBorders>
          </w:tcPr>
          <w:p w14:paraId="049E0B5C">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 大气污染物排放标准</w:t>
            </w:r>
          </w:p>
          <w:p w14:paraId="0ABB2987">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锅炉废气颗粒物、二氧化硫、林格曼黑度执行《锅炉大气污染物排放标准》（GB 13271-2014）表3大气污染物特别排放限值</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氮氧化物执行《关于开展自治区2022年度夏秋季大气污染防治</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冬病夏治</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工作的通知》（新环大气函〔2022〕483号）的要求，</w:t>
            </w:r>
            <w:r>
              <w:rPr>
                <w:rFonts w:hint="default" w:ascii="Times New Roman" w:hAnsi="Times New Roman" w:eastAsia="宋体" w:cs="Times New Roman"/>
                <w:color w:val="000000" w:themeColor="text1"/>
                <w14:textFill>
                  <w14:solidFill>
                    <w14:schemeClr w14:val="tx1"/>
                  </w14:solidFill>
                </w14:textFill>
              </w:rPr>
              <w:t>见表3-</w:t>
            </w:r>
            <w:r>
              <w:rPr>
                <w:rFonts w:hint="eastAsia"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w:t>
            </w:r>
          </w:p>
          <w:p w14:paraId="1F0C1E80">
            <w:pPr>
              <w:pStyle w:val="3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表3-</w:t>
            </w: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 xml:space="preserve">   大气污染物排放标准</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669"/>
              <w:gridCol w:w="1343"/>
              <w:gridCol w:w="1100"/>
              <w:gridCol w:w="1903"/>
              <w:gridCol w:w="2666"/>
            </w:tblGrid>
            <w:tr w14:paraId="1113113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35" w:type="pct"/>
                  <w:tcBorders>
                    <w:bottom w:val="single" w:color="auto" w:sz="12" w:space="0"/>
                  </w:tcBorders>
                  <w:vAlign w:val="center"/>
                </w:tcPr>
                <w:p w14:paraId="6239A80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序号</w:t>
                  </w:r>
                </w:p>
              </w:tc>
              <w:tc>
                <w:tcPr>
                  <w:tcW w:w="874" w:type="pct"/>
                  <w:tcBorders>
                    <w:bottom w:val="single" w:color="auto" w:sz="12" w:space="0"/>
                  </w:tcBorders>
                  <w:vAlign w:val="center"/>
                </w:tcPr>
                <w:p w14:paraId="269E01F1">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污染物</w:t>
                  </w:r>
                </w:p>
              </w:tc>
              <w:tc>
                <w:tcPr>
                  <w:tcW w:w="716" w:type="pct"/>
                  <w:tcBorders>
                    <w:bottom w:val="single" w:color="auto" w:sz="12" w:space="0"/>
                  </w:tcBorders>
                  <w:vAlign w:val="center"/>
                </w:tcPr>
                <w:p w14:paraId="1536B4B7">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snapToGrid w:val="0"/>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b/>
                      <w:bCs/>
                      <w:snapToGrid w:val="0"/>
                      <w:color w:val="000000" w:themeColor="text1"/>
                      <w:kern w:val="0"/>
                      <w:szCs w:val="21"/>
                      <w:lang w:val="en-US" w:eastAsia="zh-CN"/>
                      <w14:textFill>
                        <w14:solidFill>
                          <w14:schemeClr w14:val="tx1"/>
                        </w14:solidFill>
                      </w14:textFill>
                    </w:rPr>
                    <w:t>排放形式</w:t>
                  </w:r>
                </w:p>
              </w:tc>
              <w:tc>
                <w:tcPr>
                  <w:tcW w:w="1238" w:type="pct"/>
                  <w:tcBorders>
                    <w:bottom w:val="single" w:color="auto" w:sz="12" w:space="0"/>
                  </w:tcBorders>
                  <w:vAlign w:val="center"/>
                </w:tcPr>
                <w:p w14:paraId="7ECA1BFE">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最高允许排放浓度</w:t>
                  </w:r>
                </w:p>
              </w:tc>
              <w:tc>
                <w:tcPr>
                  <w:tcW w:w="1735" w:type="pct"/>
                  <w:tcBorders>
                    <w:bottom w:val="single" w:color="auto" w:sz="12" w:space="0"/>
                  </w:tcBorders>
                  <w:vAlign w:val="center"/>
                </w:tcPr>
                <w:p w14:paraId="68E07424">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snapToGrid w:val="0"/>
                      <w:color w:val="000000" w:themeColor="text1"/>
                      <w:kern w:val="0"/>
                      <w:szCs w:val="21"/>
                      <w14:textFill>
                        <w14:solidFill>
                          <w14:schemeClr w14:val="tx1"/>
                        </w14:solidFill>
                      </w14:textFill>
                    </w:rPr>
                    <w:t>执行标准</w:t>
                  </w:r>
                </w:p>
              </w:tc>
            </w:tr>
            <w:tr w14:paraId="64C0408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35" w:type="pct"/>
                  <w:tcBorders>
                    <w:top w:val="single" w:color="auto" w:sz="12" w:space="0"/>
                    <w:tl2br w:val="nil"/>
                    <w:tr2bl w:val="nil"/>
                  </w:tcBorders>
                  <w:vAlign w:val="center"/>
                </w:tcPr>
                <w:p w14:paraId="71BD5445">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874" w:type="pct"/>
                  <w:tcBorders>
                    <w:top w:val="single" w:color="auto" w:sz="12" w:space="0"/>
                    <w:tl2br w:val="nil"/>
                    <w:tr2bl w:val="nil"/>
                  </w:tcBorders>
                  <w:vAlign w:val="center"/>
                </w:tcPr>
                <w:p w14:paraId="0707370E">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716" w:type="pct"/>
                  <w:tcBorders>
                    <w:top w:val="single" w:color="auto" w:sz="12" w:space="0"/>
                    <w:tl2br w:val="nil"/>
                    <w:tr2bl w:val="nil"/>
                  </w:tcBorders>
                  <w:vAlign w:val="center"/>
                </w:tcPr>
                <w:p w14:paraId="19C86A7E">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有组织</w:t>
                  </w:r>
                </w:p>
              </w:tc>
              <w:tc>
                <w:tcPr>
                  <w:tcW w:w="1238" w:type="pct"/>
                  <w:tcBorders>
                    <w:top w:val="single" w:color="auto" w:sz="12" w:space="0"/>
                    <w:tl2br w:val="nil"/>
                    <w:tr2bl w:val="nil"/>
                  </w:tcBorders>
                  <w:vAlign w:val="center"/>
                </w:tcPr>
                <w:p w14:paraId="0E723AD0">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20mg/m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p>
              </w:tc>
              <w:tc>
                <w:tcPr>
                  <w:tcW w:w="1735" w:type="pct"/>
                  <w:vMerge w:val="restart"/>
                  <w:tcBorders>
                    <w:top w:val="single" w:color="auto" w:sz="12" w:space="0"/>
                    <w:tl2br w:val="nil"/>
                    <w:tr2bl w:val="nil"/>
                  </w:tcBorders>
                  <w:vAlign w:val="center"/>
                </w:tcPr>
                <w:p w14:paraId="60695F7D">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《锅炉大气污染物排放标准》（GB 13271-2014）表3大气污染物特别排放限值</w:t>
                  </w:r>
                </w:p>
              </w:tc>
            </w:tr>
            <w:tr w14:paraId="4075BA9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35" w:type="pct"/>
                  <w:tcBorders>
                    <w:tl2br w:val="nil"/>
                    <w:tr2bl w:val="nil"/>
                  </w:tcBorders>
                  <w:vAlign w:val="center"/>
                </w:tcPr>
                <w:p w14:paraId="7BE7C1EC">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w:t>
                  </w:r>
                </w:p>
              </w:tc>
              <w:tc>
                <w:tcPr>
                  <w:tcW w:w="874" w:type="pct"/>
                  <w:tcBorders>
                    <w:tl2br w:val="nil"/>
                    <w:tr2bl w:val="nil"/>
                  </w:tcBorders>
                  <w:vAlign w:val="center"/>
                </w:tcPr>
                <w:p w14:paraId="63CB5F07">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二氧化硫</w:t>
                  </w:r>
                </w:p>
              </w:tc>
              <w:tc>
                <w:tcPr>
                  <w:tcW w:w="716" w:type="pct"/>
                  <w:tcBorders>
                    <w:tl2br w:val="nil"/>
                    <w:tr2bl w:val="nil"/>
                  </w:tcBorders>
                  <w:vAlign w:val="center"/>
                </w:tcPr>
                <w:p w14:paraId="21071F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t>有组织</w:t>
                  </w:r>
                </w:p>
              </w:tc>
              <w:tc>
                <w:tcPr>
                  <w:tcW w:w="1238" w:type="pct"/>
                  <w:tcBorders>
                    <w:tl2br w:val="nil"/>
                    <w:tr2bl w:val="nil"/>
                  </w:tcBorders>
                  <w:vAlign w:val="center"/>
                </w:tcPr>
                <w:p w14:paraId="1141659D">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50mg/m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p>
              </w:tc>
              <w:tc>
                <w:tcPr>
                  <w:tcW w:w="1735" w:type="pct"/>
                  <w:vMerge w:val="continue"/>
                  <w:tcBorders>
                    <w:tl2br w:val="nil"/>
                    <w:tr2bl w:val="nil"/>
                  </w:tcBorders>
                  <w:vAlign w:val="center"/>
                </w:tcPr>
                <w:p w14:paraId="68AAACCF">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14:textFill>
                        <w14:solidFill>
                          <w14:schemeClr w14:val="tx1"/>
                        </w14:solidFill>
                      </w14:textFill>
                    </w:rPr>
                  </w:pPr>
                </w:p>
              </w:tc>
            </w:tr>
            <w:tr w14:paraId="3AD9A38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35" w:type="pct"/>
                  <w:tcBorders>
                    <w:tl2br w:val="nil"/>
                    <w:tr2bl w:val="nil"/>
                  </w:tcBorders>
                  <w:vAlign w:val="center"/>
                </w:tcPr>
                <w:p w14:paraId="14152A9C">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w:t>
                  </w:r>
                </w:p>
              </w:tc>
              <w:tc>
                <w:tcPr>
                  <w:tcW w:w="874" w:type="pct"/>
                  <w:tcBorders>
                    <w:tl2br w:val="nil"/>
                    <w:tr2bl w:val="nil"/>
                  </w:tcBorders>
                  <w:shd w:val="clear" w:color="auto" w:fill="auto"/>
                  <w:vAlign w:val="center"/>
                </w:tcPr>
                <w:p w14:paraId="10CFE839">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林格曼黑度</w:t>
                  </w:r>
                </w:p>
              </w:tc>
              <w:tc>
                <w:tcPr>
                  <w:tcW w:w="716" w:type="pct"/>
                  <w:tcBorders>
                    <w:tl2br w:val="nil"/>
                    <w:tr2bl w:val="nil"/>
                  </w:tcBorders>
                  <w:shd w:val="clear" w:color="auto" w:fill="auto"/>
                  <w:vAlign w:val="center"/>
                </w:tcPr>
                <w:p w14:paraId="26444C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t>有组织</w:t>
                  </w:r>
                </w:p>
              </w:tc>
              <w:tc>
                <w:tcPr>
                  <w:tcW w:w="1238" w:type="pct"/>
                  <w:tcBorders>
                    <w:tl2br w:val="nil"/>
                    <w:tr2bl w:val="nil"/>
                  </w:tcBorders>
                  <w:shd w:val="clear" w:color="auto" w:fill="auto"/>
                  <w:vAlign w:val="center"/>
                </w:tcPr>
                <w:p w14:paraId="77A45176">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1735" w:type="pct"/>
                  <w:vMerge w:val="continue"/>
                  <w:tcBorders>
                    <w:tl2br w:val="nil"/>
                    <w:tr2bl w:val="nil"/>
                  </w:tcBorders>
                  <w:vAlign w:val="center"/>
                </w:tcPr>
                <w:p w14:paraId="6F291983">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14:textFill>
                        <w14:solidFill>
                          <w14:schemeClr w14:val="tx1"/>
                        </w14:solidFill>
                      </w14:textFill>
                    </w:rPr>
                  </w:pPr>
                </w:p>
              </w:tc>
            </w:tr>
            <w:tr w14:paraId="522D26E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35" w:type="pct"/>
                  <w:tcBorders>
                    <w:tl2br w:val="nil"/>
                    <w:tr2bl w:val="nil"/>
                  </w:tcBorders>
                  <w:vAlign w:val="center"/>
                </w:tcPr>
                <w:p w14:paraId="6B6FB547">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w:t>
                  </w:r>
                </w:p>
              </w:tc>
              <w:tc>
                <w:tcPr>
                  <w:tcW w:w="874" w:type="pct"/>
                  <w:tcBorders>
                    <w:tl2br w:val="nil"/>
                    <w:tr2bl w:val="nil"/>
                  </w:tcBorders>
                  <w:vAlign w:val="center"/>
                </w:tcPr>
                <w:p w14:paraId="0F6ED96C">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氮氧化物</w:t>
                  </w:r>
                </w:p>
              </w:tc>
              <w:tc>
                <w:tcPr>
                  <w:tcW w:w="716" w:type="pct"/>
                  <w:tcBorders>
                    <w:tl2br w:val="nil"/>
                    <w:tr2bl w:val="nil"/>
                  </w:tcBorders>
                  <w:vAlign w:val="center"/>
                </w:tcPr>
                <w:p w14:paraId="5CB5DA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1"/>
                      <w:szCs w:val="24"/>
                      <w:lang w:val="en-US" w:eastAsia="zh-CN" w:bidi="ar-SA"/>
                      <w14:textFill>
                        <w14:solidFill>
                          <w14:schemeClr w14:val="tx1"/>
                        </w14:solidFill>
                      </w14:textFill>
                    </w:rPr>
                    <w:t>有组织</w:t>
                  </w:r>
                </w:p>
              </w:tc>
              <w:tc>
                <w:tcPr>
                  <w:tcW w:w="1238" w:type="pct"/>
                  <w:tcBorders>
                    <w:tl2br w:val="nil"/>
                    <w:tr2bl w:val="nil"/>
                  </w:tcBorders>
                  <w:vAlign w:val="center"/>
                </w:tcPr>
                <w:p w14:paraId="5C01CB4D">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50mg/m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p>
              </w:tc>
              <w:tc>
                <w:tcPr>
                  <w:tcW w:w="1735" w:type="pct"/>
                  <w:tcBorders>
                    <w:tl2br w:val="nil"/>
                    <w:tr2bl w:val="nil"/>
                  </w:tcBorders>
                  <w:vAlign w:val="center"/>
                </w:tcPr>
                <w:p w14:paraId="1A158AA7">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《关于开展自治区2022年度夏秋季大气污染防治</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冬病夏治</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工作的通知》（新环大气函〔2022〕483号）</w:t>
                  </w:r>
                </w:p>
              </w:tc>
            </w:tr>
          </w:tbl>
          <w:p w14:paraId="2E6D9C3B">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 噪声排放标准</w:t>
            </w:r>
          </w:p>
          <w:p w14:paraId="12983319">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施工期噪声执行《建筑施工噪声排放标准》</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GB12523-2025</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中排放限值标准，</w:t>
            </w:r>
            <w:r>
              <w:rPr>
                <w:rFonts w:hint="default" w:ascii="Times New Roman" w:hAnsi="Times New Roman" w:eastAsia="宋体" w:cs="Times New Roman"/>
                <w:color w:val="000000" w:themeColor="text1"/>
                <w14:textFill>
                  <w14:solidFill>
                    <w14:schemeClr w14:val="tx1"/>
                  </w14:solidFill>
                </w14:textFill>
              </w:rPr>
              <w:t>运营期厂界噪声排放执行《工业企业厂界环境噪声排放标准》（GB12348-2008）</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类标准。噪声限值见表3-</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w:t>
            </w:r>
          </w:p>
          <w:p w14:paraId="35085D04">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p>
          <w:p w14:paraId="158F40C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表3-</w:t>
            </w:r>
            <w:r>
              <w:rPr>
                <w:rFonts w:hint="eastAsia" w:cs="Times New Roman"/>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14:textFill>
                  <w14:solidFill>
                    <w14:schemeClr w14:val="tx1"/>
                  </w14:solidFill>
                </w14:textFill>
              </w:rPr>
              <w:t xml:space="preserve">   噪声排放限值标准</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autofit"/>
              <w:tblCellMar>
                <w:top w:w="0" w:type="dxa"/>
                <w:left w:w="108" w:type="dxa"/>
                <w:bottom w:w="0" w:type="dxa"/>
                <w:right w:w="108" w:type="dxa"/>
              </w:tblCellMar>
            </w:tblPr>
            <w:tblGrid>
              <w:gridCol w:w="1615"/>
              <w:gridCol w:w="4479"/>
              <w:gridCol w:w="1587"/>
            </w:tblGrid>
            <w:tr w14:paraId="7300FEF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jc w:val="center"/>
              </w:trPr>
              <w:tc>
                <w:tcPr>
                  <w:tcW w:w="1051" w:type="pct"/>
                  <w:tcBorders>
                    <w:bottom w:val="single" w:color="auto" w:sz="12" w:space="0"/>
                  </w:tcBorders>
                  <w:vAlign w:val="center"/>
                </w:tcPr>
                <w:p w14:paraId="0A62D4A6">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时期</w:t>
                  </w:r>
                </w:p>
              </w:tc>
              <w:tc>
                <w:tcPr>
                  <w:tcW w:w="2915" w:type="pct"/>
                  <w:tcBorders>
                    <w:bottom w:val="single" w:color="auto" w:sz="12" w:space="0"/>
                  </w:tcBorders>
                  <w:vAlign w:val="center"/>
                </w:tcPr>
                <w:p w14:paraId="2B4717B9">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标准</w:t>
                  </w:r>
                </w:p>
              </w:tc>
              <w:tc>
                <w:tcPr>
                  <w:tcW w:w="1033" w:type="pct"/>
                  <w:tcBorders>
                    <w:bottom w:val="single" w:color="auto" w:sz="12" w:space="0"/>
                  </w:tcBorders>
                  <w:vAlign w:val="center"/>
                </w:tcPr>
                <w:p w14:paraId="171E628B">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限值</w:t>
                  </w:r>
                </w:p>
              </w:tc>
            </w:tr>
            <w:tr w14:paraId="1410BAE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jc w:val="center"/>
              </w:trPr>
              <w:tc>
                <w:tcPr>
                  <w:tcW w:w="1051" w:type="pct"/>
                  <w:tcBorders>
                    <w:top w:val="single" w:color="auto" w:sz="12" w:space="0"/>
                    <w:tl2br w:val="nil"/>
                    <w:tr2bl w:val="nil"/>
                  </w:tcBorders>
                  <w:shd w:val="clear" w:color="auto" w:fill="auto"/>
                  <w:vAlign w:val="center"/>
                </w:tcPr>
                <w:p w14:paraId="3F652B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rPr>
                    <w:t>施工期</w:t>
                  </w:r>
                </w:p>
              </w:tc>
              <w:tc>
                <w:tcPr>
                  <w:tcW w:w="2915" w:type="pct"/>
                  <w:tcBorders>
                    <w:top w:val="single" w:color="auto" w:sz="12" w:space="0"/>
                    <w:tl2br w:val="nil"/>
                    <w:tr2bl w:val="nil"/>
                  </w:tcBorders>
                  <w:shd w:val="clear" w:color="auto" w:fill="auto"/>
                  <w:vAlign w:val="center"/>
                </w:tcPr>
                <w:p w14:paraId="7BE399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rPr>
                    <w:t>《建筑施工噪声排放标准》（GB12523-20</w:t>
                  </w:r>
                  <w:r>
                    <w:rPr>
                      <w:rFonts w:hint="default" w:ascii="Times New Roman" w:hAnsi="Times New Roman" w:eastAsia="宋体" w:cs="Times New Roman"/>
                      <w:b w:val="0"/>
                      <w:bCs w:val="0"/>
                      <w:color w:val="auto"/>
                      <w:kern w:val="0"/>
                      <w:sz w:val="21"/>
                      <w:szCs w:val="21"/>
                      <w:lang w:val="en-US" w:eastAsia="zh-CN"/>
                    </w:rPr>
                    <w:t>25</w:t>
                  </w:r>
                  <w:r>
                    <w:rPr>
                      <w:rFonts w:hint="default" w:ascii="Times New Roman" w:hAnsi="Times New Roman" w:eastAsia="宋体" w:cs="Times New Roman"/>
                      <w:b w:val="0"/>
                      <w:bCs w:val="0"/>
                      <w:color w:val="auto"/>
                      <w:kern w:val="0"/>
                      <w:sz w:val="21"/>
                      <w:szCs w:val="21"/>
                    </w:rPr>
                    <w:t>）中排放限值标准</w:t>
                  </w:r>
                </w:p>
              </w:tc>
              <w:tc>
                <w:tcPr>
                  <w:tcW w:w="1033" w:type="pct"/>
                  <w:tcBorders>
                    <w:top w:val="single" w:color="auto" w:sz="12" w:space="0"/>
                    <w:tl2br w:val="nil"/>
                    <w:tr2bl w:val="nil"/>
                  </w:tcBorders>
                  <w:shd w:val="clear" w:color="auto" w:fill="auto"/>
                  <w:vAlign w:val="center"/>
                </w:tcPr>
                <w:p w14:paraId="0A318E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lang w:eastAsia="zh-CN"/>
                    </w:rPr>
                  </w:pPr>
                  <w:r>
                    <w:rPr>
                      <w:rFonts w:hint="default" w:ascii="Times New Roman" w:hAnsi="Times New Roman" w:eastAsia="宋体" w:cs="Times New Roman"/>
                      <w:b w:val="0"/>
                      <w:bCs w:val="0"/>
                      <w:color w:val="auto"/>
                      <w:kern w:val="0"/>
                      <w:sz w:val="21"/>
                      <w:szCs w:val="21"/>
                    </w:rPr>
                    <w:t>昼间70dB（A）</w:t>
                  </w:r>
                </w:p>
                <w:p w14:paraId="07A5E4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rPr>
                    <w:t>夜间55dB（A）</w:t>
                  </w:r>
                </w:p>
              </w:tc>
            </w:tr>
            <w:tr w14:paraId="77E40BC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jc w:val="center"/>
              </w:trPr>
              <w:tc>
                <w:tcPr>
                  <w:tcW w:w="1051" w:type="pct"/>
                  <w:tcBorders>
                    <w:tl2br w:val="nil"/>
                    <w:tr2bl w:val="nil"/>
                  </w:tcBorders>
                  <w:vAlign w:val="center"/>
                </w:tcPr>
                <w:p w14:paraId="1512A1B4">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运营期</w:t>
                  </w:r>
                </w:p>
              </w:tc>
              <w:tc>
                <w:tcPr>
                  <w:tcW w:w="2915" w:type="pct"/>
                  <w:tcBorders>
                    <w:tl2br w:val="nil"/>
                    <w:tr2bl w:val="nil"/>
                  </w:tcBorders>
                  <w:vAlign w:val="center"/>
                </w:tcPr>
                <w:p w14:paraId="6A601E10">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《工业企业厂界环境噪声排放标准》（GB12348-2008）3类</w:t>
                  </w:r>
                </w:p>
              </w:tc>
              <w:tc>
                <w:tcPr>
                  <w:tcW w:w="1033" w:type="pct"/>
                  <w:tcBorders>
                    <w:tl2br w:val="nil"/>
                    <w:tr2bl w:val="nil"/>
                  </w:tcBorders>
                  <w:vAlign w:val="center"/>
                </w:tcPr>
                <w:p w14:paraId="480031F1">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昼间65dB（A）、夜间55dB（A）</w:t>
                  </w:r>
                </w:p>
              </w:tc>
            </w:tr>
          </w:tbl>
          <w:p w14:paraId="3AC8EE41">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 固体废物控制标准</w:t>
            </w:r>
          </w:p>
          <w:p w14:paraId="3B73B822">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一般</w:t>
            </w:r>
            <w:r>
              <w:rPr>
                <w:rFonts w:hint="default" w:ascii="Times New Roman" w:hAnsi="Times New Roman" w:eastAsia="宋体" w:cs="Times New Roman"/>
                <w:color w:val="000000" w:themeColor="text1"/>
                <w:lang w:val="en-US" w:eastAsia="zh-CN"/>
                <w14:textFill>
                  <w14:solidFill>
                    <w14:schemeClr w14:val="tx1"/>
                  </w14:solidFill>
                </w14:textFill>
              </w:rPr>
              <w:t>固体废物</w:t>
            </w:r>
            <w:r>
              <w:rPr>
                <w:rFonts w:hint="default" w:ascii="Times New Roman" w:hAnsi="Times New Roman" w:eastAsia="宋体" w:cs="Times New Roman"/>
                <w:color w:val="000000" w:themeColor="text1"/>
                <w14:textFill>
                  <w14:solidFill>
                    <w14:schemeClr w14:val="tx1"/>
                  </w14:solidFill>
                </w14:textFill>
              </w:rPr>
              <w:t>暂存执行《一般工业固体废物贮存和填埋污染控制标准》</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GB</w:t>
            </w:r>
            <w:r>
              <w:rPr>
                <w:rFonts w:hint="eastAsia"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18599-2020</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要求</w:t>
            </w:r>
            <w:r>
              <w:rPr>
                <w:rFonts w:hint="default"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危险废物暂存执行《危险废物贮存污染控制标准》（GB 18597</w:t>
            </w:r>
            <w:r>
              <w:rPr>
                <w:rFonts w:hint="eastAsia" w:cs="Times New Roman"/>
                <w:color w:val="000000" w:themeColor="text1"/>
                <w:lang w:val="en-US"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2023）要求。</w:t>
            </w:r>
          </w:p>
        </w:tc>
      </w:tr>
      <w:tr w14:paraId="36E30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94" w:hRule="atLeast"/>
          <w:jc w:val="center"/>
        </w:trPr>
        <w:tc>
          <w:tcPr>
            <w:tcW w:w="622" w:type="dxa"/>
            <w:tcBorders>
              <w:tl2br w:val="nil"/>
              <w:tr2bl w:val="nil"/>
            </w:tcBorders>
            <w:vAlign w:val="center"/>
          </w:tcPr>
          <w:p w14:paraId="203FDD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总量</w:t>
            </w:r>
          </w:p>
          <w:p w14:paraId="2FE899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控制</w:t>
            </w:r>
          </w:p>
          <w:p w14:paraId="69F6D0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指标</w:t>
            </w:r>
          </w:p>
        </w:tc>
        <w:tc>
          <w:tcPr>
            <w:tcW w:w="7900" w:type="dxa"/>
            <w:tcBorders>
              <w:tl2br w:val="nil"/>
              <w:tr2bl w:val="nil"/>
            </w:tcBorders>
            <w:vAlign w:val="center"/>
          </w:tcPr>
          <w:p w14:paraId="18D8A9D6">
            <w:pPr>
              <w:pStyle w:val="25"/>
              <w:keepNext w:val="0"/>
              <w:keepLines w:val="0"/>
              <w:suppressLineNumbers w:val="0"/>
              <w:bidi w:val="0"/>
              <w:spacing w:before="0" w:beforeAutospacing="0" w:after="0" w:afterAutospacing="0"/>
              <w:ind w:left="0" w:right="0"/>
              <w:jc w:val="both"/>
              <w:rPr>
                <w:rFonts w:hint="eastAsia" w:cs="Times New Roman"/>
                <w:color w:val="auto"/>
                <w:lang w:val="en-US" w:eastAsia="zh-CN"/>
              </w:rPr>
            </w:pPr>
            <w:r>
              <w:rPr>
                <w:rFonts w:hint="eastAsia" w:cs="Times New Roman"/>
                <w:color w:val="auto"/>
                <w:lang w:val="en-US" w:eastAsia="zh-CN"/>
              </w:rPr>
              <w:t>根据《新兴铸管阜康能源有限公司20万吨/年球墨铸铁管项目竣工环境保护验收监测报告》中煤气锅炉监测数据显示颗粒物排放量为0.160t/a；本项目燃气锅炉更换天然气作为燃料，属于减排项目，根据源强核算得知本项目颗粒物排放量为0.108t/a。可沿用上述验收监测报告中的颗粒物排放量。</w:t>
            </w:r>
          </w:p>
          <w:p w14:paraId="5CE7FC26">
            <w:pPr>
              <w:pStyle w:val="25"/>
              <w:keepNext w:val="0"/>
              <w:keepLines w:val="0"/>
              <w:suppressLineNumbers w:val="0"/>
              <w:bidi w:val="0"/>
              <w:spacing w:before="0" w:beforeAutospacing="0" w:after="0" w:afterAutospacing="0"/>
              <w:ind w:left="0" w:right="0"/>
              <w:jc w:val="both"/>
              <w:rPr>
                <w:rFonts w:hint="eastAsia" w:cs="Times New Roman"/>
                <w:color w:val="auto"/>
                <w:highlight w:val="yellow"/>
                <w:lang w:val="en-US" w:eastAsia="zh-CN"/>
              </w:rPr>
            </w:pPr>
            <w:r>
              <w:rPr>
                <w:rFonts w:hint="default" w:ascii="Times New Roman" w:hAnsi="Times New Roman" w:eastAsia="宋体" w:cs="Times New Roman"/>
                <w:color w:val="auto"/>
                <w:highlight w:val="yellow"/>
                <w:lang w:val="en-US" w:eastAsia="zh-CN"/>
              </w:rPr>
              <w:t>本项目实施后，氮氧化物排放量</w:t>
            </w:r>
            <w:r>
              <w:rPr>
                <w:rFonts w:hint="eastAsia" w:cs="Times New Roman"/>
                <w:color w:val="auto"/>
                <w:highlight w:val="yellow"/>
                <w:lang w:val="en-US" w:eastAsia="zh-CN"/>
              </w:rPr>
              <w:t>8.213</w:t>
            </w:r>
            <w:r>
              <w:rPr>
                <w:rFonts w:hint="default" w:ascii="Times New Roman" w:hAnsi="Times New Roman" w:eastAsia="宋体" w:cs="Times New Roman"/>
                <w:color w:val="auto"/>
                <w:highlight w:val="yellow"/>
                <w:lang w:val="en-US" w:eastAsia="zh-CN"/>
              </w:rPr>
              <w:t>t/a，颗粒物排放量</w:t>
            </w:r>
            <w:r>
              <w:rPr>
                <w:rFonts w:hint="eastAsia" w:cs="Times New Roman"/>
                <w:color w:val="auto"/>
                <w:highlight w:val="yellow"/>
                <w:lang w:val="en-US" w:eastAsia="zh-CN"/>
              </w:rPr>
              <w:t>14.948</w:t>
            </w:r>
            <w:r>
              <w:rPr>
                <w:rFonts w:hint="default" w:ascii="Times New Roman" w:hAnsi="Times New Roman" w:eastAsia="宋体" w:cs="Times New Roman"/>
                <w:color w:val="auto"/>
                <w:highlight w:val="yellow"/>
                <w:lang w:val="en-US" w:eastAsia="zh-CN"/>
              </w:rPr>
              <w:t>t/a，二氧化硫排放量</w:t>
            </w:r>
            <w:r>
              <w:rPr>
                <w:rFonts w:hint="eastAsia" w:cs="Times New Roman"/>
                <w:color w:val="auto"/>
                <w:highlight w:val="yellow"/>
                <w:lang w:val="en-US" w:eastAsia="zh-CN"/>
              </w:rPr>
              <w:t>13.402</w:t>
            </w:r>
            <w:r>
              <w:rPr>
                <w:rFonts w:hint="default" w:ascii="Times New Roman" w:hAnsi="Times New Roman" w:eastAsia="宋体" w:cs="Times New Roman"/>
                <w:color w:val="auto"/>
                <w:highlight w:val="yellow"/>
                <w:lang w:val="en-US" w:eastAsia="zh-CN"/>
              </w:rPr>
              <w:t>t/a</w:t>
            </w:r>
            <w:r>
              <w:rPr>
                <w:rFonts w:hint="eastAsia" w:cs="Times New Roman"/>
                <w:color w:val="auto"/>
                <w:highlight w:val="yellow"/>
                <w:lang w:val="en-US" w:eastAsia="zh-CN"/>
              </w:rPr>
              <w:t>。</w:t>
            </w:r>
          </w:p>
          <w:p w14:paraId="52B1870B">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根据原昌吉回族自治州环境保护局下发《昌吉州环保局关于新兴铸管阜康能源有限公司20万吨/年球墨铸铁管项目环评变更意见的复函》（昌州环函〔2015〕66号）核定的</w:t>
            </w:r>
            <w:r>
              <w:rPr>
                <w:rFonts w:hint="eastAsia" w:cs="Times New Roman"/>
                <w:color w:val="auto"/>
                <w:lang w:val="en-US" w:eastAsia="zh-CN"/>
              </w:rPr>
              <w:t>氮氧化物</w:t>
            </w:r>
            <w:r>
              <w:rPr>
                <w:rFonts w:hint="default" w:ascii="Times New Roman" w:hAnsi="Times New Roman" w:eastAsia="宋体" w:cs="Times New Roman"/>
                <w:color w:val="auto"/>
                <w:lang w:val="en-US" w:eastAsia="zh-CN"/>
              </w:rPr>
              <w:t>排放量为16.51吨/年，二氧化硫排放量为19.6吨/年。</w:t>
            </w:r>
            <w:r>
              <w:rPr>
                <w:rFonts w:hint="eastAsia" w:cs="Times New Roman"/>
                <w:i w:val="0"/>
                <w:iCs w:val="0"/>
                <w:caps w:val="0"/>
                <w:spacing w:val="0"/>
                <w:sz w:val="24"/>
                <w:szCs w:val="24"/>
                <w:lang w:val="en-US" w:eastAsia="zh-CN"/>
              </w:rPr>
              <w:t>氮氧化物及二氧化硫</w:t>
            </w:r>
            <w:r>
              <w:rPr>
                <w:rFonts w:hint="default" w:ascii="Times New Roman" w:hAnsi="Times New Roman" w:eastAsia="宋体" w:cs="Times New Roman"/>
                <w:i w:val="0"/>
                <w:iCs w:val="0"/>
                <w:caps w:val="0"/>
                <w:spacing w:val="0"/>
                <w:sz w:val="24"/>
                <w:szCs w:val="24"/>
              </w:rPr>
              <w:t>将沿用上述文件中核定的排放总量，以确保项目运营过程中的污染物排放符合环保要求，维持区域环境质量的稳定状态。</w:t>
            </w:r>
          </w:p>
          <w:p w14:paraId="7A903B61">
            <w:pPr>
              <w:pStyle w:val="25"/>
              <w:keepNext w:val="0"/>
              <w:keepLines w:val="0"/>
              <w:suppressLineNumbers w:val="0"/>
              <w:bidi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p>
          <w:p w14:paraId="4A0EBC27">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04865048">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70F837AD">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2B05B702">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7B4DF1C9">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4E99E032">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087D604D">
            <w:pPr>
              <w:pStyle w:val="25"/>
              <w:keepNext w:val="0"/>
              <w:keepLines w:val="0"/>
              <w:suppressLineNumbers w:val="0"/>
              <w:bidi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p>
        </w:tc>
      </w:tr>
    </w:tbl>
    <w:p w14:paraId="4B43237E">
      <w:pPr>
        <w:pStyle w:val="4"/>
        <w:numPr>
          <w:ilvl w:val="0"/>
          <w:numId w:val="0"/>
        </w:numPr>
        <w:jc w:val="center"/>
        <w:rPr>
          <w:rFonts w:hint="default" w:ascii="Times New Roman" w:hAnsi="Times New Roman" w:eastAsia="宋体" w:cs="Times New Roman"/>
          <w:b/>
          <w:bCs w:val="0"/>
          <w:kern w:val="44"/>
          <w:sz w:val="30"/>
          <w:szCs w:val="2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6C85AD7">
      <w:pPr>
        <w:pStyle w:val="4"/>
        <w:numPr>
          <w:ilvl w:val="0"/>
          <w:numId w:val="0"/>
        </w:numPr>
        <w:jc w:val="center"/>
        <w:rPr>
          <w:rFonts w:hint="default" w:ascii="Times New Roman" w:hAnsi="Times New Roman" w:eastAsia="宋体" w:cs="Times New Roman"/>
          <w:b/>
          <w:bCs w:val="0"/>
        </w:rPr>
      </w:pPr>
      <w:r>
        <w:rPr>
          <w:rFonts w:hint="default" w:ascii="Times New Roman" w:hAnsi="Times New Roman" w:eastAsia="宋体" w:cs="Times New Roman"/>
          <w:b/>
          <w:bCs w:val="0"/>
          <w:kern w:val="44"/>
          <w:sz w:val="30"/>
          <w:szCs w:val="24"/>
          <w:lang w:val="en-US" w:eastAsia="zh-CN" w:bidi="ar-SA"/>
        </w:rPr>
        <w:t>四、</w:t>
      </w:r>
      <w:r>
        <w:rPr>
          <w:rFonts w:hint="default" w:ascii="Times New Roman" w:hAnsi="Times New Roman" w:eastAsia="宋体" w:cs="Times New Roman"/>
          <w:b/>
          <w:bCs w:val="0"/>
        </w:rPr>
        <w:t>主要环境影响和保护措施</w:t>
      </w:r>
    </w:p>
    <w:tbl>
      <w:tblPr>
        <w:tblStyle w:val="3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7981"/>
      </w:tblGrid>
      <w:tr w14:paraId="5CBAE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tcBorders>
              <w:tl2br w:val="nil"/>
              <w:tr2bl w:val="nil"/>
            </w:tcBorders>
            <w:vAlign w:val="center"/>
          </w:tcPr>
          <w:p w14:paraId="4AE3D0E3">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Cs w:val="24"/>
                <w14:textFill>
                  <w14:solidFill>
                    <w14:schemeClr w14:val="tx1"/>
                  </w14:solidFill>
                </w14:textFill>
              </w:rPr>
            </w:pPr>
            <w:r>
              <w:rPr>
                <w:rFonts w:hint="default" w:ascii="Times New Roman" w:hAnsi="Times New Roman" w:eastAsia="宋体" w:cs="Times New Roman"/>
                <w:color w:val="000000" w:themeColor="text1"/>
                <w:kern w:val="2"/>
                <w:szCs w:val="24"/>
                <w14:textFill>
                  <w14:solidFill>
                    <w14:schemeClr w14:val="tx1"/>
                  </w14:solidFill>
                </w14:textFill>
              </w:rPr>
              <w:t>施工</w:t>
            </w:r>
          </w:p>
          <w:p w14:paraId="021F2D6E">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Cs w:val="24"/>
                <w14:textFill>
                  <w14:solidFill>
                    <w14:schemeClr w14:val="tx1"/>
                  </w14:solidFill>
                </w14:textFill>
              </w:rPr>
            </w:pPr>
            <w:r>
              <w:rPr>
                <w:rFonts w:hint="default" w:ascii="Times New Roman" w:hAnsi="Times New Roman" w:eastAsia="宋体" w:cs="Times New Roman"/>
                <w:color w:val="000000" w:themeColor="text1"/>
                <w:kern w:val="2"/>
                <w:szCs w:val="24"/>
                <w14:textFill>
                  <w14:solidFill>
                    <w14:schemeClr w14:val="tx1"/>
                  </w14:solidFill>
                </w14:textFill>
              </w:rPr>
              <w:t>期环</w:t>
            </w:r>
          </w:p>
          <w:p w14:paraId="32D01A1D">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Cs w:val="24"/>
                <w14:textFill>
                  <w14:solidFill>
                    <w14:schemeClr w14:val="tx1"/>
                  </w14:solidFill>
                </w14:textFill>
              </w:rPr>
            </w:pPr>
            <w:r>
              <w:rPr>
                <w:rFonts w:hint="default" w:ascii="Times New Roman" w:hAnsi="Times New Roman" w:eastAsia="宋体" w:cs="Times New Roman"/>
                <w:color w:val="000000" w:themeColor="text1"/>
                <w:kern w:val="2"/>
                <w:szCs w:val="24"/>
                <w14:textFill>
                  <w14:solidFill>
                    <w14:schemeClr w14:val="tx1"/>
                  </w14:solidFill>
                </w14:textFill>
              </w:rPr>
              <w:t>境保</w:t>
            </w:r>
          </w:p>
          <w:p w14:paraId="1C7E30D7">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Cs w:val="24"/>
                <w14:textFill>
                  <w14:solidFill>
                    <w14:schemeClr w14:val="tx1"/>
                  </w14:solidFill>
                </w14:textFill>
              </w:rPr>
            </w:pPr>
            <w:r>
              <w:rPr>
                <w:rFonts w:hint="default" w:ascii="Times New Roman" w:hAnsi="Times New Roman" w:eastAsia="宋体" w:cs="Times New Roman"/>
                <w:color w:val="000000" w:themeColor="text1"/>
                <w:kern w:val="2"/>
                <w:szCs w:val="24"/>
                <w14:textFill>
                  <w14:solidFill>
                    <w14:schemeClr w14:val="tx1"/>
                  </w14:solidFill>
                </w14:textFill>
              </w:rPr>
              <w:t>护措</w:t>
            </w:r>
          </w:p>
          <w:p w14:paraId="6F1DBD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w:t>
            </w:r>
          </w:p>
        </w:tc>
        <w:tc>
          <w:tcPr>
            <w:tcW w:w="7981" w:type="dxa"/>
            <w:tcBorders>
              <w:tl2br w:val="nil"/>
              <w:tr2bl w:val="nil"/>
            </w:tcBorders>
            <w:vAlign w:val="center"/>
          </w:tcPr>
          <w:p w14:paraId="55F42882">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w:t>
            </w:r>
            <w:r>
              <w:rPr>
                <w:rFonts w:hint="eastAsia" w:cs="Times New Roman"/>
                <w:color w:val="000000" w:themeColor="text1"/>
                <w:lang w:val="en-US" w:eastAsia="zh-CN"/>
                <w14:textFill>
                  <w14:solidFill>
                    <w14:schemeClr w14:val="tx1"/>
                  </w14:solidFill>
                </w14:textFill>
              </w:rPr>
              <w:t>蒸汽</w:t>
            </w:r>
            <w:r>
              <w:rPr>
                <w:rFonts w:hint="default" w:ascii="Times New Roman" w:hAnsi="Times New Roman" w:eastAsia="宋体" w:cs="Times New Roman"/>
                <w:color w:val="000000" w:themeColor="text1"/>
                <w:lang w:val="en-US" w:eastAsia="zh-CN"/>
                <w14:textFill>
                  <w14:solidFill>
                    <w14:schemeClr w14:val="tx1"/>
                  </w14:solidFill>
                </w14:textFill>
              </w:rPr>
              <w:t>锅炉位于</w:t>
            </w:r>
            <w:r>
              <w:rPr>
                <w:rFonts w:hint="default" w:ascii="Times New Roman" w:hAnsi="Times New Roman" w:eastAsia="宋体" w:cs="Times New Roman"/>
                <w:b w:val="0"/>
                <w:bCs/>
                <w:color w:val="000000" w:themeColor="text1"/>
                <w:lang w:val="en-US" w:eastAsia="zh-CN"/>
                <w14:textFill>
                  <w14:solidFill>
                    <w14:schemeClr w14:val="tx1"/>
                  </w14:solidFill>
                </w14:textFill>
              </w:rPr>
              <w:t>新疆维吾尔自治区昌吉回族自治州阜康市新兴铸管能源有限公司铸管车间内</w:t>
            </w:r>
            <w:r>
              <w:rPr>
                <w:rFonts w:hint="default" w:ascii="Times New Roman" w:hAnsi="Times New Roman" w:eastAsia="宋体" w:cs="Times New Roman"/>
                <w:color w:val="000000" w:themeColor="text1"/>
                <w:lang w:val="en-US" w:eastAsia="zh-CN"/>
                <w14:textFill>
                  <w14:solidFill>
                    <w14:schemeClr w14:val="tx1"/>
                  </w14:solidFill>
                </w14:textFill>
              </w:rPr>
              <w:t>，施工期仅为设备安装</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不涉及土建工程</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施工期环境影响主要为设备安装产生的扬尘</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噪声</w:t>
            </w:r>
            <w:r>
              <w:rPr>
                <w:rFonts w:hint="default" w:ascii="Times New Roman" w:hAnsi="Times New Roman" w:eastAsia="宋体" w:cs="Times New Roman"/>
                <w:color w:val="000000" w:themeColor="text1"/>
                <w14:textFill>
                  <w14:solidFill>
                    <w14:schemeClr w14:val="tx1"/>
                  </w14:solidFill>
                </w14:textFill>
              </w:rPr>
              <w:t>、固体废物</w:t>
            </w:r>
            <w:r>
              <w:rPr>
                <w:rFonts w:hint="default" w:ascii="Times New Roman" w:hAnsi="Times New Roman" w:eastAsia="宋体" w:cs="Times New Roman"/>
                <w:color w:val="000000" w:themeColor="text1"/>
                <w:lang w:val="en-US" w:eastAsia="zh-CN"/>
                <w14:textFill>
                  <w14:solidFill>
                    <w14:schemeClr w14:val="tx1"/>
                  </w14:solidFill>
                </w14:textFill>
              </w:rPr>
              <w:t>和</w:t>
            </w:r>
            <w:r>
              <w:rPr>
                <w:rFonts w:hint="default" w:ascii="Times New Roman" w:hAnsi="Times New Roman" w:eastAsia="宋体" w:cs="Times New Roman"/>
                <w:color w:val="000000" w:themeColor="text1"/>
                <w14:textFill>
                  <w14:solidFill>
                    <w14:schemeClr w14:val="tx1"/>
                  </w14:solidFill>
                </w14:textFill>
              </w:rPr>
              <w:t>施工人员的生活污水</w:t>
            </w:r>
            <w:r>
              <w:rPr>
                <w:rFonts w:hint="default" w:ascii="Times New Roman" w:hAnsi="Times New Roman" w:eastAsia="宋体" w:cs="Times New Roman"/>
                <w:color w:val="000000" w:themeColor="text1"/>
                <w:lang w:val="en-US" w:eastAsia="zh-CN"/>
                <w14:textFill>
                  <w14:solidFill>
                    <w14:schemeClr w14:val="tx1"/>
                  </w14:solidFill>
                </w14:textFill>
              </w:rPr>
              <w:t>等</w:t>
            </w:r>
            <w:r>
              <w:rPr>
                <w:rFonts w:hint="default" w:ascii="Times New Roman" w:hAnsi="Times New Roman" w:eastAsia="宋体" w:cs="Times New Roman"/>
                <w:color w:val="000000" w:themeColor="text1"/>
                <w14:textFill>
                  <w14:solidFill>
                    <w14:schemeClr w14:val="tx1"/>
                  </w14:solidFill>
                </w14:textFill>
              </w:rPr>
              <w:t>。</w:t>
            </w:r>
          </w:p>
          <w:p w14:paraId="00DBE892">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 xml:space="preserve"> 施工期</w:t>
            </w:r>
            <w:r>
              <w:rPr>
                <w:rFonts w:hint="default" w:ascii="Times New Roman" w:hAnsi="Times New Roman" w:eastAsia="宋体" w:cs="Times New Roman"/>
                <w:color w:val="000000" w:themeColor="text1"/>
                <w:lang w:val="en-US" w:eastAsia="zh-CN"/>
                <w14:textFill>
                  <w14:solidFill>
                    <w14:schemeClr w14:val="tx1"/>
                  </w14:solidFill>
                </w14:textFill>
              </w:rPr>
              <w:t>大气</w:t>
            </w:r>
            <w:r>
              <w:rPr>
                <w:rFonts w:hint="eastAsia" w:cs="Times New Roman"/>
                <w:color w:val="000000" w:themeColor="text1"/>
                <w:lang w:val="en-US" w:eastAsia="zh-CN"/>
                <w14:textFill>
                  <w14:solidFill>
                    <w14:schemeClr w14:val="tx1"/>
                  </w14:solidFill>
                </w14:textFill>
              </w:rPr>
              <w:t>环境保护措施</w:t>
            </w:r>
          </w:p>
          <w:p w14:paraId="5FBD4FE3">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大气污染物</w:t>
            </w:r>
            <w:r>
              <w:rPr>
                <w:rFonts w:hint="eastAsia" w:cs="Times New Roman"/>
                <w:color w:val="000000" w:themeColor="text1"/>
                <w:lang w:val="en-US" w:eastAsia="zh-CN"/>
                <w14:textFill>
                  <w14:solidFill>
                    <w14:schemeClr w14:val="tx1"/>
                  </w14:solidFill>
                </w14:textFill>
              </w:rPr>
              <w:t>源于：①</w:t>
            </w:r>
            <w:r>
              <w:rPr>
                <w:rFonts w:hint="default" w:ascii="Times New Roman" w:hAnsi="Times New Roman" w:eastAsia="宋体" w:cs="Times New Roman"/>
                <w:color w:val="000000" w:themeColor="text1"/>
                <w:lang w:val="en-US" w:eastAsia="zh-CN"/>
                <w14:textFill>
                  <w14:solidFill>
                    <w14:schemeClr w14:val="tx1"/>
                  </w14:solidFill>
                </w14:textFill>
              </w:rPr>
              <w:t>设备安装完毕场地清理产生的</w:t>
            </w:r>
            <w:r>
              <w:rPr>
                <w:rFonts w:hint="default" w:ascii="Times New Roman" w:hAnsi="Times New Roman" w:eastAsia="宋体" w:cs="Times New Roman"/>
                <w:color w:val="000000" w:themeColor="text1"/>
                <w14:textFill>
                  <w14:solidFill>
                    <w14:schemeClr w14:val="tx1"/>
                  </w14:solidFill>
                </w14:textFill>
              </w:rPr>
              <w:t>扬尘</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②</w:t>
            </w:r>
            <w:r>
              <w:rPr>
                <w:rFonts w:hint="default" w:ascii="Times New Roman" w:hAnsi="Times New Roman" w:eastAsia="宋体" w:cs="Times New Roman"/>
                <w:color w:val="000000" w:themeColor="text1"/>
                <w:lang w:val="en-US" w:eastAsia="zh-CN"/>
                <w14:textFill>
                  <w14:solidFill>
                    <w14:schemeClr w14:val="tx1"/>
                  </w14:solidFill>
                </w14:textFill>
              </w:rPr>
              <w:t>设备运送</w:t>
            </w:r>
            <w:r>
              <w:rPr>
                <w:rFonts w:hint="default" w:ascii="Times New Roman" w:hAnsi="Times New Roman" w:eastAsia="宋体" w:cs="Times New Roman"/>
                <w:color w:val="000000" w:themeColor="text1"/>
                <w14:textFill>
                  <w14:solidFill>
                    <w14:schemeClr w14:val="tx1"/>
                  </w14:solidFill>
                </w14:textFill>
              </w:rPr>
              <w:t>车辆行驶产生扬尘污染。</w:t>
            </w:r>
          </w:p>
          <w:p w14:paraId="4BB4617D">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环境影响：①扬尘扩散至周边区域，降低空气能见度，影响周边</w:t>
            </w:r>
            <w:r>
              <w:rPr>
                <w:rFonts w:hint="eastAsia" w:cs="Times New Roman"/>
                <w:color w:val="000000" w:themeColor="text1"/>
                <w:lang w:val="en-US" w:eastAsia="zh-CN"/>
                <w14:textFill>
                  <w14:solidFill>
                    <w14:schemeClr w14:val="tx1"/>
                  </w14:solidFill>
                </w14:textFill>
              </w:rPr>
              <w:t>劳动人员</w:t>
            </w:r>
            <w:r>
              <w:rPr>
                <w:rFonts w:hint="default" w:ascii="Times New Roman" w:hAnsi="Times New Roman" w:eastAsia="宋体" w:cs="Times New Roman"/>
                <w:color w:val="000000" w:themeColor="text1"/>
                <w:lang w:val="en-US" w:eastAsia="zh-CN"/>
                <w14:textFill>
                  <w14:solidFill>
                    <w14:schemeClr w14:val="tx1"/>
                  </w14:solidFill>
                </w14:textFill>
              </w:rPr>
              <w:t>日常生活与出行视野；②细颗粒扬尘被人体吸入，易引发咳嗽、呼吸道不适等健康问题</w:t>
            </w:r>
            <w:r>
              <w:rPr>
                <w:rFonts w:hint="eastAsia" w:cs="Times New Roman"/>
                <w:color w:val="000000" w:themeColor="text1"/>
                <w:lang w:val="en-US" w:eastAsia="zh-CN"/>
                <w14:textFill>
                  <w14:solidFill>
                    <w14:schemeClr w14:val="tx1"/>
                  </w14:solidFill>
                </w14:textFill>
              </w:rPr>
              <w:t>。</w:t>
            </w:r>
          </w:p>
          <w:p w14:paraId="04BD4561">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环保措施：为使施工过程中产生的粉尘（扬尘）对周围环境空气的影响降低到最低程度，建议采取以下防护措施：</w:t>
            </w:r>
          </w:p>
          <w:p w14:paraId="3C646731">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（1）对施工场地内，经常洒水</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清扫</w:t>
            </w:r>
            <w:r>
              <w:rPr>
                <w:rFonts w:hint="default" w:ascii="Times New Roman" w:hAnsi="Times New Roman" w:eastAsia="宋体" w:cs="Times New Roman"/>
                <w:color w:val="000000" w:themeColor="text1"/>
                <w14:textFill>
                  <w14:solidFill>
                    <w14:schemeClr w14:val="tx1"/>
                  </w14:solidFill>
                </w14:textFill>
              </w:rPr>
              <w:t>防止扬尘；</w:t>
            </w:r>
          </w:p>
          <w:p w14:paraId="3591BADE">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）施工前对进厂车辆应限制车速</w:t>
            </w:r>
            <w:r>
              <w:rPr>
                <w:rFonts w:hint="default" w:ascii="Times New Roman" w:hAnsi="Times New Roman" w:eastAsia="宋体" w:cs="Times New Roman"/>
                <w:color w:val="000000" w:themeColor="text1"/>
                <w:lang w:eastAsia="zh-CN"/>
                <w14:textFill>
                  <w14:solidFill>
                    <w14:schemeClr w14:val="tx1"/>
                  </w14:solidFill>
                </w14:textFill>
              </w:rPr>
              <w:t>。</w:t>
            </w:r>
          </w:p>
          <w:p w14:paraId="52A21E14">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2 </w:t>
            </w:r>
            <w:r>
              <w:rPr>
                <w:rFonts w:hint="eastAsia" w:cs="Times New Roman"/>
                <w:color w:val="000000" w:themeColor="text1"/>
                <w:lang w:val="en-US" w:eastAsia="zh-CN"/>
                <w14:textFill>
                  <w14:solidFill>
                    <w14:schemeClr w14:val="tx1"/>
                  </w14:solidFill>
                </w14:textFill>
              </w:rPr>
              <w:t>施工期水环境保护措施</w:t>
            </w:r>
          </w:p>
          <w:p w14:paraId="526C7FF7">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水污染源</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施工人员的生活污水，水中主要污染物包括BOD</w:t>
            </w:r>
            <w:r>
              <w:rPr>
                <w:rFonts w:hint="default" w:ascii="Times New Roman" w:hAnsi="Times New Roman" w:eastAsia="宋体" w:cs="Times New Roman"/>
                <w:color w:val="000000" w:themeColor="text1"/>
                <w:vertAlign w:val="subscript"/>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、COD、SS等。</w:t>
            </w:r>
            <w:r>
              <w:rPr>
                <w:rFonts w:hint="default" w:ascii="Times New Roman" w:hAnsi="Times New Roman" w:eastAsia="宋体" w:cs="Times New Roman"/>
                <w:color w:val="000000" w:themeColor="text1"/>
                <w:lang w:val="en-US" w:eastAsia="zh-CN"/>
                <w14:textFill>
                  <w14:solidFill>
                    <w14:schemeClr w14:val="tx1"/>
                  </w14:solidFill>
                </w14:textFill>
              </w:rPr>
              <w:t>这些污染物若未经妥善处理，可能对周边水体环境造成不良影响。</w:t>
            </w:r>
          </w:p>
          <w:p w14:paraId="5FA61AFC">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环境影响：</w:t>
            </w:r>
            <w:r>
              <w:rPr>
                <w:rFonts w:hint="default" w:ascii="Times New Roman" w:hAnsi="Times New Roman" w:eastAsia="宋体" w:cs="Times New Roman"/>
                <w:color w:val="000000" w:themeColor="text1"/>
                <w:lang w:val="en-US" w:eastAsia="zh-CN"/>
                <w14:textFill>
                  <w14:solidFill>
                    <w14:schemeClr w14:val="tx1"/>
                  </w14:solidFill>
                </w14:textFill>
              </w:rPr>
              <w:t>若生活污水直接排放，其中的BOD5和COD会消耗水体中的溶解氧，导致水体缺氧，破坏水生生物的生存环境，影响水生生态系统的平衡；而SS会使水体浑浊，降低水体透明度，阻碍水生植物的光合作用，同时还可能在水体底部沉积，影响底栖生物的生存。</w:t>
            </w:r>
          </w:p>
          <w:p w14:paraId="0B9201E4">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环保措施：</w:t>
            </w:r>
            <w:r>
              <w:rPr>
                <w:rFonts w:hint="default" w:ascii="Times New Roman" w:hAnsi="Times New Roman" w:eastAsia="宋体" w:cs="Times New Roman"/>
                <w:color w:val="000000" w:themeColor="text1"/>
                <w:lang w:val="en-US" w:eastAsia="zh-CN"/>
                <w14:textFill>
                  <w14:solidFill>
                    <w14:schemeClr w14:val="tx1"/>
                  </w14:solidFill>
                </w14:textFill>
              </w:rPr>
              <w:t>施工期间产生的生活污水将直接排入厂区现有的生活污水处理设施，经处理达标后进行回用。这一措施不仅避免了污水直接排放对外部水体的污染，还实现了水资源的循环利用，符合节能环保的理念，能够有效控制水污染对环境的影响。</w:t>
            </w:r>
          </w:p>
          <w:p w14:paraId="6B5D3A36">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3 </w:t>
            </w:r>
            <w:r>
              <w:rPr>
                <w:rFonts w:hint="eastAsia" w:cs="Times New Roman"/>
                <w:color w:val="000000" w:themeColor="text1"/>
                <w:lang w:val="en-US" w:eastAsia="zh-CN"/>
                <w14:textFill>
                  <w14:solidFill>
                    <w14:schemeClr w14:val="tx1"/>
                  </w14:solidFill>
                </w14:textFill>
              </w:rPr>
              <w:t>施工期噪声环境保护措施</w:t>
            </w:r>
          </w:p>
          <w:p w14:paraId="63074A77">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噪声源于：</w:t>
            </w:r>
            <w:r>
              <w:rPr>
                <w:rFonts w:hint="default" w:ascii="Times New Roman" w:hAnsi="Times New Roman" w:eastAsia="宋体" w:cs="Times New Roman"/>
                <w:color w:val="000000" w:themeColor="text1"/>
                <w:lang w:val="en-US" w:eastAsia="zh-CN"/>
                <w14:textFill>
                  <w14:solidFill>
                    <w14:schemeClr w14:val="tx1"/>
                  </w14:solidFill>
                </w14:textFill>
              </w:rPr>
              <w:t>施工期间设备安装噪声和运输车辆产生的噪声。</w:t>
            </w:r>
          </w:p>
          <w:p w14:paraId="10D102F9">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环境影响：施工噪声若超出标准限值，会对周围工作人员产生严重干扰，</w:t>
            </w:r>
            <w:r>
              <w:rPr>
                <w:rFonts w:hint="default" w:ascii="Times New Roman" w:hAnsi="Times New Roman" w:eastAsia="宋体" w:cs="Times New Roman"/>
                <w:color w:val="000000" w:themeColor="text1"/>
                <w:lang w:val="en-US" w:eastAsia="zh-CN"/>
                <w14:textFill>
                  <w14:solidFill>
                    <w14:schemeClr w14:val="tx1"/>
                  </w14:solidFill>
                </w14:textFill>
              </w:rPr>
              <w:t>长期暴露在高噪声环境下还可能对</w:t>
            </w:r>
            <w:r>
              <w:rPr>
                <w:rFonts w:hint="eastAsia" w:cs="Times New Roman"/>
                <w:color w:val="000000" w:themeColor="text1"/>
                <w:lang w:val="en-US" w:eastAsia="zh-CN"/>
                <w14:textFill>
                  <w14:solidFill>
                    <w14:schemeClr w14:val="tx1"/>
                  </w14:solidFill>
                </w14:textFill>
              </w:rPr>
              <w:t>劳动人员</w:t>
            </w:r>
            <w:r>
              <w:rPr>
                <w:rFonts w:hint="default" w:ascii="Times New Roman" w:hAnsi="Times New Roman" w:eastAsia="宋体" w:cs="Times New Roman"/>
                <w:color w:val="000000" w:themeColor="text1"/>
                <w:lang w:val="en-US" w:eastAsia="zh-CN"/>
                <w14:textFill>
                  <w14:solidFill>
                    <w14:schemeClr w14:val="tx1"/>
                  </w14:solidFill>
                </w14:textFill>
              </w:rPr>
              <w:t>的身体健康产生不良影响，如引发听力下降、神经系统疾病等；</w:t>
            </w:r>
          </w:p>
          <w:p w14:paraId="7A4F2453">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环保措施：</w:t>
            </w:r>
            <w:r>
              <w:rPr>
                <w:rFonts w:hint="default" w:ascii="Times New Roman" w:hAnsi="Times New Roman" w:eastAsia="宋体" w:cs="Times New Roman"/>
                <w:color w:val="000000" w:themeColor="text1"/>
                <w14:textFill>
                  <w14:solidFill>
                    <w14:schemeClr w14:val="tx1"/>
                  </w14:solidFill>
                </w14:textFill>
              </w:rPr>
              <w:t>为减轻施工噪声的环境影响建议采取的措施如下：</w:t>
            </w:r>
          </w:p>
          <w:p w14:paraId="378034CA">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（1）制订施工计划时应避免同时使用大量高噪声设备施工；</w:t>
            </w:r>
          </w:p>
          <w:p w14:paraId="065EC61A">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（2）尽量将强噪声设备（如电锯等）安装在</w:t>
            </w:r>
            <w:r>
              <w:rPr>
                <w:rFonts w:hint="default" w:ascii="Times New Roman" w:hAnsi="Times New Roman" w:eastAsia="宋体" w:cs="Times New Roman"/>
                <w:color w:val="000000" w:themeColor="text1"/>
                <w:lang w:val="en-US" w:eastAsia="zh-CN"/>
                <w14:textFill>
                  <w14:solidFill>
                    <w14:schemeClr w14:val="tx1"/>
                  </w14:solidFill>
                </w14:textFill>
              </w:rPr>
              <w:t>室内操作</w:t>
            </w:r>
            <w:r>
              <w:rPr>
                <w:rFonts w:hint="default" w:ascii="Times New Roman" w:hAnsi="Times New Roman" w:eastAsia="宋体" w:cs="Times New Roman"/>
                <w:color w:val="000000" w:themeColor="text1"/>
                <w14:textFill>
                  <w14:solidFill>
                    <w14:schemeClr w14:val="tx1"/>
                  </w14:solidFill>
                </w14:textFill>
              </w:rPr>
              <w:t>；</w:t>
            </w:r>
          </w:p>
          <w:p w14:paraId="088E32CA">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（3）做好施工机械的维护和保养，有效降低机械设备运转的噪声源强；</w:t>
            </w:r>
          </w:p>
          <w:p w14:paraId="0E413360">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（4）合理安排强噪声施工机械的工作频次，合理调配车辆来往行车密度。</w:t>
            </w:r>
          </w:p>
          <w:p w14:paraId="693A84DE">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 固体废物</w:t>
            </w:r>
            <w:r>
              <w:rPr>
                <w:rFonts w:hint="eastAsia" w:cs="Times New Roman"/>
                <w:color w:val="000000" w:themeColor="text1"/>
                <w:lang w:val="en-US" w:eastAsia="zh-CN"/>
                <w14:textFill>
                  <w14:solidFill>
                    <w14:schemeClr w14:val="tx1"/>
                  </w14:solidFill>
                </w14:textFill>
              </w:rPr>
              <w:t>环境保护措施</w:t>
            </w:r>
          </w:p>
          <w:p w14:paraId="3DBFCE1E">
            <w:pPr>
              <w:pStyle w:val="25"/>
              <w:keepNext w:val="0"/>
              <w:keepLines w:val="0"/>
              <w:suppressLineNumbers w:val="0"/>
              <w:spacing w:before="0" w:beforeAutospacing="0" w:after="0" w:afterAutospacing="0"/>
              <w:ind w:left="0" w:right="0" w:firstLine="480"/>
              <w:jc w:val="both"/>
              <w:rPr>
                <w:rFonts w:hint="eastAsia" w:cs="Times New Roman"/>
                <w:color w:val="000000" w:themeColor="text1"/>
                <w:lang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固体废物源于：</w:t>
            </w:r>
            <w:r>
              <w:rPr>
                <w:rFonts w:hint="default" w:ascii="Times New Roman" w:hAnsi="Times New Roman" w:eastAsia="宋体" w:cs="Times New Roman"/>
                <w:color w:val="000000" w:themeColor="text1"/>
                <w14:textFill>
                  <w14:solidFill>
                    <w14:schemeClr w14:val="tx1"/>
                  </w14:solidFill>
                </w14:textFill>
              </w:rPr>
              <w:t>施工</w:t>
            </w:r>
            <w:r>
              <w:rPr>
                <w:rFonts w:hint="default" w:ascii="Times New Roman" w:hAnsi="Times New Roman" w:eastAsia="宋体" w:cs="Times New Roman"/>
                <w:color w:val="000000" w:themeColor="text1"/>
                <w:lang w:eastAsia="zh-CN"/>
                <w14:textFill>
                  <w14:solidFill>
                    <w14:schemeClr w14:val="tx1"/>
                  </w14:solidFill>
                </w14:textFill>
              </w:rPr>
              <w:t>期间</w:t>
            </w:r>
            <w:r>
              <w:rPr>
                <w:rFonts w:hint="default" w:ascii="Times New Roman" w:hAnsi="Times New Roman" w:eastAsia="宋体" w:cs="Times New Roman"/>
                <w:color w:val="000000" w:themeColor="text1"/>
                <w14:textFill>
                  <w14:solidFill>
                    <w14:schemeClr w14:val="tx1"/>
                  </w14:solidFill>
                </w14:textFill>
              </w:rPr>
              <w:t>施工人员的生活垃圾</w:t>
            </w:r>
            <w:r>
              <w:rPr>
                <w:rFonts w:hint="default" w:ascii="Times New Roman" w:hAnsi="Times New Roman" w:eastAsia="宋体" w:cs="Times New Roman"/>
                <w:color w:val="000000" w:themeColor="text1"/>
                <w:lang w:val="en-US" w:eastAsia="zh-CN"/>
                <w14:textFill>
                  <w14:solidFill>
                    <w14:schemeClr w14:val="tx1"/>
                  </w14:solidFill>
                </w14:textFill>
              </w:rPr>
              <w:t>及包装材料</w:t>
            </w:r>
            <w:r>
              <w:rPr>
                <w:rFonts w:hint="eastAsia" w:cs="Times New Roman"/>
                <w:color w:val="000000" w:themeColor="text1"/>
                <w:lang w:eastAsia="zh-CN"/>
                <w14:textFill>
                  <w14:solidFill>
                    <w14:schemeClr w14:val="tx1"/>
                  </w14:solidFill>
                </w14:textFill>
              </w:rPr>
              <w:t>。</w:t>
            </w:r>
          </w:p>
          <w:p w14:paraId="4F4EF367">
            <w:pPr>
              <w:pStyle w:val="25"/>
              <w:keepNext w:val="0"/>
              <w:keepLines w:val="0"/>
              <w:suppressLineNumbers w:val="0"/>
              <w:spacing w:before="0" w:beforeAutospacing="0" w:after="0" w:afterAutospacing="0"/>
              <w:ind w:left="0" w:right="0" w:firstLine="480"/>
              <w:jc w:val="both"/>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境影响：生活垃圾若随意堆放，容易滋生细菌、蚊虫等，传播疾病，污染土壤和地下水；包装材料中的塑料等难降解物质，长期堆积在环境中，会造成白色污染，破坏土壤结构，影响植物生长，同时也会对生态环境的美观度造成影响。</w:t>
            </w:r>
          </w:p>
          <w:p w14:paraId="106EECA1">
            <w:pPr>
              <w:pStyle w:val="25"/>
              <w:keepNext w:val="0"/>
              <w:keepLines w:val="0"/>
              <w:suppressLineNumbers w:val="0"/>
              <w:spacing w:before="0" w:beforeAutospacing="0" w:after="0" w:afterAutospacing="0"/>
              <w:ind w:left="0" w:right="0" w:firstLine="480"/>
              <w:jc w:val="both"/>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环保措施：</w:t>
            </w:r>
            <w:r>
              <w:rPr>
                <w:rFonts w:hint="default" w:ascii="Times New Roman" w:hAnsi="Times New Roman" w:eastAsia="宋体" w:cs="Times New Roman"/>
                <w:color w:val="000000" w:themeColor="text1"/>
                <w:lang w:val="en-US" w:eastAsia="zh-CN"/>
                <w14:textFill>
                  <w14:solidFill>
                    <w14:schemeClr w14:val="tx1"/>
                  </w14:solidFill>
                </w14:textFill>
              </w:rPr>
              <w:t>施工期间依托现有项目生活区，对产生的生活垃圾和包装材料进行定期收集、清理和转运。安排专门的人员和设备，按照规定的时间和频率对固体废物进行收集，确保施工场地及周边环境的整洁；收集后的固体废物将由专业的运输单位转运至指定的处置场所进行处理</w:t>
            </w:r>
            <w:r>
              <w:rPr>
                <w:rFonts w:hint="eastAsia" w:cs="Times New Roman"/>
                <w:color w:val="000000" w:themeColor="text1"/>
                <w:lang w:val="en-US" w:eastAsia="zh-CN"/>
                <w14:textFill>
                  <w14:solidFill>
                    <w14:schemeClr w14:val="tx1"/>
                  </w14:solidFill>
                </w14:textFill>
              </w:rPr>
              <w:t>。</w:t>
            </w:r>
          </w:p>
        </w:tc>
      </w:tr>
      <w:tr w14:paraId="42110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tcBorders>
              <w:tl2br w:val="nil"/>
              <w:tr2bl w:val="nil"/>
            </w:tcBorders>
            <w:vAlign w:val="center"/>
          </w:tcPr>
          <w:p w14:paraId="5A5C9BF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运营</w:t>
            </w:r>
          </w:p>
          <w:p w14:paraId="2B628A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期环</w:t>
            </w:r>
          </w:p>
          <w:p w14:paraId="4DDA684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境影</w:t>
            </w:r>
          </w:p>
          <w:p w14:paraId="121CF97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响和</w:t>
            </w:r>
          </w:p>
          <w:p w14:paraId="0F8C6E9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保护</w:t>
            </w:r>
          </w:p>
          <w:p w14:paraId="52E88A2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措施</w:t>
            </w:r>
          </w:p>
        </w:tc>
        <w:tc>
          <w:tcPr>
            <w:tcW w:w="7981" w:type="dxa"/>
            <w:tcBorders>
              <w:tl2br w:val="nil"/>
              <w:tr2bl w:val="nil"/>
            </w:tcBorders>
            <w:vAlign w:val="center"/>
          </w:tcPr>
          <w:p w14:paraId="1F3E4526">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 废气环境影响和保护措施</w:t>
            </w:r>
          </w:p>
          <w:p w14:paraId="0BC46774">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1.1 废气源强分析</w:t>
            </w:r>
          </w:p>
          <w:p w14:paraId="00ABE824">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本项目主要为</w:t>
            </w:r>
            <w:r>
              <w:rPr>
                <w:rFonts w:hint="default" w:ascii="Times New Roman" w:hAnsi="Times New Roman" w:eastAsia="宋体" w:cs="Times New Roman"/>
                <w:b w:val="0"/>
                <w:bCs/>
                <w:color w:val="000000" w:themeColor="text1"/>
                <w14:textFill>
                  <w14:solidFill>
                    <w14:schemeClr w14:val="tx1"/>
                  </w14:solidFill>
                </w14:textFill>
              </w:rPr>
              <w:t>新兴铸管阜康能源有限公司</w:t>
            </w:r>
            <w:r>
              <w:rPr>
                <w:rFonts w:hint="default" w:ascii="Times New Roman" w:hAnsi="Times New Roman" w:eastAsia="宋体" w:cs="Times New Roman"/>
                <w:color w:val="000000" w:themeColor="text1"/>
                <w:lang w:val="en-US" w:eastAsia="zh-CN"/>
                <w14:textFill>
                  <w14:solidFill>
                    <w14:schemeClr w14:val="tx1"/>
                  </w14:solidFill>
                </w14:textFill>
              </w:rPr>
              <w:t>铸管车间供暖工程，本项目建设1台4t/h的燃气热水锅炉及配套设施，天然气燃烧产生的烟气通过1根22米高排气筒高空排放。锅炉运行期间废气主要来自燃气锅炉燃烧所排放的烟气，燃气锅炉燃料为天然气，天然气属于清洁能源，具有热值高、燃烧完全、排放污染物低等特点。经核算，项目锅炉年用气量约为76.8万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/a。锅炉产生的燃烧废气主要污染物为：颗粒物、SO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、NOx</w:t>
            </w:r>
            <w:r>
              <w:rPr>
                <w:rFonts w:hint="eastAsia"/>
                <w:lang w:eastAsia="zh-CN"/>
              </w:rPr>
              <w:t>、</w:t>
            </w:r>
            <w:r>
              <w:rPr>
                <w:rFonts w:hint="eastAsia"/>
                <w:lang w:val="en-US" w:eastAsia="zh-CN"/>
              </w:rPr>
              <w:t>林格曼黑度</w:t>
            </w:r>
            <w:r>
              <w:rPr>
                <w:rFonts w:hint="default" w:ascii="Times New Roman" w:hAnsi="Times New Roman" w:eastAsia="宋体" w:cs="Times New Roman"/>
                <w:color w:val="000000" w:themeColor="text1"/>
                <w:lang w:val="en-US" w:eastAsia="zh-CN"/>
                <w14:textFill>
                  <w14:solidFill>
                    <w14:schemeClr w14:val="tx1"/>
                  </w14:solidFill>
                </w14:textFill>
              </w:rPr>
              <w:t>。</w:t>
            </w:r>
          </w:p>
          <w:p w14:paraId="56B648CC">
            <w:pPr>
              <w:pStyle w:val="25"/>
              <w:keepNext w:val="0"/>
              <w:keepLines w:val="0"/>
              <w:numPr>
                <w:ilvl w:val="0"/>
                <w:numId w:val="0"/>
              </w:numPr>
              <w:suppressLineNumbers w:val="0"/>
              <w:spacing w:before="0" w:beforeAutospacing="0" w:after="0" w:afterAutospacing="0"/>
              <w:ind w:left="0" w:right="0" w:firstLine="480" w:firstLineChars="20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基准烟气量</w:t>
            </w:r>
          </w:p>
          <w:p w14:paraId="776BAABE">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本项目运营期燃气锅炉天然气用量为76.8</w:t>
            </w:r>
            <w:r>
              <w:rPr>
                <w:rFonts w:hint="default" w:ascii="Times New Roman" w:hAnsi="Times New Roman" w:eastAsia="宋体" w:cs="Times New Roman"/>
                <w:color w:val="000000" w:themeColor="text1"/>
                <w:lang w:val="en-US" w:eastAsia="zh-CN"/>
                <w14:textFill>
                  <w14:solidFill>
                    <w14:schemeClr w14:val="tx1"/>
                  </w14:solidFill>
                </w14:textFill>
              </w:rPr>
              <w:t>万m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/a</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燃气烟气量参照《排放源统计调查产排污核算方法和系数手册-4430工业锅炉（热力生产和供应行业）行业系数手册》（2021.6.9）“4430工业锅炉（热力生产和供应业）产污系数表－燃气工业锅炉”中天然气锅炉产污系数，燃气锅炉废气量系数107753立方米/万立方米－原料。</w:t>
            </w:r>
          </w:p>
          <w:p w14:paraId="3978DC6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锅炉烟气量=</w:t>
            </w:r>
            <w:r>
              <w:rPr>
                <w:rFonts w:hint="default" w:ascii="Times New Roman" w:hAnsi="Times New Roman" w:eastAsia="宋体" w:cs="Times New Roman"/>
                <w:b w:val="0"/>
                <w:color w:val="auto"/>
                <w:kern w:val="2"/>
                <w:sz w:val="24"/>
                <w:szCs w:val="21"/>
                <w:lang w:val="en-US" w:eastAsia="zh-CN" w:bidi="ar-SA"/>
              </w:rPr>
              <w:t>76.8</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×107753=8275430.4m</w:t>
            </w:r>
            <w:r>
              <w:rPr>
                <w:rFonts w:hint="default" w:ascii="Times New Roman" w:hAnsi="Times New Roman" w:eastAsia="宋体" w:cs="Times New Roman"/>
                <w:b w:val="0"/>
                <w:color w:val="000000" w:themeColor="text1"/>
                <w:kern w:val="2"/>
                <w:sz w:val="24"/>
                <w:szCs w:val="21"/>
                <w:vertAlign w:val="superscript"/>
                <w:lang w:val="en-US" w:eastAsia="zh-CN" w:bidi="ar-SA"/>
                <w14:textFill>
                  <w14:solidFill>
                    <w14:schemeClr w14:val="tx1"/>
                  </w14:solidFill>
                </w14:textFill>
              </w:rPr>
              <w:t>3</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/a。</w:t>
            </w:r>
          </w:p>
          <w:p w14:paraId="7F709E14">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（2）SO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排放量</w:t>
            </w:r>
          </w:p>
          <w:p w14:paraId="0CF1839B">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SO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排放量参照《排放源统计调查产排污核算方法和系数手册-4430工业锅炉（热力生产和供应行业）行业系数手册》（2021.6.9）“4430工业锅炉（热力生产和供应业）产污系数表－燃气工业锅炉”中天然气锅炉产污系数，燃气锅炉</w:t>
            </w:r>
            <w:r>
              <w:rPr>
                <w:rFonts w:hint="default" w:ascii="Times New Roman" w:hAnsi="Times New Roman" w:eastAsia="宋体" w:cs="Times New Roman"/>
                <w:color w:val="000000" w:themeColor="text1"/>
                <w14:textFill>
                  <w14:solidFill>
                    <w14:schemeClr w14:val="tx1"/>
                  </w14:solidFill>
                </w14:textFill>
              </w:rPr>
              <w:t>SO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排放量系数0.02S千克/万立方米－原料，本项目天然气含硫量为</w:t>
            </w:r>
            <w:r>
              <w:rPr>
                <w:rFonts w:hint="default" w:ascii="Times New Roman" w:hAnsi="Times New Roman" w:eastAsia="宋体" w:cs="Times New Roman"/>
                <w:b w:val="0"/>
                <w:color w:val="auto"/>
                <w:kern w:val="2"/>
                <w:sz w:val="24"/>
                <w:szCs w:val="21"/>
                <w:lang w:val="en-US" w:eastAsia="zh-CN" w:bidi="ar-SA"/>
              </w:rPr>
              <w:t>1.6</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mg/m</w:t>
            </w:r>
            <w:r>
              <w:rPr>
                <w:rFonts w:hint="default" w:ascii="Times New Roman" w:hAnsi="Times New Roman" w:eastAsia="宋体" w:cs="Times New Roman"/>
                <w:b w:val="0"/>
                <w:color w:val="000000" w:themeColor="text1"/>
                <w:kern w:val="2"/>
                <w:sz w:val="24"/>
                <w:szCs w:val="21"/>
                <w:vertAlign w:val="superscript"/>
                <w:lang w:val="en-US" w:eastAsia="zh-CN" w:bidi="ar-SA"/>
                <w14:textFill>
                  <w14:solidFill>
                    <w14:schemeClr w14:val="tx1"/>
                  </w14:solidFill>
                </w14:textFill>
              </w:rPr>
              <w:t>3</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，因此燃气锅炉</w:t>
            </w:r>
            <w:r>
              <w:rPr>
                <w:rFonts w:hint="default" w:ascii="Times New Roman" w:hAnsi="Times New Roman" w:eastAsia="宋体" w:cs="Times New Roman"/>
                <w:color w:val="000000" w:themeColor="text1"/>
                <w14:textFill>
                  <w14:solidFill>
                    <w14:schemeClr w14:val="tx1"/>
                  </w14:solidFill>
                </w14:textFill>
              </w:rPr>
              <w:t>SO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排放量系数0.032千克/万立方米－原料。</w:t>
            </w:r>
          </w:p>
          <w:p w14:paraId="1B69DF54">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w:t>
            </w:r>
            <w:r>
              <w:rPr>
                <w:rFonts w:hint="default" w:ascii="Times New Roman" w:hAnsi="Times New Roman" w:eastAsia="宋体" w:cs="Times New Roman"/>
                <w:b w:val="0"/>
                <w:color w:val="000000" w:themeColor="text1"/>
                <w:kern w:val="2"/>
                <w:sz w:val="24"/>
                <w:szCs w:val="21"/>
                <w:lang w:val="en-US" w:eastAsia="zh-CN" w:bidi="ar-SA"/>
                <w14:textFill>
                  <w14:solidFill>
                    <w14:schemeClr w14:val="tx1"/>
                  </w14:solidFill>
                </w14:textFill>
              </w:rPr>
              <w:t>《排放源统计调查产排污核算方法和系数手册-4430工业锅炉（热力生产和供应行业）行业系数手册》核算得知：燃气</w:t>
            </w:r>
            <w:r>
              <w:rPr>
                <w:rFonts w:hint="default" w:ascii="Times New Roman" w:hAnsi="Times New Roman" w:eastAsia="宋体" w:cs="Times New Roman"/>
                <w:color w:val="000000" w:themeColor="text1"/>
                <w14:textFill>
                  <w14:solidFill>
                    <w14:schemeClr w14:val="tx1"/>
                  </w14:solidFill>
                </w14:textFill>
              </w:rPr>
              <w:t>锅炉SO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的</w:t>
            </w:r>
            <w:r>
              <w:rPr>
                <w:rFonts w:hint="default" w:ascii="Times New Roman" w:hAnsi="Times New Roman" w:eastAsia="宋体" w:cs="Times New Roman"/>
                <w:color w:val="000000" w:themeColor="text1"/>
                <w:lang w:val="en-US" w:eastAsia="zh-CN"/>
                <w14:textFill>
                  <w14:solidFill>
                    <w14:schemeClr w14:val="tx1"/>
                  </w14:solidFill>
                </w14:textFill>
              </w:rPr>
              <w:t>排放</w:t>
            </w:r>
            <w:r>
              <w:rPr>
                <w:rFonts w:hint="default" w:ascii="Times New Roman" w:hAnsi="Times New Roman" w:eastAsia="宋体" w:cs="Times New Roman"/>
                <w:color w:val="000000" w:themeColor="text1"/>
                <w14:textFill>
                  <w14:solidFill>
                    <w14:schemeClr w14:val="tx1"/>
                  </w14:solidFill>
                </w14:textFill>
              </w:rPr>
              <w:t>量为</w:t>
            </w:r>
            <w:r>
              <w:rPr>
                <w:rFonts w:hint="default" w:ascii="Times New Roman" w:hAnsi="Times New Roman" w:eastAsia="宋体" w:cs="Times New Roman"/>
                <w:color w:val="auto"/>
                <w:lang w:val="en-US" w:eastAsia="zh-CN"/>
              </w:rPr>
              <w:t>0.002</w:t>
            </w:r>
            <w:r>
              <w:rPr>
                <w:rFonts w:hint="default" w:ascii="Times New Roman" w:hAnsi="Times New Roman" w:eastAsia="宋体" w:cs="Times New Roman"/>
                <w:color w:val="000000" w:themeColor="text1"/>
                <w14:textFill>
                  <w14:solidFill>
                    <w14:schemeClr w14:val="tx1"/>
                  </w14:solidFill>
                </w14:textFill>
              </w:rPr>
              <w:t>t/a，</w:t>
            </w:r>
            <w:r>
              <w:rPr>
                <w:rFonts w:hint="default" w:ascii="Times New Roman" w:hAnsi="Times New Roman" w:eastAsia="宋体" w:cs="Times New Roman"/>
                <w:color w:val="000000" w:themeColor="text1"/>
                <w:lang w:val="en-US" w:eastAsia="zh-CN"/>
                <w14:textFill>
                  <w14:solidFill>
                    <w14:schemeClr w14:val="tx1"/>
                  </w14:solidFill>
                </w14:textFill>
              </w:rPr>
              <w:t>排放</w:t>
            </w:r>
            <w:r>
              <w:rPr>
                <w:rFonts w:hint="default" w:ascii="Times New Roman" w:hAnsi="Times New Roman" w:eastAsia="宋体" w:cs="Times New Roman"/>
                <w:color w:val="000000" w:themeColor="text1"/>
                <w14:textFill>
                  <w14:solidFill>
                    <w14:schemeClr w14:val="tx1"/>
                  </w14:solidFill>
                </w14:textFill>
              </w:rPr>
              <w:t>速率为</w:t>
            </w:r>
            <w:r>
              <w:rPr>
                <w:rFonts w:hint="default" w:ascii="Times New Roman" w:hAnsi="Times New Roman" w:eastAsia="宋体" w:cs="Times New Roman"/>
                <w:color w:val="000000" w:themeColor="text1"/>
                <w:lang w:val="en-US" w:eastAsia="zh-CN"/>
                <w14:textFill>
                  <w14:solidFill>
                    <w14:schemeClr w14:val="tx1"/>
                  </w14:solidFill>
                </w14:textFill>
              </w:rPr>
              <w:t>0.00083</w:t>
            </w:r>
            <w:r>
              <w:rPr>
                <w:rFonts w:hint="default" w:ascii="Times New Roman" w:hAnsi="Times New Roman" w:eastAsia="宋体" w:cs="Times New Roman"/>
                <w:color w:val="000000" w:themeColor="text1"/>
                <w14:textFill>
                  <w14:solidFill>
                    <w14:schemeClr w14:val="tx1"/>
                  </w14:solidFill>
                </w14:textFill>
              </w:rPr>
              <w:t>kg/h，</w:t>
            </w:r>
            <w:r>
              <w:rPr>
                <w:rFonts w:hint="default" w:ascii="Times New Roman" w:hAnsi="Times New Roman" w:eastAsia="宋体" w:cs="Times New Roman"/>
                <w:color w:val="000000" w:themeColor="text1"/>
                <w:lang w:val="en-US" w:eastAsia="zh-CN"/>
                <w14:textFill>
                  <w14:solidFill>
                    <w14:schemeClr w14:val="tx1"/>
                  </w14:solidFill>
                </w14:textFill>
              </w:rPr>
              <w:t>排放</w:t>
            </w:r>
            <w:r>
              <w:rPr>
                <w:rFonts w:hint="default" w:ascii="Times New Roman" w:hAnsi="Times New Roman" w:eastAsia="宋体" w:cs="Times New Roman"/>
                <w:color w:val="000000" w:themeColor="text1"/>
                <w14:textFill>
                  <w14:solidFill>
                    <w14:schemeClr w14:val="tx1"/>
                  </w14:solidFill>
                </w14:textFill>
              </w:rPr>
              <w:t>浓度为</w:t>
            </w:r>
            <w:r>
              <w:rPr>
                <w:rFonts w:hint="default" w:ascii="Times New Roman" w:hAnsi="Times New Roman" w:eastAsia="宋体" w:cs="Times New Roman"/>
                <w:color w:val="000000" w:themeColor="text1"/>
                <w:lang w:val="en-US" w:eastAsia="zh-CN"/>
                <w14:textFill>
                  <w14:solidFill>
                    <w14:schemeClr w14:val="tx1"/>
                  </w14:solidFill>
                </w14:textFill>
              </w:rPr>
              <w:t>0.24</w:t>
            </w:r>
            <w:r>
              <w:rPr>
                <w:rFonts w:hint="default" w:ascii="Times New Roman" w:hAnsi="Times New Roman" w:eastAsia="宋体" w:cs="Times New Roman"/>
                <w:color w:val="000000" w:themeColor="text1"/>
                <w14:textFill>
                  <w14:solidFill>
                    <w14:schemeClr w14:val="tx1"/>
                  </w14:solidFill>
                </w14:textFill>
              </w:rPr>
              <w:t>mg/m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w:t>
            </w:r>
          </w:p>
          <w:p w14:paraId="5FCBA277">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（3）NOx排放量</w:t>
            </w:r>
          </w:p>
          <w:p w14:paraId="5B67E41E">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NOx</w:t>
            </w:r>
            <w:r>
              <w:rPr>
                <w:rFonts w:hint="default" w:ascii="Times New Roman" w:hAnsi="Times New Roman" w:eastAsia="宋体" w:cs="Times New Roman"/>
                <w:b w:val="0"/>
                <w:color w:val="auto"/>
                <w:kern w:val="2"/>
                <w:sz w:val="24"/>
                <w:szCs w:val="21"/>
                <w:lang w:val="en-US" w:eastAsia="zh-CN" w:bidi="ar-SA"/>
              </w:rPr>
              <w:t>排放量参照《排放源统计调查产排污核算方法和系数手册-4430工业锅炉（热力生产和供应行业）行业系数手册》（2021.6.9）“4430工业锅炉（热力生产和供应业）产污系数表－燃气工业锅炉”中天然气锅炉产污系数，燃气锅炉NOx排放量系数3.03（低氮燃烧-国际领先）千克/万立方米－原料。</w:t>
            </w:r>
          </w:p>
          <w:p w14:paraId="4527E29F">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lang w:val="en-US" w:eastAsia="zh-CN"/>
              </w:rPr>
              <w:t>根据</w:t>
            </w:r>
            <w:r>
              <w:rPr>
                <w:rFonts w:hint="default" w:ascii="Times New Roman" w:hAnsi="Times New Roman" w:eastAsia="宋体" w:cs="Times New Roman"/>
                <w:b w:val="0"/>
                <w:color w:val="auto"/>
                <w:kern w:val="2"/>
                <w:sz w:val="24"/>
                <w:szCs w:val="21"/>
                <w:lang w:val="en-US" w:eastAsia="zh-CN" w:bidi="ar-SA"/>
              </w:rPr>
              <w:t>《排放源统计调查产排污核算方法和系数手册-4430工业锅炉（热力生产和供应行业）行业系数手册》核算得知：</w:t>
            </w:r>
            <w:r>
              <w:rPr>
                <w:rFonts w:hint="default" w:ascii="Times New Roman" w:hAnsi="Times New Roman" w:eastAsia="宋体" w:cs="Times New Roman"/>
                <w:b w:val="0"/>
                <w:color w:val="auto"/>
                <w:kern w:val="2"/>
                <w:sz w:val="24"/>
                <w:szCs w:val="21"/>
                <w:highlight w:val="none"/>
                <w:lang w:val="en-US" w:eastAsia="zh-CN" w:bidi="ar-SA"/>
              </w:rPr>
              <w:t>燃气</w:t>
            </w:r>
            <w:r>
              <w:rPr>
                <w:rFonts w:hint="default" w:ascii="Times New Roman" w:hAnsi="Times New Roman" w:eastAsia="宋体" w:cs="Times New Roman"/>
                <w:color w:val="auto"/>
                <w:highlight w:val="none"/>
              </w:rPr>
              <w:t>锅炉</w:t>
            </w:r>
            <w:r>
              <w:rPr>
                <w:rFonts w:hint="default" w:ascii="Times New Roman" w:hAnsi="Times New Roman" w:eastAsia="宋体" w:cs="Times New Roman"/>
                <w:color w:val="auto"/>
                <w:highlight w:val="none"/>
                <w:lang w:val="en-US" w:eastAsia="zh-CN"/>
              </w:rPr>
              <w:t>NOx</w:t>
            </w:r>
            <w:r>
              <w:rPr>
                <w:rFonts w:hint="default" w:ascii="Times New Roman" w:hAnsi="Times New Roman" w:eastAsia="宋体" w:cs="Times New Roman"/>
                <w:color w:val="auto"/>
                <w:highlight w:val="none"/>
              </w:rPr>
              <w:t>的</w:t>
            </w:r>
            <w:r>
              <w:rPr>
                <w:rFonts w:hint="default" w:ascii="Times New Roman" w:hAnsi="Times New Roman" w:eastAsia="宋体" w:cs="Times New Roman"/>
                <w:color w:val="auto"/>
                <w:highlight w:val="none"/>
                <w:lang w:val="en-US" w:eastAsia="zh-CN"/>
              </w:rPr>
              <w:t>排放</w:t>
            </w:r>
            <w:r>
              <w:rPr>
                <w:rFonts w:hint="default" w:ascii="Times New Roman" w:hAnsi="Times New Roman" w:eastAsia="宋体" w:cs="Times New Roman"/>
                <w:color w:val="auto"/>
                <w:highlight w:val="none"/>
              </w:rPr>
              <w:t>量为</w:t>
            </w:r>
            <w:r>
              <w:rPr>
                <w:rFonts w:hint="default" w:ascii="Times New Roman" w:hAnsi="Times New Roman" w:eastAsia="宋体" w:cs="Times New Roman"/>
                <w:color w:val="auto"/>
                <w:highlight w:val="none"/>
                <w:lang w:val="en-US" w:eastAsia="zh-CN"/>
              </w:rPr>
              <w:t>0.233</w:t>
            </w:r>
            <w:r>
              <w:rPr>
                <w:rFonts w:hint="default" w:ascii="Times New Roman" w:hAnsi="Times New Roman" w:eastAsia="宋体" w:cs="Times New Roman"/>
                <w:color w:val="auto"/>
                <w:highlight w:val="none"/>
              </w:rPr>
              <w:t>t/a，</w:t>
            </w:r>
            <w:r>
              <w:rPr>
                <w:rFonts w:hint="default" w:ascii="Times New Roman" w:hAnsi="Times New Roman" w:eastAsia="宋体" w:cs="Times New Roman"/>
                <w:color w:val="auto"/>
                <w:highlight w:val="none"/>
                <w:lang w:val="en-US" w:eastAsia="zh-CN"/>
              </w:rPr>
              <w:t>排放</w:t>
            </w:r>
            <w:r>
              <w:rPr>
                <w:rFonts w:hint="default" w:ascii="Times New Roman" w:hAnsi="Times New Roman" w:eastAsia="宋体" w:cs="Times New Roman"/>
                <w:color w:val="auto"/>
                <w:highlight w:val="none"/>
              </w:rPr>
              <w:t>速率为</w:t>
            </w:r>
            <w:r>
              <w:rPr>
                <w:rFonts w:hint="default" w:ascii="Times New Roman" w:hAnsi="Times New Roman" w:eastAsia="宋体" w:cs="Times New Roman"/>
                <w:color w:val="auto"/>
                <w:highlight w:val="none"/>
                <w:lang w:val="en-US" w:eastAsia="zh-CN"/>
              </w:rPr>
              <w:t>0.097</w:t>
            </w:r>
            <w:r>
              <w:rPr>
                <w:rFonts w:hint="default" w:ascii="Times New Roman" w:hAnsi="Times New Roman" w:eastAsia="宋体" w:cs="Times New Roman"/>
                <w:color w:val="auto"/>
                <w:highlight w:val="none"/>
              </w:rPr>
              <w:t>kg/h，</w:t>
            </w:r>
            <w:r>
              <w:rPr>
                <w:rFonts w:hint="default" w:ascii="Times New Roman" w:hAnsi="Times New Roman" w:eastAsia="宋体" w:cs="Times New Roman"/>
                <w:color w:val="auto"/>
                <w:highlight w:val="none"/>
                <w:lang w:val="en-US" w:eastAsia="zh-CN"/>
              </w:rPr>
              <w:t>排放</w:t>
            </w:r>
            <w:r>
              <w:rPr>
                <w:rFonts w:hint="default" w:ascii="Times New Roman" w:hAnsi="Times New Roman" w:eastAsia="宋体" w:cs="Times New Roman"/>
                <w:color w:val="auto"/>
                <w:highlight w:val="none"/>
              </w:rPr>
              <w:t>浓度为</w:t>
            </w:r>
            <w:r>
              <w:rPr>
                <w:rFonts w:hint="default" w:ascii="Times New Roman" w:hAnsi="Times New Roman" w:eastAsia="宋体" w:cs="Times New Roman"/>
                <w:color w:val="auto"/>
                <w:highlight w:val="none"/>
                <w:lang w:val="en-US" w:eastAsia="zh-CN"/>
              </w:rPr>
              <w:t>28.2</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w:t>
            </w:r>
          </w:p>
          <w:p w14:paraId="70A7D97E">
            <w:pPr>
              <w:pStyle w:val="25"/>
              <w:keepNext w:val="0"/>
              <w:keepLines w:val="0"/>
              <w:widowControl w:val="0"/>
              <w:numPr>
                <w:ilvl w:val="0"/>
                <w:numId w:val="0"/>
              </w:numPr>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lang w:val="en-US" w:eastAsia="zh-CN"/>
                <w14:textFill>
                  <w14:solidFill>
                    <w14:schemeClr w14:val="tx1"/>
                  </w14:solidFill>
                </w14:textFill>
              </w:rPr>
              <w:t>颗粒物排放量</w:t>
            </w:r>
          </w:p>
          <w:p w14:paraId="429EF0DD">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颗粒物产污系数依据《环境影响评价工程师职业资格登记培训教材 社会区域类》中天然气燃烧烟尘产生系数为1.4kg/万m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天然气，细颗粒物排放量为0.108t/a，排放速率</w:t>
            </w:r>
            <w:r>
              <w:rPr>
                <w:rFonts w:hint="default" w:ascii="Times New Roman" w:hAnsi="Times New Roman" w:eastAsia="宋体" w:cs="Times New Roman"/>
                <w:color w:val="000000" w:themeColor="text1"/>
                <w14:textFill>
                  <w14:solidFill>
                    <w14:schemeClr w14:val="tx1"/>
                  </w14:solidFill>
                </w14:textFill>
              </w:rPr>
              <w:t>为0.</w:t>
            </w:r>
            <w:r>
              <w:rPr>
                <w:rFonts w:hint="default" w:ascii="Times New Roman" w:hAnsi="Times New Roman" w:eastAsia="宋体" w:cs="Times New Roman"/>
                <w:color w:val="000000" w:themeColor="text1"/>
                <w:lang w:val="en-US" w:eastAsia="zh-CN"/>
                <w14:textFill>
                  <w14:solidFill>
                    <w14:schemeClr w14:val="tx1"/>
                  </w14:solidFill>
                </w14:textFill>
              </w:rPr>
              <w:t>045</w:t>
            </w:r>
            <w:r>
              <w:rPr>
                <w:rFonts w:hint="default" w:ascii="Times New Roman" w:hAnsi="Times New Roman" w:eastAsia="宋体" w:cs="Times New Roman"/>
                <w:color w:val="000000" w:themeColor="text1"/>
                <w14:textFill>
                  <w14:solidFill>
                    <w14:schemeClr w14:val="tx1"/>
                  </w14:solidFill>
                </w14:textFill>
              </w:rPr>
              <w:t>kg/h，</w:t>
            </w:r>
            <w:r>
              <w:rPr>
                <w:rFonts w:hint="default" w:ascii="Times New Roman" w:hAnsi="Times New Roman" w:eastAsia="宋体" w:cs="Times New Roman"/>
                <w:color w:val="000000" w:themeColor="text1"/>
                <w:lang w:val="en-US" w:eastAsia="zh-CN"/>
                <w14:textFill>
                  <w14:solidFill>
                    <w14:schemeClr w14:val="tx1"/>
                  </w14:solidFill>
                </w14:textFill>
              </w:rPr>
              <w:t>排放</w:t>
            </w:r>
            <w:r>
              <w:rPr>
                <w:rFonts w:hint="default" w:ascii="Times New Roman" w:hAnsi="Times New Roman" w:eastAsia="宋体" w:cs="Times New Roman"/>
                <w:color w:val="000000" w:themeColor="text1"/>
                <w14:textFill>
                  <w14:solidFill>
                    <w14:schemeClr w14:val="tx1"/>
                  </w14:solidFill>
                </w14:textFill>
              </w:rPr>
              <w:t>浓度为</w:t>
            </w:r>
            <w:r>
              <w:rPr>
                <w:rFonts w:hint="default" w:ascii="Times New Roman" w:hAnsi="Times New Roman" w:eastAsia="宋体" w:cs="Times New Roman"/>
                <w:color w:val="000000" w:themeColor="text1"/>
                <w:lang w:val="en-US" w:eastAsia="zh-CN"/>
                <w14:textFill>
                  <w14:solidFill>
                    <w14:schemeClr w14:val="tx1"/>
                  </w14:solidFill>
                </w14:textFill>
              </w:rPr>
              <w:t>13.05</w:t>
            </w:r>
            <w:r>
              <w:rPr>
                <w:rFonts w:hint="default" w:ascii="Times New Roman" w:hAnsi="Times New Roman" w:eastAsia="宋体" w:cs="Times New Roman"/>
                <w:color w:val="000000" w:themeColor="text1"/>
                <w14:textFill>
                  <w14:solidFill>
                    <w14:schemeClr w14:val="tx1"/>
                  </w14:solidFill>
                </w14:textFill>
              </w:rPr>
              <w:t>mg/m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w:t>
            </w:r>
          </w:p>
          <w:p w14:paraId="27A76F5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本项目废气产排情况见下表4-</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w:t>
            </w:r>
          </w:p>
          <w:p w14:paraId="562D9C8F">
            <w:pPr>
              <w:keepNext w:val="0"/>
              <w:keepLines w:val="0"/>
              <w:suppressLineNumbers w:val="0"/>
              <w:adjustRightInd w:val="0"/>
              <w:snapToGrid w:val="0"/>
              <w:spacing w:before="0" w:beforeAutospacing="0" w:after="0" w:afterAutospacing="0"/>
              <w:ind w:left="120" w:leftChars="50" w:right="120" w:rightChars="50"/>
              <w:jc w:val="center"/>
              <w:rPr>
                <w:rFonts w:hint="default" w:ascii="Times New Roman" w:hAnsi="Times New Roman" w:eastAsia="宋体" w:cs="Times New Roman"/>
                <w:color w:val="000000" w:themeColor="text1"/>
                <w:sz w:val="21"/>
                <w:szCs w:val="21"/>
                <w14:textFill>
                  <w14:solidFill>
                    <w14:schemeClr w14:val="tx1"/>
                  </w14:solidFill>
                </w14:textFill>
              </w:rPr>
            </w:pPr>
          </w:p>
          <w:p w14:paraId="14B13C92">
            <w:pPr>
              <w:keepNext w:val="0"/>
              <w:keepLines w:val="0"/>
              <w:suppressLineNumbers w:val="0"/>
              <w:adjustRightInd w:val="0"/>
              <w:snapToGrid w:val="0"/>
              <w:spacing w:before="0" w:beforeAutospacing="0" w:after="0" w:afterAutospacing="0"/>
              <w:ind w:left="120" w:leftChars="50" w:right="120" w:rightChars="5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 w:val="21"/>
                <w:szCs w:val="21"/>
                <w14:textFill>
                  <w14:solidFill>
                    <w14:schemeClr w14:val="tx1"/>
                  </w14:solidFill>
                </w14:textFill>
              </w:rPr>
              <w:t>废气排放情况一览表</w:t>
            </w:r>
          </w:p>
          <w:tbl>
            <w:tblPr>
              <w:tblStyle w:val="29"/>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219"/>
              <w:gridCol w:w="1162"/>
              <w:gridCol w:w="846"/>
              <w:gridCol w:w="1327"/>
              <w:gridCol w:w="923"/>
              <w:gridCol w:w="1342"/>
            </w:tblGrid>
            <w:tr w14:paraId="7090CD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3" w:type="pct"/>
                  <w:tcBorders>
                    <w:bottom w:val="single" w:color="auto" w:sz="12" w:space="0"/>
                  </w:tcBorders>
                  <w:vAlign w:val="center"/>
                </w:tcPr>
                <w:p w14:paraId="5A42FA09">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产污环节</w:t>
                  </w:r>
                </w:p>
              </w:tc>
              <w:tc>
                <w:tcPr>
                  <w:tcW w:w="744" w:type="pct"/>
                  <w:tcBorders>
                    <w:bottom w:val="single" w:color="auto" w:sz="12" w:space="0"/>
                  </w:tcBorders>
                  <w:vAlign w:val="center"/>
                </w:tcPr>
                <w:p w14:paraId="5A9E2A38">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产生浓度（mg/m</w:t>
                  </w:r>
                  <w:r>
                    <w:rPr>
                      <w:rFonts w:hint="default" w:ascii="Times New Roman" w:hAnsi="Times New Roman" w:eastAsia="宋体" w:cs="Times New Roman"/>
                      <w:b/>
                      <w:bCs/>
                      <w:color w:val="000000" w:themeColor="text1"/>
                      <w:vertAlign w:val="superscript"/>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w:t>
                  </w:r>
                </w:p>
              </w:tc>
              <w:tc>
                <w:tcPr>
                  <w:tcW w:w="755" w:type="pct"/>
                  <w:tcBorders>
                    <w:bottom w:val="single" w:color="auto" w:sz="12" w:space="0"/>
                  </w:tcBorders>
                  <w:vAlign w:val="center"/>
                </w:tcPr>
                <w:p w14:paraId="4EEF5564">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产生量</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t/a</w:t>
                  </w:r>
                  <w:r>
                    <w:rPr>
                      <w:rFonts w:hint="default" w:ascii="Times New Roman" w:hAnsi="Times New Roman" w:eastAsia="宋体" w:cs="Times New Roman"/>
                      <w:b/>
                      <w:bCs/>
                      <w:color w:val="000000" w:themeColor="text1"/>
                      <w:lang w:eastAsia="zh-CN"/>
                      <w14:textFill>
                        <w14:solidFill>
                          <w14:schemeClr w14:val="tx1"/>
                        </w14:solidFill>
                      </w14:textFill>
                    </w:rPr>
                    <w:t>）</w:t>
                  </w:r>
                </w:p>
              </w:tc>
              <w:tc>
                <w:tcPr>
                  <w:tcW w:w="552" w:type="pct"/>
                  <w:tcBorders>
                    <w:bottom w:val="single" w:color="auto" w:sz="12" w:space="0"/>
                  </w:tcBorders>
                  <w:vAlign w:val="center"/>
                </w:tcPr>
                <w:p w14:paraId="655FD283">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处理效率</w:t>
                  </w:r>
                </w:p>
              </w:tc>
              <w:tc>
                <w:tcPr>
                  <w:tcW w:w="862" w:type="pct"/>
                  <w:tcBorders>
                    <w:bottom w:val="single" w:color="auto" w:sz="12" w:space="0"/>
                  </w:tcBorders>
                  <w:vAlign w:val="center"/>
                </w:tcPr>
                <w:p w14:paraId="3A11486B">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排放浓度（mg/m</w:t>
                  </w:r>
                  <w:r>
                    <w:rPr>
                      <w:rFonts w:hint="default" w:ascii="Times New Roman" w:hAnsi="Times New Roman" w:eastAsia="宋体" w:cs="Times New Roman"/>
                      <w:b/>
                      <w:bCs/>
                      <w:color w:val="000000" w:themeColor="text1"/>
                      <w:vertAlign w:val="superscript"/>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w:t>
                  </w:r>
                </w:p>
              </w:tc>
              <w:tc>
                <w:tcPr>
                  <w:tcW w:w="600" w:type="pct"/>
                  <w:tcBorders>
                    <w:bottom w:val="single" w:color="auto" w:sz="12" w:space="0"/>
                  </w:tcBorders>
                  <w:vAlign w:val="center"/>
                </w:tcPr>
                <w:p w14:paraId="0DBDFF10">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排放量</w:t>
                  </w:r>
                </w:p>
                <w:p w14:paraId="202302EE">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t/a</w:t>
                  </w:r>
                  <w:r>
                    <w:rPr>
                      <w:rFonts w:hint="default" w:ascii="Times New Roman" w:hAnsi="Times New Roman" w:eastAsia="宋体" w:cs="Times New Roman"/>
                      <w:b/>
                      <w:bCs/>
                      <w:color w:val="000000" w:themeColor="text1"/>
                      <w:lang w:eastAsia="zh-CN"/>
                      <w14:textFill>
                        <w14:solidFill>
                          <w14:schemeClr w14:val="tx1"/>
                        </w14:solidFill>
                      </w14:textFill>
                    </w:rPr>
                    <w:t>)</w:t>
                  </w:r>
                </w:p>
              </w:tc>
              <w:tc>
                <w:tcPr>
                  <w:tcW w:w="871" w:type="pct"/>
                  <w:tcBorders>
                    <w:bottom w:val="single" w:color="auto" w:sz="12" w:space="0"/>
                  </w:tcBorders>
                  <w:vAlign w:val="center"/>
                </w:tcPr>
                <w:p w14:paraId="56D19FCD">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textAlignment w:val="auto"/>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处理措施</w:t>
                  </w:r>
                </w:p>
              </w:tc>
            </w:tr>
            <w:tr w14:paraId="64986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613" w:type="pct"/>
                  <w:tcBorders>
                    <w:top w:val="single" w:color="auto" w:sz="12" w:space="0"/>
                    <w:tl2br w:val="nil"/>
                    <w:tr2bl w:val="nil"/>
                  </w:tcBorders>
                  <w:vAlign w:val="center"/>
                </w:tcPr>
                <w:p w14:paraId="028368B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工业废气量</w:t>
                  </w:r>
                </w:p>
              </w:tc>
              <w:tc>
                <w:tcPr>
                  <w:tcW w:w="1500" w:type="pct"/>
                  <w:gridSpan w:val="2"/>
                  <w:tcBorders>
                    <w:top w:val="single" w:color="auto" w:sz="12" w:space="0"/>
                    <w:tl2br w:val="nil"/>
                    <w:tr2bl w:val="nil"/>
                  </w:tcBorders>
                  <w:vAlign w:val="center"/>
                </w:tcPr>
                <w:p w14:paraId="04560D8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8275430.4m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/a</w:t>
                  </w:r>
                </w:p>
              </w:tc>
              <w:tc>
                <w:tcPr>
                  <w:tcW w:w="552" w:type="pct"/>
                  <w:tcBorders>
                    <w:top w:val="single" w:color="auto" w:sz="12" w:space="0"/>
                    <w:tl2br w:val="nil"/>
                    <w:tr2bl w:val="nil"/>
                  </w:tcBorders>
                  <w:vAlign w:val="center"/>
                </w:tcPr>
                <w:p w14:paraId="1923659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463" w:type="pct"/>
                  <w:gridSpan w:val="2"/>
                  <w:tcBorders>
                    <w:top w:val="single" w:color="auto" w:sz="12" w:space="0"/>
                    <w:tl2br w:val="nil"/>
                    <w:tr2bl w:val="nil"/>
                  </w:tcBorders>
                  <w:vAlign w:val="center"/>
                </w:tcPr>
                <w:p w14:paraId="52C1435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8275430.4m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/a</w:t>
                  </w:r>
                </w:p>
              </w:tc>
              <w:tc>
                <w:tcPr>
                  <w:tcW w:w="871" w:type="pct"/>
                  <w:vMerge w:val="restart"/>
                  <w:tcBorders>
                    <w:top w:val="single" w:color="auto" w:sz="12" w:space="0"/>
                    <w:tl2br w:val="nil"/>
                    <w:tr2bl w:val="nil"/>
                  </w:tcBorders>
                  <w:vAlign w:val="center"/>
                </w:tcPr>
                <w:p w14:paraId="1FF638E6">
                  <w:pPr>
                    <w:pStyle w:val="39"/>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低氮燃烧+烟气再循环技术</w:t>
                  </w:r>
                  <w:r>
                    <w:rPr>
                      <w:rFonts w:hint="default" w:ascii="Times New Roman" w:hAnsi="Times New Roman" w:eastAsia="宋体" w:cs="Times New Roman"/>
                      <w:color w:val="000000" w:themeColor="text1"/>
                      <w14:textFill>
                        <w14:solidFill>
                          <w14:schemeClr w14:val="tx1"/>
                        </w14:solidFill>
                      </w14:textFill>
                    </w:rPr>
                    <w:t>，废气经处理后，通过</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根</w:t>
                  </w:r>
                  <w:r>
                    <w:rPr>
                      <w:rFonts w:hint="default" w:ascii="Times New Roman" w:hAnsi="Times New Roman" w:eastAsia="宋体" w:cs="Times New Roman"/>
                      <w:color w:val="000000" w:themeColor="text1"/>
                      <w:lang w:val="en-US" w:eastAsia="zh-CN"/>
                      <w14:textFill>
                        <w14:solidFill>
                          <w14:schemeClr w14:val="tx1"/>
                        </w14:solidFill>
                      </w14:textFill>
                    </w:rPr>
                    <w:t>22</w:t>
                  </w:r>
                  <w:r>
                    <w:rPr>
                      <w:rFonts w:hint="default" w:ascii="Times New Roman" w:hAnsi="Times New Roman" w:eastAsia="宋体" w:cs="Times New Roman"/>
                      <w:color w:val="000000" w:themeColor="text1"/>
                      <w14:textFill>
                        <w14:solidFill>
                          <w14:schemeClr w14:val="tx1"/>
                        </w14:solidFill>
                      </w14:textFill>
                    </w:rPr>
                    <w:t>m高排气筒</w:t>
                  </w:r>
                  <w:r>
                    <w:rPr>
                      <w:rFonts w:hint="eastAsia" w:cs="Times New Roman"/>
                      <w:color w:val="auto"/>
                      <w:lang w:eastAsia="zh-CN"/>
                    </w:rPr>
                    <w:t>（</w:t>
                  </w:r>
                  <w:r>
                    <w:rPr>
                      <w:rFonts w:hint="eastAsia" w:cs="Times New Roman"/>
                      <w:color w:val="auto"/>
                      <w:lang w:val="en-US" w:eastAsia="zh-CN"/>
                    </w:rPr>
                    <w:t>DA014</w:t>
                  </w:r>
                  <w:r>
                    <w:rPr>
                      <w:rFonts w:hint="eastAsia" w:cs="Times New Roman"/>
                      <w:color w:val="auto"/>
                      <w:lang w:eastAsia="zh-CN"/>
                    </w:rPr>
                    <w:t>）</w:t>
                  </w:r>
                  <w:r>
                    <w:rPr>
                      <w:rFonts w:hint="default" w:ascii="Times New Roman" w:hAnsi="Times New Roman" w:eastAsia="宋体" w:cs="Times New Roman"/>
                      <w:color w:val="000000" w:themeColor="text1"/>
                      <w14:textFill>
                        <w14:solidFill>
                          <w14:schemeClr w14:val="tx1"/>
                        </w14:solidFill>
                      </w14:textFill>
                    </w:rPr>
                    <w:t>排放</w:t>
                  </w:r>
                </w:p>
              </w:tc>
            </w:tr>
            <w:tr w14:paraId="498F05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3" w:type="pct"/>
                  <w:tcBorders>
                    <w:tl2br w:val="nil"/>
                    <w:tr2bl w:val="nil"/>
                  </w:tcBorders>
                  <w:vAlign w:val="center"/>
                </w:tcPr>
                <w:p w14:paraId="321CF9D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颗粒物</w:t>
                  </w:r>
                </w:p>
              </w:tc>
              <w:tc>
                <w:tcPr>
                  <w:tcW w:w="744" w:type="pct"/>
                  <w:tcBorders>
                    <w:tl2br w:val="nil"/>
                    <w:tr2bl w:val="nil"/>
                  </w:tcBorders>
                  <w:vAlign w:val="center"/>
                </w:tcPr>
                <w:p w14:paraId="09AB507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13.05</w:t>
                  </w:r>
                </w:p>
              </w:tc>
              <w:tc>
                <w:tcPr>
                  <w:tcW w:w="755" w:type="pct"/>
                  <w:tcBorders>
                    <w:tl2br w:val="nil"/>
                    <w:tr2bl w:val="nil"/>
                  </w:tcBorders>
                  <w:vAlign w:val="center"/>
                </w:tcPr>
                <w:p w14:paraId="2C14FE9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0.108</w:t>
                  </w:r>
                </w:p>
              </w:tc>
              <w:tc>
                <w:tcPr>
                  <w:tcW w:w="552" w:type="pct"/>
                  <w:tcBorders>
                    <w:tl2br w:val="nil"/>
                    <w:tr2bl w:val="nil"/>
                  </w:tcBorders>
                  <w:vAlign w:val="center"/>
                </w:tcPr>
                <w:p w14:paraId="039D079A">
                  <w:pPr>
                    <w:pStyle w:val="39"/>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862" w:type="pct"/>
                  <w:tcBorders>
                    <w:tl2br w:val="nil"/>
                    <w:tr2bl w:val="nil"/>
                  </w:tcBorders>
                  <w:vAlign w:val="center"/>
                </w:tcPr>
                <w:p w14:paraId="64816A5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13.05</w:t>
                  </w:r>
                </w:p>
              </w:tc>
              <w:tc>
                <w:tcPr>
                  <w:tcW w:w="600" w:type="pct"/>
                  <w:tcBorders>
                    <w:tl2br w:val="nil"/>
                    <w:tr2bl w:val="nil"/>
                  </w:tcBorders>
                  <w:vAlign w:val="center"/>
                </w:tcPr>
                <w:p w14:paraId="7EF39D7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TW"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0.108</w:t>
                  </w:r>
                </w:p>
              </w:tc>
              <w:tc>
                <w:tcPr>
                  <w:tcW w:w="871" w:type="pct"/>
                  <w:vMerge w:val="continue"/>
                  <w:tcBorders>
                    <w:tl2br w:val="nil"/>
                    <w:tr2bl w:val="nil"/>
                  </w:tcBorders>
                  <w:vAlign w:val="center"/>
                </w:tcPr>
                <w:p w14:paraId="06163A7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04B8C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13" w:type="pct"/>
                  <w:tcBorders>
                    <w:tl2br w:val="nil"/>
                    <w:tr2bl w:val="nil"/>
                  </w:tcBorders>
                  <w:vAlign w:val="center"/>
                </w:tcPr>
                <w:p w14:paraId="3EC3B87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SO</w:t>
                  </w:r>
                  <w:r>
                    <w:rPr>
                      <w:rFonts w:hint="default" w:ascii="Times New Roman" w:hAnsi="Times New Roman" w:eastAsia="宋体" w:cs="Times New Roman"/>
                      <w:color w:val="000000" w:themeColor="text1"/>
                      <w:vertAlign w:val="subscript"/>
                      <w14:textFill>
                        <w14:solidFill>
                          <w14:schemeClr w14:val="tx1"/>
                        </w14:solidFill>
                      </w14:textFill>
                    </w:rPr>
                    <w:t>2</w:t>
                  </w:r>
                </w:p>
              </w:tc>
              <w:tc>
                <w:tcPr>
                  <w:tcW w:w="744" w:type="pct"/>
                  <w:tcBorders>
                    <w:tl2br w:val="nil"/>
                    <w:tr2bl w:val="nil"/>
                  </w:tcBorders>
                  <w:vAlign w:val="center"/>
                </w:tcPr>
                <w:p w14:paraId="012155E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0.24</w:t>
                  </w:r>
                </w:p>
              </w:tc>
              <w:tc>
                <w:tcPr>
                  <w:tcW w:w="755" w:type="pct"/>
                  <w:tcBorders>
                    <w:tl2br w:val="nil"/>
                    <w:tr2bl w:val="nil"/>
                  </w:tcBorders>
                  <w:vAlign w:val="center"/>
                </w:tcPr>
                <w:p w14:paraId="0D710B4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0.002</w:t>
                  </w:r>
                </w:p>
              </w:tc>
              <w:tc>
                <w:tcPr>
                  <w:tcW w:w="552" w:type="pct"/>
                  <w:tcBorders>
                    <w:tl2br w:val="nil"/>
                    <w:tr2bl w:val="nil"/>
                  </w:tcBorders>
                  <w:vAlign w:val="center"/>
                </w:tcPr>
                <w:p w14:paraId="095DD902">
                  <w:pPr>
                    <w:pStyle w:val="39"/>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862" w:type="pct"/>
                  <w:tcBorders>
                    <w:tl2br w:val="nil"/>
                    <w:tr2bl w:val="nil"/>
                  </w:tcBorders>
                  <w:shd w:val="clear" w:color="auto" w:fill="auto"/>
                  <w:vAlign w:val="center"/>
                </w:tcPr>
                <w:p w14:paraId="6AE8853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0.24</w:t>
                  </w:r>
                </w:p>
              </w:tc>
              <w:tc>
                <w:tcPr>
                  <w:tcW w:w="600" w:type="pct"/>
                  <w:tcBorders>
                    <w:tl2br w:val="nil"/>
                    <w:tr2bl w:val="nil"/>
                  </w:tcBorders>
                  <w:shd w:val="clear" w:color="auto" w:fill="auto"/>
                  <w:vAlign w:val="center"/>
                </w:tcPr>
                <w:p w14:paraId="3455931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TW"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0.002</w:t>
                  </w:r>
                </w:p>
              </w:tc>
              <w:tc>
                <w:tcPr>
                  <w:tcW w:w="871" w:type="pct"/>
                  <w:vMerge w:val="continue"/>
                  <w:tcBorders>
                    <w:tl2br w:val="nil"/>
                    <w:tr2bl w:val="nil"/>
                  </w:tcBorders>
                  <w:shd w:val="clear" w:color="auto" w:fill="auto"/>
                  <w:vAlign w:val="center"/>
                </w:tcPr>
                <w:p w14:paraId="2C9F826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69D509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3" w:type="pct"/>
                  <w:tcBorders>
                    <w:tl2br w:val="nil"/>
                    <w:tr2bl w:val="nil"/>
                  </w:tcBorders>
                  <w:vAlign w:val="center"/>
                </w:tcPr>
                <w:p w14:paraId="1506975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NOx</w:t>
                  </w:r>
                </w:p>
              </w:tc>
              <w:tc>
                <w:tcPr>
                  <w:tcW w:w="744" w:type="pct"/>
                  <w:tcBorders>
                    <w:tl2br w:val="nil"/>
                    <w:tr2bl w:val="nil"/>
                  </w:tcBorders>
                  <w:vAlign w:val="center"/>
                </w:tcPr>
                <w:p w14:paraId="3F58A5D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94</w:t>
                  </w:r>
                </w:p>
              </w:tc>
              <w:tc>
                <w:tcPr>
                  <w:tcW w:w="755" w:type="pct"/>
                  <w:tcBorders>
                    <w:tl2br w:val="nil"/>
                    <w:tr2bl w:val="nil"/>
                  </w:tcBorders>
                  <w:vAlign w:val="center"/>
                </w:tcPr>
                <w:p w14:paraId="4C20D2F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0.78</w:t>
                  </w:r>
                </w:p>
              </w:tc>
              <w:tc>
                <w:tcPr>
                  <w:tcW w:w="552" w:type="pct"/>
                  <w:tcBorders>
                    <w:tl2br w:val="nil"/>
                    <w:tr2bl w:val="nil"/>
                  </w:tcBorders>
                  <w:vAlign w:val="center"/>
                </w:tcPr>
                <w:p w14:paraId="18FD7CB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70%</w:t>
                  </w:r>
                </w:p>
              </w:tc>
              <w:tc>
                <w:tcPr>
                  <w:tcW w:w="862" w:type="pct"/>
                  <w:tcBorders>
                    <w:tl2br w:val="nil"/>
                    <w:tr2bl w:val="nil"/>
                  </w:tcBorders>
                  <w:shd w:val="clear" w:color="auto" w:fill="auto"/>
                  <w:vAlign w:val="center"/>
                </w:tcPr>
                <w:p w14:paraId="5BCB6DA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28.2</w:t>
                  </w:r>
                </w:p>
              </w:tc>
              <w:tc>
                <w:tcPr>
                  <w:tcW w:w="600" w:type="pct"/>
                  <w:tcBorders>
                    <w:tl2br w:val="nil"/>
                    <w:tr2bl w:val="nil"/>
                  </w:tcBorders>
                  <w:shd w:val="clear" w:color="auto" w:fill="auto"/>
                  <w:vAlign w:val="center"/>
                </w:tcPr>
                <w:p w14:paraId="2B066D9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0.233</w:t>
                  </w:r>
                </w:p>
              </w:tc>
              <w:tc>
                <w:tcPr>
                  <w:tcW w:w="871" w:type="pct"/>
                  <w:vMerge w:val="continue"/>
                  <w:tcBorders>
                    <w:tl2br w:val="nil"/>
                    <w:tr2bl w:val="nil"/>
                  </w:tcBorders>
                  <w:shd w:val="clear" w:color="auto" w:fill="auto"/>
                  <w:vAlign w:val="center"/>
                </w:tcPr>
                <w:p w14:paraId="034E8ED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FF"/>
                      <w:highlight w:val="yellow"/>
                      <w:lang w:val="en-US" w:eastAsia="zh-CN"/>
                    </w:rPr>
                  </w:pPr>
                </w:p>
              </w:tc>
            </w:tr>
          </w:tbl>
          <w:p w14:paraId="04D7B337">
            <w:pPr>
              <w:pStyle w:val="6"/>
              <w:numPr>
                <w:ilvl w:val="1"/>
                <w:numId w:val="0"/>
              </w:numPr>
              <w:suppressLineNumbers w:val="0"/>
              <w:spacing w:before="0" w:beforeAutospacing="0" w:after="0" w:afterAutospacing="0"/>
              <w:ind w:left="0" w:leftChars="0" w:right="0" w:firstLine="0" w:firstLineChars="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1.2 </w:t>
            </w:r>
            <w:r>
              <w:rPr>
                <w:rFonts w:hint="default" w:ascii="Times New Roman" w:hAnsi="Times New Roman" w:eastAsia="宋体" w:cs="Times New Roman"/>
                <w:color w:val="000000" w:themeColor="text1"/>
                <w14:textFill>
                  <w14:solidFill>
                    <w14:schemeClr w14:val="tx1"/>
                  </w14:solidFill>
                </w14:textFill>
              </w:rPr>
              <w:t>废气治理设施的可行性分析</w:t>
            </w:r>
          </w:p>
          <w:p w14:paraId="6AC356FF">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（1）排气筒高度</w:t>
            </w:r>
          </w:p>
          <w:p w14:paraId="119A805F">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锅炉大气污染物排放标准》（GB13271-2014）的规定：燃油、燃气锅炉烟囱不低于8m，周围半径200m距离内有建筑物时，其烟囱应高出最高建筑物3m以上。本项目燃气供热锅炉位于铸管车间内，车间总高度为18米，考虑上述标准要求，因此本项目排气筒高度设置为22米，可满足《锅炉大气污染物排放标准》（GB13271-2014）中排气筒高度限值要求。</w:t>
            </w:r>
          </w:p>
          <w:p w14:paraId="6319AC1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（2）烟气防治措施可行性</w:t>
            </w:r>
          </w:p>
          <w:p w14:paraId="6A3E3DA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本项目采用低氮燃烧+烟气</w:t>
            </w:r>
            <w:r>
              <w:rPr>
                <w:rFonts w:hint="eastAsia" w:cs="Times New Roman"/>
                <w:color w:val="000000" w:themeColor="text1"/>
                <w:lang w:val="en-US" w:eastAsia="zh-CN"/>
                <w14:textFill>
                  <w14:solidFill>
                    <w14:schemeClr w14:val="tx1"/>
                  </w14:solidFill>
                </w14:textFill>
              </w:rPr>
              <w:t>再</w:t>
            </w:r>
            <w:r>
              <w:rPr>
                <w:rFonts w:hint="default" w:ascii="Times New Roman" w:hAnsi="Times New Roman" w:eastAsia="宋体" w:cs="Times New Roman"/>
                <w:color w:val="000000" w:themeColor="text1"/>
                <w:lang w:val="en-US" w:eastAsia="zh-CN"/>
                <w14:textFill>
                  <w14:solidFill>
                    <w14:schemeClr w14:val="tx1"/>
                  </w14:solidFill>
                </w14:textFill>
              </w:rPr>
              <w:t>循环</w:t>
            </w:r>
            <w:r>
              <w:rPr>
                <w:rFonts w:hint="eastAsia" w:cs="Times New Roman"/>
                <w:color w:val="000000" w:themeColor="text1"/>
                <w:lang w:val="en-US" w:eastAsia="zh-CN"/>
                <w14:textFill>
                  <w14:solidFill>
                    <w14:schemeClr w14:val="tx1"/>
                  </w14:solidFill>
                </w14:textFill>
              </w:rPr>
              <w:t>技术</w:t>
            </w:r>
            <w:r>
              <w:rPr>
                <w:rFonts w:hint="default" w:ascii="Times New Roman" w:hAnsi="Times New Roman" w:eastAsia="宋体" w:cs="Times New Roman"/>
                <w:color w:val="000000" w:themeColor="text1"/>
                <w:lang w:val="en-US" w:eastAsia="zh-CN"/>
                <w14:textFill>
                  <w14:solidFill>
                    <w14:schemeClr w14:val="tx1"/>
                  </w14:solidFill>
                </w14:textFill>
              </w:rPr>
              <w:t>，是将部分低温烟气直接送入炉内，因烟气吸热和稀释了氧浓度，使燃烧速度和炉内温度降低，因而热力型NOx减少。通过低氮燃烧器+烟气再循环技术工艺后，污染物排放可达到《锅炉大气污染物排放标准》（GB13271-2014）表3特别排放限值及《关于开展自治州2021年度夏秋季大气污染防治“冬病夏治”有关工作的通知》（昌州环委办发</w:t>
            </w:r>
            <w:r>
              <w:rPr>
                <w:rFonts w:hint="eastAsia" w:ascii="Times New Roman" w:hAnsi="Times New Roman" w:cs="Times New Roman"/>
                <w:color w:val="000000" w:themeColor="text1"/>
                <w:lang w:val="en-US" w:eastAsia="zh-CN"/>
                <w14:textFill>
                  <w14:solidFill>
                    <w14:schemeClr w14:val="tx1"/>
                  </w14:solidFill>
                </w14:textFill>
              </w:rPr>
              <w:t>〔2021〕17号</w:t>
            </w:r>
            <w:r>
              <w:rPr>
                <w:rFonts w:hint="default" w:ascii="Times New Roman" w:hAnsi="Times New Roman" w:eastAsia="宋体" w:cs="Times New Roman"/>
                <w:color w:val="000000" w:themeColor="text1"/>
                <w:lang w:val="en-US" w:eastAsia="zh-CN"/>
                <w14:textFill>
                  <w14:solidFill>
                    <w14:schemeClr w14:val="tx1"/>
                  </w14:solidFill>
                </w14:textFill>
              </w:rPr>
              <w:t>）NOx特别排放限值</w:t>
            </w:r>
            <w:r>
              <w:rPr>
                <w:rFonts w:hint="default" w:ascii="Times New Roman" w:hAnsi="Times New Roman" w:eastAsia="宋体" w:cs="Times New Roman"/>
                <w:color w:val="000000" w:themeColor="text1"/>
                <w14:textFill>
                  <w14:solidFill>
                    <w14:schemeClr w14:val="tx1"/>
                  </w14:solidFill>
                </w14:textFill>
              </w:rPr>
              <w:t>。</w:t>
            </w:r>
          </w:p>
          <w:p w14:paraId="61AD6FA4">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因此，</w:t>
            </w:r>
            <w:r>
              <w:rPr>
                <w:rFonts w:hint="default" w:ascii="Times New Roman" w:hAnsi="Times New Roman" w:eastAsia="宋体" w:cs="Times New Roman"/>
                <w:color w:val="000000" w:themeColor="text1"/>
                <w:lang w:val="en-US" w:eastAsia="zh-CN"/>
                <w14:textFill>
                  <w14:solidFill>
                    <w14:schemeClr w14:val="tx1"/>
                  </w14:solidFill>
                </w14:textFill>
              </w:rPr>
              <w:t>本</w:t>
            </w:r>
            <w:r>
              <w:rPr>
                <w:rFonts w:hint="default" w:ascii="Times New Roman" w:hAnsi="Times New Roman" w:eastAsia="宋体" w:cs="Times New Roman"/>
                <w:color w:val="000000" w:themeColor="text1"/>
                <w14:textFill>
                  <w14:solidFill>
                    <w14:schemeClr w14:val="tx1"/>
                  </w14:solidFill>
                </w14:textFill>
              </w:rPr>
              <w:t>项目</w:t>
            </w:r>
            <w:r>
              <w:rPr>
                <w:rFonts w:hint="default" w:ascii="Times New Roman" w:hAnsi="Times New Roman" w:eastAsia="宋体" w:cs="Times New Roman"/>
                <w:color w:val="000000" w:themeColor="text1"/>
                <w:lang w:val="en-US" w:eastAsia="zh-CN"/>
                <w14:textFill>
                  <w14:solidFill>
                    <w14:schemeClr w14:val="tx1"/>
                  </w14:solidFill>
                </w14:textFill>
              </w:rPr>
              <w:t>燃气锅炉的废气处理设施是可行的</w:t>
            </w:r>
            <w:r>
              <w:rPr>
                <w:rFonts w:hint="default" w:ascii="Times New Roman" w:hAnsi="Times New Roman" w:eastAsia="宋体" w:cs="Times New Roman"/>
                <w:color w:val="000000" w:themeColor="text1"/>
                <w14:textFill>
                  <w14:solidFill>
                    <w14:schemeClr w14:val="tx1"/>
                  </w14:solidFill>
                </w14:textFill>
              </w:rPr>
              <w:t>。</w:t>
            </w:r>
          </w:p>
          <w:p w14:paraId="20788C3D">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.3 非正常工况</w:t>
            </w:r>
          </w:p>
          <w:p w14:paraId="6E5A9D3E">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项目非正常工况为</w:t>
            </w:r>
            <w:r>
              <w:rPr>
                <w:rFonts w:hint="default" w:ascii="Times New Roman" w:hAnsi="Times New Roman" w:eastAsia="宋体" w:cs="Times New Roman"/>
                <w:color w:val="000000" w:themeColor="text1"/>
                <w:lang w:val="en-US" w:eastAsia="zh-CN"/>
                <w14:textFill>
                  <w14:solidFill>
                    <w14:schemeClr w14:val="tx1"/>
                  </w14:solidFill>
                </w14:textFill>
              </w:rPr>
              <w:t>燃气锅炉低氮燃烧器+烟气再循环技术工艺</w:t>
            </w:r>
            <w:r>
              <w:rPr>
                <w:rFonts w:hint="default" w:ascii="Times New Roman" w:hAnsi="Times New Roman" w:eastAsia="宋体" w:cs="Times New Roman"/>
                <w:color w:val="000000" w:themeColor="text1"/>
                <w14:textFill>
                  <w14:solidFill>
                    <w14:schemeClr w14:val="tx1"/>
                  </w14:solidFill>
                </w14:textFill>
              </w:rPr>
              <w:t>失效，导致NOx排放浓度出现超标</w:t>
            </w:r>
            <w:r>
              <w:rPr>
                <w:rFonts w:hint="default" w:ascii="Times New Roman" w:hAnsi="Times New Roman" w:eastAsia="宋体" w:cs="Times New Roman"/>
                <w:color w:val="000000" w:themeColor="text1"/>
                <w:lang w:val="en-US" w:eastAsia="zh-CN"/>
                <w14:textFill>
                  <w14:solidFill>
                    <w14:schemeClr w14:val="tx1"/>
                  </w14:solidFill>
                </w14:textFill>
              </w:rPr>
              <w:t>，发生频次按每年一次，参考《排污许可证申请与核发技术规范 锅炉》（HJ953-2018）中表F.3燃气工业锅炉的废气产排污系数，无低氮燃烧情况下氮氧化物产物系数为18.71千克/万立方米－原料，按照低氮燃烧器失效50%计算，得知NOx排放浓度为</w:t>
            </w:r>
            <w:r>
              <w:rPr>
                <w:rFonts w:hint="default" w:ascii="Times New Roman" w:hAnsi="Times New Roman" w:eastAsia="宋体" w:cs="Times New Roman"/>
                <w:color w:val="auto"/>
                <w:lang w:val="en-US" w:eastAsia="zh-CN"/>
              </w:rPr>
              <w:t>86.8mg/m</w:t>
            </w:r>
            <w:r>
              <w:rPr>
                <w:rFonts w:hint="default" w:ascii="Times New Roman" w:hAnsi="Times New Roman" w:eastAsia="宋体" w:cs="Times New Roman"/>
                <w:color w:val="auto"/>
                <w:vertAlign w:val="superscript"/>
                <w:lang w:val="en-US" w:eastAsia="zh-CN"/>
              </w:rPr>
              <w:t>3</w:t>
            </w:r>
            <w:r>
              <w:rPr>
                <w:rFonts w:hint="default" w:ascii="Times New Roman" w:hAnsi="Times New Roman" w:eastAsia="宋体" w:cs="Times New Roman"/>
                <w:color w:val="000000" w:themeColor="text1"/>
                <w:lang w:val="en-US" w:eastAsia="zh-CN"/>
                <w14:textFill>
                  <w14:solidFill>
                    <w14:schemeClr w14:val="tx1"/>
                  </w14:solidFill>
                </w14:textFill>
              </w:rPr>
              <w:t>，已超过规定NOx限值要求，</w:t>
            </w:r>
            <w:r>
              <w:rPr>
                <w:rFonts w:hint="default" w:ascii="Times New Roman" w:hAnsi="Times New Roman" w:eastAsia="宋体" w:cs="Times New Roman"/>
                <w:color w:val="000000" w:themeColor="text1"/>
                <w14:textFill>
                  <w14:solidFill>
                    <w14:schemeClr w14:val="tx1"/>
                  </w14:solidFill>
                </w14:textFill>
              </w:rPr>
              <w:t>当发现设备故障后，对</w:t>
            </w:r>
            <w:r>
              <w:rPr>
                <w:rFonts w:hint="default" w:ascii="Times New Roman" w:hAnsi="Times New Roman" w:eastAsia="宋体" w:cs="Times New Roman"/>
                <w:color w:val="000000" w:themeColor="text1"/>
                <w:lang w:val="en-US" w:eastAsia="zh-CN"/>
                <w14:textFill>
                  <w14:solidFill>
                    <w14:schemeClr w14:val="tx1"/>
                  </w14:solidFill>
                </w14:textFill>
              </w:rPr>
              <w:t>燃气锅炉</w:t>
            </w:r>
            <w:r>
              <w:rPr>
                <w:rFonts w:hint="default" w:ascii="Times New Roman" w:hAnsi="Times New Roman" w:eastAsia="宋体" w:cs="Times New Roman"/>
                <w:color w:val="000000" w:themeColor="text1"/>
                <w14:textFill>
                  <w14:solidFill>
                    <w14:schemeClr w14:val="tx1"/>
                  </w14:solidFill>
                </w14:textFill>
              </w:rPr>
              <w:t>及时停机进行检修，不会对周围环境造成较大影响</w:t>
            </w:r>
            <w:r>
              <w:rPr>
                <w:rFonts w:hint="default" w:ascii="Times New Roman" w:hAnsi="Times New Roman" w:eastAsia="宋体" w:cs="Times New Roman"/>
                <w:color w:val="000000" w:themeColor="text1"/>
                <w:lang w:eastAsia="zh-CN"/>
                <w14:textFill>
                  <w14:solidFill>
                    <w14:schemeClr w14:val="tx1"/>
                  </w14:solidFill>
                </w14:textFill>
              </w:rPr>
              <w:t>。</w:t>
            </w:r>
          </w:p>
          <w:p w14:paraId="32C53CF9">
            <w:pPr>
              <w:pStyle w:val="3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表4-</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14:textFill>
                  <w14:solidFill>
                    <w14:schemeClr w14:val="tx1"/>
                  </w14:solidFill>
                </w14:textFill>
              </w:rPr>
              <w:t xml:space="preserve">   非正常工况废气污染物产生及排放情况</w:t>
            </w:r>
          </w:p>
          <w:tbl>
            <w:tblPr>
              <w:tblStyle w:val="29"/>
              <w:tblW w:w="4989"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934"/>
              <w:gridCol w:w="960"/>
              <w:gridCol w:w="1132"/>
              <w:gridCol w:w="769"/>
              <w:gridCol w:w="1295"/>
              <w:gridCol w:w="1305"/>
            </w:tblGrid>
            <w:tr w14:paraId="6856C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72" w:type="pct"/>
                  <w:tcBorders>
                    <w:bottom w:val="single" w:color="auto" w:sz="12" w:space="0"/>
                  </w:tcBorders>
                  <w:vAlign w:val="center"/>
                </w:tcPr>
                <w:p w14:paraId="7F9B1A6C">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highlight w:val="none"/>
                      <w:lang w:eastAsia="zh-CN"/>
                      <w14:textFill>
                        <w14:solidFill>
                          <w14:schemeClr w14:val="tx1"/>
                        </w14:solidFill>
                      </w14:textFill>
                    </w:rPr>
                    <w:t>排放源</w:t>
                  </w:r>
                </w:p>
              </w:tc>
              <w:tc>
                <w:tcPr>
                  <w:tcW w:w="602" w:type="pct"/>
                  <w:tcBorders>
                    <w:bottom w:val="single" w:color="auto" w:sz="12" w:space="0"/>
                  </w:tcBorders>
                  <w:vAlign w:val="center"/>
                </w:tcPr>
                <w:p w14:paraId="16AE3F55">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污染物</w:t>
                  </w:r>
                </w:p>
              </w:tc>
              <w:tc>
                <w:tcPr>
                  <w:tcW w:w="619" w:type="pct"/>
                  <w:tcBorders>
                    <w:bottom w:val="single" w:color="auto" w:sz="12" w:space="0"/>
                  </w:tcBorders>
                  <w:vAlign w:val="center"/>
                </w:tcPr>
                <w:p w14:paraId="3B6127BA">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排放</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速率kg/h</w:t>
                  </w:r>
                </w:p>
              </w:tc>
              <w:tc>
                <w:tcPr>
                  <w:tcW w:w="730" w:type="pct"/>
                  <w:tcBorders>
                    <w:bottom w:val="single" w:color="auto" w:sz="12" w:space="0"/>
                  </w:tcBorders>
                  <w:vAlign w:val="center"/>
                </w:tcPr>
                <w:p w14:paraId="4932F013">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排放浓度mg/</w:t>
                  </w:r>
                  <w:r>
                    <w:rPr>
                      <w:rFonts w:hint="default" w:ascii="Times New Roman" w:hAnsi="Times New Roman" w:eastAsia="宋体" w:cs="Times New Roman"/>
                      <w:b/>
                      <w:bCs/>
                      <w:color w:val="000000" w:themeColor="text1"/>
                      <w:highlight w:val="none"/>
                      <w:lang w:eastAsia="zh-CN"/>
                      <w14:textFill>
                        <w14:solidFill>
                          <w14:schemeClr w14:val="tx1"/>
                        </w14:solidFill>
                      </w14:textFill>
                    </w:rPr>
                    <w:t>m³</w:t>
                  </w:r>
                </w:p>
              </w:tc>
              <w:tc>
                <w:tcPr>
                  <w:tcW w:w="496" w:type="pct"/>
                  <w:tcBorders>
                    <w:bottom w:val="single" w:color="auto" w:sz="12" w:space="0"/>
                  </w:tcBorders>
                  <w:vAlign w:val="center"/>
                </w:tcPr>
                <w:p w14:paraId="2A489B31">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highlight w:val="none"/>
                      <w:lang w:eastAsia="zh-CN"/>
                      <w14:textFill>
                        <w14:solidFill>
                          <w14:schemeClr w14:val="tx1"/>
                        </w14:solidFill>
                      </w14:textFill>
                    </w:rPr>
                    <w:t>持续时间</w:t>
                  </w:r>
                </w:p>
              </w:tc>
              <w:tc>
                <w:tcPr>
                  <w:tcW w:w="835" w:type="pct"/>
                  <w:tcBorders>
                    <w:bottom w:val="single" w:color="auto" w:sz="12" w:space="0"/>
                  </w:tcBorders>
                  <w:vAlign w:val="center"/>
                </w:tcPr>
                <w:p w14:paraId="40B12CC3">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highlight w:val="none"/>
                      <w:lang w:eastAsia="zh-CN"/>
                      <w14:textFill>
                        <w14:solidFill>
                          <w14:schemeClr w14:val="tx1"/>
                        </w14:solidFill>
                      </w14:textFill>
                    </w:rPr>
                    <w:t>非正常工况</w:t>
                  </w:r>
                </w:p>
              </w:tc>
              <w:tc>
                <w:tcPr>
                  <w:tcW w:w="841" w:type="pct"/>
                  <w:tcBorders>
                    <w:bottom w:val="single" w:color="auto" w:sz="12" w:space="0"/>
                  </w:tcBorders>
                  <w:vAlign w:val="center"/>
                </w:tcPr>
                <w:p w14:paraId="7787438F">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应对措施</w:t>
                  </w:r>
                </w:p>
              </w:tc>
            </w:tr>
            <w:tr w14:paraId="2678A7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72" w:type="pct"/>
                  <w:vMerge w:val="restart"/>
                  <w:tcBorders>
                    <w:top w:val="single" w:color="auto" w:sz="12" w:space="0"/>
                    <w:tl2br w:val="nil"/>
                    <w:tr2bl w:val="nil"/>
                  </w:tcBorders>
                  <w:vAlign w:val="center"/>
                </w:tcPr>
                <w:p w14:paraId="0D5AC4D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燃气锅炉</w:t>
                  </w:r>
                </w:p>
              </w:tc>
              <w:tc>
                <w:tcPr>
                  <w:tcW w:w="602" w:type="pct"/>
                  <w:tcBorders>
                    <w:top w:val="single" w:color="auto" w:sz="12" w:space="0"/>
                    <w:tl2br w:val="nil"/>
                    <w:tr2bl w:val="nil"/>
                  </w:tcBorders>
                  <w:vAlign w:val="center"/>
                </w:tcPr>
                <w:p w14:paraId="6DEEC9C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颗粒物</w:t>
                  </w:r>
                </w:p>
              </w:tc>
              <w:tc>
                <w:tcPr>
                  <w:tcW w:w="971" w:type="dxa"/>
                  <w:tcBorders>
                    <w:top w:val="single" w:color="auto" w:sz="12" w:space="0"/>
                    <w:tl2br w:val="nil"/>
                    <w:tr2bl w:val="nil"/>
                  </w:tcBorders>
                  <w:vAlign w:val="center"/>
                </w:tcPr>
                <w:p w14:paraId="138D1E4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0.045</w:t>
                  </w:r>
                </w:p>
              </w:tc>
              <w:tc>
                <w:tcPr>
                  <w:tcW w:w="1145" w:type="dxa"/>
                  <w:tcBorders>
                    <w:top w:val="single" w:color="auto" w:sz="12" w:space="0"/>
                    <w:tl2br w:val="nil"/>
                    <w:tr2bl w:val="nil"/>
                  </w:tcBorders>
                  <w:vAlign w:val="center"/>
                </w:tcPr>
                <w:p w14:paraId="1A73987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13.05</w:t>
                  </w:r>
                </w:p>
              </w:tc>
              <w:tc>
                <w:tcPr>
                  <w:tcW w:w="496" w:type="pct"/>
                  <w:vMerge w:val="restart"/>
                  <w:tcBorders>
                    <w:top w:val="single" w:color="auto" w:sz="12" w:space="0"/>
                    <w:tl2br w:val="nil"/>
                    <w:tr2bl w:val="nil"/>
                  </w:tcBorders>
                  <w:vAlign w:val="center"/>
                </w:tcPr>
                <w:p w14:paraId="084C004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≤1h</w:t>
                  </w:r>
                </w:p>
              </w:tc>
              <w:tc>
                <w:tcPr>
                  <w:tcW w:w="835" w:type="pct"/>
                  <w:vMerge w:val="restart"/>
                  <w:tcBorders>
                    <w:top w:val="single" w:color="auto" w:sz="12" w:space="0"/>
                    <w:tl2br w:val="nil"/>
                    <w:tr2bl w:val="nil"/>
                  </w:tcBorders>
                  <w:vAlign w:val="center"/>
                </w:tcPr>
                <w:p w14:paraId="58EB1DB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低氮燃烧故障</w:t>
                  </w:r>
                </w:p>
              </w:tc>
              <w:tc>
                <w:tcPr>
                  <w:tcW w:w="841" w:type="pct"/>
                  <w:vMerge w:val="restart"/>
                  <w:tcBorders>
                    <w:top w:val="single" w:color="auto" w:sz="12" w:space="0"/>
                    <w:tl2br w:val="nil"/>
                    <w:tr2bl w:val="nil"/>
                  </w:tcBorders>
                  <w:vAlign w:val="center"/>
                </w:tcPr>
                <w:p w14:paraId="63D8E55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日常维护、及时检修</w:t>
                  </w:r>
                </w:p>
              </w:tc>
            </w:tr>
            <w:tr w14:paraId="3962B2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72" w:type="pct"/>
                  <w:vMerge w:val="continue"/>
                  <w:tcBorders>
                    <w:tl2br w:val="nil"/>
                    <w:tr2bl w:val="nil"/>
                  </w:tcBorders>
                  <w:vAlign w:val="center"/>
                </w:tcPr>
                <w:p w14:paraId="78C0AFE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yellow"/>
                      <w:lang w:eastAsia="zh-CN"/>
                      <w14:textFill>
                        <w14:solidFill>
                          <w14:schemeClr w14:val="tx1"/>
                        </w14:solidFill>
                      </w14:textFill>
                    </w:rPr>
                  </w:pPr>
                </w:p>
              </w:tc>
              <w:tc>
                <w:tcPr>
                  <w:tcW w:w="602" w:type="pct"/>
                  <w:tcBorders>
                    <w:tl2br w:val="nil"/>
                    <w:tr2bl w:val="nil"/>
                  </w:tcBorders>
                  <w:vAlign w:val="center"/>
                </w:tcPr>
                <w:p w14:paraId="4096544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SO</w:t>
                  </w:r>
                  <w:r>
                    <w:rPr>
                      <w:rFonts w:hint="default" w:ascii="Times New Roman" w:hAnsi="Times New Roman" w:eastAsia="宋体" w:cs="Times New Roman"/>
                      <w:color w:val="000000" w:themeColor="text1"/>
                      <w:highlight w:val="none"/>
                      <w:vertAlign w:val="subscript"/>
                      <w:lang w:val="en-US" w:eastAsia="zh-CN"/>
                      <w14:textFill>
                        <w14:solidFill>
                          <w14:schemeClr w14:val="tx1"/>
                        </w14:solidFill>
                      </w14:textFill>
                    </w:rPr>
                    <w:t>2</w:t>
                  </w:r>
                </w:p>
              </w:tc>
              <w:tc>
                <w:tcPr>
                  <w:tcW w:w="971" w:type="dxa"/>
                  <w:tcBorders>
                    <w:tl2br w:val="nil"/>
                    <w:tr2bl w:val="nil"/>
                  </w:tcBorders>
                  <w:vAlign w:val="center"/>
                </w:tcPr>
                <w:p w14:paraId="6E398FA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0.00083</w:t>
                  </w:r>
                </w:p>
              </w:tc>
              <w:tc>
                <w:tcPr>
                  <w:tcW w:w="1145" w:type="dxa"/>
                  <w:tcBorders>
                    <w:tl2br w:val="nil"/>
                    <w:tr2bl w:val="nil"/>
                  </w:tcBorders>
                  <w:vAlign w:val="center"/>
                </w:tcPr>
                <w:p w14:paraId="0A0453D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0.24</w:t>
                  </w:r>
                </w:p>
              </w:tc>
              <w:tc>
                <w:tcPr>
                  <w:tcW w:w="496" w:type="pct"/>
                  <w:vMerge w:val="continue"/>
                  <w:tcBorders>
                    <w:tl2br w:val="nil"/>
                    <w:tr2bl w:val="nil"/>
                  </w:tcBorders>
                  <w:vAlign w:val="center"/>
                </w:tcPr>
                <w:p w14:paraId="5A450FC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yellow"/>
                      <w:lang w:val="en-US" w:eastAsia="zh-CN"/>
                      <w14:textFill>
                        <w14:solidFill>
                          <w14:schemeClr w14:val="tx1"/>
                        </w14:solidFill>
                      </w14:textFill>
                    </w:rPr>
                  </w:pPr>
                </w:p>
              </w:tc>
              <w:tc>
                <w:tcPr>
                  <w:tcW w:w="835" w:type="pct"/>
                  <w:vMerge w:val="continue"/>
                  <w:tcBorders>
                    <w:tl2br w:val="nil"/>
                    <w:tr2bl w:val="nil"/>
                  </w:tcBorders>
                  <w:vAlign w:val="center"/>
                </w:tcPr>
                <w:p w14:paraId="7712BA7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yellow"/>
                      <w:lang w:val="en-US" w:eastAsia="zh-CN"/>
                      <w14:textFill>
                        <w14:solidFill>
                          <w14:schemeClr w14:val="tx1"/>
                        </w14:solidFill>
                      </w14:textFill>
                    </w:rPr>
                  </w:pPr>
                </w:p>
              </w:tc>
              <w:tc>
                <w:tcPr>
                  <w:tcW w:w="841" w:type="pct"/>
                  <w:vMerge w:val="continue"/>
                  <w:tcBorders>
                    <w:tl2br w:val="nil"/>
                    <w:tr2bl w:val="nil"/>
                  </w:tcBorders>
                  <w:vAlign w:val="center"/>
                </w:tcPr>
                <w:p w14:paraId="398CDFAE">
                  <w:pPr>
                    <w:keepNext w:val="0"/>
                    <w:keepLines w:val="0"/>
                    <w:suppressLineNumbers w:val="0"/>
                    <w:spacing w:before="0" w:beforeAutospacing="0" w:after="0" w:afterAutospacing="0"/>
                    <w:ind w:left="-120" w:leftChars="-50" w:right="-120" w:rightChars="-50"/>
                    <w:jc w:val="center"/>
                    <w:rPr>
                      <w:rFonts w:hint="default" w:ascii="Times New Roman" w:hAnsi="Times New Roman" w:eastAsia="宋体" w:cs="Times New Roman"/>
                      <w:color w:val="000000" w:themeColor="text1"/>
                      <w:sz w:val="21"/>
                      <w:szCs w:val="21"/>
                      <w:highlight w:val="yellow"/>
                      <w14:textFill>
                        <w14:solidFill>
                          <w14:schemeClr w14:val="tx1"/>
                        </w14:solidFill>
                      </w14:textFill>
                    </w:rPr>
                  </w:pPr>
                </w:p>
              </w:tc>
            </w:tr>
            <w:tr w14:paraId="47860F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72" w:type="pct"/>
                  <w:vMerge w:val="continue"/>
                  <w:tcBorders>
                    <w:tl2br w:val="nil"/>
                    <w:tr2bl w:val="nil"/>
                  </w:tcBorders>
                  <w:vAlign w:val="center"/>
                </w:tcPr>
                <w:p w14:paraId="71AA462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yellow"/>
                      <w:lang w:eastAsia="zh-CN"/>
                      <w14:textFill>
                        <w14:solidFill>
                          <w14:schemeClr w14:val="tx1"/>
                        </w14:solidFill>
                      </w14:textFill>
                    </w:rPr>
                  </w:pPr>
                </w:p>
              </w:tc>
              <w:tc>
                <w:tcPr>
                  <w:tcW w:w="602" w:type="pct"/>
                  <w:tcBorders>
                    <w:tl2br w:val="nil"/>
                    <w:tr2bl w:val="nil"/>
                  </w:tcBorders>
                  <w:vAlign w:val="center"/>
                </w:tcPr>
                <w:p w14:paraId="7891BF4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NOx</w:t>
                  </w:r>
                </w:p>
              </w:tc>
              <w:tc>
                <w:tcPr>
                  <w:tcW w:w="971" w:type="dxa"/>
                  <w:tcBorders>
                    <w:tl2br w:val="nil"/>
                    <w:tr2bl w:val="nil"/>
                  </w:tcBorders>
                  <w:vAlign w:val="center"/>
                </w:tcPr>
                <w:p w14:paraId="06048D2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0.299</w:t>
                  </w:r>
                </w:p>
              </w:tc>
              <w:tc>
                <w:tcPr>
                  <w:tcW w:w="1145" w:type="dxa"/>
                  <w:tcBorders>
                    <w:tl2br w:val="nil"/>
                    <w:tr2bl w:val="nil"/>
                  </w:tcBorders>
                  <w:vAlign w:val="center"/>
                </w:tcPr>
                <w:p w14:paraId="6E3EFC7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86.8</w:t>
                  </w:r>
                </w:p>
              </w:tc>
              <w:tc>
                <w:tcPr>
                  <w:tcW w:w="496" w:type="pct"/>
                  <w:vMerge w:val="continue"/>
                  <w:tcBorders>
                    <w:tl2br w:val="nil"/>
                    <w:tr2bl w:val="nil"/>
                  </w:tcBorders>
                  <w:vAlign w:val="center"/>
                </w:tcPr>
                <w:p w14:paraId="7548799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yellow"/>
                      <w:lang w:val="en-US" w:eastAsia="zh-CN"/>
                      <w14:textFill>
                        <w14:solidFill>
                          <w14:schemeClr w14:val="tx1"/>
                        </w14:solidFill>
                      </w14:textFill>
                    </w:rPr>
                  </w:pPr>
                </w:p>
              </w:tc>
              <w:tc>
                <w:tcPr>
                  <w:tcW w:w="835" w:type="pct"/>
                  <w:vMerge w:val="continue"/>
                  <w:tcBorders>
                    <w:tl2br w:val="nil"/>
                    <w:tr2bl w:val="nil"/>
                  </w:tcBorders>
                  <w:vAlign w:val="center"/>
                </w:tcPr>
                <w:p w14:paraId="1E92273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yellow"/>
                      <w:lang w:val="en-US" w:eastAsia="zh-CN"/>
                      <w14:textFill>
                        <w14:solidFill>
                          <w14:schemeClr w14:val="tx1"/>
                        </w14:solidFill>
                      </w14:textFill>
                    </w:rPr>
                  </w:pPr>
                </w:p>
              </w:tc>
              <w:tc>
                <w:tcPr>
                  <w:tcW w:w="841" w:type="pct"/>
                  <w:vMerge w:val="continue"/>
                  <w:tcBorders>
                    <w:tl2br w:val="nil"/>
                    <w:tr2bl w:val="nil"/>
                  </w:tcBorders>
                  <w:vAlign w:val="center"/>
                </w:tcPr>
                <w:p w14:paraId="67EA5961">
                  <w:pPr>
                    <w:keepNext w:val="0"/>
                    <w:keepLines w:val="0"/>
                    <w:suppressLineNumbers w:val="0"/>
                    <w:spacing w:before="0" w:beforeAutospacing="0" w:after="0" w:afterAutospacing="0"/>
                    <w:ind w:left="-120" w:leftChars="-50" w:right="-120" w:rightChars="-50"/>
                    <w:jc w:val="center"/>
                    <w:rPr>
                      <w:rFonts w:hint="default" w:ascii="Times New Roman" w:hAnsi="Times New Roman" w:eastAsia="宋体" w:cs="Times New Roman"/>
                      <w:color w:val="000000" w:themeColor="text1"/>
                      <w:sz w:val="21"/>
                      <w:szCs w:val="21"/>
                      <w:highlight w:val="yellow"/>
                      <w14:textFill>
                        <w14:solidFill>
                          <w14:schemeClr w14:val="tx1"/>
                        </w14:solidFill>
                      </w14:textFill>
                    </w:rPr>
                  </w:pPr>
                </w:p>
              </w:tc>
            </w:tr>
          </w:tbl>
          <w:p w14:paraId="6A22AF2D">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由上表可以看出，非正常工况下，废气存在超标排放现象，为有效减少废气的非正常排放，应采取以下措施确保废气达标排放</w:t>
            </w:r>
            <w:r>
              <w:rPr>
                <w:rFonts w:hint="default" w:ascii="Times New Roman" w:hAnsi="Times New Roman" w:eastAsia="宋体" w:cs="Times New Roman"/>
                <w:color w:val="000000" w:themeColor="text1"/>
                <w:lang w:eastAsia="zh-CN"/>
                <w14:textFill>
                  <w14:solidFill>
                    <w14:schemeClr w14:val="tx1"/>
                  </w14:solidFill>
                </w14:textFill>
              </w:rPr>
              <w:t>：</w:t>
            </w:r>
          </w:p>
          <w:p w14:paraId="3B79572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安排专人负责环保设备的日常维护和管理，每隔固定时间检查、汇报情况，及时发现设备的隐患，确保废气正常排放</w:t>
            </w:r>
            <w:r>
              <w:rPr>
                <w:rFonts w:hint="default" w:ascii="Times New Roman" w:hAnsi="Times New Roman" w:eastAsia="宋体" w:cs="Times New Roman"/>
                <w:color w:val="000000" w:themeColor="text1"/>
                <w:lang w:eastAsia="zh-CN"/>
                <w14:textFill>
                  <w14:solidFill>
                    <w14:schemeClr w14:val="tx1"/>
                  </w14:solidFill>
                </w14:textFill>
              </w:rPr>
              <w:t>。</w:t>
            </w:r>
          </w:p>
          <w:p w14:paraId="1B07BF2B">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建立健全的环保管理机构，对环保管理人员和技术人员进行岗位培训，委托具有专业资质的环境检测单位对项目排放的各类污染物进行定期检测</w:t>
            </w:r>
            <w:r>
              <w:rPr>
                <w:rFonts w:hint="default" w:ascii="Times New Roman" w:hAnsi="Times New Roman" w:eastAsia="宋体" w:cs="Times New Roman"/>
                <w:color w:val="000000" w:themeColor="text1"/>
                <w:lang w:eastAsia="zh-CN"/>
                <w14:textFill>
                  <w14:solidFill>
                    <w14:schemeClr w14:val="tx1"/>
                  </w14:solidFill>
                </w14:textFill>
              </w:rPr>
              <w:t>。</w:t>
            </w:r>
          </w:p>
          <w:p w14:paraId="027BEB7B">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应定期维护、检修设备，确保环保设施正常运行。</w:t>
            </w:r>
          </w:p>
          <w:p w14:paraId="0B17A156">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.4 排放口设置情况</w:t>
            </w:r>
          </w:p>
          <w:p w14:paraId="65D18ADB">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本项目废气设置</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个排放口，项目废气主要为颗粒物、SO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和NOx；废气经</w:t>
            </w:r>
            <w:r>
              <w:rPr>
                <w:rFonts w:hint="default" w:ascii="Times New Roman" w:hAnsi="Times New Roman" w:eastAsia="宋体" w:cs="Times New Roman"/>
                <w:color w:val="000000" w:themeColor="text1"/>
                <w:lang w:val="en-US" w:eastAsia="zh-CN"/>
                <w14:textFill>
                  <w14:solidFill>
                    <w14:schemeClr w14:val="tx1"/>
                  </w14:solidFill>
                </w14:textFill>
              </w:rPr>
              <w:t>低氮燃烧+烟气再循环技术</w:t>
            </w:r>
            <w:r>
              <w:rPr>
                <w:rFonts w:hint="eastAsia" w:cs="Times New Roman"/>
                <w:color w:val="000000" w:themeColor="text1"/>
                <w:lang w:val="en-US" w:eastAsia="zh-CN"/>
                <w14:textFill>
                  <w14:solidFill>
                    <w14:schemeClr w14:val="tx1"/>
                  </w14:solidFill>
                </w14:textFill>
              </w:rPr>
              <w:t>处理后经</w:t>
            </w:r>
            <w:r>
              <w:rPr>
                <w:rFonts w:hint="default" w:ascii="Times New Roman" w:hAnsi="Times New Roman" w:eastAsia="宋体" w:cs="Times New Roman"/>
                <w:color w:val="000000" w:themeColor="text1"/>
                <w:lang w:val="en-US" w:eastAsia="zh-CN"/>
                <w14:textFill>
                  <w14:solidFill>
                    <w14:schemeClr w14:val="tx1"/>
                  </w14:solidFill>
                </w14:textFill>
              </w:rPr>
              <w:t>1根22m</w:t>
            </w:r>
            <w:r>
              <w:rPr>
                <w:rFonts w:hint="default" w:ascii="Times New Roman" w:hAnsi="Times New Roman" w:eastAsia="宋体" w:cs="Times New Roman"/>
                <w:color w:val="000000" w:themeColor="text1"/>
                <w14:textFill>
                  <w14:solidFill>
                    <w14:schemeClr w14:val="tx1"/>
                  </w14:solidFill>
                </w14:textFill>
              </w:rPr>
              <w:t>排气筒</w:t>
            </w:r>
            <w:r>
              <w:rPr>
                <w:rFonts w:hint="eastAsia" w:cs="Times New Roman"/>
                <w:color w:val="000000" w:themeColor="text1"/>
                <w:lang w:val="en-US" w:eastAsia="zh-CN"/>
                <w14:textFill>
                  <w14:solidFill>
                    <w14:schemeClr w14:val="tx1"/>
                  </w14:solidFill>
                </w14:textFill>
              </w:rPr>
              <w:t>排放</w:t>
            </w:r>
            <w:r>
              <w:rPr>
                <w:rFonts w:hint="default" w:ascii="Times New Roman" w:hAnsi="Times New Roman" w:eastAsia="宋体" w:cs="Times New Roman"/>
                <w:color w:val="000000" w:themeColor="text1"/>
                <w14:textFill>
                  <w14:solidFill>
                    <w14:schemeClr w14:val="tx1"/>
                  </w14:solidFill>
                </w14:textFill>
              </w:rPr>
              <w:t>；本项目废气治理设施情况见表4-</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w:t>
            </w:r>
          </w:p>
          <w:p w14:paraId="0243434C">
            <w:pPr>
              <w:pStyle w:val="38"/>
              <w:keepNext w:val="0"/>
              <w:keepLines w:val="0"/>
              <w:pageBreakBefore w:val="0"/>
              <w:widowControl w:val="0"/>
              <w:suppressLineNumbers w:val="0"/>
              <w:kinsoku/>
              <w:overflowPunct/>
              <w:topLinePunct w:val="0"/>
              <w:bidi w:val="0"/>
              <w:spacing w:before="0" w:beforeAutospacing="0" w:after="0" w:afterAutospacing="0" w:line="240" w:lineRule="auto"/>
              <w:ind w:left="0" w:right="0"/>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 xml:space="preserve">   废气类别、污染物及污染治理设施一览表</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427"/>
              <w:gridCol w:w="699"/>
              <w:gridCol w:w="570"/>
              <w:gridCol w:w="702"/>
              <w:gridCol w:w="758"/>
              <w:gridCol w:w="438"/>
              <w:gridCol w:w="541"/>
              <w:gridCol w:w="590"/>
              <w:gridCol w:w="427"/>
              <w:gridCol w:w="427"/>
              <w:gridCol w:w="901"/>
              <w:gridCol w:w="428"/>
            </w:tblGrid>
            <w:tr w14:paraId="14F44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50" w:type="pct"/>
                  <w:gridSpan w:val="2"/>
                  <w:noWrap w:val="0"/>
                  <w:vAlign w:val="center"/>
                </w:tcPr>
                <w:p w14:paraId="07CAB503">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排气筒底部中心坐标</w:t>
                  </w:r>
                </w:p>
              </w:tc>
              <w:tc>
                <w:tcPr>
                  <w:tcW w:w="275" w:type="pct"/>
                  <w:vMerge w:val="restart"/>
                  <w:noWrap w:val="0"/>
                  <w:vAlign w:val="center"/>
                </w:tcPr>
                <w:p w14:paraId="387DF377">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排气筒底部</w:t>
                  </w:r>
                  <w:r>
                    <w:rPr>
                      <w:rFonts w:hint="default" w:ascii="Times New Roman" w:hAnsi="Times New Roman" w:eastAsia="宋体" w:cs="Times New Roman"/>
                      <w:b/>
                      <w:bCs w:val="0"/>
                      <w:color w:val="000000" w:themeColor="text1"/>
                      <w:sz w:val="21"/>
                      <w:szCs w:val="21"/>
                      <w:lang w:eastAsia="zh-CN"/>
                      <w14:textFill>
                        <w14:solidFill>
                          <w14:schemeClr w14:val="tx1"/>
                        </w14:solidFill>
                      </w14:textFill>
                    </w:rPr>
                    <w:t>海拔</w:t>
                  </w:r>
                </w:p>
              </w:tc>
              <w:tc>
                <w:tcPr>
                  <w:tcW w:w="450" w:type="pct"/>
                  <w:vMerge w:val="restart"/>
                  <w:noWrap w:val="0"/>
                  <w:vAlign w:val="center"/>
                </w:tcPr>
                <w:p w14:paraId="2D0B4DE2">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燃烧器类型</w:t>
                  </w:r>
                </w:p>
              </w:tc>
              <w:tc>
                <w:tcPr>
                  <w:tcW w:w="1937" w:type="pct"/>
                  <w:gridSpan w:val="5"/>
                  <w:noWrap w:val="0"/>
                  <w:vAlign w:val="center"/>
                </w:tcPr>
                <w:p w14:paraId="407C66BE">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排气筒参数</w:t>
                  </w:r>
                </w:p>
              </w:tc>
              <w:tc>
                <w:tcPr>
                  <w:tcW w:w="655" w:type="pct"/>
                  <w:gridSpan w:val="2"/>
                  <w:noWrap w:val="0"/>
                  <w:vAlign w:val="center"/>
                </w:tcPr>
                <w:p w14:paraId="6F2D3A28">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运行参数</w:t>
                  </w:r>
                </w:p>
              </w:tc>
              <w:tc>
                <w:tcPr>
                  <w:tcW w:w="855" w:type="pct"/>
                  <w:gridSpan w:val="2"/>
                  <w:noWrap w:val="0"/>
                  <w:vAlign w:val="center"/>
                </w:tcPr>
                <w:p w14:paraId="326BF18A">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污染源参数</w:t>
                  </w:r>
                </w:p>
              </w:tc>
              <w:tc>
                <w:tcPr>
                  <w:tcW w:w="275" w:type="pct"/>
                  <w:vMerge w:val="restart"/>
                  <w:noWrap w:val="0"/>
                  <w:vAlign w:val="center"/>
                </w:tcPr>
                <w:p w14:paraId="64F3D13F">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排放口类型</w:t>
                  </w:r>
                </w:p>
              </w:tc>
            </w:tr>
            <w:tr w14:paraId="6D7605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5" w:type="pct"/>
                  <w:tcBorders>
                    <w:bottom w:val="single" w:color="auto" w:sz="12" w:space="0"/>
                  </w:tcBorders>
                  <w:noWrap w:val="0"/>
                  <w:vAlign w:val="center"/>
                </w:tcPr>
                <w:p w14:paraId="0C7BF7B5">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经度</w:t>
                  </w:r>
                </w:p>
              </w:tc>
              <w:tc>
                <w:tcPr>
                  <w:tcW w:w="275" w:type="pct"/>
                  <w:tcBorders>
                    <w:bottom w:val="single" w:color="auto" w:sz="12" w:space="0"/>
                  </w:tcBorders>
                  <w:noWrap w:val="0"/>
                  <w:vAlign w:val="center"/>
                </w:tcPr>
                <w:p w14:paraId="2A293B6C">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纬度</w:t>
                  </w:r>
                </w:p>
              </w:tc>
              <w:tc>
                <w:tcPr>
                  <w:tcW w:w="275" w:type="pct"/>
                  <w:vMerge w:val="continue"/>
                  <w:tcBorders>
                    <w:bottom w:val="single" w:color="auto" w:sz="12" w:space="0"/>
                  </w:tcBorders>
                  <w:noWrap w:val="0"/>
                  <w:vAlign w:val="center"/>
                </w:tcPr>
                <w:p w14:paraId="7254D50A">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p>
              </w:tc>
              <w:tc>
                <w:tcPr>
                  <w:tcW w:w="450" w:type="pct"/>
                  <w:vMerge w:val="continue"/>
                  <w:tcBorders>
                    <w:bottom w:val="single" w:color="auto" w:sz="12" w:space="0"/>
                  </w:tcBorders>
                  <w:noWrap w:val="0"/>
                  <w:vAlign w:val="center"/>
                </w:tcPr>
                <w:p w14:paraId="5DA9B5ED">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p>
              </w:tc>
              <w:tc>
                <w:tcPr>
                  <w:tcW w:w="367" w:type="pct"/>
                  <w:tcBorders>
                    <w:bottom w:val="single" w:color="auto" w:sz="12" w:space="0"/>
                  </w:tcBorders>
                  <w:noWrap w:val="0"/>
                  <w:vAlign w:val="center"/>
                </w:tcPr>
                <w:p w14:paraId="50807510">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排气筒编号</w:t>
                  </w:r>
                </w:p>
              </w:tc>
              <w:tc>
                <w:tcPr>
                  <w:tcW w:w="452" w:type="pct"/>
                  <w:tcBorders>
                    <w:bottom w:val="single" w:color="auto" w:sz="12" w:space="0"/>
                  </w:tcBorders>
                  <w:noWrap w:val="0"/>
                  <w:vAlign w:val="center"/>
                </w:tcPr>
                <w:p w14:paraId="0479CBB1">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排气筒高度</w:t>
                  </w:r>
                </w:p>
              </w:tc>
              <w:tc>
                <w:tcPr>
                  <w:tcW w:w="488" w:type="pct"/>
                  <w:tcBorders>
                    <w:bottom w:val="single" w:color="auto" w:sz="12" w:space="0"/>
                  </w:tcBorders>
                  <w:noWrap w:val="0"/>
                  <w:vAlign w:val="center"/>
                </w:tcPr>
                <w:p w14:paraId="0627A2B5">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排气筒出口内径</w:t>
                  </w:r>
                </w:p>
              </w:tc>
              <w:tc>
                <w:tcPr>
                  <w:tcW w:w="282" w:type="pct"/>
                  <w:tcBorders>
                    <w:bottom w:val="single" w:color="auto" w:sz="12" w:space="0"/>
                  </w:tcBorders>
                  <w:noWrap w:val="0"/>
                  <w:vAlign w:val="center"/>
                </w:tcPr>
                <w:p w14:paraId="4FD240A0">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烟气流速</w:t>
                  </w:r>
                </w:p>
              </w:tc>
              <w:tc>
                <w:tcPr>
                  <w:tcW w:w="346" w:type="pct"/>
                  <w:tcBorders>
                    <w:bottom w:val="single" w:color="auto" w:sz="12" w:space="0"/>
                  </w:tcBorders>
                  <w:noWrap w:val="0"/>
                  <w:vAlign w:val="center"/>
                </w:tcPr>
                <w:p w14:paraId="62376E51">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烟气温度</w:t>
                  </w:r>
                </w:p>
              </w:tc>
              <w:tc>
                <w:tcPr>
                  <w:tcW w:w="380" w:type="pct"/>
                  <w:tcBorders>
                    <w:bottom w:val="single" w:color="auto" w:sz="12" w:space="0"/>
                  </w:tcBorders>
                  <w:noWrap w:val="0"/>
                  <w:vAlign w:val="center"/>
                </w:tcPr>
                <w:p w14:paraId="6EB3B922">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年排放小时数</w:t>
                  </w:r>
                </w:p>
              </w:tc>
              <w:tc>
                <w:tcPr>
                  <w:tcW w:w="275" w:type="pct"/>
                  <w:tcBorders>
                    <w:bottom w:val="single" w:color="auto" w:sz="12" w:space="0"/>
                  </w:tcBorders>
                  <w:noWrap w:val="0"/>
                  <w:vAlign w:val="center"/>
                </w:tcPr>
                <w:p w14:paraId="7128D546">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排放工况</w:t>
                  </w:r>
                </w:p>
              </w:tc>
              <w:tc>
                <w:tcPr>
                  <w:tcW w:w="275" w:type="pct"/>
                  <w:tcBorders>
                    <w:bottom w:val="single" w:color="auto" w:sz="12" w:space="0"/>
                  </w:tcBorders>
                  <w:noWrap w:val="0"/>
                  <w:vAlign w:val="center"/>
                </w:tcPr>
                <w:p w14:paraId="798FC543">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污染源名称</w:t>
                  </w:r>
                </w:p>
              </w:tc>
              <w:tc>
                <w:tcPr>
                  <w:tcW w:w="579" w:type="pct"/>
                  <w:tcBorders>
                    <w:bottom w:val="single" w:color="auto" w:sz="12" w:space="0"/>
                  </w:tcBorders>
                  <w:noWrap w:val="0"/>
                  <w:vAlign w:val="center"/>
                </w:tcPr>
                <w:p w14:paraId="2CE65A20">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污染物排放速率</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（k</w:t>
                  </w:r>
                  <w:r>
                    <w:rPr>
                      <w:rFonts w:hint="default" w:ascii="Times New Roman" w:hAnsi="Times New Roman" w:eastAsia="宋体" w:cs="Times New Roman"/>
                      <w:b/>
                      <w:bCs w:val="0"/>
                      <w:color w:val="000000" w:themeColor="text1"/>
                      <w:sz w:val="21"/>
                      <w:szCs w:val="21"/>
                      <w14:textFill>
                        <w14:solidFill>
                          <w14:schemeClr w14:val="tx1"/>
                        </w14:solidFill>
                      </w14:textFill>
                    </w:rPr>
                    <w:t>g/h</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w:t>
                  </w:r>
                </w:p>
              </w:tc>
              <w:tc>
                <w:tcPr>
                  <w:tcW w:w="275" w:type="pct"/>
                  <w:vMerge w:val="continue"/>
                  <w:tcBorders>
                    <w:bottom w:val="single" w:color="auto" w:sz="12" w:space="0"/>
                  </w:tcBorders>
                  <w:noWrap w:val="0"/>
                  <w:vAlign w:val="center"/>
                </w:tcPr>
                <w:p w14:paraId="7A922E5A">
                  <w:pPr>
                    <w:pStyle w:val="42"/>
                    <w:keepNext w:val="0"/>
                    <w:keepLines w:val="0"/>
                    <w:pageBreakBefore w:val="0"/>
                    <w:widowControl w:val="0"/>
                    <w:suppressLineNumbers w:val="0"/>
                    <w:tabs>
                      <w:tab w:val="left" w:pos="1845"/>
                    </w:tabs>
                    <w:kinsoku/>
                    <w:wordWrap w:val="0"/>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p>
              </w:tc>
            </w:tr>
            <w:tr w14:paraId="24225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5" w:type="pct"/>
                  <w:vMerge w:val="restart"/>
                  <w:tcBorders>
                    <w:top w:val="single" w:color="auto" w:sz="12" w:space="0"/>
                    <w:tl2br w:val="nil"/>
                    <w:tr2bl w:val="nil"/>
                  </w:tcBorders>
                  <w:noWrap w:val="0"/>
                  <w:vAlign w:val="center"/>
                </w:tcPr>
                <w:p w14:paraId="3D9A45B8">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8</w:t>
                  </w:r>
                  <w:r>
                    <w:rPr>
                      <w:rFonts w:hint="default" w:ascii="Times New Roman" w:hAnsi="Times New Roman" w:eastAsia="宋体" w:cs="Times New Roman"/>
                      <w:b w:val="0"/>
                      <w:bCs/>
                      <w:color w:val="auto"/>
                      <w:sz w:val="21"/>
                      <w:szCs w:val="21"/>
                      <w:highlight w:val="none"/>
                      <w:lang w:val="en-US" w:eastAsia="zh-CN"/>
                    </w:rPr>
                    <w:t>8</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15</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07.273</w:t>
                  </w:r>
                  <w:r>
                    <w:rPr>
                      <w:rFonts w:hint="default" w:ascii="Times New Roman" w:hAnsi="Times New Roman" w:eastAsia="宋体" w:cs="Times New Roman"/>
                      <w:b w:val="0"/>
                      <w:bCs/>
                      <w:color w:val="auto"/>
                      <w:sz w:val="21"/>
                      <w:szCs w:val="21"/>
                      <w:highlight w:val="none"/>
                    </w:rPr>
                    <w:t>"</w:t>
                  </w:r>
                </w:p>
              </w:tc>
              <w:tc>
                <w:tcPr>
                  <w:tcW w:w="275" w:type="pct"/>
                  <w:vMerge w:val="restart"/>
                  <w:tcBorders>
                    <w:top w:val="single" w:color="auto" w:sz="12" w:space="0"/>
                    <w:tl2br w:val="nil"/>
                    <w:tr2bl w:val="nil"/>
                  </w:tcBorders>
                  <w:noWrap w:val="0"/>
                  <w:vAlign w:val="center"/>
                </w:tcPr>
                <w:p w14:paraId="578D0C76">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44°</w:t>
                  </w:r>
                  <w:r>
                    <w:rPr>
                      <w:rFonts w:hint="default" w:ascii="Times New Roman" w:hAnsi="Times New Roman" w:eastAsia="宋体" w:cs="Times New Roman"/>
                      <w:b w:val="0"/>
                      <w:bCs/>
                      <w:color w:val="auto"/>
                      <w:sz w:val="21"/>
                      <w:szCs w:val="21"/>
                      <w:highlight w:val="none"/>
                      <w:lang w:val="en-US" w:eastAsia="zh-CN"/>
                    </w:rPr>
                    <w:t>07</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07.243</w:t>
                  </w:r>
                  <w:r>
                    <w:rPr>
                      <w:rFonts w:hint="default" w:ascii="Times New Roman" w:hAnsi="Times New Roman" w:eastAsia="宋体" w:cs="Times New Roman"/>
                      <w:b w:val="0"/>
                      <w:bCs/>
                      <w:color w:val="auto"/>
                      <w:sz w:val="21"/>
                      <w:szCs w:val="21"/>
                      <w:highlight w:val="none"/>
                    </w:rPr>
                    <w:t>"</w:t>
                  </w:r>
                </w:p>
              </w:tc>
              <w:tc>
                <w:tcPr>
                  <w:tcW w:w="275" w:type="pct"/>
                  <w:vMerge w:val="restart"/>
                  <w:tcBorders>
                    <w:top w:val="single" w:color="auto" w:sz="12" w:space="0"/>
                    <w:tl2br w:val="nil"/>
                    <w:tr2bl w:val="nil"/>
                  </w:tcBorders>
                  <w:noWrap w:val="0"/>
                  <w:vAlign w:val="center"/>
                </w:tcPr>
                <w:p w14:paraId="17DF503E">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B0F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620</w:t>
                  </w:r>
                  <w:r>
                    <w:rPr>
                      <w:rFonts w:hint="eastAsia" w:cs="Times New Roman"/>
                      <w:b w:val="0"/>
                      <w:bCs/>
                      <w:color w:val="auto"/>
                      <w:sz w:val="21"/>
                      <w:szCs w:val="21"/>
                      <w:highlight w:val="none"/>
                      <w:lang w:val="en-US" w:eastAsia="zh-CN"/>
                    </w:rPr>
                    <w:t>m</w:t>
                  </w:r>
                </w:p>
              </w:tc>
              <w:tc>
                <w:tcPr>
                  <w:tcW w:w="450" w:type="pct"/>
                  <w:vMerge w:val="restart"/>
                  <w:tcBorders>
                    <w:top w:val="single" w:color="auto" w:sz="12" w:space="0"/>
                    <w:tl2br w:val="nil"/>
                    <w:tr2bl w:val="nil"/>
                  </w:tcBorders>
                  <w:noWrap w:val="0"/>
                  <w:vAlign w:val="center"/>
                </w:tcPr>
                <w:p w14:paraId="74BFF76A">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扩散式燃烧器+烟气再循环</w:t>
                  </w:r>
                </w:p>
              </w:tc>
              <w:tc>
                <w:tcPr>
                  <w:tcW w:w="367" w:type="pct"/>
                  <w:vMerge w:val="restart"/>
                  <w:tcBorders>
                    <w:top w:val="single" w:color="auto" w:sz="12" w:space="0"/>
                    <w:tl2br w:val="nil"/>
                    <w:tr2bl w:val="nil"/>
                  </w:tcBorders>
                  <w:noWrap w:val="0"/>
                  <w:vAlign w:val="center"/>
                </w:tcPr>
                <w:p w14:paraId="2B64E3A5">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DA014</w:t>
                  </w:r>
                </w:p>
              </w:tc>
              <w:tc>
                <w:tcPr>
                  <w:tcW w:w="452" w:type="pct"/>
                  <w:vMerge w:val="restart"/>
                  <w:tcBorders>
                    <w:top w:val="single" w:color="auto" w:sz="12" w:space="0"/>
                    <w:tl2br w:val="nil"/>
                    <w:tr2bl w:val="nil"/>
                  </w:tcBorders>
                  <w:noWrap w:val="0"/>
                  <w:vAlign w:val="center"/>
                </w:tcPr>
                <w:p w14:paraId="2A1C0FFA">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22</w:t>
                  </w:r>
                  <w:r>
                    <w:rPr>
                      <w:rFonts w:hint="eastAsia" w:cs="Times New Roman"/>
                      <w:b w:val="0"/>
                      <w:bCs/>
                      <w:color w:val="000000" w:themeColor="text1"/>
                      <w:sz w:val="21"/>
                      <w:szCs w:val="21"/>
                      <w:highlight w:val="none"/>
                      <w:lang w:val="en-US" w:eastAsia="zh-CN"/>
                      <w14:textFill>
                        <w14:solidFill>
                          <w14:schemeClr w14:val="tx1"/>
                        </w14:solidFill>
                      </w14:textFill>
                    </w:rPr>
                    <w:t>m</w:t>
                  </w:r>
                </w:p>
              </w:tc>
              <w:tc>
                <w:tcPr>
                  <w:tcW w:w="488" w:type="pct"/>
                  <w:vMerge w:val="restart"/>
                  <w:tcBorders>
                    <w:top w:val="single" w:color="auto" w:sz="12" w:space="0"/>
                    <w:tl2br w:val="nil"/>
                    <w:tr2bl w:val="nil"/>
                  </w:tcBorders>
                  <w:noWrap w:val="0"/>
                  <w:vAlign w:val="center"/>
                </w:tcPr>
                <w:p w14:paraId="56D68D59">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0.4</w:t>
                  </w:r>
                  <w:r>
                    <w:rPr>
                      <w:rFonts w:hint="eastAsia" w:cs="Times New Roman"/>
                      <w:b w:val="0"/>
                      <w:bCs/>
                      <w:color w:val="000000" w:themeColor="text1"/>
                      <w:sz w:val="21"/>
                      <w:szCs w:val="21"/>
                      <w:highlight w:val="none"/>
                      <w:lang w:val="en-US" w:eastAsia="zh-CN"/>
                      <w14:textFill>
                        <w14:solidFill>
                          <w14:schemeClr w14:val="tx1"/>
                        </w14:solidFill>
                      </w14:textFill>
                    </w:rPr>
                    <w:t>m</w:t>
                  </w:r>
                </w:p>
              </w:tc>
              <w:tc>
                <w:tcPr>
                  <w:tcW w:w="282" w:type="pct"/>
                  <w:vMerge w:val="restart"/>
                  <w:tcBorders>
                    <w:top w:val="single" w:color="auto" w:sz="12" w:space="0"/>
                    <w:tl2br w:val="nil"/>
                    <w:tr2bl w:val="nil"/>
                  </w:tcBorders>
                  <w:noWrap w:val="0"/>
                  <w:vAlign w:val="center"/>
                </w:tcPr>
                <w:p w14:paraId="187456BC">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auto"/>
                      <w:sz w:val="21"/>
                      <w:szCs w:val="21"/>
                      <w:highlight w:val="none"/>
                      <w:lang w:val="en-US" w:eastAsia="zh-CN"/>
                    </w:rPr>
                    <w:t>8</w:t>
                  </w:r>
                  <w:r>
                    <w:rPr>
                      <w:rFonts w:hint="eastAsia" w:cs="Times New Roman"/>
                      <w:b w:val="0"/>
                      <w:bCs/>
                      <w:color w:val="auto"/>
                      <w:sz w:val="21"/>
                      <w:szCs w:val="21"/>
                      <w:highlight w:val="none"/>
                      <w:lang w:val="en-US" w:eastAsia="zh-CN"/>
                    </w:rPr>
                    <w:t>m/s</w:t>
                  </w:r>
                </w:p>
              </w:tc>
              <w:tc>
                <w:tcPr>
                  <w:tcW w:w="346" w:type="pct"/>
                  <w:vMerge w:val="restart"/>
                  <w:tcBorders>
                    <w:top w:val="single" w:color="auto" w:sz="12" w:space="0"/>
                    <w:tl2br w:val="nil"/>
                    <w:tr2bl w:val="nil"/>
                  </w:tcBorders>
                  <w:noWrap w:val="0"/>
                  <w:vAlign w:val="center"/>
                </w:tcPr>
                <w:p w14:paraId="3F7D8916">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120℃</w:t>
                  </w:r>
                </w:p>
              </w:tc>
              <w:tc>
                <w:tcPr>
                  <w:tcW w:w="380" w:type="pct"/>
                  <w:vMerge w:val="restart"/>
                  <w:tcBorders>
                    <w:top w:val="single" w:color="auto" w:sz="12" w:space="0"/>
                    <w:tl2br w:val="nil"/>
                    <w:tr2bl w:val="nil"/>
                  </w:tcBorders>
                  <w:noWrap w:val="0"/>
                  <w:vAlign w:val="center"/>
                </w:tcPr>
                <w:p w14:paraId="0332636E">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2400</w:t>
                  </w:r>
                  <w:r>
                    <w:rPr>
                      <w:rFonts w:hint="eastAsia" w:cs="Times New Roman"/>
                      <w:b w:val="0"/>
                      <w:bCs/>
                      <w:color w:val="000000" w:themeColor="text1"/>
                      <w:sz w:val="21"/>
                      <w:szCs w:val="21"/>
                      <w:highlight w:val="none"/>
                      <w:lang w:val="en-US" w:eastAsia="zh-CN"/>
                      <w14:textFill>
                        <w14:solidFill>
                          <w14:schemeClr w14:val="tx1"/>
                        </w14:solidFill>
                      </w14:textFill>
                    </w:rPr>
                    <w:t>h</w:t>
                  </w:r>
                </w:p>
              </w:tc>
              <w:tc>
                <w:tcPr>
                  <w:tcW w:w="275" w:type="pct"/>
                  <w:vMerge w:val="restart"/>
                  <w:tcBorders>
                    <w:top w:val="single" w:color="auto" w:sz="12" w:space="0"/>
                    <w:tl2br w:val="nil"/>
                    <w:tr2bl w:val="nil"/>
                  </w:tcBorders>
                  <w:noWrap w:val="0"/>
                  <w:vAlign w:val="center"/>
                </w:tcPr>
                <w:p w14:paraId="2F761ABF">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正常</w:t>
                  </w:r>
                </w:p>
              </w:tc>
              <w:tc>
                <w:tcPr>
                  <w:tcW w:w="275" w:type="pct"/>
                  <w:tcBorders>
                    <w:top w:val="single" w:color="auto" w:sz="12" w:space="0"/>
                    <w:tl2br w:val="nil"/>
                    <w:tr2bl w:val="nil"/>
                  </w:tcBorders>
                  <w:noWrap w:val="0"/>
                  <w:vAlign w:val="center"/>
                </w:tcPr>
                <w:p w14:paraId="5B52A9D4">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颗粒物</w:t>
                  </w:r>
                </w:p>
              </w:tc>
              <w:tc>
                <w:tcPr>
                  <w:tcW w:w="579" w:type="pct"/>
                  <w:tcBorders>
                    <w:top w:val="single" w:color="auto" w:sz="12" w:space="0"/>
                    <w:tl2br w:val="nil"/>
                    <w:tr2bl w:val="nil"/>
                  </w:tcBorders>
                  <w:noWrap w:val="0"/>
                  <w:vAlign w:val="center"/>
                </w:tcPr>
                <w:p w14:paraId="12DF846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B0F0"/>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0.045</w:t>
                  </w:r>
                </w:p>
              </w:tc>
              <w:tc>
                <w:tcPr>
                  <w:tcW w:w="275" w:type="pct"/>
                  <w:vMerge w:val="restart"/>
                  <w:tcBorders>
                    <w:top w:val="single" w:color="auto" w:sz="12" w:space="0"/>
                    <w:tl2br w:val="nil"/>
                    <w:tr2bl w:val="nil"/>
                  </w:tcBorders>
                  <w:noWrap w:val="0"/>
                  <w:vAlign w:val="center"/>
                </w:tcPr>
                <w:p w14:paraId="51F4634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一般排放口</w:t>
                  </w:r>
                </w:p>
              </w:tc>
            </w:tr>
            <w:tr w14:paraId="5AF3BB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5" w:type="pct"/>
                  <w:vMerge w:val="continue"/>
                  <w:tcBorders>
                    <w:tl2br w:val="nil"/>
                    <w:tr2bl w:val="nil"/>
                  </w:tcBorders>
                  <w:noWrap w:val="0"/>
                  <w:vAlign w:val="center"/>
                </w:tcPr>
                <w:p w14:paraId="6C9F1EF2">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vMerge w:val="continue"/>
                  <w:tcBorders>
                    <w:tl2br w:val="nil"/>
                    <w:tr2bl w:val="nil"/>
                  </w:tcBorders>
                  <w:noWrap w:val="0"/>
                  <w:vAlign w:val="center"/>
                </w:tcPr>
                <w:p w14:paraId="58DCE697">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vMerge w:val="continue"/>
                  <w:tcBorders>
                    <w:tl2br w:val="nil"/>
                    <w:tr2bl w:val="nil"/>
                  </w:tcBorders>
                  <w:noWrap w:val="0"/>
                  <w:vAlign w:val="center"/>
                </w:tcPr>
                <w:p w14:paraId="4308F366">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50" w:type="pct"/>
                  <w:vMerge w:val="continue"/>
                  <w:tcBorders>
                    <w:tl2br w:val="nil"/>
                    <w:tr2bl w:val="nil"/>
                  </w:tcBorders>
                  <w:noWrap w:val="0"/>
                  <w:vAlign w:val="center"/>
                </w:tcPr>
                <w:p w14:paraId="42877A18">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367" w:type="pct"/>
                  <w:vMerge w:val="continue"/>
                  <w:tcBorders>
                    <w:tl2br w:val="nil"/>
                    <w:tr2bl w:val="nil"/>
                  </w:tcBorders>
                  <w:noWrap w:val="0"/>
                  <w:vAlign w:val="center"/>
                </w:tcPr>
                <w:p w14:paraId="6CE5C6A1">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52" w:type="pct"/>
                  <w:vMerge w:val="continue"/>
                  <w:tcBorders>
                    <w:tl2br w:val="nil"/>
                    <w:tr2bl w:val="nil"/>
                  </w:tcBorders>
                  <w:noWrap w:val="0"/>
                  <w:vAlign w:val="center"/>
                </w:tcPr>
                <w:p w14:paraId="4ACEFA55">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88" w:type="pct"/>
                  <w:vMerge w:val="continue"/>
                  <w:tcBorders>
                    <w:tl2br w:val="nil"/>
                    <w:tr2bl w:val="nil"/>
                  </w:tcBorders>
                  <w:noWrap w:val="0"/>
                  <w:vAlign w:val="center"/>
                </w:tcPr>
                <w:p w14:paraId="14F6FF55">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82" w:type="pct"/>
                  <w:vMerge w:val="continue"/>
                  <w:tcBorders>
                    <w:tl2br w:val="nil"/>
                    <w:tr2bl w:val="nil"/>
                  </w:tcBorders>
                  <w:noWrap w:val="0"/>
                  <w:vAlign w:val="center"/>
                </w:tcPr>
                <w:p w14:paraId="1B286B9D">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346" w:type="pct"/>
                  <w:vMerge w:val="continue"/>
                  <w:tcBorders>
                    <w:tl2br w:val="nil"/>
                    <w:tr2bl w:val="nil"/>
                  </w:tcBorders>
                  <w:noWrap w:val="0"/>
                  <w:vAlign w:val="center"/>
                </w:tcPr>
                <w:p w14:paraId="7E7872C0">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380" w:type="pct"/>
                  <w:vMerge w:val="continue"/>
                  <w:tcBorders>
                    <w:tl2br w:val="nil"/>
                    <w:tr2bl w:val="nil"/>
                  </w:tcBorders>
                  <w:noWrap w:val="0"/>
                  <w:vAlign w:val="center"/>
                </w:tcPr>
                <w:p w14:paraId="1FCC49B4">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vMerge w:val="continue"/>
                  <w:tcBorders>
                    <w:tl2br w:val="nil"/>
                    <w:tr2bl w:val="nil"/>
                  </w:tcBorders>
                  <w:noWrap w:val="0"/>
                  <w:vAlign w:val="center"/>
                </w:tcPr>
                <w:p w14:paraId="422398E1">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tcBorders>
                    <w:tl2br w:val="nil"/>
                    <w:tr2bl w:val="nil"/>
                  </w:tcBorders>
                  <w:noWrap w:val="0"/>
                  <w:vAlign w:val="center"/>
                </w:tcPr>
                <w:p w14:paraId="471F52DB">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SO</w:t>
                  </w:r>
                  <w:r>
                    <w:rPr>
                      <w:rFonts w:hint="default" w:ascii="Times New Roman" w:hAnsi="Times New Roman" w:eastAsia="宋体" w:cs="Times New Roman"/>
                      <w:b w:val="0"/>
                      <w:bCs/>
                      <w:color w:val="000000" w:themeColor="text1"/>
                      <w:sz w:val="21"/>
                      <w:szCs w:val="21"/>
                      <w:highlight w:val="none"/>
                      <w:vertAlign w:val="subscript"/>
                      <w:lang w:val="en-US" w:eastAsia="zh-CN"/>
                      <w14:textFill>
                        <w14:solidFill>
                          <w14:schemeClr w14:val="tx1"/>
                        </w14:solidFill>
                      </w14:textFill>
                    </w:rPr>
                    <w:t>2</w:t>
                  </w:r>
                </w:p>
              </w:tc>
              <w:tc>
                <w:tcPr>
                  <w:tcW w:w="579" w:type="pct"/>
                  <w:tcBorders>
                    <w:tl2br w:val="nil"/>
                    <w:tr2bl w:val="nil"/>
                  </w:tcBorders>
                  <w:noWrap w:val="0"/>
                  <w:vAlign w:val="center"/>
                </w:tcPr>
                <w:p w14:paraId="75ED729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B0F0"/>
                      <w:kern w:val="2"/>
                      <w:sz w:val="21"/>
                      <w:szCs w:val="24"/>
                      <w:lang w:val="en-US" w:eastAsia="zh-CN" w:bidi="ar-SA"/>
                    </w:rPr>
                  </w:pPr>
                  <w:r>
                    <w:rPr>
                      <w:rFonts w:hint="default" w:ascii="Times New Roman" w:hAnsi="Times New Roman" w:eastAsia="宋体" w:cs="Times New Roman"/>
                      <w:color w:val="000000" w:themeColor="text1"/>
                      <w:lang w:val="en-US" w:eastAsia="zh-CN"/>
                      <w14:textFill>
                        <w14:solidFill>
                          <w14:schemeClr w14:val="tx1"/>
                        </w14:solidFill>
                      </w14:textFill>
                    </w:rPr>
                    <w:t>0.00083</w:t>
                  </w:r>
                </w:p>
              </w:tc>
              <w:tc>
                <w:tcPr>
                  <w:tcW w:w="275" w:type="pct"/>
                  <w:vMerge w:val="continue"/>
                  <w:tcBorders>
                    <w:tl2br w:val="nil"/>
                    <w:tr2bl w:val="nil"/>
                  </w:tcBorders>
                  <w:noWrap w:val="0"/>
                  <w:vAlign w:val="center"/>
                </w:tcPr>
                <w:p w14:paraId="1BA6253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p>
              </w:tc>
            </w:tr>
            <w:tr w14:paraId="1881C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5" w:type="pct"/>
                  <w:vMerge w:val="continue"/>
                  <w:tcBorders>
                    <w:tl2br w:val="nil"/>
                    <w:tr2bl w:val="nil"/>
                  </w:tcBorders>
                  <w:noWrap w:val="0"/>
                  <w:vAlign w:val="center"/>
                </w:tcPr>
                <w:p w14:paraId="67B5D9EF">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vMerge w:val="continue"/>
                  <w:tcBorders>
                    <w:tl2br w:val="nil"/>
                    <w:tr2bl w:val="nil"/>
                  </w:tcBorders>
                  <w:noWrap w:val="0"/>
                  <w:vAlign w:val="center"/>
                </w:tcPr>
                <w:p w14:paraId="68CAC58A">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vMerge w:val="continue"/>
                  <w:tcBorders>
                    <w:tl2br w:val="nil"/>
                    <w:tr2bl w:val="nil"/>
                  </w:tcBorders>
                  <w:noWrap w:val="0"/>
                  <w:vAlign w:val="center"/>
                </w:tcPr>
                <w:p w14:paraId="73A8EEEF">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50" w:type="pct"/>
                  <w:vMerge w:val="continue"/>
                  <w:tcBorders>
                    <w:tl2br w:val="nil"/>
                    <w:tr2bl w:val="nil"/>
                  </w:tcBorders>
                  <w:noWrap w:val="0"/>
                  <w:vAlign w:val="center"/>
                </w:tcPr>
                <w:p w14:paraId="44330AAA">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367" w:type="pct"/>
                  <w:vMerge w:val="continue"/>
                  <w:tcBorders>
                    <w:tl2br w:val="nil"/>
                    <w:tr2bl w:val="nil"/>
                  </w:tcBorders>
                  <w:noWrap w:val="0"/>
                  <w:vAlign w:val="center"/>
                </w:tcPr>
                <w:p w14:paraId="0F73F541">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52" w:type="pct"/>
                  <w:vMerge w:val="continue"/>
                  <w:tcBorders>
                    <w:tl2br w:val="nil"/>
                    <w:tr2bl w:val="nil"/>
                  </w:tcBorders>
                  <w:noWrap w:val="0"/>
                  <w:vAlign w:val="center"/>
                </w:tcPr>
                <w:p w14:paraId="68B5F083">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88" w:type="pct"/>
                  <w:vMerge w:val="continue"/>
                  <w:tcBorders>
                    <w:tl2br w:val="nil"/>
                    <w:tr2bl w:val="nil"/>
                  </w:tcBorders>
                  <w:noWrap w:val="0"/>
                  <w:vAlign w:val="center"/>
                </w:tcPr>
                <w:p w14:paraId="001A9923">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82" w:type="pct"/>
                  <w:vMerge w:val="continue"/>
                  <w:tcBorders>
                    <w:tl2br w:val="nil"/>
                    <w:tr2bl w:val="nil"/>
                  </w:tcBorders>
                  <w:noWrap w:val="0"/>
                  <w:vAlign w:val="center"/>
                </w:tcPr>
                <w:p w14:paraId="2EE6D7F3">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346" w:type="pct"/>
                  <w:vMerge w:val="continue"/>
                  <w:tcBorders>
                    <w:tl2br w:val="nil"/>
                    <w:tr2bl w:val="nil"/>
                  </w:tcBorders>
                  <w:noWrap w:val="0"/>
                  <w:vAlign w:val="center"/>
                </w:tcPr>
                <w:p w14:paraId="507491E7">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380" w:type="pct"/>
                  <w:vMerge w:val="continue"/>
                  <w:tcBorders>
                    <w:tl2br w:val="nil"/>
                    <w:tr2bl w:val="nil"/>
                  </w:tcBorders>
                  <w:noWrap w:val="0"/>
                  <w:vAlign w:val="center"/>
                </w:tcPr>
                <w:p w14:paraId="2FAFB342">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vMerge w:val="continue"/>
                  <w:tcBorders>
                    <w:tl2br w:val="nil"/>
                    <w:tr2bl w:val="nil"/>
                  </w:tcBorders>
                  <w:noWrap w:val="0"/>
                  <w:vAlign w:val="center"/>
                </w:tcPr>
                <w:p w14:paraId="71CD9D35">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275" w:type="pct"/>
                  <w:tcBorders>
                    <w:tl2br w:val="nil"/>
                    <w:tr2bl w:val="nil"/>
                  </w:tcBorders>
                  <w:noWrap w:val="0"/>
                  <w:vAlign w:val="center"/>
                </w:tcPr>
                <w:p w14:paraId="10076E7C">
                  <w:pPr>
                    <w:pStyle w:val="42"/>
                    <w:keepNext w:val="0"/>
                    <w:keepLines w:val="0"/>
                    <w:suppressLineNumbers w:val="0"/>
                    <w:tabs>
                      <w:tab w:val="left" w:pos="1845"/>
                    </w:tabs>
                    <w:wordWrap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NO</w:t>
                  </w:r>
                  <w:r>
                    <w:rPr>
                      <w:rFonts w:hint="default" w:ascii="Times New Roman" w:hAnsi="Times New Roman" w:eastAsia="宋体" w:cs="Times New Roman"/>
                      <w:b w:val="0"/>
                      <w:bCs/>
                      <w:color w:val="000000" w:themeColor="text1"/>
                      <w:sz w:val="21"/>
                      <w:szCs w:val="21"/>
                      <w:highlight w:val="none"/>
                      <w:vertAlign w:val="subscript"/>
                      <w:lang w:val="en-US" w:eastAsia="zh-CN"/>
                      <w14:textFill>
                        <w14:solidFill>
                          <w14:schemeClr w14:val="tx1"/>
                        </w14:solidFill>
                      </w14:textFill>
                    </w:rPr>
                    <w:t>X</w:t>
                  </w:r>
                </w:p>
              </w:tc>
              <w:tc>
                <w:tcPr>
                  <w:tcW w:w="579" w:type="pct"/>
                  <w:tcBorders>
                    <w:tl2br w:val="nil"/>
                    <w:tr2bl w:val="nil"/>
                  </w:tcBorders>
                  <w:noWrap w:val="0"/>
                  <w:vAlign w:val="center"/>
                </w:tcPr>
                <w:p w14:paraId="64608DD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B0F0"/>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0.097</w:t>
                  </w:r>
                </w:p>
              </w:tc>
              <w:tc>
                <w:tcPr>
                  <w:tcW w:w="275" w:type="pct"/>
                  <w:vMerge w:val="continue"/>
                  <w:tcBorders>
                    <w:tl2br w:val="nil"/>
                    <w:tr2bl w:val="nil"/>
                  </w:tcBorders>
                  <w:noWrap w:val="0"/>
                  <w:vAlign w:val="center"/>
                </w:tcPr>
                <w:p w14:paraId="2E59167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r>
          </w:tbl>
          <w:p w14:paraId="122E11A7">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.5 监测计划</w:t>
            </w:r>
          </w:p>
          <w:p w14:paraId="293667C6">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Cs w:val="32"/>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根据《排污单位自行监测技术指南 总则》（HJ 819-2017）及《排污单位自行监测技术指南 火力发电及锅炉》（HJ 820-2017</w:t>
            </w:r>
            <w:r>
              <w:rPr>
                <w:rFonts w:hint="default" w:ascii="Times New Roman" w:hAnsi="Times New Roman" w:eastAsia="宋体" w:cs="Times New Roman"/>
                <w:color w:val="000000" w:themeColor="text1"/>
                <w:lang w:eastAsia="zh-CN"/>
                <w14:textFill>
                  <w14:solidFill>
                    <w14:schemeClr w14:val="tx1"/>
                  </w14:solidFill>
                </w14:textFill>
              </w:rPr>
              <w:t>）等</w:t>
            </w:r>
            <w:r>
              <w:rPr>
                <w:rFonts w:hint="default" w:ascii="Times New Roman" w:hAnsi="Times New Roman" w:eastAsia="宋体" w:cs="Times New Roman"/>
                <w:color w:val="000000" w:themeColor="text1"/>
                <w14:textFill>
                  <w14:solidFill>
                    <w14:schemeClr w14:val="tx1"/>
                  </w14:solidFill>
                </w14:textFill>
              </w:rPr>
              <w:t>相关规定，排污单位应按照最新的监测方案开展监测活动，建设单位可委托有资质的环境监测机构进行监测。同时，企业应建立健全污染源监控和环境监测技术档案，并接受当地环境保护主管部门的业务指导、监督和检查。具体监测项目及内容如下</w:t>
            </w:r>
            <w:r>
              <w:rPr>
                <w:rFonts w:hint="default" w:ascii="Times New Roman" w:hAnsi="Times New Roman" w:eastAsia="宋体" w:cs="Times New Roman"/>
                <w:color w:val="000000" w:themeColor="text1"/>
                <w:lang w:eastAsia="zh-CN"/>
                <w14:textFill>
                  <w14:solidFill>
                    <w14:schemeClr w14:val="tx1"/>
                  </w14:solidFill>
                </w14:textFill>
              </w:rPr>
              <w:t>。</w:t>
            </w:r>
          </w:p>
          <w:p w14:paraId="1EC1D49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14:textFill>
                  <w14:solidFill>
                    <w14:schemeClr w14:val="tx1"/>
                  </w14:solidFill>
                </w14:textFill>
              </w:rPr>
              <w:t xml:space="preserve">   废气监测内容及计划</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1155"/>
              <w:gridCol w:w="1350"/>
              <w:gridCol w:w="1497"/>
              <w:gridCol w:w="2525"/>
              <w:gridCol w:w="730"/>
            </w:tblGrid>
            <w:tr w14:paraId="225CB4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5" w:type="pct"/>
                  <w:tcBorders>
                    <w:bottom w:val="single" w:color="auto" w:sz="12" w:space="0"/>
                  </w:tcBorders>
                  <w:vAlign w:val="center"/>
                </w:tcPr>
                <w:p w14:paraId="2DC6328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因素</w:t>
                  </w:r>
                </w:p>
              </w:tc>
              <w:tc>
                <w:tcPr>
                  <w:tcW w:w="744" w:type="pct"/>
                  <w:tcBorders>
                    <w:bottom w:val="single" w:color="auto" w:sz="12" w:space="0"/>
                  </w:tcBorders>
                  <w:vAlign w:val="center"/>
                </w:tcPr>
                <w:p w14:paraId="3553251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监测位置</w:t>
                  </w:r>
                </w:p>
              </w:tc>
              <w:tc>
                <w:tcPr>
                  <w:tcW w:w="869" w:type="pct"/>
                  <w:tcBorders>
                    <w:bottom w:val="single" w:color="auto" w:sz="12" w:space="0"/>
                  </w:tcBorders>
                  <w:vAlign w:val="center"/>
                </w:tcPr>
                <w:p w14:paraId="7722871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监测指标</w:t>
                  </w:r>
                </w:p>
              </w:tc>
              <w:tc>
                <w:tcPr>
                  <w:tcW w:w="964" w:type="pct"/>
                  <w:tcBorders>
                    <w:bottom w:val="single" w:color="auto" w:sz="12" w:space="0"/>
                  </w:tcBorders>
                  <w:vAlign w:val="center"/>
                </w:tcPr>
                <w:p w14:paraId="450B1B4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监测频次</w:t>
                  </w:r>
                </w:p>
              </w:tc>
              <w:tc>
                <w:tcPr>
                  <w:tcW w:w="1626" w:type="pct"/>
                  <w:tcBorders>
                    <w:bottom w:val="single" w:color="auto" w:sz="12" w:space="0"/>
                  </w:tcBorders>
                  <w:vAlign w:val="center"/>
                </w:tcPr>
                <w:p w14:paraId="1B2931B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执行标准</w:t>
                  </w:r>
                </w:p>
              </w:tc>
              <w:tc>
                <w:tcPr>
                  <w:tcW w:w="470" w:type="pct"/>
                  <w:tcBorders>
                    <w:bottom w:val="single" w:color="auto" w:sz="12" w:space="0"/>
                  </w:tcBorders>
                  <w:vAlign w:val="center"/>
                </w:tcPr>
                <w:p w14:paraId="120E6E3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备注</w:t>
                  </w:r>
                </w:p>
              </w:tc>
            </w:tr>
            <w:tr w14:paraId="3CDA4F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5" w:type="pct"/>
                  <w:vMerge w:val="restart"/>
                  <w:tcBorders>
                    <w:top w:val="single" w:color="auto" w:sz="12" w:space="0"/>
                    <w:tl2br w:val="nil"/>
                    <w:tr2bl w:val="nil"/>
                  </w:tcBorders>
                  <w:vAlign w:val="center"/>
                </w:tcPr>
                <w:p w14:paraId="6205ADB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废气</w:t>
                  </w:r>
                </w:p>
              </w:tc>
              <w:tc>
                <w:tcPr>
                  <w:tcW w:w="744" w:type="pct"/>
                  <w:vMerge w:val="restart"/>
                  <w:tcBorders>
                    <w:top w:val="single" w:color="auto" w:sz="12" w:space="0"/>
                    <w:tl2br w:val="nil"/>
                    <w:tr2bl w:val="nil"/>
                  </w:tcBorders>
                  <w:vAlign w:val="center"/>
                </w:tcPr>
                <w:p w14:paraId="2C1A729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燃气</w:t>
                  </w:r>
                  <w:r>
                    <w:rPr>
                      <w:rFonts w:hint="default" w:ascii="Times New Roman" w:hAnsi="Times New Roman" w:eastAsia="宋体" w:cs="Times New Roman"/>
                      <w:color w:val="000000" w:themeColor="text1"/>
                      <w:lang w:eastAsia="zh-CN"/>
                      <w14:textFill>
                        <w14:solidFill>
                          <w14:schemeClr w14:val="tx1"/>
                        </w14:solidFill>
                      </w14:textFill>
                    </w:rPr>
                    <w:t>锅炉</w:t>
                  </w:r>
                  <w:r>
                    <w:rPr>
                      <w:rFonts w:hint="default" w:ascii="Times New Roman" w:hAnsi="Times New Roman" w:eastAsia="宋体" w:cs="Times New Roman"/>
                      <w:color w:val="000000" w:themeColor="text1"/>
                      <w14:textFill>
                        <w14:solidFill>
                          <w14:schemeClr w14:val="tx1"/>
                        </w14:solidFill>
                      </w14:textFill>
                    </w:rPr>
                    <w:t>排气筒</w:t>
                  </w:r>
                </w:p>
              </w:tc>
              <w:tc>
                <w:tcPr>
                  <w:tcW w:w="869" w:type="pct"/>
                  <w:tcBorders>
                    <w:top w:val="single" w:color="auto" w:sz="12" w:space="0"/>
                    <w:tl2br w:val="nil"/>
                    <w:tr2bl w:val="nil"/>
                  </w:tcBorders>
                  <w:shd w:val="clear" w:color="auto" w:fill="auto"/>
                  <w:vAlign w:val="center"/>
                </w:tcPr>
                <w:p w14:paraId="60CFB29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颗粒物</w:t>
                  </w:r>
                </w:p>
              </w:tc>
              <w:tc>
                <w:tcPr>
                  <w:tcW w:w="964" w:type="pct"/>
                  <w:tcBorders>
                    <w:top w:val="single" w:color="auto" w:sz="12" w:space="0"/>
                    <w:tl2br w:val="nil"/>
                    <w:tr2bl w:val="nil"/>
                  </w:tcBorders>
                  <w:shd w:val="clear" w:color="auto" w:fill="auto"/>
                  <w:vAlign w:val="center"/>
                </w:tcPr>
                <w:p w14:paraId="62596B5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1次/</w:t>
                  </w:r>
                  <w:r>
                    <w:rPr>
                      <w:rFonts w:hint="eastAsia" w:cs="Times New Roman"/>
                      <w:b w:val="0"/>
                      <w:bCs w:val="0"/>
                      <w:color w:val="000000" w:themeColor="text1"/>
                      <w:sz w:val="21"/>
                      <w:szCs w:val="21"/>
                      <w:lang w:val="en-US" w:eastAsia="zh-CN"/>
                      <w14:textFill>
                        <w14:solidFill>
                          <w14:schemeClr w14:val="tx1"/>
                        </w14:solidFill>
                      </w14:textFill>
                    </w:rPr>
                    <w:t>年</w:t>
                  </w:r>
                </w:p>
              </w:tc>
              <w:tc>
                <w:tcPr>
                  <w:tcW w:w="1626" w:type="pct"/>
                  <w:vMerge w:val="restart"/>
                  <w:tcBorders>
                    <w:top w:val="single" w:color="auto" w:sz="12" w:space="0"/>
                    <w:tl2br w:val="nil"/>
                    <w:tr2bl w:val="nil"/>
                  </w:tcBorders>
                  <w:vAlign w:val="center"/>
                </w:tcPr>
                <w:p w14:paraId="4598FF3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《锅炉大气污染物排放标准》（GB 13271-2014）表3大气污染物特别排放限值</w:t>
                  </w:r>
                </w:p>
              </w:tc>
              <w:tc>
                <w:tcPr>
                  <w:tcW w:w="470" w:type="pct"/>
                  <w:vMerge w:val="restart"/>
                  <w:tcBorders>
                    <w:top w:val="single" w:color="auto" w:sz="12" w:space="0"/>
                    <w:tl2br w:val="nil"/>
                    <w:tr2bl w:val="nil"/>
                  </w:tcBorders>
                  <w:vAlign w:val="center"/>
                </w:tcPr>
                <w:p w14:paraId="0DA42EA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502042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25" w:type="pct"/>
                  <w:vMerge w:val="continue"/>
                  <w:tcBorders>
                    <w:tl2br w:val="nil"/>
                    <w:tr2bl w:val="nil"/>
                  </w:tcBorders>
                  <w:vAlign w:val="center"/>
                </w:tcPr>
                <w:p w14:paraId="5D42F9C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744" w:type="pct"/>
                  <w:vMerge w:val="continue"/>
                  <w:tcBorders>
                    <w:tl2br w:val="nil"/>
                    <w:tr2bl w:val="nil"/>
                  </w:tcBorders>
                  <w:vAlign w:val="center"/>
                </w:tcPr>
                <w:p w14:paraId="4A0DC5E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69" w:type="pct"/>
                  <w:tcBorders>
                    <w:tl2br w:val="nil"/>
                    <w:tr2bl w:val="nil"/>
                  </w:tcBorders>
                  <w:shd w:val="clear" w:color="auto" w:fill="auto"/>
                  <w:vAlign w:val="center"/>
                </w:tcPr>
                <w:p w14:paraId="0710C15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二氧化硫</w:t>
                  </w:r>
                </w:p>
              </w:tc>
              <w:tc>
                <w:tcPr>
                  <w:tcW w:w="964" w:type="pct"/>
                  <w:tcBorders>
                    <w:tl2br w:val="nil"/>
                    <w:tr2bl w:val="nil"/>
                  </w:tcBorders>
                  <w:shd w:val="clear" w:color="auto" w:fill="auto"/>
                  <w:vAlign w:val="center"/>
                </w:tcPr>
                <w:p w14:paraId="4698BCE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1次/</w:t>
                  </w:r>
                  <w:r>
                    <w:rPr>
                      <w:rFonts w:hint="eastAsia" w:cs="Times New Roman"/>
                      <w:b w:val="0"/>
                      <w:bCs w:val="0"/>
                      <w:color w:val="000000" w:themeColor="text1"/>
                      <w:sz w:val="21"/>
                      <w:szCs w:val="21"/>
                      <w:lang w:val="en-US" w:eastAsia="zh-CN"/>
                      <w14:textFill>
                        <w14:solidFill>
                          <w14:schemeClr w14:val="tx1"/>
                        </w14:solidFill>
                      </w14:textFill>
                    </w:rPr>
                    <w:t>年</w:t>
                  </w:r>
                </w:p>
              </w:tc>
              <w:tc>
                <w:tcPr>
                  <w:tcW w:w="1626" w:type="pct"/>
                  <w:vMerge w:val="continue"/>
                  <w:tcBorders>
                    <w:tl2br w:val="nil"/>
                    <w:tr2bl w:val="nil"/>
                  </w:tcBorders>
                  <w:vAlign w:val="center"/>
                </w:tcPr>
                <w:p w14:paraId="328A5C1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470" w:type="pct"/>
                  <w:vMerge w:val="continue"/>
                  <w:tcBorders>
                    <w:tl2br w:val="nil"/>
                    <w:tr2bl w:val="nil"/>
                  </w:tcBorders>
                  <w:vAlign w:val="center"/>
                </w:tcPr>
                <w:p w14:paraId="4D7A75A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r>
            <w:tr w14:paraId="7A99C4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25" w:type="pct"/>
                  <w:vMerge w:val="continue"/>
                  <w:tcBorders>
                    <w:tl2br w:val="nil"/>
                    <w:tr2bl w:val="nil"/>
                  </w:tcBorders>
                  <w:vAlign w:val="center"/>
                </w:tcPr>
                <w:p w14:paraId="18CE272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744" w:type="pct"/>
                  <w:vMerge w:val="continue"/>
                  <w:tcBorders>
                    <w:tl2br w:val="nil"/>
                    <w:tr2bl w:val="nil"/>
                  </w:tcBorders>
                  <w:vAlign w:val="center"/>
                </w:tcPr>
                <w:p w14:paraId="3958550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69" w:type="pct"/>
                  <w:tcBorders>
                    <w:tl2br w:val="nil"/>
                    <w:tr2bl w:val="nil"/>
                  </w:tcBorders>
                  <w:shd w:val="clear" w:color="auto" w:fill="auto"/>
                  <w:vAlign w:val="center"/>
                </w:tcPr>
                <w:p w14:paraId="623CE91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zh-TW" w:eastAsia="zh-TW"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林格曼黑度</w:t>
                  </w:r>
                </w:p>
              </w:tc>
              <w:tc>
                <w:tcPr>
                  <w:tcW w:w="964" w:type="pct"/>
                  <w:tcBorders>
                    <w:tl2br w:val="nil"/>
                    <w:tr2bl w:val="nil"/>
                  </w:tcBorders>
                  <w:shd w:val="clear" w:color="auto" w:fill="auto"/>
                  <w:vAlign w:val="center"/>
                </w:tcPr>
                <w:p w14:paraId="38D182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1次/</w:t>
                  </w:r>
                  <w:r>
                    <w:rPr>
                      <w:rFonts w:hint="eastAsia" w:cs="Times New Roman"/>
                      <w:b w:val="0"/>
                      <w:bCs w:val="0"/>
                      <w:color w:val="000000" w:themeColor="text1"/>
                      <w:sz w:val="21"/>
                      <w:szCs w:val="21"/>
                      <w:lang w:val="en-US" w:eastAsia="zh-CN"/>
                      <w14:textFill>
                        <w14:solidFill>
                          <w14:schemeClr w14:val="tx1"/>
                        </w14:solidFill>
                      </w14:textFill>
                    </w:rPr>
                    <w:t>年</w:t>
                  </w:r>
                </w:p>
              </w:tc>
              <w:tc>
                <w:tcPr>
                  <w:tcW w:w="1626" w:type="pct"/>
                  <w:vMerge w:val="continue"/>
                  <w:tcBorders>
                    <w:tl2br w:val="nil"/>
                    <w:tr2bl w:val="nil"/>
                  </w:tcBorders>
                  <w:vAlign w:val="center"/>
                </w:tcPr>
                <w:p w14:paraId="74F886E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470" w:type="pct"/>
                  <w:vMerge w:val="continue"/>
                  <w:tcBorders>
                    <w:tl2br w:val="nil"/>
                    <w:tr2bl w:val="nil"/>
                  </w:tcBorders>
                  <w:vAlign w:val="center"/>
                </w:tcPr>
                <w:p w14:paraId="74417B7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r>
            <w:tr w14:paraId="039C97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5" w:type="pct"/>
                  <w:vMerge w:val="continue"/>
                  <w:tcBorders>
                    <w:tl2br w:val="nil"/>
                    <w:tr2bl w:val="nil"/>
                  </w:tcBorders>
                  <w:vAlign w:val="center"/>
                </w:tcPr>
                <w:p w14:paraId="556EB74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744" w:type="pct"/>
                  <w:vMerge w:val="continue"/>
                  <w:tcBorders>
                    <w:tl2br w:val="nil"/>
                    <w:tr2bl w:val="nil"/>
                  </w:tcBorders>
                  <w:vAlign w:val="center"/>
                </w:tcPr>
                <w:p w14:paraId="540BD47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c>
                <w:tcPr>
                  <w:tcW w:w="869" w:type="pct"/>
                  <w:tcBorders>
                    <w:tl2br w:val="nil"/>
                    <w:tr2bl w:val="nil"/>
                  </w:tcBorders>
                  <w:shd w:val="clear" w:color="auto" w:fill="auto"/>
                  <w:vAlign w:val="center"/>
                </w:tcPr>
                <w:p w14:paraId="3A0924E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zh-TW" w:eastAsia="zh-TW"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氮氧化物</w:t>
                  </w:r>
                </w:p>
              </w:tc>
              <w:tc>
                <w:tcPr>
                  <w:tcW w:w="964" w:type="pct"/>
                  <w:tcBorders>
                    <w:tl2br w:val="nil"/>
                    <w:tr2bl w:val="nil"/>
                  </w:tcBorders>
                  <w:shd w:val="clear" w:color="auto" w:fill="auto"/>
                  <w:vAlign w:val="center"/>
                </w:tcPr>
                <w:p w14:paraId="5D8F69D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1次/</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月</w:t>
                  </w:r>
                </w:p>
              </w:tc>
              <w:tc>
                <w:tcPr>
                  <w:tcW w:w="1626" w:type="pct"/>
                  <w:tcBorders>
                    <w:tl2br w:val="nil"/>
                    <w:tr2bl w:val="nil"/>
                  </w:tcBorders>
                  <w:vAlign w:val="center"/>
                </w:tcPr>
                <w:p w14:paraId="548DBF7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《关于开展自治区2022年度夏秋季大气污染防治</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冬病夏治</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工作的通知》（新环大气函〔2022〕483号）</w:t>
                  </w:r>
                </w:p>
              </w:tc>
              <w:tc>
                <w:tcPr>
                  <w:tcW w:w="470" w:type="pct"/>
                  <w:vMerge w:val="continue"/>
                  <w:tcBorders>
                    <w:tl2br w:val="nil"/>
                    <w:tr2bl w:val="nil"/>
                  </w:tcBorders>
                  <w:vAlign w:val="center"/>
                </w:tcPr>
                <w:p w14:paraId="58A8804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p>
              </w:tc>
            </w:tr>
          </w:tbl>
          <w:p w14:paraId="5AD2AD73">
            <w:pPr>
              <w:pStyle w:val="6"/>
              <w:suppressLineNumbers w:val="0"/>
              <w:spacing w:before="0" w:beforeAutospacing="0" w:after="0" w:afterAutospacing="0"/>
              <w:ind w:left="0" w:right="0"/>
              <w:jc w:val="both"/>
              <w:outlineLvl w:val="2"/>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1.6 废气排放的环境影响</w:t>
            </w:r>
            <w:r>
              <w:rPr>
                <w:rFonts w:hint="default" w:ascii="Times New Roman" w:hAnsi="Times New Roman" w:eastAsia="宋体" w:cs="Times New Roman"/>
                <w:color w:val="000000" w:themeColor="text1"/>
                <w:lang w:val="en-US" w:eastAsia="zh-CN"/>
                <w14:textFill>
                  <w14:solidFill>
                    <w14:schemeClr w14:val="tx1"/>
                  </w14:solidFill>
                </w14:textFill>
              </w:rPr>
              <w:t>和保护措施</w:t>
            </w:r>
          </w:p>
          <w:p w14:paraId="6E49A151">
            <w:pPr>
              <w:pStyle w:val="6"/>
              <w:suppressLineNumbers w:val="0"/>
              <w:spacing w:before="0" w:beforeAutospacing="0" w:after="0" w:afterAutospacing="0"/>
              <w:ind w:left="0" w:right="0" w:firstLine="480" w:firstLineChars="200"/>
              <w:jc w:val="both"/>
              <w:outlineLvl w:val="2"/>
              <w:rPr>
                <w:rFonts w:hint="default" w:ascii="Times New Roman" w:hAnsi="Times New Roman" w:eastAsia="宋体" w:cs="Times New Roman"/>
                <w:b w:val="0"/>
                <w:i w:val="0"/>
                <w:iCs w:val="0"/>
                <w:caps w:val="0"/>
                <w:spacing w:val="0"/>
                <w:kern w:val="2"/>
                <w:sz w:val="24"/>
                <w:szCs w:val="24"/>
                <w:lang w:val="en-US" w:eastAsia="zh-CN" w:bidi="ar-SA"/>
              </w:rPr>
            </w:pPr>
            <w:r>
              <w:rPr>
                <w:rFonts w:hint="eastAsia" w:ascii="Times New Roman" w:hAnsi="Times New Roman" w:eastAsia="宋体" w:cs="Times New Roman"/>
                <w:b w:val="0"/>
                <w:i w:val="0"/>
                <w:iCs w:val="0"/>
                <w:caps w:val="0"/>
                <w:spacing w:val="0"/>
                <w:kern w:val="2"/>
                <w:sz w:val="24"/>
                <w:szCs w:val="24"/>
                <w:lang w:val="en-US" w:eastAsia="zh-CN" w:bidi="ar-SA"/>
              </w:rPr>
              <w:t>本项目燃</w:t>
            </w:r>
            <w:r>
              <w:rPr>
                <w:rFonts w:hint="eastAsia" w:cs="Times New Roman"/>
                <w:b w:val="0"/>
                <w:i w:val="0"/>
                <w:iCs w:val="0"/>
                <w:caps w:val="0"/>
                <w:spacing w:val="0"/>
                <w:kern w:val="2"/>
                <w:sz w:val="24"/>
                <w:szCs w:val="24"/>
                <w:lang w:val="en-US" w:eastAsia="zh-CN" w:bidi="ar-SA"/>
              </w:rPr>
              <w:t>气</w:t>
            </w:r>
            <w:r>
              <w:rPr>
                <w:rFonts w:hint="eastAsia" w:ascii="Times New Roman" w:hAnsi="Times New Roman" w:eastAsia="宋体" w:cs="Times New Roman"/>
                <w:b w:val="0"/>
                <w:i w:val="0"/>
                <w:iCs w:val="0"/>
                <w:caps w:val="0"/>
                <w:spacing w:val="0"/>
                <w:kern w:val="2"/>
                <w:sz w:val="24"/>
                <w:szCs w:val="24"/>
                <w:lang w:val="en-US" w:eastAsia="zh-CN" w:bidi="ar-SA"/>
              </w:rPr>
              <w:t>锅炉采用低氮燃烧</w:t>
            </w:r>
            <w:r>
              <w:rPr>
                <w:rFonts w:hint="eastAsia" w:cs="Times New Roman"/>
                <w:b w:val="0"/>
                <w:i w:val="0"/>
                <w:iCs w:val="0"/>
                <w:caps w:val="0"/>
                <w:spacing w:val="0"/>
                <w:kern w:val="2"/>
                <w:sz w:val="24"/>
                <w:szCs w:val="24"/>
                <w:lang w:val="en-US" w:eastAsia="zh-CN" w:bidi="ar-SA"/>
              </w:rPr>
              <w:t>+烟气再循环技术</w:t>
            </w:r>
            <w:r>
              <w:rPr>
                <w:rFonts w:hint="eastAsia" w:ascii="Times New Roman" w:hAnsi="Times New Roman" w:eastAsia="宋体" w:cs="Times New Roman"/>
                <w:b w:val="0"/>
                <w:i w:val="0"/>
                <w:iCs w:val="0"/>
                <w:caps w:val="0"/>
                <w:spacing w:val="0"/>
                <w:kern w:val="2"/>
                <w:sz w:val="24"/>
                <w:szCs w:val="24"/>
                <w:lang w:val="en-US" w:eastAsia="zh-CN" w:bidi="ar-SA"/>
              </w:rPr>
              <w:t>，可有效减少NOx的排放，烟气经上述处理措施处理后</w:t>
            </w:r>
            <w:r>
              <w:rPr>
                <w:rFonts w:hint="eastAsia" w:cs="Times New Roman"/>
                <w:b w:val="0"/>
                <w:i w:val="0"/>
                <w:iCs w:val="0"/>
                <w:caps w:val="0"/>
                <w:spacing w:val="0"/>
                <w:kern w:val="2"/>
                <w:sz w:val="24"/>
                <w:szCs w:val="24"/>
                <w:lang w:val="en-US" w:eastAsia="zh-CN" w:bidi="ar-SA"/>
              </w:rPr>
              <w:t>，颗粒物、二氧化硫、林格曼黑度</w:t>
            </w:r>
            <w:r>
              <w:rPr>
                <w:rFonts w:hint="eastAsia" w:ascii="Times New Roman" w:hAnsi="Times New Roman" w:eastAsia="宋体" w:cs="Times New Roman"/>
                <w:b w:val="0"/>
                <w:i w:val="0"/>
                <w:iCs w:val="0"/>
                <w:caps w:val="0"/>
                <w:spacing w:val="0"/>
                <w:kern w:val="2"/>
                <w:sz w:val="24"/>
                <w:szCs w:val="24"/>
                <w:lang w:val="en-US" w:eastAsia="zh-CN" w:bidi="ar-SA"/>
              </w:rPr>
              <w:t>均符合《锅炉大气污染物排放标准》（GB13271-2014）要求</w:t>
            </w:r>
            <w:r>
              <w:rPr>
                <w:rFonts w:hint="eastAsia" w:cs="Times New Roman"/>
                <w:b w:val="0"/>
                <w:i w:val="0"/>
                <w:iCs w:val="0"/>
                <w:caps w:val="0"/>
                <w:spacing w:val="0"/>
                <w:kern w:val="2"/>
                <w:sz w:val="24"/>
                <w:szCs w:val="24"/>
                <w:lang w:val="en-US" w:eastAsia="zh-CN" w:bidi="ar-SA"/>
              </w:rPr>
              <w:t>，氮氧化物满足《关于开展自治区2022年度夏秋季大气污染防治“冬病夏治”工作的通知》（新环大气函〔2022〕483号）要求。</w:t>
            </w:r>
          </w:p>
          <w:p w14:paraId="2915E5CF">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 废水环境影响和保护措施</w:t>
            </w:r>
          </w:p>
          <w:p w14:paraId="17C943E3">
            <w:pPr>
              <w:pStyle w:val="2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本项目废水主要为锅炉排污水和软化处理废水</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本项目不新增劳动定员，不新增生活污水</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w:t>
            </w:r>
          </w:p>
          <w:p w14:paraId="3CC7FE0C">
            <w:pPr>
              <w:pStyle w:val="6"/>
              <w:numPr>
                <w:ilvl w:val="1"/>
                <w:numId w:val="0"/>
              </w:numPr>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2.1 </w:t>
            </w:r>
            <w:r>
              <w:rPr>
                <w:rFonts w:hint="default" w:ascii="Times New Roman" w:hAnsi="Times New Roman" w:eastAsia="宋体" w:cs="Times New Roman"/>
                <w:color w:val="000000" w:themeColor="text1"/>
                <w:lang w:val="en-US" w:eastAsia="zh-CN"/>
                <w14:textFill>
                  <w14:solidFill>
                    <w14:schemeClr w14:val="tx1"/>
                  </w14:solidFill>
                </w14:textFill>
              </w:rPr>
              <w:t>废水源强分析</w:t>
            </w:r>
          </w:p>
          <w:p w14:paraId="463DA3BD">
            <w:pPr>
              <w:pStyle w:val="2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（1）生产废水</w:t>
            </w:r>
          </w:p>
          <w:p w14:paraId="28890877">
            <w:pPr>
              <w:pStyle w:val="2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生产废水主要为锅炉排污水及软化处理废水，根据《排放源统计调查产排污核算方法和系数手册》（2021年6月）中227工业锅炉（热力供应）行业系数手册－工业废水量和“化学需氧量”；废水产生量即为燃料用量乘以产污系数，详见表4-5。</w:t>
            </w:r>
          </w:p>
          <w:p w14:paraId="608004ED">
            <w:pPr>
              <w:pStyle w:val="3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废水产污系数表</w:t>
            </w:r>
          </w:p>
          <w:tbl>
            <w:tblPr>
              <w:tblStyle w:val="29"/>
              <w:tblW w:w="4996" w:type="pct"/>
              <w:jc w:val="center"/>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856"/>
              <w:gridCol w:w="1180"/>
              <w:gridCol w:w="1099"/>
              <w:gridCol w:w="1342"/>
              <w:gridCol w:w="1157"/>
              <w:gridCol w:w="1410"/>
            </w:tblGrid>
            <w:tr w14:paraId="098E2287">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tcBorders>
                    <w:tl2br w:val="nil"/>
                    <w:tr2bl w:val="nil"/>
                  </w:tcBorders>
                  <w:vAlign w:val="center"/>
                </w:tcPr>
                <w:p w14:paraId="43C0A417">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产品名称</w:t>
                  </w:r>
                </w:p>
              </w:tc>
              <w:tc>
                <w:tcPr>
                  <w:tcW w:w="551" w:type="pct"/>
                  <w:tcBorders>
                    <w:tl2br w:val="nil"/>
                    <w:tr2bl w:val="nil"/>
                  </w:tcBorders>
                  <w:vAlign w:val="center"/>
                </w:tcPr>
                <w:p w14:paraId="40859D48">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原料名称</w:t>
                  </w:r>
                </w:p>
              </w:tc>
              <w:tc>
                <w:tcPr>
                  <w:tcW w:w="760" w:type="pct"/>
                  <w:tcBorders>
                    <w:tl2br w:val="nil"/>
                    <w:tr2bl w:val="nil"/>
                  </w:tcBorders>
                  <w:vAlign w:val="center"/>
                </w:tcPr>
                <w:p w14:paraId="1F7C45DD">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工艺名称</w:t>
                  </w:r>
                </w:p>
              </w:tc>
              <w:tc>
                <w:tcPr>
                  <w:tcW w:w="708" w:type="pct"/>
                  <w:tcBorders>
                    <w:tl2br w:val="nil"/>
                    <w:tr2bl w:val="nil"/>
                  </w:tcBorders>
                  <w:vAlign w:val="center"/>
                </w:tcPr>
                <w:p w14:paraId="7C5697E0">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规模等级</w:t>
                  </w:r>
                </w:p>
              </w:tc>
              <w:tc>
                <w:tcPr>
                  <w:tcW w:w="864" w:type="pct"/>
                  <w:tcBorders>
                    <w:tl2br w:val="nil"/>
                    <w:tr2bl w:val="nil"/>
                  </w:tcBorders>
                  <w:vAlign w:val="center"/>
                </w:tcPr>
                <w:p w14:paraId="3331A3D5">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污染物指标</w:t>
                  </w:r>
                </w:p>
              </w:tc>
              <w:tc>
                <w:tcPr>
                  <w:tcW w:w="745" w:type="pct"/>
                  <w:tcBorders>
                    <w:tl2br w:val="nil"/>
                    <w:tr2bl w:val="nil"/>
                  </w:tcBorders>
                  <w:vAlign w:val="center"/>
                </w:tcPr>
                <w:p w14:paraId="125DBEAD">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单位</w:t>
                  </w:r>
                </w:p>
              </w:tc>
              <w:tc>
                <w:tcPr>
                  <w:tcW w:w="908" w:type="pct"/>
                  <w:tcBorders>
                    <w:tl2br w:val="nil"/>
                    <w:tr2bl w:val="nil"/>
                  </w:tcBorders>
                  <w:vAlign w:val="center"/>
                </w:tcPr>
                <w:p w14:paraId="511AF86C">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产污系数</w:t>
                  </w:r>
                </w:p>
              </w:tc>
            </w:tr>
            <w:tr w14:paraId="2C36581D">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1" w:type="pct"/>
                  <w:vMerge w:val="restart"/>
                  <w:tcBorders>
                    <w:tl2br w:val="nil"/>
                    <w:tr2bl w:val="nil"/>
                  </w:tcBorders>
                  <w:vAlign w:val="center"/>
                </w:tcPr>
                <w:p w14:paraId="33B7813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蒸汽/热水</w:t>
                  </w:r>
                </w:p>
              </w:tc>
              <w:tc>
                <w:tcPr>
                  <w:tcW w:w="551" w:type="pct"/>
                  <w:vMerge w:val="restart"/>
                  <w:tcBorders>
                    <w:tl2br w:val="nil"/>
                    <w:tr2bl w:val="nil"/>
                  </w:tcBorders>
                  <w:vAlign w:val="center"/>
                </w:tcPr>
                <w:p w14:paraId="56AE58C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天然气</w:t>
                  </w:r>
                </w:p>
              </w:tc>
              <w:tc>
                <w:tcPr>
                  <w:tcW w:w="760" w:type="pct"/>
                  <w:vMerge w:val="restart"/>
                  <w:tcBorders>
                    <w:tl2br w:val="nil"/>
                    <w:tr2bl w:val="nil"/>
                  </w:tcBorders>
                  <w:shd w:val="clear" w:color="auto" w:fill="auto"/>
                  <w:vAlign w:val="center"/>
                </w:tcPr>
                <w:p w14:paraId="375F95A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全部类型锅炉（锅外水处理）</w:t>
                  </w:r>
                </w:p>
              </w:tc>
              <w:tc>
                <w:tcPr>
                  <w:tcW w:w="708" w:type="pct"/>
                  <w:vMerge w:val="restart"/>
                  <w:tcBorders>
                    <w:tl2br w:val="nil"/>
                    <w:tr2bl w:val="nil"/>
                  </w:tcBorders>
                  <w:shd w:val="clear" w:color="auto" w:fill="auto"/>
                  <w:vAlign w:val="center"/>
                </w:tcPr>
                <w:p w14:paraId="4BE3F42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所有规模</w:t>
                  </w:r>
                </w:p>
              </w:tc>
              <w:tc>
                <w:tcPr>
                  <w:tcW w:w="864" w:type="pct"/>
                  <w:tcBorders>
                    <w:tl2br w:val="nil"/>
                    <w:tr2bl w:val="nil"/>
                  </w:tcBorders>
                  <w:vAlign w:val="center"/>
                </w:tcPr>
                <w:p w14:paraId="6F552EF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工业废水量</w:t>
                  </w:r>
                </w:p>
              </w:tc>
              <w:tc>
                <w:tcPr>
                  <w:tcW w:w="745" w:type="pct"/>
                  <w:tcBorders>
                    <w:tl2br w:val="nil"/>
                    <w:tr2bl w:val="nil"/>
                  </w:tcBorders>
                  <w:vAlign w:val="center"/>
                </w:tcPr>
                <w:p w14:paraId="6C7DEF7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吨/万立方米－原料</w:t>
                  </w:r>
                </w:p>
              </w:tc>
              <w:tc>
                <w:tcPr>
                  <w:tcW w:w="908" w:type="pct"/>
                  <w:tcBorders>
                    <w:tl2br w:val="nil"/>
                    <w:tr2bl w:val="nil"/>
                  </w:tcBorders>
                  <w:vAlign w:val="center"/>
                </w:tcPr>
                <w:p w14:paraId="4206C4A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13.56（锅炉排污水+软化处理废水）</w:t>
                  </w:r>
                </w:p>
              </w:tc>
            </w:tr>
            <w:tr w14:paraId="56E33BF0">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1" w:type="pct"/>
                  <w:vMerge w:val="continue"/>
                  <w:tcBorders>
                    <w:tl2br w:val="nil"/>
                    <w:tr2bl w:val="nil"/>
                  </w:tcBorders>
                  <w:vAlign w:val="center"/>
                </w:tcPr>
                <w:p w14:paraId="3449E25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551" w:type="pct"/>
                  <w:vMerge w:val="continue"/>
                  <w:tcBorders>
                    <w:tl2br w:val="nil"/>
                    <w:tr2bl w:val="nil"/>
                  </w:tcBorders>
                  <w:vAlign w:val="center"/>
                </w:tcPr>
                <w:p w14:paraId="522CE14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760" w:type="pct"/>
                  <w:vMerge w:val="continue"/>
                  <w:tcBorders>
                    <w:tl2br w:val="nil"/>
                    <w:tr2bl w:val="nil"/>
                  </w:tcBorders>
                  <w:shd w:val="clear" w:color="auto" w:fill="auto"/>
                  <w:vAlign w:val="center"/>
                </w:tcPr>
                <w:p w14:paraId="62824DA7">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708" w:type="pct"/>
                  <w:vMerge w:val="continue"/>
                  <w:tcBorders>
                    <w:tl2br w:val="nil"/>
                    <w:tr2bl w:val="nil"/>
                  </w:tcBorders>
                  <w:shd w:val="clear" w:color="auto" w:fill="auto"/>
                  <w:vAlign w:val="center"/>
                </w:tcPr>
                <w:p w14:paraId="308115F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864" w:type="pct"/>
                  <w:tcBorders>
                    <w:tl2br w:val="nil"/>
                    <w:tr2bl w:val="nil"/>
                  </w:tcBorders>
                  <w:vAlign w:val="center"/>
                </w:tcPr>
                <w:p w14:paraId="3BE99CAD">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化学需氧量</w:t>
                  </w:r>
                </w:p>
              </w:tc>
              <w:tc>
                <w:tcPr>
                  <w:tcW w:w="745" w:type="pct"/>
                  <w:tcBorders>
                    <w:tl2br w:val="nil"/>
                    <w:tr2bl w:val="nil"/>
                  </w:tcBorders>
                  <w:vAlign w:val="center"/>
                </w:tcPr>
                <w:p w14:paraId="367337E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克/万立方米－原料</w:t>
                  </w:r>
                </w:p>
              </w:tc>
              <w:tc>
                <w:tcPr>
                  <w:tcW w:w="908" w:type="pct"/>
                  <w:tcBorders>
                    <w:tl2br w:val="nil"/>
                    <w:tr2bl w:val="nil"/>
                  </w:tcBorders>
                  <w:vAlign w:val="center"/>
                </w:tcPr>
                <w:p w14:paraId="212BE79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1080</w:t>
                  </w:r>
                </w:p>
              </w:tc>
            </w:tr>
          </w:tbl>
          <w:p w14:paraId="31D36796">
            <w:pPr>
              <w:pStyle w:val="2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本项目年使用天然气总量为76.8万m</w:t>
            </w:r>
            <w:r>
              <w:rPr>
                <w:rFonts w:hint="default" w:ascii="Times New Roman" w:hAnsi="Times New Roman" w:eastAsia="宋体" w:cs="Times New Roman"/>
                <w:b w:val="0"/>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，因此锅炉废水排放量为1041.4t，化学需氧量排放量为</w:t>
            </w: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0.083t/a</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，最终锅炉废水</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通过管道</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排入锅炉排污水排入循环水池收集后回用生产车间。</w:t>
            </w:r>
          </w:p>
          <w:p w14:paraId="63E085EE">
            <w:pPr>
              <w:pStyle w:val="2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（2）生活污水</w:t>
            </w:r>
          </w:p>
          <w:p w14:paraId="657460AE">
            <w:pPr>
              <w:pStyle w:val="6"/>
              <w:numPr>
                <w:ilvl w:val="1"/>
                <w:numId w:val="0"/>
              </w:numPr>
              <w:suppressLineNumbers w:val="0"/>
              <w:spacing w:before="0" w:beforeAutospacing="0" w:after="0" w:afterAutospacing="0"/>
              <w:ind w:left="0" w:right="0" w:firstLine="480" w:firstLineChars="200"/>
              <w:jc w:val="both"/>
              <w:outlineLvl w:val="2"/>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本项目不新增劳动人员，不</w:t>
            </w:r>
            <w:r>
              <w:rPr>
                <w:rFonts w:hint="eastAsia" w:cs="Times New Roman"/>
                <w:b w:val="0"/>
                <w:color w:val="000000" w:themeColor="text1"/>
                <w:kern w:val="2"/>
                <w:sz w:val="24"/>
                <w:szCs w:val="24"/>
                <w:lang w:val="en-US" w:eastAsia="zh-CN" w:bidi="ar-SA"/>
                <w14:textFill>
                  <w14:solidFill>
                    <w14:schemeClr w14:val="tx1"/>
                  </w14:solidFill>
                </w14:textFill>
              </w:rPr>
              <w:t>新增</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生活污水。</w:t>
            </w:r>
          </w:p>
          <w:p w14:paraId="2215DED1">
            <w:pPr>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2.</w:t>
            </w:r>
            <w:r>
              <w:rPr>
                <w:rFonts w:hint="eastAsia" w:cs="Times New Roman"/>
                <w:b/>
                <w:color w:val="000000" w:themeColor="text1"/>
                <w:kern w:val="2"/>
                <w:sz w:val="24"/>
                <w:szCs w:val="24"/>
                <w:lang w:val="en-US" w:eastAsia="zh-CN" w:bidi="ar-SA"/>
                <w14:textFill>
                  <w14:solidFill>
                    <w14:schemeClr w14:val="tx1"/>
                  </w14:solidFill>
                </w14:textFill>
              </w:rPr>
              <w:t>2</w:t>
            </w: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 </w:t>
            </w:r>
            <w:r>
              <w:rPr>
                <w:rFonts w:hint="eastAsia" w:cs="Times New Roman"/>
                <w:b/>
                <w:color w:val="000000" w:themeColor="text1"/>
                <w:kern w:val="2"/>
                <w:sz w:val="24"/>
                <w:szCs w:val="24"/>
                <w:lang w:val="en-US" w:eastAsia="zh-CN" w:bidi="ar-SA"/>
                <w14:textFill>
                  <w14:solidFill>
                    <w14:schemeClr w14:val="tx1"/>
                  </w14:solidFill>
                </w14:textFill>
              </w:rPr>
              <w:t>废</w:t>
            </w: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水</w:t>
            </w:r>
            <w:r>
              <w:rPr>
                <w:rFonts w:hint="eastAsia" w:cs="Times New Roman"/>
                <w:b/>
                <w:color w:val="000000" w:themeColor="text1"/>
                <w:kern w:val="2"/>
                <w:sz w:val="24"/>
                <w:szCs w:val="24"/>
                <w:lang w:val="en-US" w:eastAsia="zh-CN" w:bidi="ar-SA"/>
                <w14:textFill>
                  <w14:solidFill>
                    <w14:schemeClr w14:val="tx1"/>
                  </w14:solidFill>
                </w14:textFill>
              </w:rPr>
              <w:t>排放可行性分析</w:t>
            </w:r>
          </w:p>
          <w:p w14:paraId="10673CEA">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i w:val="0"/>
                <w:iCs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lang w:val="en-US" w:eastAsia="zh-CN"/>
                <w14:textFill>
                  <w14:solidFill>
                    <w14:schemeClr w14:val="tx1"/>
                  </w14:solidFill>
                </w14:textFill>
              </w:rPr>
              <w:t>本项目运营期废水主要为锅炉排污水与软化处理废水，无生活污水产生。经核算，</w:t>
            </w:r>
            <w:r>
              <w:rPr>
                <w:rFonts w:hint="eastAsia" w:ascii="Times New Roman" w:hAnsi="Times New Roman" w:eastAsia="宋体" w:cs="Times New Roman"/>
                <w:i w:val="0"/>
                <w:iCs w:val="0"/>
                <w:caps w:val="0"/>
                <w:color w:val="000000" w:themeColor="text1"/>
                <w:spacing w:val="0"/>
                <w:sz w:val="24"/>
                <w:szCs w:val="24"/>
                <w:lang w:val="en-US" w:eastAsia="zh-CN"/>
                <w14:textFill>
                  <w14:solidFill>
                    <w14:schemeClr w14:val="tx1"/>
                  </w14:solidFill>
                </w14:textFill>
              </w:rPr>
              <w:t>本项目锅炉</w:t>
            </w:r>
            <w:r>
              <w:rPr>
                <w:rFonts w:hint="default" w:ascii="Times New Roman" w:hAnsi="Times New Roman" w:eastAsia="宋体" w:cs="Times New Roman"/>
                <w:i w:val="0"/>
                <w:iCs w:val="0"/>
                <w:caps w:val="0"/>
                <w:color w:val="000000" w:themeColor="text1"/>
                <w:spacing w:val="0"/>
                <w:sz w:val="24"/>
                <w:szCs w:val="24"/>
                <w:lang w:val="en-US" w:eastAsia="zh-CN"/>
                <w14:textFill>
                  <w14:solidFill>
                    <w14:schemeClr w14:val="tx1"/>
                  </w14:solidFill>
                </w14:textFill>
              </w:rPr>
              <w:t>废水产生量1041.4t，化学需氧量排放量0.083t/a，水质简单属清净废水，污染负荷低。</w:t>
            </w:r>
          </w:p>
          <w:p w14:paraId="3BE377AA">
            <w:pPr>
              <w:pStyle w:val="3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表4-6</w:t>
            </w:r>
            <w:r>
              <w:rPr>
                <w:rFonts w:hint="eastAsia"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运营期废水污染因子排放量一览表</w:t>
            </w:r>
          </w:p>
          <w:tbl>
            <w:tblPr>
              <w:tblStyle w:val="3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1444"/>
              <w:gridCol w:w="1478"/>
              <w:gridCol w:w="1451"/>
              <w:gridCol w:w="1751"/>
            </w:tblGrid>
            <w:tr w14:paraId="06E12E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31" w:type="dxa"/>
                  <w:tcBorders>
                    <w:bottom w:val="single" w:color="auto" w:sz="12" w:space="0"/>
                  </w:tcBorders>
                  <w:vAlign w:val="center"/>
                </w:tcPr>
                <w:p w14:paraId="203AFC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废水类型</w:t>
                  </w:r>
                </w:p>
              </w:tc>
              <w:tc>
                <w:tcPr>
                  <w:tcW w:w="1444" w:type="dxa"/>
                  <w:tcBorders>
                    <w:bottom w:val="single" w:color="auto" w:sz="12" w:space="0"/>
                  </w:tcBorders>
                  <w:vAlign w:val="center"/>
                </w:tcPr>
                <w:p w14:paraId="4611A8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产生量（t/a）</w:t>
                  </w:r>
                </w:p>
              </w:tc>
              <w:tc>
                <w:tcPr>
                  <w:tcW w:w="1478" w:type="dxa"/>
                  <w:tcBorders>
                    <w:bottom w:val="single" w:color="auto" w:sz="12" w:space="0"/>
                  </w:tcBorders>
                  <w:vAlign w:val="center"/>
                </w:tcPr>
                <w:p w14:paraId="21CA76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污染因子</w:t>
                  </w:r>
                </w:p>
              </w:tc>
              <w:tc>
                <w:tcPr>
                  <w:tcW w:w="1451" w:type="dxa"/>
                  <w:tcBorders>
                    <w:bottom w:val="single" w:color="auto" w:sz="12" w:space="0"/>
                  </w:tcBorders>
                  <w:vAlign w:val="center"/>
                </w:tcPr>
                <w:p w14:paraId="48230F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排放量（t/a）</w:t>
                  </w:r>
                </w:p>
              </w:tc>
              <w:tc>
                <w:tcPr>
                  <w:tcW w:w="1751" w:type="dxa"/>
                  <w:tcBorders>
                    <w:bottom w:val="single" w:color="auto" w:sz="12" w:space="0"/>
                  </w:tcBorders>
                  <w:vAlign w:val="center"/>
                </w:tcPr>
                <w:p w14:paraId="2F0BF5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备注</w:t>
                  </w:r>
                </w:p>
              </w:tc>
            </w:tr>
            <w:tr w14:paraId="0FE23A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31" w:type="dxa"/>
                  <w:tcBorders>
                    <w:top w:val="single" w:color="auto" w:sz="12" w:space="0"/>
                    <w:tl2br w:val="nil"/>
                    <w:tr2bl w:val="nil"/>
                  </w:tcBorders>
                  <w:vAlign w:val="center"/>
                </w:tcPr>
                <w:p w14:paraId="66BE2A82">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锅炉排污水+软化处理废水</w:t>
                  </w:r>
                </w:p>
              </w:tc>
              <w:tc>
                <w:tcPr>
                  <w:tcW w:w="1444" w:type="dxa"/>
                  <w:tcBorders>
                    <w:top w:val="single" w:color="auto" w:sz="12" w:space="0"/>
                    <w:tl2br w:val="nil"/>
                    <w:tr2bl w:val="nil"/>
                  </w:tcBorders>
                  <w:vAlign w:val="center"/>
                </w:tcPr>
                <w:p w14:paraId="75DBBD0F">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1041.4</w:t>
                  </w:r>
                </w:p>
              </w:tc>
              <w:tc>
                <w:tcPr>
                  <w:tcW w:w="1478" w:type="dxa"/>
                  <w:tcBorders>
                    <w:top w:val="single" w:color="auto" w:sz="12" w:space="0"/>
                    <w:tl2br w:val="nil"/>
                    <w:tr2bl w:val="nil"/>
                  </w:tcBorders>
                  <w:vAlign w:val="center"/>
                </w:tcPr>
                <w:p w14:paraId="2A6B578A">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化学需氧量（COD）</w:t>
                  </w:r>
                </w:p>
              </w:tc>
              <w:tc>
                <w:tcPr>
                  <w:tcW w:w="1451" w:type="dxa"/>
                  <w:tcBorders>
                    <w:top w:val="single" w:color="auto" w:sz="12" w:space="0"/>
                    <w:tl2br w:val="nil"/>
                    <w:tr2bl w:val="nil"/>
                  </w:tcBorders>
                  <w:vAlign w:val="center"/>
                </w:tcPr>
                <w:p w14:paraId="715C7594">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0.083</w:t>
                  </w:r>
                </w:p>
              </w:tc>
              <w:tc>
                <w:tcPr>
                  <w:tcW w:w="1751" w:type="dxa"/>
                  <w:tcBorders>
                    <w:top w:val="single" w:color="auto" w:sz="12" w:space="0"/>
                    <w:tl2br w:val="nil"/>
                    <w:tr2bl w:val="nil"/>
                  </w:tcBorders>
                  <w:vAlign w:val="center"/>
                </w:tcPr>
                <w:p w14:paraId="30777A18">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水质简单，属清净废水，污染负荷低</w:t>
                  </w:r>
                </w:p>
              </w:tc>
            </w:tr>
            <w:tr w14:paraId="286EB1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31" w:type="dxa"/>
                  <w:tcBorders>
                    <w:tl2br w:val="nil"/>
                    <w:tr2bl w:val="nil"/>
                  </w:tcBorders>
                  <w:vAlign w:val="center"/>
                </w:tcPr>
                <w:p w14:paraId="11A28E6A">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锅炉排污水+软化处理废水</w:t>
                  </w:r>
                </w:p>
              </w:tc>
              <w:tc>
                <w:tcPr>
                  <w:tcW w:w="1444" w:type="dxa"/>
                  <w:tcBorders>
                    <w:tl2br w:val="nil"/>
                    <w:tr2bl w:val="nil"/>
                  </w:tcBorders>
                  <w:vAlign w:val="center"/>
                </w:tcPr>
                <w:p w14:paraId="1C684E77">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1041.4</w:t>
                  </w:r>
                </w:p>
              </w:tc>
              <w:tc>
                <w:tcPr>
                  <w:tcW w:w="1478" w:type="dxa"/>
                  <w:tcBorders>
                    <w:tl2br w:val="nil"/>
                    <w:tr2bl w:val="nil"/>
                  </w:tcBorders>
                  <w:vAlign w:val="center"/>
                </w:tcPr>
                <w:p w14:paraId="049EBA34">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悬浮物（SS）</w:t>
                  </w:r>
                </w:p>
              </w:tc>
              <w:tc>
                <w:tcPr>
                  <w:tcW w:w="1451" w:type="dxa"/>
                  <w:tcBorders>
                    <w:tl2br w:val="nil"/>
                    <w:tr2bl w:val="nil"/>
                  </w:tcBorders>
                  <w:vAlign w:val="center"/>
                </w:tcPr>
                <w:p w14:paraId="391941E6">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无组织微量排放</w:t>
                  </w:r>
                </w:p>
              </w:tc>
              <w:tc>
                <w:tcPr>
                  <w:tcW w:w="1751" w:type="dxa"/>
                  <w:tcBorders>
                    <w:tl2br w:val="nil"/>
                    <w:tr2bl w:val="nil"/>
                  </w:tcBorders>
                  <w:vAlign w:val="center"/>
                </w:tcPr>
                <w:p w14:paraId="3AC126F7">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清净废水常规伴随因子，含量极低</w:t>
                  </w:r>
                </w:p>
              </w:tc>
            </w:tr>
            <w:tr w14:paraId="52593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31" w:type="dxa"/>
                  <w:tcBorders>
                    <w:tl2br w:val="nil"/>
                    <w:tr2bl w:val="nil"/>
                  </w:tcBorders>
                  <w:vAlign w:val="center"/>
                </w:tcPr>
                <w:p w14:paraId="67781B1C">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锅炉排污水+软化处理废水</w:t>
                  </w:r>
                </w:p>
              </w:tc>
              <w:tc>
                <w:tcPr>
                  <w:tcW w:w="1444" w:type="dxa"/>
                  <w:tcBorders>
                    <w:tl2br w:val="nil"/>
                    <w:tr2bl w:val="nil"/>
                  </w:tcBorders>
                  <w:vAlign w:val="center"/>
                </w:tcPr>
                <w:p w14:paraId="5E1C7616">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1041.4</w:t>
                  </w:r>
                </w:p>
              </w:tc>
              <w:tc>
                <w:tcPr>
                  <w:tcW w:w="1478" w:type="dxa"/>
                  <w:tcBorders>
                    <w:tl2br w:val="nil"/>
                    <w:tr2bl w:val="nil"/>
                  </w:tcBorders>
                  <w:vAlign w:val="center"/>
                </w:tcPr>
                <w:p w14:paraId="694BB5E7">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总硬度（以CaCO₃计）</w:t>
                  </w:r>
                </w:p>
              </w:tc>
              <w:tc>
                <w:tcPr>
                  <w:tcW w:w="1451" w:type="dxa"/>
                  <w:tcBorders>
                    <w:tl2br w:val="nil"/>
                    <w:tr2bl w:val="nil"/>
                  </w:tcBorders>
                  <w:vAlign w:val="center"/>
                </w:tcPr>
                <w:p w14:paraId="148890FC">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少量</w:t>
                  </w:r>
                </w:p>
              </w:tc>
              <w:tc>
                <w:tcPr>
                  <w:tcW w:w="1751" w:type="dxa"/>
                  <w:tcBorders>
                    <w:tl2br w:val="nil"/>
                    <w:tr2bl w:val="nil"/>
                  </w:tcBorders>
                  <w:vAlign w:val="center"/>
                </w:tcPr>
                <w:p w14:paraId="438D3E98">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rPr>
                    <w:t>软化处理废水残留盐分，属常规水质指标</w:t>
                  </w:r>
                </w:p>
              </w:tc>
            </w:tr>
          </w:tbl>
          <w:p w14:paraId="30DA1F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i w:val="0"/>
                <w:iCs w:val="0"/>
                <w:caps w:val="0"/>
                <w:color w:val="auto"/>
                <w:spacing w:val="0"/>
                <w:kern w:val="2"/>
                <w:sz w:val="24"/>
                <w:szCs w:val="24"/>
                <w:lang w:val="en-US" w:eastAsia="zh-CN" w:bidi="ar-SA"/>
              </w:rPr>
            </w:pPr>
            <w:r>
              <w:rPr>
                <w:rFonts w:hint="default" w:ascii="Times New Roman" w:hAnsi="Times New Roman" w:eastAsia="宋体" w:cs="Times New Roman"/>
                <w:b w:val="0"/>
                <w:i w:val="0"/>
                <w:iCs w:val="0"/>
                <w:caps w:val="0"/>
                <w:color w:val="auto"/>
                <w:spacing w:val="0"/>
                <w:kern w:val="2"/>
                <w:sz w:val="24"/>
                <w:szCs w:val="24"/>
                <w:lang w:val="en-US" w:eastAsia="zh-CN" w:bidi="ar-SA"/>
              </w:rPr>
              <w:t>本项目废水仅检出化学需氧量（COD）一项主要污染因子，排放量仅0.083t/a，核算COD排放浓度约为80mg/L（浓度=排放量/产生量=0.083t÷1041.4t×109mg/t≈80mg/L）。该浓度接近《污水综合排放标准》（GB 8978-1996）中二级排放标准限值（COD≤150mg/L），且远低于一级标准限值（COD≤100mg/L），水质清洁程度高，对受纳水体或后续处理系统的污染影响极小。</w:t>
            </w:r>
          </w:p>
          <w:p w14:paraId="0188E2DE">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i w:val="0"/>
                <w:iCs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14:textFill>
                  <w14:solidFill>
                    <w14:schemeClr w14:val="tx1"/>
                  </w14:solidFill>
                </w14:textFill>
              </w:rPr>
              <w:t>在锅炉周边配套建设循环水池及配套输送管网，对锅炉排污水进行统一收集。收集后的废水经沉淀、过滤等简易预处理后，全部回用于生产线涂衬工序，替代新鲜水作为工艺用水，实现废水的闭路循环利用，从源头削减废水外排量，达到“零排放”目标</w:t>
            </w:r>
            <w:r>
              <w:rPr>
                <w:rFonts w:hint="default" w:ascii="Times New Roman" w:hAnsi="Times New Roman" w:eastAsia="宋体" w:cs="Times New Roman"/>
                <w:i w:val="0"/>
                <w:iCs w:val="0"/>
                <w:caps w:val="0"/>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lang w:val="en-US" w:eastAsia="zh-CN"/>
                <w14:textFill>
                  <w14:solidFill>
                    <w14:schemeClr w14:val="tx1"/>
                  </w14:solidFill>
                </w14:textFill>
              </w:rPr>
              <w:t>既提升了水资源利用效率，减少新鲜水消耗，又降低生产运营成本，还避免了废水外排对环境的影响，符合节水与环保要求。从环保角度，无废水外排，对周边水体环境无直接影响，因此本项目废水排放方案具备可行性。</w:t>
            </w:r>
          </w:p>
          <w:p w14:paraId="6EDB67ED">
            <w:pPr>
              <w:pStyle w:val="6"/>
              <w:pageBreakBefore w:val="0"/>
              <w:widowControl w:val="0"/>
              <w:numPr>
                <w:ilvl w:val="1"/>
                <w:numId w:val="0"/>
              </w:numPr>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2.</w:t>
            </w:r>
            <w:r>
              <w:rPr>
                <w:rFonts w:hint="default" w:ascii="Times New Roman" w:hAnsi="Times New Roman" w:cs="Times New Roman"/>
                <w:b/>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 xml:space="preserve"> 监测计划</w:t>
            </w:r>
          </w:p>
          <w:p w14:paraId="044E9C13">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根据《排污单位自行监测技术指南 火力发电及锅炉》（HJ820-2017）</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项目运营期</w:t>
            </w:r>
            <w:r>
              <w:rPr>
                <w:rFonts w:hint="default" w:ascii="Times New Roman" w:hAnsi="Times New Roman" w:cs="Times New Roman"/>
                <w:b w:val="0"/>
                <w:color w:val="000000" w:themeColor="text1"/>
                <w:kern w:val="2"/>
                <w:sz w:val="24"/>
                <w:szCs w:val="24"/>
                <w:lang w:val="en-US" w:eastAsia="zh-CN" w:bidi="ar-SA"/>
                <w14:textFill>
                  <w14:solidFill>
                    <w14:schemeClr w14:val="tx1"/>
                  </w14:solidFill>
                </w14:textFill>
              </w:rPr>
              <w:t>废水</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通过循环水池收集后，最终用于铸管车间的涂衬工序，实现废水零外排。因此无需对废水开展环境监测工作。</w:t>
            </w:r>
          </w:p>
          <w:p w14:paraId="36F046EE">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 噪声影响分析及减缓措施</w:t>
            </w:r>
          </w:p>
          <w:p w14:paraId="0316F5FD">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 xml:space="preserve">3.1 </w:t>
            </w:r>
            <w:r>
              <w:rPr>
                <w:rFonts w:hint="default" w:ascii="Times New Roman" w:hAnsi="Times New Roman" w:eastAsia="宋体" w:cs="Times New Roman"/>
                <w:bCs/>
                <w:color w:val="000000" w:themeColor="text1"/>
                <w14:textFill>
                  <w14:solidFill>
                    <w14:schemeClr w14:val="tx1"/>
                  </w14:solidFill>
                </w14:textFill>
              </w:rPr>
              <w:t>噪声源</w:t>
            </w:r>
          </w:p>
          <w:p w14:paraId="726C6454">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本项目运营过程中噪声源主要来自</w:t>
            </w:r>
            <w:r>
              <w:rPr>
                <w:rFonts w:hint="default" w:ascii="Times New Roman" w:hAnsi="Times New Roman" w:eastAsia="宋体" w:cs="Times New Roman"/>
                <w:color w:val="000000" w:themeColor="text1"/>
                <w:lang w:val="en-US" w:eastAsia="zh-CN"/>
                <w14:textFill>
                  <w14:solidFill>
                    <w14:schemeClr w14:val="tx1"/>
                  </w14:solidFill>
                </w14:textFill>
              </w:rPr>
              <w:t>锅炉设备、风机及泵设备</w:t>
            </w:r>
            <w:r>
              <w:rPr>
                <w:rFonts w:hint="default" w:ascii="Times New Roman" w:hAnsi="Times New Roman" w:eastAsia="宋体" w:cs="Times New Roman"/>
                <w:color w:val="000000" w:themeColor="text1"/>
                <w14:textFill>
                  <w14:solidFill>
                    <w14:schemeClr w14:val="tx1"/>
                  </w14:solidFill>
                </w14:textFill>
              </w:rPr>
              <w:t>噪声等，具有不定时性和突发性。设备噪声源强一般为</w:t>
            </w:r>
            <w:r>
              <w:rPr>
                <w:rFonts w:hint="default" w:ascii="Times New Roman" w:hAnsi="Times New Roman" w:eastAsia="宋体" w:cs="Times New Roman"/>
                <w:color w:val="000000" w:themeColor="text1"/>
                <w:lang w:val="en-US" w:eastAsia="zh-CN"/>
                <w14:textFill>
                  <w14:solidFill>
                    <w14:schemeClr w14:val="tx1"/>
                  </w14:solidFill>
                </w14:textFill>
              </w:rPr>
              <w:t>75</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90</w:t>
            </w:r>
            <w:r>
              <w:rPr>
                <w:rFonts w:hint="default" w:ascii="Times New Roman" w:hAnsi="Times New Roman" w:eastAsia="宋体" w:cs="Times New Roman"/>
                <w:color w:val="000000" w:themeColor="text1"/>
                <w14:textFill>
                  <w14:solidFill>
                    <w14:schemeClr w14:val="tx1"/>
                  </w14:solidFill>
                </w14:textFill>
              </w:rPr>
              <w:t>dB</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A</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生产</w:t>
            </w:r>
            <w:r>
              <w:rPr>
                <w:rFonts w:hint="default" w:ascii="Times New Roman" w:hAnsi="Times New Roman" w:eastAsia="宋体" w:cs="Times New Roman"/>
                <w:color w:val="000000" w:themeColor="text1"/>
                <w14:textFill>
                  <w14:solidFill>
                    <w14:schemeClr w14:val="tx1"/>
                  </w14:solidFill>
                </w14:textFill>
              </w:rPr>
              <w:t>设备</w:t>
            </w:r>
            <w:r>
              <w:rPr>
                <w:rFonts w:hint="default" w:ascii="Times New Roman" w:hAnsi="Times New Roman" w:eastAsia="宋体" w:cs="Times New Roman"/>
                <w:color w:val="000000" w:themeColor="text1"/>
                <w:lang w:val="en-US" w:eastAsia="zh-CN"/>
                <w14:textFill>
                  <w14:solidFill>
                    <w14:schemeClr w14:val="tx1"/>
                  </w14:solidFill>
                </w14:textFill>
              </w:rPr>
              <w:t>采取基础减振、墙体隔声等降噪措施</w:t>
            </w:r>
            <w:r>
              <w:rPr>
                <w:rFonts w:hint="default" w:ascii="Times New Roman" w:hAnsi="Times New Roman" w:eastAsia="宋体" w:cs="Times New Roman"/>
                <w:color w:val="000000" w:themeColor="text1"/>
                <w14:textFill>
                  <w14:solidFill>
                    <w14:schemeClr w14:val="tx1"/>
                  </w14:solidFill>
                </w14:textFill>
              </w:rPr>
              <w:t>。</w:t>
            </w:r>
          </w:p>
          <w:p w14:paraId="71BEB000">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项目各设备噪声及治理措施见表</w:t>
            </w:r>
            <w:r>
              <w:rPr>
                <w:rFonts w:hint="default" w:ascii="Times New Roman" w:hAnsi="Times New Roman" w:eastAsia="宋体" w:cs="Times New Roman"/>
                <w:color w:val="000000" w:themeColor="text1"/>
                <w:lang w:val="en-US" w:eastAsia="zh-CN"/>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eastAsia="宋体" w:cs="Times New Roman"/>
                <w:color w:val="000000" w:themeColor="text1"/>
                <w14:textFill>
                  <w14:solidFill>
                    <w14:schemeClr w14:val="tx1"/>
                  </w14:solidFill>
                </w14:textFill>
              </w:rPr>
              <w:t>。</w:t>
            </w:r>
          </w:p>
          <w:p w14:paraId="0750840F">
            <w:pPr>
              <w:pStyle w:val="3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r>
              <w:rPr>
                <w:rFonts w:hint="eastAsia" w:cs="Times New Roman"/>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 xml:space="preserve">  本项目噪声源强一览表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078"/>
              <w:gridCol w:w="716"/>
              <w:gridCol w:w="544"/>
              <w:gridCol w:w="451"/>
              <w:gridCol w:w="639"/>
              <w:gridCol w:w="1484"/>
              <w:gridCol w:w="954"/>
              <w:gridCol w:w="1136"/>
            </w:tblGrid>
            <w:tr w14:paraId="69003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Merge w:val="restart"/>
                  <w:tcBorders>
                    <w:tl2br w:val="nil"/>
                    <w:tr2bl w:val="nil"/>
                  </w:tcBorders>
                  <w:noWrap w:val="0"/>
                  <w:vAlign w:val="center"/>
                </w:tcPr>
                <w:p w14:paraId="56E24FC9">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序号</w:t>
                  </w:r>
                </w:p>
              </w:tc>
              <w:tc>
                <w:tcPr>
                  <w:tcW w:w="694" w:type="pct"/>
                  <w:vMerge w:val="restart"/>
                  <w:tcBorders>
                    <w:tl2br w:val="nil"/>
                    <w:tr2bl w:val="nil"/>
                  </w:tcBorders>
                  <w:noWrap w:val="0"/>
                  <w:vAlign w:val="center"/>
                </w:tcPr>
                <w:p w14:paraId="7EEA1E7F">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声源</w:t>
                  </w:r>
                  <w:r>
                    <w:rPr>
                      <w:rFonts w:hint="default" w:ascii="Times New Roman" w:hAnsi="Times New Roman" w:eastAsia="宋体" w:cs="Times New Roman"/>
                      <w:b/>
                      <w:bCs/>
                      <w:color w:val="000000" w:themeColor="text1"/>
                      <w14:textFill>
                        <w14:solidFill>
                          <w14:schemeClr w14:val="tx1"/>
                        </w14:solidFill>
                      </w14:textFill>
                    </w:rPr>
                    <w:t>名称</w:t>
                  </w:r>
                </w:p>
              </w:tc>
              <w:tc>
                <w:tcPr>
                  <w:tcW w:w="461" w:type="pct"/>
                  <w:vMerge w:val="restart"/>
                  <w:tcBorders>
                    <w:tl2br w:val="nil"/>
                    <w:tr2bl w:val="nil"/>
                  </w:tcBorders>
                  <w:noWrap w:val="0"/>
                  <w:vAlign w:val="center"/>
                </w:tcPr>
                <w:p w14:paraId="5172C015">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数量</w:t>
                  </w:r>
                </w:p>
              </w:tc>
              <w:tc>
                <w:tcPr>
                  <w:tcW w:w="1051" w:type="pct"/>
                  <w:gridSpan w:val="3"/>
                  <w:tcBorders>
                    <w:bottom w:val="single" w:color="auto" w:sz="2" w:space="0"/>
                  </w:tcBorders>
                  <w:noWrap w:val="0"/>
                  <w:vAlign w:val="center"/>
                </w:tcPr>
                <w:p w14:paraId="5421930B">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空间相对位置/m</w:t>
                  </w:r>
                </w:p>
              </w:tc>
              <w:tc>
                <w:tcPr>
                  <w:tcW w:w="955" w:type="pct"/>
                  <w:tcBorders>
                    <w:tl2br w:val="nil"/>
                    <w:tr2bl w:val="nil"/>
                  </w:tcBorders>
                  <w:noWrap w:val="0"/>
                  <w:vAlign w:val="center"/>
                </w:tcPr>
                <w:p w14:paraId="7A5B3F9F">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声源强</w:t>
                  </w:r>
                </w:p>
              </w:tc>
              <w:tc>
                <w:tcPr>
                  <w:tcW w:w="614" w:type="pct"/>
                  <w:vMerge w:val="restart"/>
                  <w:tcBorders>
                    <w:tl2br w:val="nil"/>
                    <w:tr2bl w:val="nil"/>
                  </w:tcBorders>
                  <w:noWrap w:val="0"/>
                  <w:vAlign w:val="center"/>
                </w:tcPr>
                <w:p w14:paraId="38897FCE">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声源控制</w:t>
                  </w:r>
                  <w:r>
                    <w:rPr>
                      <w:rFonts w:hint="default" w:ascii="Times New Roman" w:hAnsi="Times New Roman" w:eastAsia="宋体" w:cs="Times New Roman"/>
                      <w:b/>
                      <w:bCs/>
                      <w:color w:val="000000" w:themeColor="text1"/>
                      <w14:textFill>
                        <w14:solidFill>
                          <w14:schemeClr w14:val="tx1"/>
                        </w14:solidFill>
                      </w14:textFill>
                    </w:rPr>
                    <w:t>措施</w:t>
                  </w:r>
                </w:p>
              </w:tc>
              <w:tc>
                <w:tcPr>
                  <w:tcW w:w="731" w:type="pct"/>
                  <w:vMerge w:val="restart"/>
                  <w:tcBorders>
                    <w:tl2br w:val="nil"/>
                    <w:tr2bl w:val="nil"/>
                  </w:tcBorders>
                  <w:noWrap w:val="0"/>
                  <w:vAlign w:val="center"/>
                </w:tcPr>
                <w:p w14:paraId="04BC51C8">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建筑物插入损失dB（A）</w:t>
                  </w:r>
                </w:p>
              </w:tc>
            </w:tr>
            <w:tr w14:paraId="23BB90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90" w:type="pct"/>
                  <w:vMerge w:val="continue"/>
                  <w:tcBorders>
                    <w:tl2br w:val="nil"/>
                    <w:tr2bl w:val="nil"/>
                  </w:tcBorders>
                  <w:noWrap w:val="0"/>
                  <w:vAlign w:val="center"/>
                </w:tcPr>
                <w:p w14:paraId="0D94ECD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694" w:type="pct"/>
                  <w:vMerge w:val="continue"/>
                  <w:tcBorders>
                    <w:tl2br w:val="nil"/>
                    <w:tr2bl w:val="nil"/>
                  </w:tcBorders>
                  <w:noWrap w:val="0"/>
                  <w:vAlign w:val="center"/>
                </w:tcPr>
                <w:p w14:paraId="5FAAE745">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461" w:type="pct"/>
                  <w:vMerge w:val="continue"/>
                  <w:tcBorders>
                    <w:tl2br w:val="nil"/>
                    <w:tr2bl w:val="nil"/>
                  </w:tcBorders>
                  <w:shd w:val="clear" w:color="auto" w:fill="auto"/>
                  <w:noWrap w:val="0"/>
                  <w:vAlign w:val="center"/>
                </w:tcPr>
                <w:p w14:paraId="7695AE3E">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p>
              </w:tc>
              <w:tc>
                <w:tcPr>
                  <w:tcW w:w="350" w:type="pct"/>
                  <w:tcBorders>
                    <w:top w:val="single" w:color="auto" w:sz="2" w:space="0"/>
                    <w:bottom w:val="single" w:color="auto" w:sz="12" w:space="0"/>
                  </w:tcBorders>
                  <w:noWrap w:val="0"/>
                  <w:vAlign w:val="center"/>
                </w:tcPr>
                <w:p w14:paraId="1030EAE4">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X</w:t>
                  </w:r>
                </w:p>
              </w:tc>
              <w:tc>
                <w:tcPr>
                  <w:tcW w:w="290" w:type="pct"/>
                  <w:tcBorders>
                    <w:top w:val="single" w:color="auto" w:sz="2" w:space="0"/>
                    <w:bottom w:val="single" w:color="auto" w:sz="12" w:space="0"/>
                  </w:tcBorders>
                  <w:noWrap w:val="0"/>
                  <w:vAlign w:val="center"/>
                </w:tcPr>
                <w:p w14:paraId="48F7C81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Y</w:t>
                  </w:r>
                </w:p>
              </w:tc>
              <w:tc>
                <w:tcPr>
                  <w:tcW w:w="410" w:type="pct"/>
                  <w:tcBorders>
                    <w:top w:val="single" w:color="auto" w:sz="2" w:space="0"/>
                    <w:bottom w:val="single" w:color="auto" w:sz="12" w:space="0"/>
                  </w:tcBorders>
                  <w:noWrap w:val="0"/>
                  <w:vAlign w:val="center"/>
                </w:tcPr>
                <w:p w14:paraId="2ED6BE38">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Z</w:t>
                  </w:r>
                </w:p>
              </w:tc>
              <w:tc>
                <w:tcPr>
                  <w:tcW w:w="955" w:type="pct"/>
                  <w:tcBorders>
                    <w:tl2br w:val="nil"/>
                    <w:tr2bl w:val="nil"/>
                  </w:tcBorders>
                  <w:shd w:val="clear" w:color="auto" w:fill="auto"/>
                  <w:noWrap w:val="0"/>
                  <w:vAlign w:val="center"/>
                </w:tcPr>
                <w:p w14:paraId="70590C0B">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声功率级/dB（A）</w:t>
                  </w:r>
                </w:p>
              </w:tc>
              <w:tc>
                <w:tcPr>
                  <w:tcW w:w="614" w:type="pct"/>
                  <w:vMerge w:val="continue"/>
                  <w:tcBorders>
                    <w:tl2br w:val="nil"/>
                    <w:tr2bl w:val="nil"/>
                  </w:tcBorders>
                  <w:noWrap w:val="0"/>
                  <w:vAlign w:val="center"/>
                </w:tcPr>
                <w:p w14:paraId="2679BD1B">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tc>
              <w:tc>
                <w:tcPr>
                  <w:tcW w:w="731" w:type="pct"/>
                  <w:vMerge w:val="continue"/>
                  <w:tcBorders>
                    <w:tl2br w:val="nil"/>
                    <w:tr2bl w:val="nil"/>
                  </w:tcBorders>
                  <w:noWrap w:val="0"/>
                  <w:vAlign w:val="center"/>
                </w:tcPr>
                <w:p w14:paraId="01BDA13E">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tc>
            </w:tr>
            <w:tr w14:paraId="0A477F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90" w:type="pct"/>
                  <w:vMerge w:val="restart"/>
                  <w:tcBorders>
                    <w:top w:val="single" w:color="000000" w:sz="12" w:space="0"/>
                    <w:tl2br w:val="nil"/>
                    <w:tr2bl w:val="nil"/>
                  </w:tcBorders>
                  <w:noWrap w:val="0"/>
                  <w:vAlign w:val="center"/>
                </w:tcPr>
                <w:p w14:paraId="5B609416">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694" w:type="pct"/>
                  <w:tcBorders>
                    <w:top w:val="single" w:color="000000" w:sz="12" w:space="0"/>
                    <w:tl2br w:val="nil"/>
                    <w:tr2bl w:val="nil"/>
                  </w:tcBorders>
                  <w:noWrap w:val="0"/>
                  <w:vAlign w:val="center"/>
                </w:tcPr>
                <w:p w14:paraId="1CDC8885">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锅炉燃烧机</w:t>
                  </w:r>
                </w:p>
              </w:tc>
              <w:tc>
                <w:tcPr>
                  <w:tcW w:w="461" w:type="pct"/>
                  <w:tcBorders>
                    <w:top w:val="single" w:color="000000" w:sz="12" w:space="0"/>
                    <w:tl2br w:val="nil"/>
                    <w:tr2bl w:val="nil"/>
                  </w:tcBorders>
                  <w:shd w:val="clear" w:color="auto" w:fill="auto"/>
                  <w:noWrap w:val="0"/>
                  <w:vAlign w:val="center"/>
                </w:tcPr>
                <w:p w14:paraId="387C0443">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1台</w:t>
                  </w:r>
                </w:p>
              </w:tc>
              <w:tc>
                <w:tcPr>
                  <w:tcW w:w="350" w:type="pct"/>
                  <w:tcBorders>
                    <w:top w:val="single" w:color="auto" w:sz="12" w:space="0"/>
                    <w:tl2br w:val="nil"/>
                    <w:tr2bl w:val="nil"/>
                  </w:tcBorders>
                  <w:noWrap w:val="0"/>
                  <w:vAlign w:val="center"/>
                </w:tcPr>
                <w:p w14:paraId="797702F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25</w:t>
                  </w:r>
                </w:p>
              </w:tc>
              <w:tc>
                <w:tcPr>
                  <w:tcW w:w="290" w:type="pct"/>
                  <w:tcBorders>
                    <w:top w:val="single" w:color="auto" w:sz="12" w:space="0"/>
                    <w:tl2br w:val="nil"/>
                    <w:tr2bl w:val="nil"/>
                  </w:tcBorders>
                  <w:noWrap w:val="0"/>
                  <w:vAlign w:val="center"/>
                </w:tcPr>
                <w:p w14:paraId="40352A93">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15</w:t>
                  </w:r>
                </w:p>
              </w:tc>
              <w:tc>
                <w:tcPr>
                  <w:tcW w:w="410" w:type="pct"/>
                  <w:tcBorders>
                    <w:top w:val="single" w:color="auto" w:sz="12" w:space="0"/>
                    <w:tl2br w:val="nil"/>
                    <w:tr2bl w:val="nil"/>
                  </w:tcBorders>
                  <w:noWrap w:val="0"/>
                  <w:vAlign w:val="center"/>
                </w:tcPr>
                <w:p w14:paraId="34FDB41F">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w:t>
                  </w:r>
                </w:p>
              </w:tc>
              <w:tc>
                <w:tcPr>
                  <w:tcW w:w="955" w:type="pct"/>
                  <w:tcBorders>
                    <w:top w:val="single" w:color="000000" w:sz="12" w:space="0"/>
                    <w:tl2br w:val="nil"/>
                    <w:tr2bl w:val="nil"/>
                  </w:tcBorders>
                  <w:shd w:val="clear" w:color="auto" w:fill="auto"/>
                  <w:noWrap w:val="0"/>
                  <w:vAlign w:val="center"/>
                </w:tcPr>
                <w:p w14:paraId="4C8E4D7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90</w:t>
                  </w:r>
                </w:p>
              </w:tc>
              <w:tc>
                <w:tcPr>
                  <w:tcW w:w="614" w:type="pct"/>
                  <w:vMerge w:val="restart"/>
                  <w:tcBorders>
                    <w:top w:val="single" w:color="000000" w:sz="12" w:space="0"/>
                    <w:tl2br w:val="nil"/>
                    <w:tr2bl w:val="nil"/>
                  </w:tcBorders>
                  <w:noWrap w:val="0"/>
                  <w:vAlign w:val="center"/>
                </w:tcPr>
                <w:p w14:paraId="654E6D50">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基础减振、墙体隔声</w:t>
                  </w:r>
                </w:p>
              </w:tc>
              <w:tc>
                <w:tcPr>
                  <w:tcW w:w="731" w:type="pct"/>
                  <w:tcBorders>
                    <w:top w:val="single" w:color="000000" w:sz="12" w:space="0"/>
                    <w:tl2br w:val="nil"/>
                    <w:tr2bl w:val="nil"/>
                  </w:tcBorders>
                  <w:noWrap w:val="0"/>
                  <w:vAlign w:val="center"/>
                </w:tcPr>
                <w:p w14:paraId="17D5B8E8">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w:t>
                  </w:r>
                </w:p>
              </w:tc>
            </w:tr>
            <w:tr w14:paraId="2C37CC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90" w:type="pct"/>
                  <w:vMerge w:val="continue"/>
                  <w:tcBorders>
                    <w:tl2br w:val="nil"/>
                    <w:tr2bl w:val="nil"/>
                  </w:tcBorders>
                  <w:noWrap w:val="0"/>
                  <w:vAlign w:val="center"/>
                </w:tcPr>
                <w:p w14:paraId="30FE5608">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tc>
              <w:tc>
                <w:tcPr>
                  <w:tcW w:w="694" w:type="pct"/>
                  <w:tcBorders>
                    <w:tl2br w:val="nil"/>
                    <w:tr2bl w:val="nil"/>
                  </w:tcBorders>
                  <w:noWrap w:val="0"/>
                  <w:vAlign w:val="center"/>
                </w:tcPr>
                <w:p w14:paraId="0C1D5472">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风机</w:t>
                  </w:r>
                </w:p>
              </w:tc>
              <w:tc>
                <w:tcPr>
                  <w:tcW w:w="461" w:type="pct"/>
                  <w:tcBorders>
                    <w:tl2br w:val="nil"/>
                    <w:tr2bl w:val="nil"/>
                  </w:tcBorders>
                  <w:shd w:val="clear" w:color="auto" w:fill="auto"/>
                  <w:noWrap w:val="0"/>
                  <w:vAlign w:val="center"/>
                </w:tcPr>
                <w:p w14:paraId="6DABF9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1台</w:t>
                  </w:r>
                </w:p>
              </w:tc>
              <w:tc>
                <w:tcPr>
                  <w:tcW w:w="350" w:type="pct"/>
                  <w:tcBorders>
                    <w:tl2br w:val="nil"/>
                    <w:tr2bl w:val="nil"/>
                  </w:tcBorders>
                  <w:noWrap w:val="0"/>
                  <w:vAlign w:val="center"/>
                </w:tcPr>
                <w:p w14:paraId="5053B60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23</w:t>
                  </w:r>
                </w:p>
              </w:tc>
              <w:tc>
                <w:tcPr>
                  <w:tcW w:w="290" w:type="pct"/>
                  <w:tcBorders>
                    <w:tl2br w:val="nil"/>
                    <w:tr2bl w:val="nil"/>
                  </w:tcBorders>
                  <w:noWrap w:val="0"/>
                  <w:vAlign w:val="center"/>
                </w:tcPr>
                <w:p w14:paraId="72619616">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13</w:t>
                  </w:r>
                </w:p>
              </w:tc>
              <w:tc>
                <w:tcPr>
                  <w:tcW w:w="410" w:type="pct"/>
                  <w:tcBorders>
                    <w:tl2br w:val="nil"/>
                    <w:tr2bl w:val="nil"/>
                  </w:tcBorders>
                  <w:noWrap w:val="0"/>
                  <w:vAlign w:val="center"/>
                </w:tcPr>
                <w:p w14:paraId="6F26A54C">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0.8</w:t>
                  </w:r>
                </w:p>
              </w:tc>
              <w:tc>
                <w:tcPr>
                  <w:tcW w:w="955" w:type="pct"/>
                  <w:tcBorders>
                    <w:tl2br w:val="nil"/>
                    <w:tr2bl w:val="nil"/>
                  </w:tcBorders>
                  <w:shd w:val="clear" w:color="auto" w:fill="auto"/>
                  <w:noWrap w:val="0"/>
                  <w:vAlign w:val="center"/>
                </w:tcPr>
                <w:p w14:paraId="55EC92F8">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80</w:t>
                  </w:r>
                </w:p>
              </w:tc>
              <w:tc>
                <w:tcPr>
                  <w:tcW w:w="614" w:type="pct"/>
                  <w:vMerge w:val="continue"/>
                  <w:tcBorders>
                    <w:tl2br w:val="nil"/>
                    <w:tr2bl w:val="nil"/>
                  </w:tcBorders>
                  <w:noWrap w:val="0"/>
                  <w:vAlign w:val="center"/>
                </w:tcPr>
                <w:p w14:paraId="3E013354">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14:textFill>
                        <w14:solidFill>
                          <w14:schemeClr w14:val="tx1"/>
                        </w14:solidFill>
                      </w14:textFill>
                    </w:rPr>
                  </w:pPr>
                </w:p>
              </w:tc>
              <w:tc>
                <w:tcPr>
                  <w:tcW w:w="731" w:type="pct"/>
                  <w:tcBorders>
                    <w:tl2br w:val="nil"/>
                    <w:tr2bl w:val="nil"/>
                  </w:tcBorders>
                  <w:noWrap w:val="0"/>
                  <w:vAlign w:val="center"/>
                </w:tcPr>
                <w:p w14:paraId="0F1D4733">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w:t>
                  </w:r>
                </w:p>
              </w:tc>
            </w:tr>
            <w:tr w14:paraId="01B9C4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90" w:type="pct"/>
                  <w:vMerge w:val="continue"/>
                  <w:tcBorders>
                    <w:tl2br w:val="nil"/>
                    <w:tr2bl w:val="nil"/>
                  </w:tcBorders>
                  <w:noWrap w:val="0"/>
                  <w:vAlign w:val="center"/>
                </w:tcPr>
                <w:p w14:paraId="0D9DA2E1">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tc>
              <w:tc>
                <w:tcPr>
                  <w:tcW w:w="694" w:type="pct"/>
                  <w:tcBorders>
                    <w:tl2br w:val="nil"/>
                    <w:tr2bl w:val="nil"/>
                  </w:tcBorders>
                  <w:noWrap w:val="0"/>
                  <w:vAlign w:val="center"/>
                </w:tcPr>
                <w:p w14:paraId="06791349">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水泵</w:t>
                  </w:r>
                </w:p>
              </w:tc>
              <w:tc>
                <w:tcPr>
                  <w:tcW w:w="461" w:type="pct"/>
                  <w:tcBorders>
                    <w:tl2br w:val="nil"/>
                    <w:tr2bl w:val="nil"/>
                  </w:tcBorders>
                  <w:shd w:val="clear" w:color="auto" w:fill="auto"/>
                  <w:noWrap w:val="0"/>
                  <w:vAlign w:val="center"/>
                </w:tcPr>
                <w:p w14:paraId="71617E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1台</w:t>
                  </w:r>
                </w:p>
              </w:tc>
              <w:tc>
                <w:tcPr>
                  <w:tcW w:w="350" w:type="pct"/>
                  <w:tcBorders>
                    <w:tl2br w:val="nil"/>
                    <w:tr2bl w:val="nil"/>
                  </w:tcBorders>
                  <w:noWrap w:val="0"/>
                  <w:vAlign w:val="center"/>
                </w:tcPr>
                <w:p w14:paraId="67A96B62">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24</w:t>
                  </w:r>
                </w:p>
              </w:tc>
              <w:tc>
                <w:tcPr>
                  <w:tcW w:w="290" w:type="pct"/>
                  <w:tcBorders>
                    <w:tl2br w:val="nil"/>
                    <w:tr2bl w:val="nil"/>
                  </w:tcBorders>
                  <w:noWrap w:val="0"/>
                  <w:vAlign w:val="center"/>
                </w:tcPr>
                <w:p w14:paraId="65D2905B">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14</w:t>
                  </w:r>
                </w:p>
              </w:tc>
              <w:tc>
                <w:tcPr>
                  <w:tcW w:w="410" w:type="pct"/>
                  <w:tcBorders>
                    <w:tl2br w:val="nil"/>
                    <w:tr2bl w:val="nil"/>
                  </w:tcBorders>
                  <w:noWrap w:val="0"/>
                  <w:vAlign w:val="center"/>
                </w:tcPr>
                <w:p w14:paraId="7477FBFD">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0.5</w:t>
                  </w:r>
                </w:p>
              </w:tc>
              <w:tc>
                <w:tcPr>
                  <w:tcW w:w="955" w:type="pct"/>
                  <w:tcBorders>
                    <w:tl2br w:val="nil"/>
                    <w:tr2bl w:val="nil"/>
                  </w:tcBorders>
                  <w:shd w:val="clear" w:color="auto" w:fill="auto"/>
                  <w:noWrap w:val="0"/>
                  <w:vAlign w:val="center"/>
                </w:tcPr>
                <w:p w14:paraId="342D3E45">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75</w:t>
                  </w:r>
                </w:p>
              </w:tc>
              <w:tc>
                <w:tcPr>
                  <w:tcW w:w="614" w:type="pct"/>
                  <w:vMerge w:val="continue"/>
                  <w:tcBorders>
                    <w:tl2br w:val="nil"/>
                    <w:tr2bl w:val="nil"/>
                  </w:tcBorders>
                  <w:noWrap w:val="0"/>
                  <w:vAlign w:val="center"/>
                </w:tcPr>
                <w:p w14:paraId="443EB646">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14:textFill>
                        <w14:solidFill>
                          <w14:schemeClr w14:val="tx1"/>
                        </w14:solidFill>
                      </w14:textFill>
                    </w:rPr>
                  </w:pPr>
                </w:p>
              </w:tc>
              <w:tc>
                <w:tcPr>
                  <w:tcW w:w="731" w:type="pct"/>
                  <w:tcBorders>
                    <w:tl2br w:val="nil"/>
                    <w:tr2bl w:val="nil"/>
                  </w:tcBorders>
                  <w:noWrap w:val="0"/>
                  <w:vAlign w:val="center"/>
                </w:tcPr>
                <w:p w14:paraId="27CF129A">
                  <w:pPr>
                    <w:pStyle w:val="3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w:t>
                  </w:r>
                </w:p>
              </w:tc>
            </w:tr>
          </w:tbl>
          <w:p w14:paraId="6C86DA7D">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2 </w:t>
            </w:r>
            <w:r>
              <w:rPr>
                <w:rFonts w:hint="default" w:ascii="Times New Roman" w:hAnsi="Times New Roman" w:eastAsia="宋体" w:cs="Times New Roman"/>
                <w:color w:val="000000" w:themeColor="text1"/>
                <w14:textFill>
                  <w14:solidFill>
                    <w14:schemeClr w14:val="tx1"/>
                  </w14:solidFill>
                </w14:textFill>
              </w:rPr>
              <w:t>预测方法</w:t>
            </w:r>
          </w:p>
          <w:p w14:paraId="734BE8E2">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噪声源布置较为集中，其对厂界的声环境影响采取《环境影响评价技术导则 声环境》（HJ2.4-2021）中的噪声预测模式。</w:t>
            </w:r>
          </w:p>
          <w:p w14:paraId="5AEC00B1">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由于在声波传播的过程中，通过距离衰减到达厂界外，故实际衰减量要低于其预测衰减量，即实际噪声值将略低于其预测值。</w:t>
            </w:r>
          </w:p>
          <w:p w14:paraId="0E0231E9">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根据现有项目原有车间监测</w:t>
            </w:r>
            <w:r>
              <w:rPr>
                <w:rFonts w:hint="default" w:ascii="Times New Roman" w:hAnsi="Times New Roman" w:eastAsia="宋体" w:cs="Times New Roman"/>
                <w:color w:val="000000" w:themeColor="text1"/>
                <w14:textFill>
                  <w14:solidFill>
                    <w14:schemeClr w14:val="tx1"/>
                  </w14:solidFill>
                </w14:textFill>
              </w:rPr>
              <w:t>，厂界噪声昼间范围为45.</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dB（A）</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eastAsia="宋体"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dB（A），夜间噪声范围为</w:t>
            </w:r>
            <w:r>
              <w:rPr>
                <w:rFonts w:hint="eastAsia" w:cs="Times New Roman"/>
                <w:color w:val="000000" w:themeColor="text1"/>
                <w:lang w:val="en-US" w:eastAsia="zh-CN"/>
                <w14:textFill>
                  <w14:solidFill>
                    <w14:schemeClr w14:val="tx1"/>
                  </w14:solidFill>
                </w14:textFill>
              </w:rPr>
              <w:t>41</w:t>
            </w:r>
            <w:r>
              <w:rPr>
                <w:rFonts w:hint="default" w:ascii="Times New Roman" w:hAnsi="Times New Roman" w:eastAsia="宋体"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dB（A）</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42</w:t>
            </w:r>
            <w:r>
              <w:rPr>
                <w:rFonts w:hint="default" w:ascii="Times New Roman" w:hAnsi="Times New Roman" w:eastAsia="宋体"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dB（A），满足《工业企业厂界环境噪声排放标准》（GB12348-2008）中3类功能区排放限值的要求</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昼间65dB（A），夜间55dB（A）。</w:t>
            </w:r>
          </w:p>
          <w:p w14:paraId="58F70A9C">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3.3 噪声影响预测模式</w:t>
            </w:r>
          </w:p>
          <w:p w14:paraId="3086874E">
            <w:pPr>
              <w:pStyle w:val="8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0" w:firstLineChars="200"/>
              <w:jc w:val="both"/>
              <w:textAlignment w:val="auto"/>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spacing w:val="-5"/>
                <w14:textFill>
                  <w14:solidFill>
                    <w14:schemeClr w14:val="tx1"/>
                  </w14:solidFill>
                </w14:textFill>
              </w:rPr>
              <w:t>（1）预测模型</w:t>
            </w:r>
          </w:p>
          <w:p w14:paraId="2D28C8F5">
            <w:pPr>
              <w:pStyle w:val="8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4" w:firstLineChars="200"/>
              <w:jc w:val="both"/>
              <w:textAlignment w:val="auto"/>
              <w:rPr>
                <w:rFonts w:hint="default" w:ascii="Times New Roman" w:hAnsi="Times New Roman" w:eastAsia="宋体" w:cs="Times New Roman"/>
                <w:b w:val="0"/>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color w:val="000000" w:themeColor="text1"/>
                <w:spacing w:val="1"/>
                <w:sz w:val="24"/>
                <w:szCs w:val="24"/>
                <w14:textFill>
                  <w14:solidFill>
                    <w14:schemeClr w14:val="tx1"/>
                  </w14:solidFill>
                </w14:textFill>
              </w:rPr>
              <w:t>本次评价采用《环境影响评价技术导则 声环境》（</w:t>
            </w:r>
            <w:r>
              <w:rPr>
                <w:rFonts w:hint="default" w:ascii="Times New Roman" w:hAnsi="Times New Roman" w:eastAsia="宋体" w:cs="Times New Roman"/>
                <w:b w:val="0"/>
                <w:bCs/>
                <w:color w:val="000000" w:themeColor="text1"/>
                <w:sz w:val="24"/>
                <w:szCs w:val="24"/>
                <w14:textFill>
                  <w14:solidFill>
                    <w14:schemeClr w14:val="tx1"/>
                  </w14:solidFill>
                </w14:textFill>
              </w:rPr>
              <w:t>HJ</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2.4-2</w:t>
            </w:r>
            <w:r>
              <w:rPr>
                <w:rFonts w:hint="default" w:ascii="Times New Roman" w:hAnsi="Times New Roman" w:eastAsia="宋体" w:cs="Times New Roman"/>
                <w:b w:val="0"/>
                <w:bCs/>
                <w:color w:val="000000" w:themeColor="text1"/>
                <w:sz w:val="24"/>
                <w:szCs w:val="24"/>
                <w14:textFill>
                  <w14:solidFill>
                    <w14:schemeClr w14:val="tx1"/>
                  </w14:solidFill>
                </w14:textFill>
              </w:rPr>
              <w:t>021）中推</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荐的模式进行预测</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，采</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用</w:t>
            </w:r>
            <w:r>
              <w:rPr>
                <w:rFonts w:hint="default" w:ascii="Times New Roman" w:hAnsi="Times New Roman" w:eastAsia="宋体" w:cs="Times New Roman"/>
                <w:b w:val="0"/>
                <w:bCs/>
                <w:color w:val="000000" w:themeColor="text1"/>
                <w:spacing w:val="-50"/>
                <w:sz w:val="24"/>
                <w:szCs w:val="24"/>
                <w14:textFill>
                  <w14:solidFill>
                    <w14:schemeClr w14:val="tx1"/>
                  </w14:solidFill>
                </w14:textFill>
              </w:rPr>
              <w:t xml:space="preserve"> </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A声级计算，模式如下</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w:t>
            </w:r>
          </w:p>
          <w:p w14:paraId="2BF1DA8D">
            <w:pPr>
              <w:pStyle w:val="87"/>
              <w:keepNext w:val="0"/>
              <w:keepLines w:val="0"/>
              <w:suppressLineNumbers w:val="0"/>
              <w:spacing w:before="2" w:beforeAutospacing="0" w:after="0" w:afterAutospacing="0" w:line="332" w:lineRule="auto"/>
              <w:ind w:left="114" w:right="100" w:firstLine="474"/>
              <w:jc w:val="both"/>
              <w:rPr>
                <w:rFonts w:hint="default" w:ascii="Times New Roman" w:hAnsi="Times New Roman" w:eastAsia="宋体" w:cs="Times New Roman"/>
                <w:b w:val="0"/>
                <w:bCs/>
                <w:color w:val="000000" w:themeColor="text1"/>
                <w:spacing w:val="-3"/>
                <w:sz w:val="24"/>
                <w:szCs w:val="24"/>
                <w14:textFill>
                  <w14:solidFill>
                    <w14:schemeClr w14:val="tx1"/>
                  </w14:solidFill>
                </w14:textFill>
              </w:rPr>
            </w:pPr>
            <w:r>
              <w:rPr>
                <w:rFonts w:hint="default" w:ascii="Times New Roman" w:hAnsi="Times New Roman" w:eastAsia="宋体" w:cs="Times New Roman"/>
                <w:b w:val="0"/>
                <w:bCs/>
                <w:color w:val="000000" w:themeColor="text1"/>
                <w:spacing w:val="-3"/>
                <w:sz w:val="24"/>
                <w:szCs w:val="24"/>
                <w:lang w:val="en-US" w:eastAsia="zh-CN"/>
                <w14:textFill>
                  <w14:solidFill>
                    <w14:schemeClr w14:val="tx1"/>
                  </w14:solidFill>
                </w14:textFill>
              </w:rPr>
              <w:t>①</w:t>
            </w:r>
            <w:r>
              <w:rPr>
                <w:rFonts w:hint="default" w:ascii="Times New Roman" w:hAnsi="Times New Roman" w:eastAsia="宋体" w:cs="Times New Roman"/>
                <w:b w:val="0"/>
                <w:bCs/>
                <w:color w:val="000000" w:themeColor="text1"/>
                <w:spacing w:val="-3"/>
                <w:sz w:val="24"/>
                <w:szCs w:val="24"/>
                <w14:textFill>
                  <w14:solidFill>
                    <w14:schemeClr w14:val="tx1"/>
                  </w14:solidFill>
                </w14:textFill>
              </w:rPr>
              <w:t>按照无指向性点声源几何发散衰减进行计算</w:t>
            </w:r>
            <w:r>
              <w:rPr>
                <w:rFonts w:hint="default" w:ascii="Times New Roman" w:hAnsi="Times New Roman" w:eastAsia="宋体" w:cs="Times New Roman"/>
                <w:b w:val="0"/>
                <w:bCs/>
                <w:color w:val="000000" w:themeColor="text1"/>
                <w:spacing w:val="-3"/>
                <w:sz w:val="24"/>
                <w:szCs w:val="24"/>
                <w:lang w:eastAsia="zh-CN"/>
                <w14:textFill>
                  <w14:solidFill>
                    <w14:schemeClr w14:val="tx1"/>
                  </w14:solidFill>
                </w14:textFill>
              </w:rPr>
              <w:t>：</w:t>
            </w:r>
          </w:p>
          <w:p w14:paraId="1CFE6895">
            <w:pPr>
              <w:keepNext w:val="0"/>
              <w:keepLines w:val="0"/>
              <w:pageBreakBefore w:val="0"/>
              <w:widowControl w:val="0"/>
              <w:numPr>
                <w:ilvl w:val="0"/>
                <w:numId w:val="0"/>
              </w:numPr>
              <w:suppressLineNumbers w:val="0"/>
              <w:shd w:val="clear" w:color="auto" w:fill="auto"/>
              <w:kinsoku/>
              <w:wordWrap w:val="0"/>
              <w:overflowPunct/>
              <w:topLinePunct w:val="0"/>
              <w:autoSpaceDE/>
              <w:autoSpaceDN/>
              <w:bidi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drawing>
                <wp:inline distT="0" distB="0" distL="114300" distR="114300">
                  <wp:extent cx="2905125" cy="428625"/>
                  <wp:effectExtent l="0" t="0" r="9525" b="9525"/>
                  <wp:docPr id="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pic:cNvPicPr>
                            <a:picLocks noChangeAspect="1"/>
                          </pic:cNvPicPr>
                        </pic:nvPicPr>
                        <pic:blipFill>
                          <a:blip r:embed="rId18"/>
                          <a:stretch>
                            <a:fillRect/>
                          </a:stretch>
                        </pic:blipFill>
                        <pic:spPr>
                          <a:xfrm>
                            <a:off x="0" y="0"/>
                            <a:ext cx="2905125" cy="428625"/>
                          </a:xfrm>
                          <a:prstGeom prst="rect">
                            <a:avLst/>
                          </a:prstGeom>
                          <a:noFill/>
                          <a:ln>
                            <a:noFill/>
                          </a:ln>
                        </pic:spPr>
                      </pic:pic>
                    </a:graphicData>
                  </a:graphic>
                </wp:inline>
              </w:drawing>
            </w:r>
          </w:p>
          <w:p w14:paraId="0544635E">
            <w:pPr>
              <w:keepNext w:val="0"/>
              <w:keepLines w:val="0"/>
              <w:pageBreakBefore w:val="0"/>
              <w:widowControl w:val="0"/>
              <w:suppressLineNumbers w:val="0"/>
              <w:shd w:val="clear" w:color="auto" w:fill="auto"/>
              <w:kinsoku/>
              <w:wordWrap w:val="0"/>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both"/>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式中</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L</w:t>
            </w:r>
            <w:r>
              <w:rPr>
                <w:rFonts w:hint="default" w:ascii="Times New Roman" w:hAnsi="Times New Roman" w:eastAsia="宋体" w:cs="Times New Roman"/>
                <w:b w:val="0"/>
                <w:bCs/>
                <w:color w:val="000000" w:themeColor="text1"/>
                <w:sz w:val="24"/>
                <w:szCs w:val="24"/>
                <w:highlight w:val="none"/>
                <w:vertAlign w:val="subscript"/>
                <w:lang w:val="en-US" w:eastAsia="zh-CN"/>
                <w14:textFill>
                  <w14:solidFill>
                    <w14:schemeClr w14:val="tx1"/>
                  </w14:solidFill>
                </w14:textFill>
              </w:rPr>
              <w:t>p</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（r）</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——预测点处声压级，dB</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A</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w:t>
            </w:r>
          </w:p>
          <w:p w14:paraId="0F0D793B">
            <w:pPr>
              <w:keepNext w:val="0"/>
              <w:keepLines w:val="0"/>
              <w:pageBreakBefore w:val="0"/>
              <w:widowControl w:val="0"/>
              <w:suppressLineNumbers w:val="0"/>
              <w:shd w:val="clear" w:color="auto" w:fill="auto"/>
              <w:kinsoku/>
              <w:wordWrap w:val="0"/>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both"/>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 xml:space="preserve">      L</w:t>
            </w:r>
            <w:r>
              <w:rPr>
                <w:rFonts w:hint="default" w:ascii="Times New Roman" w:hAnsi="Times New Roman" w:eastAsia="宋体" w:cs="Times New Roman"/>
                <w:b w:val="0"/>
                <w:bCs/>
                <w:color w:val="000000" w:themeColor="text1"/>
                <w:sz w:val="24"/>
                <w:szCs w:val="24"/>
                <w:highlight w:val="none"/>
                <w:vertAlign w:val="subscript"/>
                <w:lang w:val="en-US" w:eastAsia="zh-CN"/>
                <w14:textFill>
                  <w14:solidFill>
                    <w14:schemeClr w14:val="tx1"/>
                  </w14:solidFill>
                </w14:textFill>
              </w:rPr>
              <w:t>p</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（r</w:t>
            </w:r>
            <w:r>
              <w:rPr>
                <w:rFonts w:hint="default" w:ascii="Times New Roman" w:hAnsi="Times New Roman" w:eastAsia="宋体" w:cs="Times New Roman"/>
                <w:b w:val="0"/>
                <w:bCs/>
                <w:color w:val="000000" w:themeColor="text1"/>
                <w:sz w:val="24"/>
                <w:szCs w:val="24"/>
                <w:highlight w:val="none"/>
                <w:vertAlign w:val="subscript"/>
                <w:lang w:val="en-US" w:eastAsia="zh-CN"/>
                <w14:textFill>
                  <w14:solidFill>
                    <w14:schemeClr w14:val="tx1"/>
                  </w14:solidFill>
                </w14:textFill>
              </w:rPr>
              <w:t>0</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——参考位置r</w:t>
            </w:r>
            <w:r>
              <w:rPr>
                <w:rFonts w:hint="default" w:ascii="Times New Roman" w:hAnsi="Times New Roman" w:eastAsia="宋体" w:cs="Times New Roman"/>
                <w:b w:val="0"/>
                <w:bCs/>
                <w:color w:val="000000" w:themeColor="text1"/>
                <w:sz w:val="24"/>
                <w:szCs w:val="24"/>
                <w:highlight w:val="none"/>
                <w:vertAlign w:val="subscript"/>
                <w:lang w:val="en-US" w:eastAsia="zh-CN"/>
                <w14:textFill>
                  <w14:solidFill>
                    <w14:schemeClr w14:val="tx1"/>
                  </w14:solidFill>
                </w14:textFill>
              </w:rPr>
              <w:t>0</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处的声压级，dB</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A</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w:t>
            </w:r>
          </w:p>
          <w:p w14:paraId="1E1BF174">
            <w:pPr>
              <w:keepNext w:val="0"/>
              <w:keepLines w:val="0"/>
              <w:pageBreakBefore w:val="0"/>
              <w:widowControl w:val="0"/>
              <w:suppressLineNumbers w:val="0"/>
              <w:shd w:val="clear" w:color="auto" w:fill="auto"/>
              <w:kinsoku/>
              <w:wordWrap w:val="0"/>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 xml:space="preserve">      r——预测点距声源的距离，</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m</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w:t>
            </w:r>
          </w:p>
          <w:p w14:paraId="32B5C431">
            <w:pPr>
              <w:pStyle w:val="87"/>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color w:val="000000" w:themeColor="text1"/>
                <w:spacing w:val="-3"/>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 xml:space="preserve">      </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r</w:t>
            </w:r>
            <w:r>
              <w:rPr>
                <w:rFonts w:hint="default" w:ascii="Times New Roman" w:hAnsi="Times New Roman" w:eastAsia="宋体" w:cs="Times New Roman"/>
                <w:b w:val="0"/>
                <w:bCs/>
                <w:color w:val="000000" w:themeColor="text1"/>
                <w:sz w:val="24"/>
                <w:szCs w:val="24"/>
                <w:highlight w:val="none"/>
                <w:vertAlign w:val="subscript"/>
                <w:lang w:val="en-US" w:eastAsia="zh-CN"/>
                <w14:textFill>
                  <w14:solidFill>
                    <w14:schemeClr w14:val="tx1"/>
                  </w14:solidFill>
                </w14:textFill>
              </w:rPr>
              <w:t>0</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——参考位置距声源的距离，</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m</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w:t>
            </w:r>
          </w:p>
          <w:p w14:paraId="3A0B3EEC">
            <w:pPr>
              <w:pStyle w:val="87"/>
              <w:keepNext w:val="0"/>
              <w:keepLines w:val="0"/>
              <w:suppressLineNumbers w:val="0"/>
              <w:spacing w:before="2" w:beforeAutospacing="0" w:after="0" w:afterAutospacing="0" w:line="332" w:lineRule="auto"/>
              <w:ind w:left="114" w:right="100" w:firstLine="474"/>
              <w:jc w:val="both"/>
              <w:rPr>
                <w:rFonts w:hint="default" w:ascii="Times New Roman" w:hAnsi="Times New Roman" w:eastAsia="宋体" w:cs="Times New Roman"/>
                <w:b w:val="0"/>
                <w:bCs/>
                <w:color w:val="000000" w:themeColor="text1"/>
                <w:spacing w:val="-8"/>
                <w:sz w:val="24"/>
                <w:szCs w:val="24"/>
                <w14:textFill>
                  <w14:solidFill>
                    <w14:schemeClr w14:val="tx1"/>
                  </w14:solidFill>
                </w14:textFill>
              </w:rPr>
            </w:pPr>
            <w:r>
              <w:rPr>
                <w:rFonts w:hint="default" w:ascii="Times New Roman" w:hAnsi="Times New Roman" w:eastAsia="宋体" w:cs="Times New Roman"/>
                <w:b w:val="0"/>
                <w:bCs/>
                <w:color w:val="000000" w:themeColor="text1"/>
                <w:spacing w:val="-3"/>
                <w:sz w:val="24"/>
                <w:szCs w:val="24"/>
                <w:lang w:val="en-US" w:eastAsia="zh-CN"/>
                <w14:textFill>
                  <w14:solidFill>
                    <w14:schemeClr w14:val="tx1"/>
                  </w14:solidFill>
                </w14:textFill>
              </w:rPr>
              <w:t>②</w:t>
            </w:r>
            <w:r>
              <w:rPr>
                <w:rFonts w:hint="default" w:ascii="Times New Roman" w:hAnsi="Times New Roman" w:eastAsia="宋体" w:cs="Times New Roman"/>
                <w:b w:val="0"/>
                <w:bCs/>
                <w:color w:val="000000" w:themeColor="text1"/>
                <w:spacing w:val="-3"/>
                <w:sz w:val="24"/>
                <w:szCs w:val="24"/>
                <w14:textFill>
                  <w14:solidFill>
                    <w14:schemeClr w14:val="tx1"/>
                  </w14:solidFill>
                </w14:textFill>
              </w:rPr>
              <w:t>由建设项目自身声源在预测点产生的声级，噪声贡献值</w:t>
            </w:r>
            <w:r>
              <w:rPr>
                <w:rFonts w:hint="default" w:ascii="Times New Roman" w:hAnsi="Times New Roman" w:eastAsia="宋体" w:cs="Times New Roman"/>
                <w:b w:val="0"/>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pacing w:val="-3"/>
                <w:sz w:val="24"/>
                <w:szCs w:val="24"/>
                <w14:textFill>
                  <w14:solidFill>
                    <w14:schemeClr w14:val="tx1"/>
                  </w14:solidFill>
                </w14:textFill>
              </w:rPr>
              <w:t>Leqg</w:t>
            </w:r>
            <w:r>
              <w:rPr>
                <w:rFonts w:hint="default" w:ascii="Times New Roman" w:hAnsi="Times New Roman" w:eastAsia="宋体" w:cs="Times New Roman"/>
                <w:b w:val="0"/>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pacing w:val="-3"/>
                <w:sz w:val="24"/>
                <w:szCs w:val="24"/>
                <w14:textFill>
                  <w14:solidFill>
                    <w14:schemeClr w14:val="tx1"/>
                  </w14:solidFill>
                </w14:textFill>
              </w:rPr>
              <w:t>计算公</w:t>
            </w:r>
            <w:r>
              <w:rPr>
                <w:rFonts w:hint="default" w:ascii="Times New Roman" w:hAnsi="Times New Roman" w:eastAsia="宋体" w:cs="Times New Roman"/>
                <w:b w:val="0"/>
                <w:bCs/>
                <w:color w:val="000000" w:themeColor="text1"/>
                <w:spacing w:val="-8"/>
                <w:sz w:val="24"/>
                <w:szCs w:val="24"/>
                <w14:textFill>
                  <w14:solidFill>
                    <w14:schemeClr w14:val="tx1"/>
                  </w14:solidFill>
                </w14:textFill>
              </w:rPr>
              <w:t>式：</w:t>
            </w:r>
          </w:p>
          <w:p w14:paraId="67A10474">
            <w:pPr>
              <w:keepNext w:val="0"/>
              <w:keepLines w:val="0"/>
              <w:suppressLineNumbers w:val="0"/>
              <w:spacing w:before="69" w:beforeAutospacing="0" w:after="0" w:afterAutospacing="0" w:line="24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position w:val="-9"/>
                <w14:textFill>
                  <w14:solidFill>
                    <w14:schemeClr w14:val="tx1"/>
                  </w14:solidFill>
                </w14:textFill>
              </w:rPr>
              <w:drawing>
                <wp:inline distT="0" distB="0" distL="0" distR="0">
                  <wp:extent cx="2747010" cy="444500"/>
                  <wp:effectExtent l="0" t="0" r="15240" b="12700"/>
                  <wp:docPr id="84" name="IM 2"/>
                  <wp:cNvGraphicFramePr/>
                  <a:graphic xmlns:a="http://schemas.openxmlformats.org/drawingml/2006/main">
                    <a:graphicData uri="http://schemas.openxmlformats.org/drawingml/2006/picture">
                      <pic:pic xmlns:pic="http://schemas.openxmlformats.org/drawingml/2006/picture">
                        <pic:nvPicPr>
                          <pic:cNvPr id="84" name="IM 2"/>
                          <pic:cNvPicPr/>
                        </pic:nvPicPr>
                        <pic:blipFill>
                          <a:blip r:embed="rId19"/>
                          <a:stretch>
                            <a:fillRect/>
                          </a:stretch>
                        </pic:blipFill>
                        <pic:spPr>
                          <a:xfrm>
                            <a:off x="0" y="0"/>
                            <a:ext cx="2747010" cy="444500"/>
                          </a:xfrm>
                          <a:prstGeom prst="rect">
                            <a:avLst/>
                          </a:prstGeom>
                        </pic:spPr>
                      </pic:pic>
                    </a:graphicData>
                  </a:graphic>
                </wp:inline>
              </w:drawing>
            </w:r>
          </w:p>
          <w:p w14:paraId="6462793F">
            <w:pPr>
              <w:pStyle w:val="87"/>
              <w:keepNext w:val="0"/>
              <w:keepLines w:val="0"/>
              <w:suppressLineNumbers w:val="0"/>
              <w:spacing w:before="138" w:beforeAutospacing="0" w:after="0" w:afterAutospacing="0" w:line="343" w:lineRule="exact"/>
              <w:ind w:left="594" w:right="0"/>
              <w:jc w:val="both"/>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pacing w:val="-1"/>
                <w:position w:val="3"/>
                <w:sz w:val="24"/>
                <w:szCs w:val="24"/>
                <w14:textFill>
                  <w14:solidFill>
                    <w14:schemeClr w14:val="tx1"/>
                  </w14:solidFill>
                </w14:textFill>
              </w:rPr>
              <w:t>式中：L</w:t>
            </w:r>
            <w:r>
              <w:rPr>
                <w:rFonts w:hint="default" w:ascii="Times New Roman" w:hAnsi="Times New Roman" w:eastAsia="宋体" w:cs="Times New Roman"/>
                <w:b w:val="0"/>
                <w:bCs/>
                <w:color w:val="000000" w:themeColor="text1"/>
                <w:spacing w:val="-1"/>
                <w:position w:val="2"/>
                <w:sz w:val="15"/>
                <w:szCs w:val="15"/>
                <w14:textFill>
                  <w14:solidFill>
                    <w14:schemeClr w14:val="tx1"/>
                  </w14:solidFill>
                </w14:textFill>
              </w:rPr>
              <w:t>eqg</w:t>
            </w:r>
            <w:r>
              <w:rPr>
                <w:rFonts w:hint="default" w:ascii="Times New Roman" w:hAnsi="Times New Roman" w:eastAsia="宋体" w:cs="Times New Roman"/>
                <w:b w:val="0"/>
                <w:bCs/>
                <w:color w:val="000000" w:themeColor="text1"/>
                <w:spacing w:val="-1"/>
                <w:position w:val="3"/>
                <w:sz w:val="24"/>
                <w:szCs w:val="24"/>
                <w14:textFill>
                  <w14:solidFill>
                    <w14:schemeClr w14:val="tx1"/>
                  </w14:solidFill>
                </w14:textFill>
              </w:rPr>
              <w:t>——噪声贡献值，dB；</w:t>
            </w:r>
          </w:p>
          <w:p w14:paraId="03BC2BC3">
            <w:pPr>
              <w:pStyle w:val="25"/>
              <w:keepNext w:val="0"/>
              <w:keepLines w:val="0"/>
              <w:suppressLineNumbers w:val="0"/>
              <w:bidi w:val="0"/>
              <w:spacing w:before="0" w:beforeAutospacing="0" w:after="0" w:afterAutospacing="0"/>
              <w:ind w:left="0" w:right="0" w:firstLine="1190" w:firstLineChars="500"/>
              <w:jc w:val="both"/>
              <w:rPr>
                <w:rFonts w:hint="default" w:ascii="Times New Roman" w:hAnsi="Times New Roman" w:eastAsia="宋体" w:cs="Times New Roman"/>
                <w:b w:val="0"/>
                <w:bCs/>
                <w:color w:val="000000" w:themeColor="text1"/>
                <w:spacing w:val="2"/>
                <w:lang w:eastAsia="zh-CN"/>
                <w14:textFill>
                  <w14:solidFill>
                    <w14:schemeClr w14:val="tx1"/>
                  </w14:solidFill>
                </w14:textFill>
              </w:rPr>
            </w:pPr>
            <w:r>
              <w:rPr>
                <w:rFonts w:hint="default" w:ascii="Times New Roman" w:hAnsi="Times New Roman" w:eastAsia="宋体" w:cs="Times New Roman"/>
                <w:b w:val="0"/>
                <w:bCs/>
                <w:color w:val="000000" w:themeColor="text1"/>
                <w:spacing w:val="-1"/>
                <w:sz w:val="24"/>
                <w:szCs w:val="24"/>
                <w14:textFill>
                  <w14:solidFill>
                    <w14:schemeClr w14:val="tx1"/>
                  </w14:solidFill>
                </w14:textFill>
              </w:rPr>
              <w:t>T——预测计算的时间段，秒</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w:t>
            </w:r>
          </w:p>
          <w:p w14:paraId="2995340A">
            <w:pPr>
              <w:pStyle w:val="87"/>
              <w:keepNext w:val="0"/>
              <w:keepLines w:val="0"/>
              <w:suppressLineNumbers w:val="0"/>
              <w:spacing w:before="0" w:beforeAutospacing="0" w:after="0" w:afterAutospacing="0" w:line="354" w:lineRule="exact"/>
              <w:ind w:left="1302" w:right="0"/>
              <w:jc w:val="both"/>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pacing w:val="-3"/>
                <w:position w:val="2"/>
                <w:sz w:val="24"/>
                <w:szCs w:val="24"/>
                <w14:textFill>
                  <w14:solidFill>
                    <w14:schemeClr w14:val="tx1"/>
                  </w14:solidFill>
                </w14:textFill>
              </w:rPr>
              <w:t>t</w:t>
            </w:r>
            <w:r>
              <w:rPr>
                <w:rFonts w:hint="default" w:ascii="Times New Roman" w:hAnsi="Times New Roman" w:eastAsia="宋体" w:cs="Times New Roman"/>
                <w:b w:val="0"/>
                <w:bCs/>
                <w:color w:val="000000" w:themeColor="text1"/>
                <w:spacing w:val="-3"/>
                <w:position w:val="2"/>
                <w:sz w:val="15"/>
                <w:szCs w:val="15"/>
                <w14:textFill>
                  <w14:solidFill>
                    <w14:schemeClr w14:val="tx1"/>
                  </w14:solidFill>
                </w14:textFill>
              </w:rPr>
              <w:t>i</w:t>
            </w:r>
            <w:r>
              <w:rPr>
                <w:rFonts w:hint="default" w:ascii="Times New Roman" w:hAnsi="Times New Roman" w:eastAsia="宋体" w:cs="Times New Roman"/>
                <w:b w:val="0"/>
                <w:bCs/>
                <w:color w:val="000000" w:themeColor="text1"/>
                <w:spacing w:val="-3"/>
                <w:position w:val="2"/>
                <w:sz w:val="24"/>
                <w:szCs w:val="24"/>
                <w14:textFill>
                  <w14:solidFill>
                    <w14:schemeClr w14:val="tx1"/>
                  </w14:solidFill>
                </w14:textFill>
              </w:rPr>
              <w:t>——i声源在</w:t>
            </w:r>
            <w:r>
              <w:rPr>
                <w:rFonts w:hint="default" w:ascii="Times New Roman" w:hAnsi="Times New Roman" w:eastAsia="宋体" w:cs="Times New Roman"/>
                <w:b w:val="0"/>
                <w:bCs/>
                <w:color w:val="000000" w:themeColor="text1"/>
                <w:spacing w:val="-53"/>
                <w:position w:val="2"/>
                <w:sz w:val="24"/>
                <w:szCs w:val="24"/>
                <w14:textFill>
                  <w14:solidFill>
                    <w14:schemeClr w14:val="tx1"/>
                  </w14:solidFill>
                </w14:textFill>
              </w:rPr>
              <w:t xml:space="preserve"> </w:t>
            </w:r>
            <w:r>
              <w:rPr>
                <w:rFonts w:hint="default" w:ascii="Times New Roman" w:hAnsi="Times New Roman" w:eastAsia="宋体" w:cs="Times New Roman"/>
                <w:b w:val="0"/>
                <w:bCs/>
                <w:color w:val="000000" w:themeColor="text1"/>
                <w:spacing w:val="-3"/>
                <w:position w:val="2"/>
                <w:sz w:val="24"/>
                <w:szCs w:val="24"/>
                <w14:textFill>
                  <w14:solidFill>
                    <w14:schemeClr w14:val="tx1"/>
                  </w14:solidFill>
                </w14:textFill>
              </w:rPr>
              <w:t>T时段内的运行时间，秒；</w:t>
            </w:r>
          </w:p>
          <w:p w14:paraId="524AF0A1">
            <w:pPr>
              <w:pStyle w:val="87"/>
              <w:keepNext w:val="0"/>
              <w:keepLines w:val="0"/>
              <w:suppressLineNumbers w:val="0"/>
              <w:spacing w:before="106" w:beforeAutospacing="0" w:after="0" w:afterAutospacing="0" w:line="353" w:lineRule="auto"/>
              <w:ind w:left="587" w:right="947" w:firstLine="717"/>
              <w:jc w:val="both"/>
              <w:rPr>
                <w:rFonts w:hint="default" w:ascii="Times New Roman" w:hAnsi="Times New Roman" w:eastAsia="宋体" w:cs="Times New Roman"/>
                <w:b w:val="0"/>
                <w:bCs/>
                <w:color w:val="000000" w:themeColor="text1"/>
                <w:spacing w:val="-26"/>
                <w:sz w:val="24"/>
                <w:szCs w:val="24"/>
                <w:lang w:eastAsia="zh-CN"/>
                <w14:textFill>
                  <w14:solidFill>
                    <w14:schemeClr w14:val="tx1"/>
                  </w14:solidFill>
                </w14:textFill>
              </w:rPr>
            </w:pPr>
            <w:r>
              <w:rPr>
                <w:rFonts w:hint="default" w:ascii="Times New Roman" w:hAnsi="Times New Roman" w:eastAsia="宋体" w:cs="Times New Roman"/>
                <w:b w:val="0"/>
                <w:bCs/>
                <w:color w:val="000000" w:themeColor="text1"/>
                <w:spacing w:val="-1"/>
                <w:sz w:val="24"/>
                <w:szCs w:val="24"/>
                <w14:textFill>
                  <w14:solidFill>
                    <w14:schemeClr w14:val="tx1"/>
                  </w14:solidFill>
                </w14:textFill>
              </w:rPr>
              <w:t>LA</w:t>
            </w:r>
            <w:r>
              <w:rPr>
                <w:rFonts w:hint="default" w:ascii="Times New Roman" w:hAnsi="Times New Roman" w:eastAsia="宋体" w:cs="Times New Roman"/>
                <w:b w:val="0"/>
                <w:bCs/>
                <w:color w:val="000000" w:themeColor="text1"/>
                <w:spacing w:val="-1"/>
                <w:sz w:val="15"/>
                <w:szCs w:val="15"/>
                <w14:textFill>
                  <w14:solidFill>
                    <w14:schemeClr w14:val="tx1"/>
                  </w14:solidFill>
                </w14:textFill>
              </w:rPr>
              <w:t>i</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——i声源在预测点产生的等效连续</w:t>
            </w:r>
            <w:r>
              <w:rPr>
                <w:rFonts w:hint="default" w:ascii="Times New Roman" w:hAnsi="Times New Roman" w:eastAsia="宋体" w:cs="Times New Roman"/>
                <w:b w:val="0"/>
                <w:bCs/>
                <w:color w:val="000000" w:themeColor="text1"/>
                <w:spacing w:val="-58"/>
                <w:sz w:val="24"/>
                <w:szCs w:val="24"/>
                <w14:textFill>
                  <w14:solidFill>
                    <w14:schemeClr w14:val="tx1"/>
                  </w14:solidFill>
                </w14:textFill>
              </w:rPr>
              <w:t xml:space="preserve"> </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A 声级，dB</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w:t>
            </w:r>
          </w:p>
          <w:p w14:paraId="5092568B">
            <w:pPr>
              <w:pStyle w:val="87"/>
              <w:keepNext w:val="0"/>
              <w:keepLines w:val="0"/>
              <w:suppressLineNumbers w:val="0"/>
              <w:spacing w:before="106" w:beforeAutospacing="0" w:after="0" w:afterAutospacing="0" w:line="353" w:lineRule="auto"/>
              <w:ind w:left="480" w:leftChars="200" w:right="947" w:firstLine="0" w:firstLineChars="0"/>
              <w:jc w:val="both"/>
              <w:rPr>
                <w:rFonts w:hint="default" w:ascii="Times New Roman" w:hAnsi="Times New Roman" w:eastAsia="宋体" w:cs="Times New Roman"/>
                <w:b w:val="0"/>
                <w:bCs/>
                <w:color w:val="000000" w:themeColor="text1"/>
                <w:spacing w:val="-1"/>
                <w:sz w:val="24"/>
                <w:szCs w:val="24"/>
                <w14:textFill>
                  <w14:solidFill>
                    <w14:schemeClr w14:val="tx1"/>
                  </w14:solidFill>
                </w14:textFill>
              </w:rPr>
            </w:pPr>
            <w:r>
              <w:rPr>
                <w:rFonts w:hint="default" w:ascii="Times New Roman" w:hAnsi="Times New Roman" w:eastAsia="宋体" w:cs="Times New Roman"/>
                <w:b w:val="0"/>
                <w:bCs/>
                <w:color w:val="000000" w:themeColor="text1"/>
                <w:spacing w:val="-2"/>
                <w:sz w:val="24"/>
                <w:szCs w:val="24"/>
                <w:lang w:val="en-US" w:eastAsia="zh-CN"/>
                <w14:textFill>
                  <w14:solidFill>
                    <w14:schemeClr w14:val="tx1"/>
                  </w14:solidFill>
                </w14:textFill>
              </w:rPr>
              <w:t>③</w:t>
            </w:r>
            <w:r>
              <w:rPr>
                <w:rFonts w:hint="default" w:ascii="Times New Roman" w:hAnsi="Times New Roman" w:eastAsia="宋体" w:cs="Times New Roman"/>
                <w:b w:val="0"/>
                <w:bCs/>
                <w:color w:val="000000" w:themeColor="text1"/>
                <w:spacing w:val="-2"/>
                <w:sz w:val="24"/>
                <w:szCs w:val="24"/>
                <w14:textFill>
                  <w14:solidFill>
                    <w14:schemeClr w14:val="tx1"/>
                  </w14:solidFill>
                </w14:textFill>
              </w:rPr>
              <w:t>预测点的贡献值和背景值按能量叠加方法计算得到的声级。</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噪声预测值</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Leq</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计算公式：</w:t>
            </w:r>
          </w:p>
          <w:p w14:paraId="25158D1D">
            <w:pPr>
              <w:keepNext w:val="0"/>
              <w:keepLines w:val="0"/>
              <w:suppressLineNumbers w:val="0"/>
              <w:spacing w:before="23" w:beforeAutospacing="0" w:after="0" w:afterAutospacing="0" w:line="240" w:lineRule="auto"/>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position w:val="-10"/>
                <w14:textFill>
                  <w14:solidFill>
                    <w14:schemeClr w14:val="tx1"/>
                  </w14:solidFill>
                </w14:textFill>
              </w:rPr>
              <w:drawing>
                <wp:inline distT="0" distB="0" distL="0" distR="0">
                  <wp:extent cx="2466340" cy="455295"/>
                  <wp:effectExtent l="0" t="0" r="10160" b="1905"/>
                  <wp:docPr id="85" name="IM 4"/>
                  <wp:cNvGraphicFramePr/>
                  <a:graphic xmlns:a="http://schemas.openxmlformats.org/drawingml/2006/main">
                    <a:graphicData uri="http://schemas.openxmlformats.org/drawingml/2006/picture">
                      <pic:pic xmlns:pic="http://schemas.openxmlformats.org/drawingml/2006/picture">
                        <pic:nvPicPr>
                          <pic:cNvPr id="85" name="IM 4"/>
                          <pic:cNvPicPr/>
                        </pic:nvPicPr>
                        <pic:blipFill>
                          <a:blip r:embed="rId20"/>
                          <a:stretch>
                            <a:fillRect/>
                          </a:stretch>
                        </pic:blipFill>
                        <pic:spPr>
                          <a:xfrm>
                            <a:off x="0" y="0"/>
                            <a:ext cx="2466340" cy="455295"/>
                          </a:xfrm>
                          <a:prstGeom prst="rect">
                            <a:avLst/>
                          </a:prstGeom>
                        </pic:spPr>
                      </pic:pic>
                    </a:graphicData>
                  </a:graphic>
                </wp:inline>
              </w:drawing>
            </w:r>
          </w:p>
          <w:p w14:paraId="5BEE4DA4">
            <w:pPr>
              <w:pStyle w:val="87"/>
              <w:keepNext w:val="0"/>
              <w:keepLines w:val="0"/>
              <w:suppressLineNumbers w:val="0"/>
              <w:spacing w:before="136" w:beforeAutospacing="0" w:after="0" w:afterAutospacing="0" w:line="343" w:lineRule="exact"/>
              <w:ind w:left="594" w:right="0"/>
              <w:jc w:val="both"/>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pacing w:val="-1"/>
                <w:position w:val="3"/>
                <w:sz w:val="24"/>
                <w:szCs w:val="24"/>
                <w14:textFill>
                  <w14:solidFill>
                    <w14:schemeClr w14:val="tx1"/>
                  </w14:solidFill>
                </w14:textFill>
              </w:rPr>
              <w:t>式中：L</w:t>
            </w:r>
            <w:r>
              <w:rPr>
                <w:rFonts w:hint="default" w:ascii="Times New Roman" w:hAnsi="Times New Roman" w:eastAsia="宋体" w:cs="Times New Roman"/>
                <w:b w:val="0"/>
                <w:bCs/>
                <w:color w:val="000000" w:themeColor="text1"/>
                <w:spacing w:val="-1"/>
                <w:position w:val="2"/>
                <w:sz w:val="15"/>
                <w:szCs w:val="15"/>
                <w14:textFill>
                  <w14:solidFill>
                    <w14:schemeClr w14:val="tx1"/>
                  </w14:solidFill>
                </w14:textFill>
              </w:rPr>
              <w:t>eq</w:t>
            </w:r>
            <w:r>
              <w:rPr>
                <w:rFonts w:hint="default" w:ascii="Times New Roman" w:hAnsi="Times New Roman" w:eastAsia="宋体" w:cs="Times New Roman"/>
                <w:b w:val="0"/>
                <w:bCs/>
                <w:color w:val="000000" w:themeColor="text1"/>
                <w:spacing w:val="-1"/>
                <w:position w:val="3"/>
                <w:sz w:val="24"/>
                <w:szCs w:val="24"/>
                <w14:textFill>
                  <w14:solidFill>
                    <w14:schemeClr w14:val="tx1"/>
                  </w14:solidFill>
                </w14:textFill>
              </w:rPr>
              <w:t>——预测点的噪声预测值，dB；</w:t>
            </w:r>
          </w:p>
          <w:p w14:paraId="1632AF20">
            <w:pPr>
              <w:pStyle w:val="87"/>
              <w:keepNext w:val="0"/>
              <w:keepLines w:val="0"/>
              <w:suppressLineNumbers w:val="0"/>
              <w:spacing w:before="126" w:beforeAutospacing="0" w:after="0" w:afterAutospacing="0" w:line="328" w:lineRule="auto"/>
              <w:ind w:left="1304" w:right="798"/>
              <w:jc w:val="both"/>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pacing w:val="-2"/>
                <w:sz w:val="24"/>
                <w:szCs w:val="24"/>
                <w14:textFill>
                  <w14:solidFill>
                    <w14:schemeClr w14:val="tx1"/>
                  </w14:solidFill>
                </w14:textFill>
              </w:rPr>
              <w:t>L</w:t>
            </w:r>
            <w:r>
              <w:rPr>
                <w:rFonts w:hint="default" w:ascii="Times New Roman" w:hAnsi="Times New Roman" w:eastAsia="宋体" w:cs="Times New Roman"/>
                <w:b w:val="0"/>
                <w:bCs/>
                <w:color w:val="000000" w:themeColor="text1"/>
                <w:spacing w:val="-2"/>
                <w:position w:val="-1"/>
                <w:sz w:val="15"/>
                <w:szCs w:val="15"/>
                <w14:textFill>
                  <w14:solidFill>
                    <w14:schemeClr w14:val="tx1"/>
                  </w14:solidFill>
                </w14:textFill>
              </w:rPr>
              <w:t>eqg</w:t>
            </w:r>
            <w:r>
              <w:rPr>
                <w:rFonts w:hint="default" w:ascii="Times New Roman" w:hAnsi="Times New Roman" w:eastAsia="宋体" w:cs="Times New Roman"/>
                <w:b w:val="0"/>
                <w:bCs/>
                <w:color w:val="000000" w:themeColor="text1"/>
                <w:spacing w:val="-2"/>
                <w:sz w:val="24"/>
                <w:szCs w:val="24"/>
                <w14:textFill>
                  <w14:solidFill>
                    <w14:schemeClr w14:val="tx1"/>
                  </w14:solidFill>
                </w14:textFill>
              </w:rPr>
              <w:t>——建设项目声源在预测点产生的噪声贡献值，</w:t>
            </w:r>
            <w:r>
              <w:rPr>
                <w:rFonts w:hint="default" w:ascii="Times New Roman" w:hAnsi="Times New Roman" w:eastAsia="宋体" w:cs="Times New Roman"/>
                <w:b w:val="0"/>
                <w:bCs/>
                <w:color w:val="000000" w:themeColor="text1"/>
                <w:spacing w:val="-3"/>
                <w:sz w:val="24"/>
                <w:szCs w:val="24"/>
                <w14:textFill>
                  <w14:solidFill>
                    <w14:schemeClr w14:val="tx1"/>
                  </w14:solidFill>
                </w14:textFill>
              </w:rPr>
              <w:t>dB；</w:t>
            </w:r>
            <w:r>
              <w:rPr>
                <w:rFonts w:hint="default" w:ascii="Times New Roman" w:hAnsi="Times New Roman" w:eastAsia="宋体" w:cs="Times New Roman"/>
                <w:b w:val="0"/>
                <w:bCs/>
                <w:color w:val="000000" w:themeColor="text1"/>
                <w:sz w:val="24"/>
                <w:szCs w:val="24"/>
                <w14:textFill>
                  <w14:solidFill>
                    <w14:schemeClr w14:val="tx1"/>
                  </w14:solidFill>
                </w14:textFill>
              </w:rPr>
              <w:t>L</w:t>
            </w:r>
            <w:r>
              <w:rPr>
                <w:rFonts w:hint="default" w:ascii="Times New Roman" w:hAnsi="Times New Roman" w:eastAsia="宋体" w:cs="Times New Roman"/>
                <w:b w:val="0"/>
                <w:bCs/>
                <w:color w:val="000000" w:themeColor="text1"/>
                <w:position w:val="-1"/>
                <w:sz w:val="15"/>
                <w:szCs w:val="15"/>
                <w14:textFill>
                  <w14:solidFill>
                    <w14:schemeClr w14:val="tx1"/>
                  </w14:solidFill>
                </w14:textFill>
              </w:rPr>
              <w:t>eq</w:t>
            </w:r>
            <w:r>
              <w:rPr>
                <w:rFonts w:hint="default" w:ascii="Times New Roman" w:hAnsi="Times New Roman" w:eastAsia="宋体" w:cs="Times New Roman"/>
                <w:b w:val="0"/>
                <w:bCs/>
                <w:color w:val="000000" w:themeColor="text1"/>
                <w:sz w:val="15"/>
                <w:szCs w:val="15"/>
                <w14:textFill>
                  <w14:solidFill>
                    <w14:schemeClr w14:val="tx1"/>
                  </w14:solidFill>
                </w14:textFill>
              </w:rPr>
              <w:t>b</w:t>
            </w:r>
            <w:r>
              <w:rPr>
                <w:rFonts w:hint="default" w:ascii="Times New Roman" w:hAnsi="Times New Roman" w:eastAsia="宋体" w:cs="Times New Roman"/>
                <w:b w:val="0"/>
                <w:bCs/>
                <w:color w:val="000000" w:themeColor="text1"/>
                <w:sz w:val="24"/>
                <w:szCs w:val="24"/>
                <w14:textFill>
                  <w14:solidFill>
                    <w14:schemeClr w14:val="tx1"/>
                  </w14:solidFill>
                </w14:textFill>
              </w:rPr>
              <w:t>——预测点的背景噪声值，dB。</w:t>
            </w:r>
          </w:p>
          <w:p w14:paraId="60947A51">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预测结果</w:t>
            </w:r>
          </w:p>
          <w:p w14:paraId="792DC656">
            <w:pPr>
              <w:pStyle w:val="87"/>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76" w:firstLineChars="200"/>
              <w:jc w:val="both"/>
              <w:textAlignment w:val="auto"/>
              <w:rPr>
                <w:rFonts w:hint="default" w:ascii="Times New Roman" w:hAnsi="Times New Roman" w:eastAsia="宋体" w:cs="Times New Roman"/>
                <w:b w:val="0"/>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color w:val="000000" w:themeColor="text1"/>
                <w:spacing w:val="-1"/>
                <w:sz w:val="24"/>
                <w:szCs w:val="24"/>
                <w14:textFill>
                  <w14:solidFill>
                    <w14:schemeClr w14:val="tx1"/>
                  </w14:solidFill>
                </w14:textFill>
              </w:rPr>
              <w:t>结合项目主要噪声源分布情况</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，采用上述预测模式计算得到</w:t>
            </w:r>
            <w:r>
              <w:rPr>
                <w:rFonts w:hint="default" w:ascii="Times New Roman" w:hAnsi="Times New Roman" w:eastAsia="宋体" w:cs="Times New Roman"/>
                <w:b w:val="0"/>
                <w:bCs/>
                <w:color w:val="000000" w:themeColor="text1"/>
                <w:spacing w:val="-1"/>
                <w:sz w:val="24"/>
                <w:szCs w:val="24"/>
                <w14:textFill>
                  <w14:solidFill>
                    <w14:schemeClr w14:val="tx1"/>
                  </w14:solidFill>
                </w14:textFill>
              </w:rPr>
              <w:t>项目各厂界噪声预测结果见下表</w:t>
            </w:r>
            <w:r>
              <w:rPr>
                <w:rFonts w:hint="default" w:ascii="Times New Roman" w:hAnsi="Times New Roman" w:eastAsia="宋体" w:cs="Times New Roman"/>
                <w:b w:val="0"/>
                <w:bCs/>
                <w:color w:val="000000" w:themeColor="text1"/>
                <w:spacing w:val="-1"/>
                <w:sz w:val="24"/>
                <w:szCs w:val="24"/>
                <w:lang w:eastAsia="zh-CN"/>
                <w14:textFill>
                  <w14:solidFill>
                    <w14:schemeClr w14:val="tx1"/>
                  </w14:solidFill>
                </w14:textFill>
              </w:rPr>
              <w:t>。</w:t>
            </w:r>
          </w:p>
          <w:p w14:paraId="2081BEA7">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表4-</w:t>
            </w:r>
            <w:r>
              <w:rPr>
                <w:rFonts w:hint="eastAsia"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   项目厂界噪声排放预测结果   单位：dB</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A</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075"/>
              <w:gridCol w:w="1149"/>
              <w:gridCol w:w="790"/>
              <w:gridCol w:w="924"/>
              <w:gridCol w:w="655"/>
              <w:gridCol w:w="789"/>
              <w:gridCol w:w="792"/>
              <w:gridCol w:w="792"/>
              <w:gridCol w:w="796"/>
            </w:tblGrid>
            <w:tr w14:paraId="52EBF54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32" w:hRule="atLeast"/>
                <w:tblHeader/>
                <w:jc w:val="center"/>
              </w:trPr>
              <w:tc>
                <w:tcPr>
                  <w:tcW w:w="692" w:type="pct"/>
                  <w:vMerge w:val="restart"/>
                  <w:noWrap w:val="0"/>
                  <w:vAlign w:val="center"/>
                </w:tcPr>
                <w:p w14:paraId="080B6DD8">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厂界噪声</w:t>
                  </w:r>
                </w:p>
              </w:tc>
              <w:tc>
                <w:tcPr>
                  <w:tcW w:w="1249" w:type="pct"/>
                  <w:gridSpan w:val="2"/>
                  <w:noWrap w:val="0"/>
                  <w:vAlign w:val="center"/>
                </w:tcPr>
                <w:p w14:paraId="5E7F5BA0">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东厂界</w:t>
                  </w:r>
                </w:p>
              </w:tc>
              <w:tc>
                <w:tcPr>
                  <w:tcW w:w="1017" w:type="pct"/>
                  <w:gridSpan w:val="2"/>
                  <w:noWrap w:val="0"/>
                  <w:vAlign w:val="center"/>
                </w:tcPr>
                <w:p w14:paraId="1ED2D760">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西厂界</w:t>
                  </w:r>
                </w:p>
              </w:tc>
              <w:tc>
                <w:tcPr>
                  <w:tcW w:w="1018" w:type="pct"/>
                  <w:gridSpan w:val="2"/>
                  <w:noWrap w:val="0"/>
                  <w:vAlign w:val="center"/>
                </w:tcPr>
                <w:p w14:paraId="1873C889">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南厂界</w:t>
                  </w:r>
                </w:p>
              </w:tc>
              <w:tc>
                <w:tcPr>
                  <w:tcW w:w="1022" w:type="pct"/>
                  <w:gridSpan w:val="2"/>
                  <w:noWrap w:val="0"/>
                  <w:vAlign w:val="center"/>
                </w:tcPr>
                <w:p w14:paraId="20F599E1">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北厂界</w:t>
                  </w:r>
                </w:p>
              </w:tc>
            </w:tr>
            <w:tr w14:paraId="225BF13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132" w:hRule="atLeast"/>
                <w:jc w:val="center"/>
              </w:trPr>
              <w:tc>
                <w:tcPr>
                  <w:tcW w:w="692" w:type="pct"/>
                  <w:vMerge w:val="continue"/>
                  <w:tcBorders>
                    <w:bottom w:val="single" w:color="auto" w:sz="12" w:space="0"/>
                  </w:tcBorders>
                  <w:noWrap w:val="0"/>
                  <w:vAlign w:val="center"/>
                </w:tcPr>
                <w:p w14:paraId="782DA032">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14:textFill>
                        <w14:solidFill>
                          <w14:schemeClr w14:val="tx1"/>
                        </w14:solidFill>
                      </w14:textFill>
                    </w:rPr>
                  </w:pPr>
                </w:p>
              </w:tc>
              <w:tc>
                <w:tcPr>
                  <w:tcW w:w="740" w:type="pct"/>
                  <w:tcBorders>
                    <w:bottom w:val="single" w:color="auto" w:sz="12" w:space="0"/>
                  </w:tcBorders>
                  <w:noWrap w:val="0"/>
                  <w:vAlign w:val="center"/>
                </w:tcPr>
                <w:p w14:paraId="6976345A">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昼间</w:t>
                  </w:r>
                </w:p>
              </w:tc>
              <w:tc>
                <w:tcPr>
                  <w:tcW w:w="508" w:type="pct"/>
                  <w:tcBorders>
                    <w:bottom w:val="single" w:color="auto" w:sz="12" w:space="0"/>
                  </w:tcBorders>
                  <w:noWrap w:val="0"/>
                  <w:vAlign w:val="center"/>
                </w:tcPr>
                <w:p w14:paraId="6FA9C8E8">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夜间</w:t>
                  </w:r>
                </w:p>
              </w:tc>
              <w:tc>
                <w:tcPr>
                  <w:tcW w:w="595" w:type="pct"/>
                  <w:tcBorders>
                    <w:bottom w:val="single" w:color="auto" w:sz="12" w:space="0"/>
                  </w:tcBorders>
                  <w:noWrap w:val="0"/>
                  <w:vAlign w:val="center"/>
                </w:tcPr>
                <w:p w14:paraId="060FED7D">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昼间</w:t>
                  </w:r>
                </w:p>
              </w:tc>
              <w:tc>
                <w:tcPr>
                  <w:tcW w:w="422" w:type="pct"/>
                  <w:tcBorders>
                    <w:bottom w:val="single" w:color="auto" w:sz="12" w:space="0"/>
                  </w:tcBorders>
                  <w:noWrap w:val="0"/>
                  <w:vAlign w:val="center"/>
                </w:tcPr>
                <w:p w14:paraId="495A485C">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夜间</w:t>
                  </w:r>
                </w:p>
              </w:tc>
              <w:tc>
                <w:tcPr>
                  <w:tcW w:w="508" w:type="pct"/>
                  <w:tcBorders>
                    <w:bottom w:val="single" w:color="auto" w:sz="12" w:space="0"/>
                  </w:tcBorders>
                  <w:noWrap w:val="0"/>
                  <w:vAlign w:val="center"/>
                </w:tcPr>
                <w:p w14:paraId="7B70CDDB">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昼间</w:t>
                  </w:r>
                </w:p>
              </w:tc>
              <w:tc>
                <w:tcPr>
                  <w:tcW w:w="510" w:type="pct"/>
                  <w:tcBorders>
                    <w:bottom w:val="single" w:color="auto" w:sz="12" w:space="0"/>
                  </w:tcBorders>
                  <w:noWrap w:val="0"/>
                  <w:vAlign w:val="center"/>
                </w:tcPr>
                <w:p w14:paraId="3E59F7AA">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夜间</w:t>
                  </w:r>
                </w:p>
              </w:tc>
              <w:tc>
                <w:tcPr>
                  <w:tcW w:w="510" w:type="pct"/>
                  <w:tcBorders>
                    <w:bottom w:val="single" w:color="auto" w:sz="12" w:space="0"/>
                  </w:tcBorders>
                  <w:noWrap w:val="0"/>
                  <w:vAlign w:val="center"/>
                </w:tcPr>
                <w:p w14:paraId="46460CE8">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昼间</w:t>
                  </w:r>
                </w:p>
              </w:tc>
              <w:tc>
                <w:tcPr>
                  <w:tcW w:w="512" w:type="pct"/>
                  <w:tcBorders>
                    <w:bottom w:val="single" w:color="auto" w:sz="12" w:space="0"/>
                  </w:tcBorders>
                  <w:noWrap w:val="0"/>
                  <w:vAlign w:val="center"/>
                </w:tcPr>
                <w:p w14:paraId="19C338DD">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夜间</w:t>
                  </w:r>
                </w:p>
              </w:tc>
            </w:tr>
            <w:tr w14:paraId="603C0F3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132" w:hRule="atLeast"/>
                <w:jc w:val="center"/>
              </w:trPr>
              <w:tc>
                <w:tcPr>
                  <w:tcW w:w="692" w:type="pct"/>
                  <w:tcBorders>
                    <w:top w:val="single" w:color="auto" w:sz="12" w:space="0"/>
                    <w:tl2br w:val="nil"/>
                    <w:tr2bl w:val="nil"/>
                  </w:tcBorders>
                  <w:noWrap w:val="0"/>
                  <w:vAlign w:val="center"/>
                </w:tcPr>
                <w:p w14:paraId="7E6BA23A">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背景值</w:t>
                  </w:r>
                </w:p>
              </w:tc>
              <w:tc>
                <w:tcPr>
                  <w:tcW w:w="740" w:type="pct"/>
                  <w:tcBorders>
                    <w:top w:val="single" w:color="auto" w:sz="12" w:space="0"/>
                    <w:tl2br w:val="nil"/>
                    <w:tr2bl w:val="nil"/>
                  </w:tcBorders>
                  <w:noWrap w:val="0"/>
                  <w:vAlign w:val="bottom"/>
                </w:tcPr>
                <w:p w14:paraId="715F5E57">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46.0</w:t>
                  </w:r>
                </w:p>
              </w:tc>
              <w:tc>
                <w:tcPr>
                  <w:tcW w:w="508" w:type="pct"/>
                  <w:tcBorders>
                    <w:top w:val="single" w:color="auto" w:sz="12" w:space="0"/>
                    <w:tl2br w:val="nil"/>
                    <w:tr2bl w:val="nil"/>
                  </w:tcBorders>
                  <w:noWrap w:val="0"/>
                  <w:vAlign w:val="bottom"/>
                </w:tcPr>
                <w:p w14:paraId="13C04D54">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41.4</w:t>
                  </w:r>
                </w:p>
              </w:tc>
              <w:tc>
                <w:tcPr>
                  <w:tcW w:w="595" w:type="pct"/>
                  <w:tcBorders>
                    <w:top w:val="single" w:color="auto" w:sz="12" w:space="0"/>
                    <w:tl2br w:val="nil"/>
                    <w:tr2bl w:val="nil"/>
                  </w:tcBorders>
                  <w:noWrap w:val="0"/>
                  <w:vAlign w:val="bottom"/>
                </w:tcPr>
                <w:p w14:paraId="64369119">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47.1</w:t>
                  </w:r>
                </w:p>
              </w:tc>
              <w:tc>
                <w:tcPr>
                  <w:tcW w:w="422" w:type="pct"/>
                  <w:tcBorders>
                    <w:top w:val="single" w:color="auto" w:sz="12" w:space="0"/>
                    <w:tl2br w:val="nil"/>
                    <w:tr2bl w:val="nil"/>
                  </w:tcBorders>
                  <w:noWrap w:val="0"/>
                  <w:vAlign w:val="bottom"/>
                </w:tcPr>
                <w:p w14:paraId="67303110">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42.2</w:t>
                  </w:r>
                </w:p>
              </w:tc>
              <w:tc>
                <w:tcPr>
                  <w:tcW w:w="508" w:type="pct"/>
                  <w:tcBorders>
                    <w:top w:val="single" w:color="auto" w:sz="12" w:space="0"/>
                    <w:tl2br w:val="nil"/>
                    <w:tr2bl w:val="nil"/>
                  </w:tcBorders>
                  <w:noWrap w:val="0"/>
                  <w:vAlign w:val="bottom"/>
                </w:tcPr>
                <w:p w14:paraId="1BB90AEE">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46.9</w:t>
                  </w:r>
                </w:p>
              </w:tc>
              <w:tc>
                <w:tcPr>
                  <w:tcW w:w="510" w:type="pct"/>
                  <w:tcBorders>
                    <w:top w:val="single" w:color="auto" w:sz="12" w:space="0"/>
                    <w:tl2br w:val="nil"/>
                    <w:tr2bl w:val="nil"/>
                  </w:tcBorders>
                  <w:noWrap w:val="0"/>
                  <w:vAlign w:val="bottom"/>
                </w:tcPr>
                <w:p w14:paraId="108667EC">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41.7</w:t>
                  </w:r>
                </w:p>
              </w:tc>
              <w:tc>
                <w:tcPr>
                  <w:tcW w:w="510" w:type="pct"/>
                  <w:tcBorders>
                    <w:top w:val="single" w:color="auto" w:sz="12" w:space="0"/>
                    <w:tl2br w:val="nil"/>
                    <w:tr2bl w:val="nil"/>
                  </w:tcBorders>
                  <w:noWrap w:val="0"/>
                  <w:vAlign w:val="bottom"/>
                </w:tcPr>
                <w:p w14:paraId="4C4F983D">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45.5</w:t>
                  </w:r>
                </w:p>
              </w:tc>
              <w:tc>
                <w:tcPr>
                  <w:tcW w:w="512" w:type="pct"/>
                  <w:tcBorders>
                    <w:top w:val="single" w:color="auto" w:sz="12" w:space="0"/>
                    <w:tl2br w:val="nil"/>
                    <w:tr2bl w:val="nil"/>
                  </w:tcBorders>
                  <w:noWrap w:val="0"/>
                  <w:vAlign w:val="bottom"/>
                </w:tcPr>
                <w:p w14:paraId="23E8A09D">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41.4</w:t>
                  </w:r>
                </w:p>
              </w:tc>
            </w:tr>
            <w:tr w14:paraId="087397D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86" w:hRule="atLeast"/>
                <w:jc w:val="center"/>
              </w:trPr>
              <w:tc>
                <w:tcPr>
                  <w:tcW w:w="692" w:type="pct"/>
                  <w:tcBorders>
                    <w:tl2br w:val="nil"/>
                    <w:tr2bl w:val="nil"/>
                  </w:tcBorders>
                  <w:noWrap w:val="0"/>
                  <w:vAlign w:val="center"/>
                </w:tcPr>
                <w:p w14:paraId="277A2D6E">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贡献值</w:t>
                  </w:r>
                </w:p>
              </w:tc>
              <w:tc>
                <w:tcPr>
                  <w:tcW w:w="1149" w:type="dxa"/>
                  <w:tcBorders>
                    <w:tl2br w:val="nil"/>
                    <w:tr2bl w:val="nil"/>
                  </w:tcBorders>
                  <w:noWrap w:val="0"/>
                  <w:vAlign w:val="bottom"/>
                </w:tcPr>
                <w:p w14:paraId="54554327">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s="Times New Roman"/>
                      <w:color w:val="000000" w:themeColor="text1"/>
                      <w:kern w:val="2"/>
                      <w:sz w:val="21"/>
                      <w:szCs w:val="24"/>
                      <w:highlight w:val="none"/>
                      <w:lang w:val="en-US" w:eastAsia="zh-CN" w:bidi="ar-SA"/>
                      <w14:textFill>
                        <w14:solidFill>
                          <w14:schemeClr w14:val="tx1"/>
                        </w14:solidFill>
                      </w14:textFill>
                    </w:rPr>
                    <w:t>42.5</w:t>
                  </w:r>
                </w:p>
              </w:tc>
              <w:tc>
                <w:tcPr>
                  <w:tcW w:w="790" w:type="dxa"/>
                  <w:tcBorders>
                    <w:tl2br w:val="nil"/>
                    <w:tr2bl w:val="nil"/>
                  </w:tcBorders>
                  <w:noWrap w:val="0"/>
                  <w:vAlign w:val="bottom"/>
                </w:tcPr>
                <w:p w14:paraId="74E32AE9">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42.3</w:t>
                  </w:r>
                </w:p>
              </w:tc>
              <w:tc>
                <w:tcPr>
                  <w:tcW w:w="924" w:type="dxa"/>
                  <w:tcBorders>
                    <w:tl2br w:val="nil"/>
                    <w:tr2bl w:val="nil"/>
                  </w:tcBorders>
                  <w:noWrap w:val="0"/>
                  <w:vAlign w:val="bottom"/>
                </w:tcPr>
                <w:p w14:paraId="44597B78">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s="Times New Roman"/>
                      <w:color w:val="000000" w:themeColor="text1"/>
                      <w:kern w:val="2"/>
                      <w:sz w:val="21"/>
                      <w:szCs w:val="24"/>
                      <w:highlight w:val="none"/>
                      <w:lang w:val="en-US" w:eastAsia="zh-CN" w:bidi="ar-SA"/>
                      <w14:textFill>
                        <w14:solidFill>
                          <w14:schemeClr w14:val="tx1"/>
                        </w14:solidFill>
                      </w14:textFill>
                    </w:rPr>
                    <w:t>42.4</w:t>
                  </w:r>
                </w:p>
              </w:tc>
              <w:tc>
                <w:tcPr>
                  <w:tcW w:w="655" w:type="dxa"/>
                  <w:tcBorders>
                    <w:tl2br w:val="nil"/>
                    <w:tr2bl w:val="nil"/>
                  </w:tcBorders>
                  <w:noWrap w:val="0"/>
                  <w:vAlign w:val="bottom"/>
                </w:tcPr>
                <w:p w14:paraId="148F9998">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42.1</w:t>
                  </w:r>
                </w:p>
              </w:tc>
              <w:tc>
                <w:tcPr>
                  <w:tcW w:w="789" w:type="dxa"/>
                  <w:tcBorders>
                    <w:tl2br w:val="nil"/>
                    <w:tr2bl w:val="nil"/>
                  </w:tcBorders>
                  <w:noWrap w:val="0"/>
                  <w:vAlign w:val="bottom"/>
                </w:tcPr>
                <w:p w14:paraId="4E9E4C06">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42.3</w:t>
                  </w:r>
                </w:p>
              </w:tc>
              <w:tc>
                <w:tcPr>
                  <w:tcW w:w="792" w:type="dxa"/>
                  <w:tcBorders>
                    <w:tl2br w:val="nil"/>
                    <w:tr2bl w:val="nil"/>
                  </w:tcBorders>
                  <w:noWrap w:val="0"/>
                  <w:vAlign w:val="bottom"/>
                </w:tcPr>
                <w:p w14:paraId="1249C965">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42.0</w:t>
                  </w:r>
                </w:p>
              </w:tc>
              <w:tc>
                <w:tcPr>
                  <w:tcW w:w="792" w:type="dxa"/>
                  <w:tcBorders>
                    <w:tl2br w:val="nil"/>
                    <w:tr2bl w:val="nil"/>
                  </w:tcBorders>
                  <w:noWrap w:val="0"/>
                  <w:vAlign w:val="bottom"/>
                </w:tcPr>
                <w:p w14:paraId="1D634816">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42.5</w:t>
                  </w:r>
                </w:p>
              </w:tc>
              <w:tc>
                <w:tcPr>
                  <w:tcW w:w="796" w:type="dxa"/>
                  <w:tcBorders>
                    <w:tl2br w:val="nil"/>
                    <w:tr2bl w:val="nil"/>
                  </w:tcBorders>
                  <w:noWrap w:val="0"/>
                  <w:vAlign w:val="bottom"/>
                </w:tcPr>
                <w:p w14:paraId="761D5F87">
                  <w:pPr>
                    <w:pStyle w:val="39"/>
                    <w:keepNext w:val="0"/>
                    <w:keepLines w:val="0"/>
                    <w:widowControl/>
                    <w:suppressLineNumbers w:val="0"/>
                    <w:bidi w:val="0"/>
                    <w:spacing w:before="0" w:beforeAutospacing="0" w:after="0" w:afterAutospacing="0"/>
                    <w:ind w:left="0" w:leftChars="0" w:right="0" w:righ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42.3</w:t>
                  </w:r>
                </w:p>
              </w:tc>
            </w:tr>
            <w:tr w14:paraId="1761C6E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692" w:type="pct"/>
                  <w:tcBorders>
                    <w:tl2br w:val="nil"/>
                    <w:tr2bl w:val="nil"/>
                  </w:tcBorders>
                  <w:noWrap w:val="0"/>
                  <w:vAlign w:val="center"/>
                </w:tcPr>
                <w:p w14:paraId="01D3BBE9">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预测值</w:t>
                  </w:r>
                </w:p>
              </w:tc>
              <w:tc>
                <w:tcPr>
                  <w:tcW w:w="1149" w:type="dxa"/>
                  <w:tcBorders>
                    <w:tl2br w:val="nil"/>
                    <w:tr2bl w:val="nil"/>
                  </w:tcBorders>
                  <w:noWrap w:val="0"/>
                  <w:vAlign w:val="bottom"/>
                </w:tcPr>
                <w:p w14:paraId="63988339">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47.5</w:t>
                  </w:r>
                </w:p>
              </w:tc>
              <w:tc>
                <w:tcPr>
                  <w:tcW w:w="790" w:type="dxa"/>
                  <w:tcBorders>
                    <w:tl2br w:val="nil"/>
                    <w:tr2bl w:val="nil"/>
                  </w:tcBorders>
                  <w:noWrap w:val="0"/>
                  <w:vAlign w:val="bottom"/>
                </w:tcPr>
                <w:p w14:paraId="5007A84D">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43.7</w:t>
                  </w:r>
                </w:p>
              </w:tc>
              <w:tc>
                <w:tcPr>
                  <w:tcW w:w="924" w:type="dxa"/>
                  <w:tcBorders>
                    <w:tl2br w:val="nil"/>
                    <w:tr2bl w:val="nil"/>
                  </w:tcBorders>
                  <w:noWrap w:val="0"/>
                  <w:vAlign w:val="bottom"/>
                </w:tcPr>
                <w:p w14:paraId="61BF3825">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s="Times New Roman"/>
                      <w:color w:val="000000" w:themeColor="text1"/>
                      <w:kern w:val="2"/>
                      <w:sz w:val="21"/>
                      <w:szCs w:val="24"/>
                      <w:highlight w:val="none"/>
                      <w:lang w:val="en-US" w:eastAsia="zh-CN" w:bidi="ar-SA"/>
                      <w14:textFill>
                        <w14:solidFill>
                          <w14:schemeClr w14:val="tx1"/>
                        </w14:solidFill>
                      </w14:textFill>
                    </w:rPr>
                    <w:t>48.2</w:t>
                  </w:r>
                </w:p>
              </w:tc>
              <w:tc>
                <w:tcPr>
                  <w:tcW w:w="655" w:type="dxa"/>
                  <w:tcBorders>
                    <w:tl2br w:val="nil"/>
                    <w:tr2bl w:val="nil"/>
                  </w:tcBorders>
                  <w:noWrap w:val="0"/>
                  <w:vAlign w:val="bottom"/>
                </w:tcPr>
                <w:p w14:paraId="2260B031">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44.2</w:t>
                  </w:r>
                </w:p>
              </w:tc>
              <w:tc>
                <w:tcPr>
                  <w:tcW w:w="789" w:type="dxa"/>
                  <w:tcBorders>
                    <w:tl2br w:val="nil"/>
                    <w:tr2bl w:val="nil"/>
                  </w:tcBorders>
                  <w:noWrap w:val="0"/>
                  <w:vAlign w:val="bottom"/>
                </w:tcPr>
                <w:p w14:paraId="54296E3E">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47.8</w:t>
                  </w:r>
                </w:p>
              </w:tc>
              <w:tc>
                <w:tcPr>
                  <w:tcW w:w="792" w:type="dxa"/>
                  <w:tcBorders>
                    <w:tl2br w:val="nil"/>
                    <w:tr2bl w:val="nil"/>
                  </w:tcBorders>
                  <w:noWrap w:val="0"/>
                  <w:vAlign w:val="bottom"/>
                </w:tcPr>
                <w:p w14:paraId="1333CE22">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43.9</w:t>
                  </w:r>
                </w:p>
              </w:tc>
              <w:tc>
                <w:tcPr>
                  <w:tcW w:w="792" w:type="dxa"/>
                  <w:tcBorders>
                    <w:tl2br w:val="nil"/>
                    <w:tr2bl w:val="nil"/>
                  </w:tcBorders>
                  <w:noWrap w:val="0"/>
                  <w:vAlign w:val="bottom"/>
                </w:tcPr>
                <w:p w14:paraId="4D8F4B02">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47.2</w:t>
                  </w:r>
                </w:p>
              </w:tc>
              <w:tc>
                <w:tcPr>
                  <w:tcW w:w="796" w:type="dxa"/>
                  <w:tcBorders>
                    <w:tl2br w:val="nil"/>
                    <w:tr2bl w:val="nil"/>
                  </w:tcBorders>
                  <w:noWrap w:val="0"/>
                  <w:vAlign w:val="bottom"/>
                </w:tcPr>
                <w:p w14:paraId="58FC925B">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43.7</w:t>
                  </w:r>
                </w:p>
              </w:tc>
            </w:tr>
            <w:tr w14:paraId="66829C9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286" w:hRule="atLeast"/>
                <w:jc w:val="center"/>
              </w:trPr>
              <w:tc>
                <w:tcPr>
                  <w:tcW w:w="692" w:type="pct"/>
                  <w:tcBorders>
                    <w:tl2br w:val="nil"/>
                    <w:tr2bl w:val="nil"/>
                  </w:tcBorders>
                  <w:noWrap w:val="0"/>
                  <w:vAlign w:val="center"/>
                </w:tcPr>
                <w:p w14:paraId="30B9928F">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标准值</w:t>
                  </w:r>
                </w:p>
              </w:tc>
              <w:tc>
                <w:tcPr>
                  <w:tcW w:w="740" w:type="pct"/>
                  <w:tcBorders>
                    <w:tl2br w:val="nil"/>
                    <w:tr2bl w:val="nil"/>
                  </w:tcBorders>
                  <w:noWrap w:val="0"/>
                  <w:vAlign w:val="center"/>
                </w:tcPr>
                <w:p w14:paraId="67C3F47D">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65</w:t>
                  </w:r>
                </w:p>
              </w:tc>
              <w:tc>
                <w:tcPr>
                  <w:tcW w:w="508" w:type="pct"/>
                  <w:tcBorders>
                    <w:tl2br w:val="nil"/>
                    <w:tr2bl w:val="nil"/>
                  </w:tcBorders>
                  <w:noWrap w:val="0"/>
                  <w:vAlign w:val="center"/>
                </w:tcPr>
                <w:p w14:paraId="0FD68DE2">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55</w:t>
                  </w:r>
                </w:p>
              </w:tc>
              <w:tc>
                <w:tcPr>
                  <w:tcW w:w="595" w:type="pct"/>
                  <w:tcBorders>
                    <w:tl2br w:val="nil"/>
                    <w:tr2bl w:val="nil"/>
                  </w:tcBorders>
                  <w:noWrap w:val="0"/>
                  <w:vAlign w:val="center"/>
                </w:tcPr>
                <w:p w14:paraId="367BFC9F">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65</w:t>
                  </w:r>
                </w:p>
              </w:tc>
              <w:tc>
                <w:tcPr>
                  <w:tcW w:w="422" w:type="pct"/>
                  <w:tcBorders>
                    <w:tl2br w:val="nil"/>
                    <w:tr2bl w:val="nil"/>
                  </w:tcBorders>
                  <w:noWrap w:val="0"/>
                  <w:vAlign w:val="center"/>
                </w:tcPr>
                <w:p w14:paraId="2C320235">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55</w:t>
                  </w:r>
                </w:p>
              </w:tc>
              <w:tc>
                <w:tcPr>
                  <w:tcW w:w="508" w:type="pct"/>
                  <w:tcBorders>
                    <w:tl2br w:val="nil"/>
                    <w:tr2bl w:val="nil"/>
                  </w:tcBorders>
                  <w:noWrap w:val="0"/>
                  <w:vAlign w:val="center"/>
                </w:tcPr>
                <w:p w14:paraId="0BFE9616">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65</w:t>
                  </w:r>
                </w:p>
              </w:tc>
              <w:tc>
                <w:tcPr>
                  <w:tcW w:w="510" w:type="pct"/>
                  <w:tcBorders>
                    <w:tl2br w:val="nil"/>
                    <w:tr2bl w:val="nil"/>
                  </w:tcBorders>
                  <w:noWrap w:val="0"/>
                  <w:vAlign w:val="center"/>
                </w:tcPr>
                <w:p w14:paraId="113C7172">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55</w:t>
                  </w:r>
                </w:p>
              </w:tc>
              <w:tc>
                <w:tcPr>
                  <w:tcW w:w="510" w:type="pct"/>
                  <w:tcBorders>
                    <w:tl2br w:val="nil"/>
                    <w:tr2bl w:val="nil"/>
                  </w:tcBorders>
                  <w:noWrap w:val="0"/>
                  <w:vAlign w:val="center"/>
                </w:tcPr>
                <w:p w14:paraId="4C9A90C5">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65</w:t>
                  </w:r>
                </w:p>
              </w:tc>
              <w:tc>
                <w:tcPr>
                  <w:tcW w:w="512" w:type="pct"/>
                  <w:tcBorders>
                    <w:tl2br w:val="nil"/>
                    <w:tr2bl w:val="nil"/>
                  </w:tcBorders>
                  <w:noWrap w:val="0"/>
                  <w:vAlign w:val="center"/>
                </w:tcPr>
                <w:p w14:paraId="698F4D18">
                  <w:pPr>
                    <w:pStyle w:val="3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55</w:t>
                  </w:r>
                </w:p>
              </w:tc>
            </w:tr>
          </w:tbl>
          <w:p w14:paraId="37D45FC2">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根据上表预测结果可知，项目对厂界噪声的</w:t>
            </w:r>
            <w:r>
              <w:rPr>
                <w:rFonts w:hint="eastAsia" w:cs="Times New Roman"/>
                <w:color w:val="000000" w:themeColor="text1"/>
                <w:lang w:val="en-US" w:eastAsia="zh-CN"/>
                <w14:textFill>
                  <w14:solidFill>
                    <w14:schemeClr w14:val="tx1"/>
                  </w14:solidFill>
                </w14:textFill>
              </w:rPr>
              <w:t>预测值</w:t>
            </w:r>
            <w:r>
              <w:rPr>
                <w:rFonts w:hint="default" w:ascii="Times New Roman" w:hAnsi="Times New Roman" w:eastAsia="宋体" w:cs="Times New Roman"/>
                <w:color w:val="000000" w:themeColor="text1"/>
                <w14:textFill>
                  <w14:solidFill>
                    <w14:schemeClr w14:val="tx1"/>
                  </w14:solidFill>
                </w14:textFill>
              </w:rPr>
              <w:t>满足《工业企业厂界环境噪声排放标准》</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GB12348-2008</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类标准，项目噪声对周边环境影响较小。</w:t>
            </w:r>
          </w:p>
          <w:p w14:paraId="10E61029">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3.4 减缓措施</w:t>
            </w:r>
          </w:p>
          <w:p w14:paraId="0443E7BA">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jc w:val="left"/>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①燃烧机、风机、水泵等主要生产设备选用低噪声设备</w:t>
            </w:r>
            <w:r>
              <w:rPr>
                <w:rFonts w:hint="default" w:ascii="Times New Roman" w:hAnsi="Times New Roman" w:eastAsia="宋体" w:cs="Times New Roman"/>
                <w:color w:val="000000" w:themeColor="text1"/>
                <w:lang w:eastAsia="zh-CN"/>
                <w14:textFill>
                  <w14:solidFill>
                    <w14:schemeClr w14:val="tx1"/>
                  </w14:solidFill>
                </w14:textFill>
              </w:rPr>
              <w:t>。</w:t>
            </w:r>
          </w:p>
          <w:p w14:paraId="20A6860C">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jc w:val="left"/>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②对主要设备采取加装隔振垫等技术，控制设备噪声，使生产设备符合工业企业设计噪声标准</w:t>
            </w:r>
            <w:r>
              <w:rPr>
                <w:rFonts w:hint="default" w:ascii="Times New Roman" w:hAnsi="Times New Roman" w:eastAsia="宋体" w:cs="Times New Roman"/>
                <w:color w:val="000000" w:themeColor="text1"/>
                <w:lang w:eastAsia="zh-CN"/>
                <w14:textFill>
                  <w14:solidFill>
                    <w14:schemeClr w14:val="tx1"/>
                  </w14:solidFill>
                </w14:textFill>
              </w:rPr>
              <w:t>。</w:t>
            </w:r>
          </w:p>
          <w:p w14:paraId="33F2D780">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jc w:val="left"/>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③</w:t>
            </w:r>
            <w:r>
              <w:rPr>
                <w:rFonts w:hint="default" w:ascii="Times New Roman" w:hAnsi="Times New Roman" w:eastAsia="宋体" w:cs="Times New Roman"/>
                <w:color w:val="000000" w:themeColor="text1"/>
                <w:lang w:val="en-US" w:eastAsia="zh-CN"/>
                <w14:textFill>
                  <w14:solidFill>
                    <w14:schemeClr w14:val="tx1"/>
                  </w14:solidFill>
                </w14:textFill>
              </w:rPr>
              <w:t>锅炉房</w:t>
            </w:r>
            <w:r>
              <w:rPr>
                <w:rFonts w:hint="default" w:ascii="Times New Roman" w:hAnsi="Times New Roman" w:eastAsia="宋体" w:cs="Times New Roman"/>
                <w:color w:val="000000" w:themeColor="text1"/>
                <w:lang w:eastAsia="zh-CN"/>
                <w14:textFill>
                  <w14:solidFill>
                    <w14:schemeClr w14:val="tx1"/>
                  </w14:solidFill>
                </w14:textFill>
              </w:rPr>
              <w:t>门窗采用隔声门窗。</w:t>
            </w:r>
          </w:p>
          <w:p w14:paraId="2BD3C33F">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jc w:val="left"/>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④合理布局，减少噪声对周围环境影响。</w:t>
            </w:r>
          </w:p>
          <w:p w14:paraId="62A7B5AE">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jc w:val="left"/>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⑤加强对各种产噪设备的保养，使之处于良好运行状态。</w:t>
            </w:r>
          </w:p>
          <w:p w14:paraId="06AE9823">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3.5 监测计划</w:t>
            </w:r>
          </w:p>
          <w:p w14:paraId="03E634B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根据《排污单位自行监测技术指南 总则》</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819-2017</w:t>
            </w:r>
            <w:r>
              <w:rPr>
                <w:rFonts w:hint="default" w:ascii="Times New Roman" w:hAnsi="Times New Roman" w:eastAsia="宋体" w:cs="Times New Roman"/>
                <w:color w:val="000000" w:themeColor="text1"/>
                <w:lang w:eastAsia="zh-CN"/>
                <w14:textFill>
                  <w14:solidFill>
                    <w14:schemeClr w14:val="tx1"/>
                  </w14:solidFill>
                </w14:textFill>
              </w:rPr>
              <w:t>）、《排污许可证申请与核发技术规范 工业噪声》（</w:t>
            </w:r>
            <w:r>
              <w:rPr>
                <w:rFonts w:hint="default" w:ascii="Times New Roman" w:hAnsi="Times New Roman" w:eastAsia="宋体" w:cs="Times New Roman"/>
                <w:color w:val="000000" w:themeColor="text1"/>
                <w14:textFill>
                  <w14:solidFill>
                    <w14:schemeClr w14:val="tx1"/>
                  </w14:solidFill>
                </w14:textFill>
              </w:rPr>
              <w:t>HJ</w:t>
            </w:r>
            <w:r>
              <w:rPr>
                <w:rFonts w:hint="default" w:ascii="Times New Roman" w:hAnsi="Times New Roman" w:eastAsia="宋体" w:cs="Times New Roman"/>
                <w:color w:val="000000" w:themeColor="text1"/>
                <w:lang w:val="en-US" w:eastAsia="zh-CN"/>
                <w14:textFill>
                  <w14:solidFill>
                    <w14:schemeClr w14:val="tx1"/>
                  </w14:solidFill>
                </w14:textFill>
              </w:rPr>
              <w:t xml:space="preserve"> 1301</w:t>
            </w:r>
            <w:r>
              <w:rPr>
                <w:rFonts w:hint="default" w:ascii="Times New Roman" w:hAnsi="Times New Roman" w:eastAsia="宋体" w:cs="Times New Roman"/>
                <w:color w:val="000000" w:themeColor="text1"/>
                <w14:textFill>
                  <w14:solidFill>
                    <w14:schemeClr w14:val="tx1"/>
                  </w14:solidFill>
                </w14:textFill>
              </w:rPr>
              <w:t>-20</w:t>
            </w:r>
            <w:r>
              <w:rPr>
                <w:rFonts w:hint="default" w:ascii="Times New Roman" w:hAnsi="Times New Roman" w:eastAsia="宋体" w:cs="Times New Roman"/>
                <w:color w:val="000000" w:themeColor="text1"/>
                <w:lang w:val="en-US" w:eastAsia="zh-CN"/>
                <w14:textFill>
                  <w14:solidFill>
                    <w14:schemeClr w14:val="tx1"/>
                  </w14:solidFill>
                </w14:textFill>
              </w:rPr>
              <w:t>23</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，运营期噪声环境监测计划见表4-</w:t>
            </w:r>
            <w:r>
              <w:rPr>
                <w:rFonts w:hint="eastAsia" w:cs="Times New Roman"/>
                <w:color w:val="000000" w:themeColor="text1"/>
                <w:lang w:val="en-US" w:eastAsia="zh-CN"/>
                <w14:textFill>
                  <w14:solidFill>
                    <w14:schemeClr w14:val="tx1"/>
                  </w14:solidFill>
                </w14:textFill>
              </w:rPr>
              <w:t>9</w:t>
            </w:r>
            <w:r>
              <w:rPr>
                <w:rFonts w:hint="default" w:ascii="Times New Roman" w:hAnsi="Times New Roman" w:eastAsia="宋体" w:cs="Times New Roman"/>
                <w:color w:val="000000" w:themeColor="text1"/>
                <w14:textFill>
                  <w14:solidFill>
                    <w14:schemeClr w14:val="tx1"/>
                  </w14:solidFill>
                </w14:textFill>
              </w:rPr>
              <w:t>。</w:t>
            </w:r>
          </w:p>
          <w:p w14:paraId="000EB2D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表4-</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本项目运营期噪声环境监测计划一览表</w:t>
            </w:r>
          </w:p>
          <w:tbl>
            <w:tblPr>
              <w:tblStyle w:val="29"/>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124"/>
              <w:gridCol w:w="750"/>
              <w:gridCol w:w="1250"/>
              <w:gridCol w:w="2895"/>
              <w:gridCol w:w="1084"/>
            </w:tblGrid>
            <w:tr w14:paraId="6F1A1F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tcBorders>
                    <w:bottom w:val="single" w:color="000000" w:sz="12" w:space="0"/>
                    <w:tl2br w:val="nil"/>
                    <w:tr2bl w:val="nil"/>
                  </w:tcBorders>
                  <w:vAlign w:val="center"/>
                </w:tcPr>
                <w:p w14:paraId="4F5EBA1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因素</w:t>
                  </w:r>
                </w:p>
              </w:tc>
              <w:tc>
                <w:tcPr>
                  <w:tcW w:w="724" w:type="pct"/>
                  <w:tcBorders>
                    <w:bottom w:val="single" w:color="000000" w:sz="12" w:space="0"/>
                    <w:tl2br w:val="nil"/>
                    <w:tr2bl w:val="nil"/>
                  </w:tcBorders>
                  <w:vAlign w:val="center"/>
                </w:tcPr>
                <w:p w14:paraId="595233A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监测位置</w:t>
                  </w:r>
                </w:p>
              </w:tc>
              <w:tc>
                <w:tcPr>
                  <w:tcW w:w="483" w:type="pct"/>
                  <w:tcBorders>
                    <w:bottom w:val="single" w:color="000000" w:sz="12" w:space="0"/>
                    <w:tl2br w:val="nil"/>
                    <w:tr2bl w:val="nil"/>
                  </w:tcBorders>
                  <w:vAlign w:val="center"/>
                </w:tcPr>
                <w:p w14:paraId="5AEE0E7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监测指标</w:t>
                  </w:r>
                </w:p>
              </w:tc>
              <w:tc>
                <w:tcPr>
                  <w:tcW w:w="805" w:type="pct"/>
                  <w:tcBorders>
                    <w:bottom w:val="single" w:color="000000" w:sz="12" w:space="0"/>
                    <w:tl2br w:val="nil"/>
                    <w:tr2bl w:val="nil"/>
                  </w:tcBorders>
                  <w:vAlign w:val="center"/>
                </w:tcPr>
                <w:p w14:paraId="62BD1DE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监测频次</w:t>
                  </w:r>
                </w:p>
              </w:tc>
              <w:tc>
                <w:tcPr>
                  <w:tcW w:w="1865" w:type="pct"/>
                  <w:tcBorders>
                    <w:bottom w:val="single" w:color="000000" w:sz="12" w:space="0"/>
                    <w:tl2br w:val="nil"/>
                    <w:tr2bl w:val="nil"/>
                  </w:tcBorders>
                  <w:vAlign w:val="center"/>
                </w:tcPr>
                <w:p w14:paraId="43A935B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执行标准</w:t>
                  </w:r>
                </w:p>
              </w:tc>
              <w:tc>
                <w:tcPr>
                  <w:tcW w:w="698" w:type="pct"/>
                  <w:tcBorders>
                    <w:bottom w:val="single" w:color="000000" w:sz="12" w:space="0"/>
                    <w:tl2br w:val="nil"/>
                    <w:tr2bl w:val="nil"/>
                  </w:tcBorders>
                  <w:vAlign w:val="center"/>
                </w:tcPr>
                <w:p w14:paraId="0AF004B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备注</w:t>
                  </w:r>
                </w:p>
              </w:tc>
            </w:tr>
            <w:tr w14:paraId="461EF8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tcBorders>
                    <w:top w:val="single" w:color="000000" w:sz="12" w:space="0"/>
                    <w:tl2br w:val="nil"/>
                    <w:tr2bl w:val="nil"/>
                  </w:tcBorders>
                  <w:vAlign w:val="center"/>
                </w:tcPr>
                <w:p w14:paraId="6F35B32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噪声</w:t>
                  </w:r>
                </w:p>
              </w:tc>
              <w:tc>
                <w:tcPr>
                  <w:tcW w:w="724" w:type="pct"/>
                  <w:tcBorders>
                    <w:top w:val="single" w:color="000000" w:sz="12" w:space="0"/>
                    <w:tl2br w:val="nil"/>
                    <w:tr2bl w:val="nil"/>
                  </w:tcBorders>
                  <w:vAlign w:val="center"/>
                </w:tcPr>
                <w:p w14:paraId="30AA94A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厂界四周</w:t>
                  </w:r>
                </w:p>
              </w:tc>
              <w:tc>
                <w:tcPr>
                  <w:tcW w:w="483" w:type="pct"/>
                  <w:tcBorders>
                    <w:top w:val="single" w:color="000000" w:sz="12" w:space="0"/>
                    <w:tl2br w:val="nil"/>
                    <w:tr2bl w:val="nil"/>
                  </w:tcBorders>
                  <w:vAlign w:val="center"/>
                </w:tcPr>
                <w:p w14:paraId="7BC748F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LAeq</w:t>
                  </w:r>
                </w:p>
              </w:tc>
              <w:tc>
                <w:tcPr>
                  <w:tcW w:w="805" w:type="pct"/>
                  <w:tcBorders>
                    <w:top w:val="single" w:color="000000" w:sz="12" w:space="0"/>
                    <w:tl2br w:val="nil"/>
                    <w:tr2bl w:val="nil"/>
                  </w:tcBorders>
                  <w:vAlign w:val="center"/>
                </w:tcPr>
                <w:p w14:paraId="1E710AF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1次/季度</w:t>
                  </w:r>
                </w:p>
                <w:p w14:paraId="5D402F7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昼夜监测</w:t>
                  </w:r>
                </w:p>
              </w:tc>
              <w:tc>
                <w:tcPr>
                  <w:tcW w:w="1865" w:type="pct"/>
                  <w:tcBorders>
                    <w:top w:val="single" w:color="000000" w:sz="12" w:space="0"/>
                    <w:tl2br w:val="nil"/>
                    <w:tr2bl w:val="nil"/>
                  </w:tcBorders>
                  <w:vAlign w:val="center"/>
                </w:tcPr>
                <w:p w14:paraId="4C92362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《工业企业厂界环境噪声排放标准》（GB12348-2008）中</w:t>
                  </w:r>
                  <w:r>
                    <w:rPr>
                      <w:rFonts w:hint="default" w:ascii="Times New Roman" w:hAnsi="Times New Roman" w:eastAsia="宋体" w:cs="Times New Roman"/>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14:textFill>
                        <w14:solidFill>
                          <w14:schemeClr w14:val="tx1"/>
                        </w14:solidFill>
                      </w14:textFill>
                    </w:rPr>
                    <w:t>类标准</w:t>
                  </w:r>
                </w:p>
              </w:tc>
              <w:tc>
                <w:tcPr>
                  <w:tcW w:w="698" w:type="pct"/>
                  <w:tcBorders>
                    <w:top w:val="single" w:color="000000" w:sz="12" w:space="0"/>
                    <w:tl2br w:val="nil"/>
                    <w:tr2bl w:val="nil"/>
                  </w:tcBorders>
                  <w:vAlign w:val="center"/>
                </w:tcPr>
                <w:p w14:paraId="66903A1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bl>
          <w:p w14:paraId="43B9CA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imes New Roman" w:hAnsi="Times New Roman" w:eastAsia="宋体"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 xml:space="preserve">3.6 </w:t>
            </w:r>
            <w:r>
              <w:rPr>
                <w:rFonts w:hint="eastAsia" w:ascii="Times New Roman" w:hAnsi="Times New Roman" w:eastAsia="宋体" w:cs="Times New Roman"/>
                <w:b/>
                <w:bCs/>
                <w:color w:val="auto"/>
                <w:kern w:val="2"/>
                <w:sz w:val="24"/>
                <w:szCs w:val="24"/>
                <w:lang w:val="en-US" w:eastAsia="zh-CN" w:bidi="ar-SA"/>
              </w:rPr>
              <w:t>噪声</w:t>
            </w:r>
            <w:r>
              <w:rPr>
                <w:rFonts w:hint="eastAsia" w:cs="Times New Roman"/>
                <w:b/>
                <w:bCs/>
                <w:color w:val="auto"/>
                <w:kern w:val="2"/>
                <w:sz w:val="24"/>
                <w:szCs w:val="24"/>
                <w:lang w:val="en-US" w:eastAsia="zh-CN" w:bidi="ar-SA"/>
              </w:rPr>
              <w:t>环境</w:t>
            </w:r>
            <w:r>
              <w:rPr>
                <w:rFonts w:hint="eastAsia" w:ascii="Times New Roman" w:hAnsi="Times New Roman" w:eastAsia="宋体" w:cs="Times New Roman"/>
                <w:b/>
                <w:bCs/>
                <w:color w:val="auto"/>
                <w:kern w:val="2"/>
                <w:sz w:val="24"/>
                <w:szCs w:val="24"/>
                <w:lang w:val="en-US" w:eastAsia="zh-CN" w:bidi="ar-SA"/>
              </w:rPr>
              <w:t>保护措施</w:t>
            </w:r>
          </w:p>
          <w:p w14:paraId="382525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本项目运营期噪声源主要为锅炉燃烧机、风机、水泵，源强75~90dB（A），</w:t>
            </w:r>
            <w:r>
              <w:rPr>
                <w:rFonts w:hint="eastAsia" w:ascii="Times New Roman" w:hAnsi="Times New Roman" w:cs="Times New Roman"/>
                <w:b w:val="0"/>
                <w:color w:val="auto"/>
                <w:kern w:val="2"/>
                <w:sz w:val="24"/>
                <w:szCs w:val="24"/>
                <w:lang w:val="en-US" w:eastAsia="zh-CN" w:bidi="ar-SA"/>
              </w:rPr>
              <w:t>具有</w:t>
            </w:r>
            <w:r>
              <w:rPr>
                <w:rFonts w:hint="default" w:ascii="Times New Roman" w:hAnsi="Times New Roman" w:eastAsia="宋体" w:cs="Times New Roman"/>
                <w:b w:val="0"/>
                <w:color w:val="auto"/>
                <w:kern w:val="2"/>
                <w:sz w:val="24"/>
                <w:szCs w:val="24"/>
                <w:lang w:val="en-US" w:eastAsia="zh-CN" w:bidi="ar-SA"/>
              </w:rPr>
              <w:t>不定时性与突发性，已采取基础减振、墙体隔声等措施，建筑物插入损失20dB（A）。选用低噪声设备，加装隔振垫，锅炉房用隔声门窗，合理布局并加强设备保养</w:t>
            </w:r>
            <w:r>
              <w:rPr>
                <w:rFonts w:hint="eastAsia" w:cs="Times New Roman"/>
                <w:b w:val="0"/>
                <w:color w:val="auto"/>
                <w:kern w:val="2"/>
                <w:sz w:val="24"/>
                <w:szCs w:val="24"/>
                <w:lang w:val="en-US" w:eastAsia="zh-CN" w:bidi="ar-SA"/>
              </w:rPr>
              <w:t>，厂界噪声强度满足《工业企业厂界环境噪声排放标准》（GB12348-2008）3类标准。</w:t>
            </w:r>
          </w:p>
          <w:p w14:paraId="4E550DF9">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 固体废物影响分析</w:t>
            </w:r>
          </w:p>
          <w:p w14:paraId="07C89C14">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4.1 项目产生的固体废物情况</w:t>
            </w:r>
          </w:p>
          <w:p w14:paraId="77C72BE1">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本项目产生的固体废物包括废离子交换树</w:t>
            </w:r>
            <w:r>
              <w:rPr>
                <w:rFonts w:hint="default" w:ascii="Times New Roman" w:hAnsi="Times New Roman" w:eastAsia="宋体" w:cs="Times New Roman"/>
                <w:color w:val="000000" w:themeColor="text1"/>
                <w:highlight w:val="none"/>
                <w:lang w:val="en-US" w:eastAsia="zh-CN"/>
                <w14:textFill>
                  <w14:solidFill>
                    <w14:schemeClr w14:val="tx1"/>
                  </w14:solidFill>
                </w14:textFill>
              </w:rPr>
              <w:t>脂</w:t>
            </w:r>
            <w:r>
              <w:rPr>
                <w:rFonts w:hint="eastAsia"/>
                <w:highlight w:val="none"/>
                <w:lang w:eastAsia="zh-CN"/>
              </w:rPr>
              <w:t>、</w:t>
            </w:r>
            <w:r>
              <w:rPr>
                <w:rFonts w:hint="eastAsia"/>
                <w:highlight w:val="none"/>
                <w:lang w:val="en-US" w:eastAsia="zh-CN"/>
              </w:rPr>
              <w:t>废机油</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3549C9C6">
            <w:pPr>
              <w:pStyle w:val="25"/>
              <w:keepNext w:val="0"/>
              <w:keepLines w:val="0"/>
              <w:numPr>
                <w:ilvl w:val="0"/>
                <w:numId w:val="0"/>
              </w:numPr>
              <w:suppressLineNumbers w:val="0"/>
              <w:spacing w:before="0" w:beforeAutospacing="0" w:after="0" w:afterAutospacing="0"/>
              <w:ind w:left="0" w:right="0" w:firstLine="480" w:firstLineChars="200"/>
              <w:jc w:val="both"/>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b w:val="0"/>
                <w:color w:val="auto"/>
                <w:kern w:val="0"/>
                <w:sz w:val="24"/>
                <w:szCs w:val="24"/>
                <w:highlight w:val="none"/>
                <w:lang w:val="en-US" w:eastAsia="zh-CN" w:bidi="ar-SA"/>
              </w:rPr>
              <w:t>（1）</w:t>
            </w:r>
            <w:r>
              <w:rPr>
                <w:rFonts w:hint="default" w:ascii="Times New Roman" w:hAnsi="Times New Roman" w:eastAsia="宋体" w:cs="Times New Roman"/>
                <w:color w:val="auto"/>
                <w:highlight w:val="none"/>
                <w:lang w:val="en-US" w:eastAsia="zh-CN"/>
              </w:rPr>
              <w:t>废离子交换树脂</w:t>
            </w:r>
          </w:p>
          <w:p w14:paraId="02D0BB8D">
            <w:pPr>
              <w:pStyle w:val="25"/>
              <w:keepNext w:val="0"/>
              <w:keepLines w:val="0"/>
              <w:widowControl w:val="0"/>
              <w:numPr>
                <w:ilvl w:val="0"/>
                <w:numId w:val="0"/>
              </w:numPr>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本项目软水制备设备使用的离子交换树脂由厂家更换回收，即产即处理，不在厂区暂存，产生量约为0.05t/a。根据《固体废物分类与代码目录》，属于</w:t>
            </w:r>
            <w:r>
              <w:rPr>
                <w:rFonts w:hint="eastAsia" w:cs="Times New Roman"/>
                <w:color w:val="auto"/>
                <w:kern w:val="0"/>
                <w:sz w:val="24"/>
                <w:highlight w:val="none"/>
                <w:lang w:val="en-US" w:eastAsia="zh-CN"/>
              </w:rPr>
              <w:t>SW59其他工业固态废物</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，废物代</w:t>
            </w:r>
            <w:r>
              <w:rPr>
                <w:rFonts w:hint="default" w:cs="Times New Roman"/>
                <w:color w:val="auto"/>
                <w:kern w:val="0"/>
                <w:sz w:val="24"/>
                <w:highlight w:val="none"/>
                <w:lang w:val="en-US" w:eastAsia="zh-CN"/>
              </w:rPr>
              <w:t>码为900-099-S59</w:t>
            </w:r>
            <w:r>
              <w:rPr>
                <w:rFonts w:hint="eastAsia" w:cs="Times New Roman"/>
                <w:color w:val="auto"/>
                <w:kern w:val="0"/>
                <w:sz w:val="24"/>
                <w:highlight w:val="none"/>
                <w:lang w:val="en-US" w:eastAsia="zh-CN"/>
              </w:rPr>
              <w:t>。</w:t>
            </w:r>
          </w:p>
          <w:p w14:paraId="124F4F39">
            <w:pPr>
              <w:pStyle w:val="25"/>
              <w:keepNext w:val="0"/>
              <w:keepLines w:val="0"/>
              <w:widowControl w:val="0"/>
              <w:numPr>
                <w:ilvl w:val="0"/>
                <w:numId w:val="0"/>
              </w:numPr>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（2）废机油</w:t>
            </w:r>
          </w:p>
          <w:p w14:paraId="71D5D54B">
            <w:pPr>
              <w:pStyle w:val="25"/>
              <w:keepNext w:val="0"/>
              <w:keepLines w:val="0"/>
              <w:widowControl w:val="0"/>
              <w:numPr>
                <w:ilvl w:val="0"/>
                <w:numId w:val="0"/>
              </w:numPr>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本项目设备在检修或维护过程中会产生少量的废机油，类比现有工程，产生量约为0.05t/a。根据《国家危险废物名录</w:t>
            </w:r>
            <w:r>
              <w:rPr>
                <w:rFonts w:hint="eastAsia" w:cs="Times New Roman"/>
                <w:color w:val="auto"/>
                <w:kern w:val="0"/>
                <w:sz w:val="24"/>
                <w:highlight w:val="none"/>
                <w:lang w:val="en-US" w:eastAsia="zh-CN"/>
              </w:rPr>
              <w:t>（2025年版）</w:t>
            </w:r>
            <w:r>
              <w:rPr>
                <w:rFonts w:hint="default" w:ascii="Times New Roman" w:hAnsi="Times New Roman" w:eastAsia="宋体" w:cs="Times New Roman"/>
                <w:color w:val="auto"/>
                <w:kern w:val="0"/>
                <w:sz w:val="24"/>
                <w:highlight w:val="none"/>
                <w:lang w:val="en-US" w:eastAsia="zh-CN"/>
              </w:rPr>
              <w:t>》，属于HW08废矿物油与含矿物油</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废物，废物代码为900-214-08，暂存于厂区现有的</w:t>
            </w:r>
            <w:r>
              <w:rPr>
                <w:rFonts w:hint="default" w:ascii="Times New Roman" w:hAnsi="Times New Roman" w:eastAsia="宋体" w:cs="Times New Roman"/>
                <w:color w:val="000000" w:themeColor="text1"/>
                <w:highlight w:val="none"/>
                <w:lang w:val="en-US" w:eastAsia="zh-CN"/>
                <w14:textFill>
                  <w14:solidFill>
                    <w14:schemeClr w14:val="tx1"/>
                  </w14:solidFill>
                </w14:textFill>
              </w:rPr>
              <w:t>危废贮存库</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，定期交由</w:t>
            </w:r>
            <w:r>
              <w:rPr>
                <w:rFonts w:hint="eastAsia" w:cs="Times New Roman"/>
                <w:color w:val="000000" w:themeColor="text1"/>
                <w:highlight w:val="none"/>
                <w:lang w:val="en-US" w:eastAsia="zh-CN"/>
                <w14:textFill>
                  <w14:solidFill>
                    <w14:schemeClr w14:val="tx1"/>
                  </w14:solidFill>
                </w14:textFill>
              </w:rPr>
              <w:t>有资质单位统一处置</w:t>
            </w:r>
            <w:r>
              <w:rPr>
                <w:rFonts w:hint="default" w:ascii="Times New Roman" w:hAnsi="Times New Roman" w:eastAsia="宋体" w:cs="Times New Roman"/>
                <w:color w:val="auto"/>
                <w:kern w:val="0"/>
                <w:sz w:val="24"/>
                <w:highlight w:val="none"/>
                <w:lang w:val="en-US" w:eastAsia="zh-CN"/>
              </w:rPr>
              <w:t>。</w:t>
            </w:r>
          </w:p>
          <w:p w14:paraId="3CD8F47F">
            <w:pPr>
              <w:pStyle w:val="38"/>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表4-</w:t>
            </w:r>
            <w:r>
              <w:rPr>
                <w:rFonts w:hint="eastAsia"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运营期固废产排情况一览表</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065"/>
              <w:gridCol w:w="768"/>
              <w:gridCol w:w="1097"/>
              <w:gridCol w:w="1343"/>
              <w:gridCol w:w="681"/>
              <w:gridCol w:w="973"/>
              <w:gridCol w:w="1355"/>
            </w:tblGrid>
            <w:tr w14:paraId="589A92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11" w:type="pct"/>
                  <w:tcBorders>
                    <w:bottom w:val="single" w:color="auto" w:sz="12" w:space="0"/>
                  </w:tcBorders>
                  <w:noWrap w:val="0"/>
                  <w:vAlign w:val="center"/>
                </w:tcPr>
                <w:p w14:paraId="7CB563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序号</w:t>
                  </w:r>
                </w:p>
              </w:tc>
              <w:tc>
                <w:tcPr>
                  <w:tcW w:w="685" w:type="pct"/>
                  <w:tcBorders>
                    <w:bottom w:val="single" w:color="auto" w:sz="12" w:space="0"/>
                  </w:tcBorders>
                  <w:noWrap w:val="0"/>
                  <w:vAlign w:val="center"/>
                </w:tcPr>
                <w:p w14:paraId="162DE7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类别</w:t>
                  </w:r>
                </w:p>
              </w:tc>
              <w:tc>
                <w:tcPr>
                  <w:tcW w:w="494" w:type="pct"/>
                  <w:tcBorders>
                    <w:bottom w:val="single" w:color="auto" w:sz="12" w:space="0"/>
                  </w:tcBorders>
                  <w:noWrap w:val="0"/>
                  <w:vAlign w:val="center"/>
                </w:tcPr>
                <w:p w14:paraId="3A3077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产生环节</w:t>
                  </w:r>
                </w:p>
              </w:tc>
              <w:tc>
                <w:tcPr>
                  <w:tcW w:w="706" w:type="pct"/>
                  <w:tcBorders>
                    <w:bottom w:val="single" w:color="auto" w:sz="12" w:space="0"/>
                  </w:tcBorders>
                  <w:noWrap w:val="0"/>
                  <w:vAlign w:val="center"/>
                </w:tcPr>
                <w:p w14:paraId="2E834D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名称</w:t>
                  </w:r>
                </w:p>
              </w:tc>
              <w:tc>
                <w:tcPr>
                  <w:tcW w:w="864" w:type="pct"/>
                  <w:tcBorders>
                    <w:bottom w:val="single" w:color="auto" w:sz="12" w:space="0"/>
                  </w:tcBorders>
                  <w:noWrap w:val="0"/>
                  <w:vAlign w:val="center"/>
                </w:tcPr>
                <w:p w14:paraId="0B0654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废物代码</w:t>
                  </w:r>
                </w:p>
              </w:tc>
              <w:tc>
                <w:tcPr>
                  <w:tcW w:w="438" w:type="pct"/>
                  <w:tcBorders>
                    <w:bottom w:val="single" w:color="auto" w:sz="12" w:space="0"/>
                  </w:tcBorders>
                  <w:noWrap w:val="0"/>
                  <w:vAlign w:val="center"/>
                </w:tcPr>
                <w:p w14:paraId="079A515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物理性状</w:t>
                  </w:r>
                </w:p>
              </w:tc>
              <w:tc>
                <w:tcPr>
                  <w:tcW w:w="626" w:type="pct"/>
                  <w:tcBorders>
                    <w:bottom w:val="single" w:color="auto" w:sz="12" w:space="0"/>
                  </w:tcBorders>
                  <w:noWrap w:val="0"/>
                  <w:vAlign w:val="center"/>
                </w:tcPr>
                <w:p w14:paraId="596BF9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年产生量（t/a）</w:t>
                  </w:r>
                </w:p>
              </w:tc>
              <w:tc>
                <w:tcPr>
                  <w:tcW w:w="872" w:type="pct"/>
                  <w:tcBorders>
                    <w:bottom w:val="single" w:color="auto" w:sz="12" w:space="0"/>
                  </w:tcBorders>
                  <w:noWrap w:val="0"/>
                  <w:vAlign w:val="center"/>
                </w:tcPr>
                <w:p w14:paraId="0387A8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处理方式</w:t>
                  </w:r>
                </w:p>
              </w:tc>
            </w:tr>
            <w:tr w14:paraId="7D9CD4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1" w:type="pct"/>
                  <w:noWrap w:val="0"/>
                  <w:vAlign w:val="center"/>
                </w:tcPr>
                <w:p w14:paraId="271D2C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w:t>
                  </w:r>
                </w:p>
              </w:tc>
              <w:tc>
                <w:tcPr>
                  <w:tcW w:w="685" w:type="pct"/>
                  <w:noWrap w:val="0"/>
                  <w:vAlign w:val="center"/>
                </w:tcPr>
                <w:p w14:paraId="2A71B5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一般工业固废</w:t>
                  </w:r>
                </w:p>
              </w:tc>
              <w:tc>
                <w:tcPr>
                  <w:tcW w:w="494" w:type="pct"/>
                  <w:noWrap w:val="0"/>
                  <w:vAlign w:val="center"/>
                </w:tcPr>
                <w:p w14:paraId="4EBF844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软水系统</w:t>
                  </w:r>
                </w:p>
              </w:tc>
              <w:tc>
                <w:tcPr>
                  <w:tcW w:w="706" w:type="pct"/>
                  <w:noWrap w:val="0"/>
                  <w:vAlign w:val="center"/>
                </w:tcPr>
                <w:p w14:paraId="21A16F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废离子交换树脂</w:t>
                  </w:r>
                </w:p>
              </w:tc>
              <w:tc>
                <w:tcPr>
                  <w:tcW w:w="864" w:type="pct"/>
                  <w:noWrap w:val="0"/>
                  <w:vAlign w:val="center"/>
                </w:tcPr>
                <w:p w14:paraId="49E27C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900-099-S59</w:t>
                  </w:r>
                </w:p>
              </w:tc>
              <w:tc>
                <w:tcPr>
                  <w:tcW w:w="438" w:type="pct"/>
                  <w:noWrap w:val="0"/>
                  <w:vAlign w:val="center"/>
                </w:tcPr>
                <w:p w14:paraId="6B2509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bidi="ar"/>
                      <w14:textFill>
                        <w14:solidFill>
                          <w14:schemeClr w14:val="tx1"/>
                        </w14:solidFill>
                      </w14:textFill>
                    </w:rPr>
                    <w:t>固态</w:t>
                  </w:r>
                </w:p>
              </w:tc>
              <w:tc>
                <w:tcPr>
                  <w:tcW w:w="626" w:type="pct"/>
                  <w:noWrap w:val="0"/>
                  <w:vAlign w:val="center"/>
                </w:tcPr>
                <w:p w14:paraId="66F052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0.05</w:t>
                  </w:r>
                </w:p>
              </w:tc>
              <w:tc>
                <w:tcPr>
                  <w:tcW w:w="872" w:type="pct"/>
                  <w:noWrap w:val="0"/>
                  <w:vAlign w:val="center"/>
                </w:tcPr>
                <w:p w14:paraId="5DF0D9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t>由厂家更换回收，即产即处理，不在厂区暂存</w:t>
                  </w:r>
                </w:p>
              </w:tc>
            </w:tr>
            <w:tr w14:paraId="6B0AC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11" w:type="pct"/>
                  <w:noWrap w:val="0"/>
                  <w:vAlign w:val="center"/>
                </w:tcPr>
                <w:p w14:paraId="7CED134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2</w:t>
                  </w:r>
                </w:p>
              </w:tc>
              <w:tc>
                <w:tcPr>
                  <w:tcW w:w="685" w:type="pct"/>
                  <w:noWrap w:val="0"/>
                  <w:vAlign w:val="center"/>
                </w:tcPr>
                <w:p w14:paraId="28A64A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危险废物/HW08</w:t>
                  </w:r>
                </w:p>
              </w:tc>
              <w:tc>
                <w:tcPr>
                  <w:tcW w:w="494" w:type="pct"/>
                  <w:noWrap w:val="0"/>
                  <w:vAlign w:val="center"/>
                </w:tcPr>
                <w:p w14:paraId="77D2F8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生产设备维修</w:t>
                  </w:r>
                </w:p>
              </w:tc>
              <w:tc>
                <w:tcPr>
                  <w:tcW w:w="706" w:type="pct"/>
                  <w:noWrap w:val="0"/>
                  <w:vAlign w:val="center"/>
                </w:tcPr>
                <w:p w14:paraId="540AA1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废机油</w:t>
                  </w:r>
                </w:p>
              </w:tc>
              <w:tc>
                <w:tcPr>
                  <w:tcW w:w="864" w:type="pct"/>
                  <w:noWrap w:val="0"/>
                  <w:vAlign w:val="center"/>
                </w:tcPr>
                <w:p w14:paraId="04F106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900-214-08</w:t>
                  </w:r>
                </w:p>
              </w:tc>
              <w:tc>
                <w:tcPr>
                  <w:tcW w:w="438" w:type="pct"/>
                  <w:noWrap w:val="0"/>
                  <w:vAlign w:val="center"/>
                </w:tcPr>
                <w:p w14:paraId="3E7112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t>液态</w:t>
                  </w:r>
                </w:p>
              </w:tc>
              <w:tc>
                <w:tcPr>
                  <w:tcW w:w="626" w:type="pct"/>
                  <w:noWrap w:val="0"/>
                  <w:vAlign w:val="center"/>
                </w:tcPr>
                <w:p w14:paraId="23101F4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0.05</w:t>
                  </w:r>
                </w:p>
              </w:tc>
              <w:tc>
                <w:tcPr>
                  <w:tcW w:w="872" w:type="pct"/>
                  <w:noWrap w:val="0"/>
                  <w:vAlign w:val="center"/>
                </w:tcPr>
                <w:p w14:paraId="6A72B3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t>由有资质单位统一处置</w:t>
                  </w:r>
                </w:p>
              </w:tc>
            </w:tr>
          </w:tbl>
          <w:p w14:paraId="2FA708C0">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 xml:space="preserve">4.2 </w:t>
            </w:r>
            <w:r>
              <w:rPr>
                <w:rFonts w:hint="eastAsia" w:cs="Times New Roman"/>
                <w:b/>
                <w:bCs/>
                <w:color w:val="000000" w:themeColor="text1"/>
                <w:kern w:val="0"/>
                <w:sz w:val="24"/>
                <w:lang w:val="en-US" w:eastAsia="zh-CN"/>
                <w14:textFill>
                  <w14:solidFill>
                    <w14:schemeClr w14:val="tx1"/>
                  </w14:solidFill>
                </w14:textFill>
              </w:rPr>
              <w:t>固体废物暂存依托可行性分析</w:t>
            </w:r>
          </w:p>
          <w:p w14:paraId="0E3C57B4">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（1）一般工业固体废物</w:t>
            </w:r>
          </w:p>
          <w:p w14:paraId="3EAD4786">
            <w:pPr>
              <w:pStyle w:val="25"/>
              <w:keepNext w:val="0"/>
              <w:keepLines w:val="0"/>
              <w:suppressLineNumbers w:val="0"/>
              <w:spacing w:before="0" w:beforeAutospacing="0" w:after="0" w:afterAutospacing="0"/>
              <w:ind w:left="0" w:right="0" w:firstLine="480"/>
              <w:jc w:val="both"/>
              <w:rPr>
                <w:rFonts w:hint="eastAsia"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本项目主要产生的一般固体废物为废离子交换树脂，根据项目固废处理方案，该类固废采用“即产即处理”模式，不在厂区内设置任何暂存区域。产生的废离子交换树脂将由厂家更换回收，即产即处理，不在厂区暂存，回收过程严格遵循《一般工业固体废物贮存和填埋污染控制标准》（GB 18599-2020）中关于固废转移的要求，确保固废从产生到回收的全流程无暂存环节，有效规避一般工业固废暂存可能带来的环境风险，同时减少厂区暂存设施的建设与管理成本。</w:t>
            </w:r>
          </w:p>
          <w:p w14:paraId="2DCD4206">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（2）危险废物</w:t>
            </w:r>
          </w:p>
          <w:p w14:paraId="4D3063FE">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eastAsia"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本项目运营过程中产生的危险废物主要为废机油（属于《国家危险废物名录》中“HW08 废矿物油与含矿物油废物”类别），根据项目环境管理规划，该类危险废物将依托厂区内已建成并投入使用的危险废物贮存库进行暂存，不新增危废暂存设施。</w:t>
            </w:r>
          </w:p>
          <w:p w14:paraId="2BE12A73">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合规性保障：厂区现有危险废物贮存库已按照《危险废物贮存污染控制标准》（GB 18597-20</w:t>
            </w:r>
            <w:r>
              <w:rPr>
                <w:rFonts w:hint="eastAsia" w:cs="Times New Roman"/>
                <w:color w:val="000000" w:themeColor="text1"/>
                <w:kern w:val="0"/>
                <w:sz w:val="24"/>
                <w:highlight w:val="none"/>
                <w:lang w:val="en-US" w:eastAsia="zh-CN"/>
                <w14:textFill>
                  <w14:solidFill>
                    <w14:schemeClr w14:val="tx1"/>
                  </w14:solidFill>
                </w14:textFill>
              </w:rPr>
              <w:t>23</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）要求建设，具备防雨、防渗、防泄漏、防扬散等功能，库内设置了应急收集沟与泄漏应急处理设备，且已在当地生态环境部门完成备案，满足危废暂存的合规性要求。</w:t>
            </w:r>
          </w:p>
          <w:p w14:paraId="00553F1F">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分区管理适配：该危废贮存库总建设面积达182m²，内部采用“分区贮存”模式，针对不同类别危险废物划分了5个独立暂存区域，其中专门规划的废机油暂存区占地面积为45m²，区域内设置了专用防渗托盘与标识标牌，与本项目产生的废机油类别完全适配，可避免与其他危废混存带来的风险。</w:t>
            </w:r>
          </w:p>
          <w:p w14:paraId="32B61DA4">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③</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产生量统计：经工程分析与类比核算，本项目运营期废机油产生量为0.05t/a；同时，厂区原有项目仍持续运营，其废机油产生量为6t/a，两者叠加后，厂区废机油总产生量为6.05t/a。</w:t>
            </w:r>
          </w:p>
          <w:p w14:paraId="2AF2E452">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④</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容量适配性分析：现有废机油暂存区经实际测算，可容纳废机油最大容量为15吨（按废机油密度0.85</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0.9kg/L、暂存区有效贮存高度及面积核算）。对比总产生量6.05t/a，暂存区现有容量可满足厂区至少2.5年的废机油暂存需求，远超过危废处置单位常规上门清运周期（一般为3-6个月），完全不存在容量不足的问题。</w:t>
            </w:r>
          </w:p>
          <w:p w14:paraId="2A10257F">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暂存于现有危废贮存库的废机油，委托</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具备</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处置资质的单位进行统一清运处置，处置单位将按照《危险废物转移联单管理办法》要求，办理完整的转移联单手续，确保危废从暂存到处置的全流程合法合规，进一步保障依托现有暂存设施的可行性与安全性。</w:t>
            </w:r>
          </w:p>
          <w:p w14:paraId="7B1EF8D5">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eastAsia="宋体" w:cs="Times New Roman"/>
                <w:i w:val="0"/>
                <w:iCs w:val="0"/>
                <w:caps w:val="0"/>
                <w:spacing w:val="0"/>
                <w:sz w:val="24"/>
                <w:szCs w:val="24"/>
                <w:highlight w:val="none"/>
                <w:lang w:val="en-US" w:eastAsia="zh-CN"/>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综上，本项目危险废物（废机油）暂存依托厂区现有危险废物贮存库，在设施合规性、容量适配性、管理规范性及处置流程上均具备充分可行性，无需新增危废暂存设施。</w:t>
            </w:r>
          </w:p>
          <w:p w14:paraId="202F97BD">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4.</w:t>
            </w:r>
            <w:r>
              <w:rPr>
                <w:rFonts w:hint="eastAsia" w:cs="Times New Roman"/>
                <w:b/>
                <w:bCs/>
                <w:color w:val="000000" w:themeColor="text1"/>
                <w:kern w:val="0"/>
                <w:sz w:val="24"/>
                <w:lang w:val="en-US" w:eastAsia="zh-CN"/>
                <w14:textFill>
                  <w14:solidFill>
                    <w14:schemeClr w14:val="tx1"/>
                  </w14:solidFill>
                </w14:textFill>
              </w:rPr>
              <w:t>3</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 xml:space="preserve"> 固废环境管理要求</w:t>
            </w:r>
          </w:p>
          <w:p w14:paraId="03A385B6">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eastAsia" w:cs="Times New Roman"/>
                <w:b/>
                <w:bCs/>
                <w:color w:val="000000" w:themeColor="text1"/>
                <w:kern w:val="0"/>
                <w:sz w:val="24"/>
                <w:lang w:val="en-US" w:eastAsia="zh-CN"/>
                <w14:textFill>
                  <w14:solidFill>
                    <w14:schemeClr w14:val="tx1"/>
                  </w14:solidFill>
                </w14:textFill>
              </w:rPr>
              <w:t>4.3.1</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一般固体废物环境管理要求</w:t>
            </w:r>
          </w:p>
          <w:p w14:paraId="22CA705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本项目</w:t>
            </w:r>
            <w:r>
              <w:rPr>
                <w:rFonts w:hint="default" w:ascii="Times New Roman" w:hAnsi="Times New Roman" w:eastAsia="宋体" w:cs="Times New Roman"/>
                <w:color w:val="000000" w:themeColor="text1"/>
                <w:lang w:val="en-US" w:eastAsia="zh-CN"/>
                <w14:textFill>
                  <w14:solidFill>
                    <w14:schemeClr w14:val="tx1"/>
                  </w14:solidFill>
                </w14:textFill>
              </w:rPr>
              <w:t>废离子交换树脂由废离子交换树脂由厂家更换回收，即产即处理，不在厂区暂存，</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建设单位严格按照《一般工业固体废物贮存和填埋污染控制标准》（GB18599-2020）对固体废物进行处理处置。</w:t>
            </w:r>
          </w:p>
          <w:p w14:paraId="62B2431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根据《一般工业固体废物管理台账制定指南（试行）》对固体废物台账进行以下要求：</w:t>
            </w:r>
          </w:p>
          <w:p w14:paraId="5206CC77">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①台账主要用于记录固体废物在产废单位内部的贮存、利用、处置等信息。填写时应确保固体废物的来源信息、流向信息完整准确；根据固体废物产生周期，可按日或按班次，批次填写。</w:t>
            </w:r>
          </w:p>
          <w:p w14:paraId="7779B6C9">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②</w:t>
            </w:r>
            <w:r>
              <w:rPr>
                <w:rFonts w:hint="eastAsia" w:cs="Times New Roman"/>
                <w:color w:val="000000" w:themeColor="text1"/>
                <w:kern w:val="0"/>
                <w:sz w:val="24"/>
                <w:lang w:val="en-US" w:eastAsia="zh-CN"/>
                <w14:textFill>
                  <w14:solidFill>
                    <w14:schemeClr w14:val="tx1"/>
                  </w14:solidFill>
                </w14:textFill>
              </w:rPr>
              <w:t>产</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废单位填写台账记录表时，应当根据自身固体废物产生情况，选择本厂对应的固体废物种类和代码，并根据固体废物种类确定固体废物的具体名称。</w:t>
            </w:r>
          </w:p>
          <w:p w14:paraId="1D08724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③鼓励产废单位采用国家建立的一般工业固体废物管理电子台账，简化数据填写、台账管理等工作。地方和企业自行开发的电子台账要实现与国家系统对接。建立电子台账的产废单位，可不再记录纸质台账。</w:t>
            </w:r>
          </w:p>
          <w:p w14:paraId="35AFB659">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4.3.2</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危险废物环境管理要求</w:t>
            </w:r>
          </w:p>
          <w:p w14:paraId="2C1550B2">
            <w:pPr>
              <w:pStyle w:val="25"/>
              <w:keepNext w:val="0"/>
              <w:keepLines w:val="0"/>
              <w:suppressLineNumbers w:val="0"/>
              <w:spacing w:before="0" w:beforeAutospacing="0" w:after="0" w:afterAutospacing="0"/>
              <w:ind w:left="0" w:right="0" w:firstLine="480"/>
              <w:jc w:val="both"/>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lang w:val="en-US" w:eastAsia="zh-CN"/>
                <w14:textFill>
                  <w14:solidFill>
                    <w14:schemeClr w14:val="tx1"/>
                  </w14:solidFill>
                </w14:textFill>
              </w:rPr>
              <w:t>本项目危险废物收集包括两个方面：一是在危险废物产生节点将危险废物集中到适当的包装</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容器中或运输车辆上的活动；二是将已包装或装到运输车辆上的危险废物集中到危险废物暂存间的内部转运。</w:t>
            </w:r>
          </w:p>
          <w:p w14:paraId="14B9D96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（1）一般要求</w:t>
            </w:r>
          </w:p>
          <w:p w14:paraId="6C0CE04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危险废物的收集应制定收集计划。收集计划应包括收集任务概述、收集目标及原则、危险废物特性评估、危险废物收集量估算、收集作业范围和方法、收集设备与包装容器、安全生产与个人防护、工程防护与事故应急、进度安排与组织管理等。危险废物的收集应制定详细的操作规程，内容至少应包括适用范围、操作程序和方法、专用设备和工具、转移和交接、安全保障和应急防护等。危险废物收集和转运作业人员需要配备必要的个人防护装备，如手套、防护镜、防护服、防毒面具或口罩等。在危险废物的收集和转运过程中，应采取相应的安全防护和污染防治措施，包括防爆、防火、防中毒、防感染、防泄漏、防飞扬、防雨等防止污染环境的措施。</w:t>
            </w:r>
          </w:p>
          <w:p w14:paraId="3BD43DA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（2）收集作业要求</w:t>
            </w:r>
          </w:p>
          <w:p w14:paraId="35BDA9A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①应根据收集设备、转运车辆以及现场人员等实际情况确定相应作业区域，同时要设置作业界限标志和警示牌。</w:t>
            </w:r>
          </w:p>
          <w:p w14:paraId="17B6694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②作业区域内应设置危险废物收集专用通道和人员避险通道。</w:t>
            </w:r>
          </w:p>
          <w:p w14:paraId="60E6A68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收集时应配备必要的收集工具和包装物，以及必要的应急监测设备及应急装备。应根据危险废物的种类、数量、危险特性、物理形态、运输要求等因素确定包装形式，具体包装应符合如下要求：包装材质要与危险废物相容，可根据废物特性选择钢、塑料等材质；性质类似的废物可收集到同一容器中，性质不相容的危险废物不应混合包装；危险废物包装应能有效隔断危险废物迁移扩散途径，并达到防渗、防漏要求；包装好的危险废物应设置相应的标签，标签信息应填写完整详实；盛装过危险废物的包装袋或包装容器破损后应按危险废物进行管理和处置；危险废物还应根据GB12463的有关要求进行运输包装。</w:t>
            </w:r>
          </w:p>
          <w:p w14:paraId="77E21A2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④危险废物收集应填写“危险废物收集记录表”，并将记录表作为危险废物管理的重要档案妥善保存。</w:t>
            </w:r>
          </w:p>
          <w:p w14:paraId="603EC95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⑤收集结束后应清理和恢复收集作业区域，确保作业区域环境整洁安全。</w:t>
            </w:r>
          </w:p>
          <w:p w14:paraId="6FBECE9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⑥收集过危险废物的容器、设备、设施、场所及其他物品转作他用时，应消除污染，确保其使用安全。</w:t>
            </w:r>
          </w:p>
          <w:p w14:paraId="14EE5CD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（3）内部转运作业要求</w:t>
            </w:r>
          </w:p>
          <w:p w14:paraId="508763C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①危险废物内部转运综合考虑厂区的实际情况确定转运路线，厂区大门有内部道路直达危险废物暂存间。</w:t>
            </w:r>
          </w:p>
          <w:p w14:paraId="496A513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②危险废物内部转运作业采用专用车辆运输，并填写《危险废物厂内转运记录表》。</w:t>
            </w:r>
          </w:p>
          <w:p w14:paraId="2C04BAC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③危险废物内部转运结束后，应对转运路线进行检查和清理，确保无危险废物遗失在转运路线上，并对转运工具进行清洗。遗失废物，散落后被污染的土壤、水以及清洗废水全部分类收集后，运至危废暂存间。</w:t>
            </w:r>
          </w:p>
          <w:p w14:paraId="6944709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三、危险废物贮存</w:t>
            </w:r>
          </w:p>
          <w:p w14:paraId="1DBB3D1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本项目危废废物主要包括废机油、废机油桶，一般情况下危废周转周期不超过半年。本项目危险废物贮存应满足以下要求：</w:t>
            </w:r>
          </w:p>
          <w:p w14:paraId="637F0CF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（1）选址要求</w:t>
            </w:r>
          </w:p>
          <w:p w14:paraId="3D01FF3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①地质结构稳定，地震烈度不超过7度的区域内；</w:t>
            </w:r>
          </w:p>
          <w:p w14:paraId="06FF337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②设施底部必须高于地下水最高水位；</w:t>
            </w:r>
          </w:p>
          <w:p w14:paraId="40E6BE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③应在易燃、易爆等危险品仓库、高压输电线路防护区域以外；</w:t>
            </w:r>
          </w:p>
          <w:p w14:paraId="2F2A9DE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④应位于居民中心区常年最大风频的下风向。</w:t>
            </w:r>
          </w:p>
          <w:p w14:paraId="122D121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（2）设计要求</w:t>
            </w:r>
          </w:p>
          <w:p w14:paraId="14F1ED2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①基础必须防渗，地面与裙脚要用坚固、防渗的材料建造建筑材料必须与危险废物相容；防渗层为至少1米厚黏土层（渗透系数≤10</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7cm/s），或2毫米厚高密度聚乙烯，或至少2毫米厚的其他人工材料，渗透系数≤10</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10cm/s。</w:t>
            </w:r>
          </w:p>
          <w:p w14:paraId="169EB9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②地面与裙脚要用坚固、防渗的材料建造，建筑材料必须与危险废物相容。</w:t>
            </w:r>
          </w:p>
          <w:p w14:paraId="3EAEC5C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③必须有泄漏液体收集装置、气体导出口及气体净化装置。</w:t>
            </w:r>
          </w:p>
          <w:p w14:paraId="173ED39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④设施内要有安全照明设施和观察窗口。</w:t>
            </w:r>
          </w:p>
          <w:p w14:paraId="1C6486E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⑤用以存放装载液体、半固体危险废物容器的地方，必须有耐腐蚀的硬化地面，且表面无裂隙。</w:t>
            </w:r>
          </w:p>
          <w:p w14:paraId="3C4D222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⑥应设计堵截泄漏的裙脚，地面与裙脚所围建的容积不低于堵截最大容器的最大储量或总储量的五分之一。</w:t>
            </w:r>
          </w:p>
          <w:p w14:paraId="7C625C6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⑦不相容的危险废物必须分开存放，并设有隔离间隔断。</w:t>
            </w:r>
          </w:p>
          <w:p w14:paraId="7D21941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（3）危险废物贮存容器</w:t>
            </w:r>
          </w:p>
          <w:p w14:paraId="67D04A1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①必须将危险废物装入符合标准的容器盛装危险废物，容器及材质要满足相应的强度要求、完好无损，容器材质和衬里要与危险废物相容（不相互</w:t>
            </w:r>
          </w:p>
          <w:p w14:paraId="0D878F9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反应），液体危险废物可注入开孔直径不超过70毫米并有放气孔的桶中。</w:t>
            </w:r>
          </w:p>
          <w:p w14:paraId="30662B3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②禁止将不相容（相互反应）的危险废物在同一容器内混装。无法装入常用容器的危险废物可用防漏胶袋等盛装。</w:t>
            </w:r>
          </w:p>
          <w:p w14:paraId="6D47E0C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③装载液体、半固体危险废物的容器内</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须保</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留足够空间，容器顶部与液体表面之间保留100毫米以上的空间。</w:t>
            </w:r>
          </w:p>
          <w:p w14:paraId="6B977CA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④盛装危险废物的容器上必须粘贴符合标准的标签。</w:t>
            </w:r>
          </w:p>
          <w:p w14:paraId="47ADEA3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（4）危险废物堆放</w:t>
            </w:r>
          </w:p>
          <w:p w14:paraId="715AB7F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①堆放危险废物的高度应根据地面承载能力确定。</w:t>
            </w:r>
          </w:p>
          <w:p w14:paraId="63CD4E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②衬里放在一个基础或底座上，要能够覆盖危险废物或其溶出物可能涉及的范围，衬里材料与堆放危险废物相容，在衬里上设计、建造浸出液收集清除系统。</w:t>
            </w:r>
          </w:p>
          <w:p w14:paraId="5636B5C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③应设计建造径流疏导系统，保证能防止25年一遇的暴雨流到危险废物堆里。</w:t>
            </w:r>
          </w:p>
          <w:p w14:paraId="1E8139C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④危险废物堆要防风、防雨、防晒。</w:t>
            </w:r>
          </w:p>
          <w:p w14:paraId="29AEE8A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⑤不相容的危险废物不能堆放在一起。</w:t>
            </w:r>
          </w:p>
          <w:p w14:paraId="3E14D9E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⑥总贮存量不超过300kg(L)的危险废物要放入符合标准的容器内，加上标签，容器放入坚固的柜或箱中，柜或箱应设多个直径不</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小于</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30毫米的排气孔。不相容危险废物要分别存放或存放在不渗透间隔分开的区域内，每个部分都应有防漏裙脚或储漏盘，防漏裙脚或储漏盘的材料要与危险废物相容必须将危险废物装入符合标准的容器盛装危险废物，容器及材质要满足。</w:t>
            </w:r>
          </w:p>
          <w:p w14:paraId="5A36B0C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（5）危险废物贮存运行与管理</w:t>
            </w:r>
          </w:p>
          <w:p w14:paraId="72245CD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①在常温常压下易爆、易燃及排出有毒气体的危险废物必须进行预处理，使之稳定后贮存，否则，按易爆、易燃危险品贮存。</w:t>
            </w:r>
          </w:p>
          <w:p w14:paraId="6AA5982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②在常温常压下不水解、不挥发的固体危险废物可在贮存设施内分别堆放。</w:t>
            </w:r>
          </w:p>
          <w:p w14:paraId="4638B9B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③危险废物贮存前应进行检验，确保同预定接收的危险废物一致，并登记注册。</w:t>
            </w:r>
          </w:p>
          <w:p w14:paraId="6AD00B2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④不得接收未粘贴规定的标签或标签没按规定填写的危险废物。</w:t>
            </w:r>
          </w:p>
          <w:p w14:paraId="5B89A10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⑤盛装在容器内的同类危险废物可以堆叠存放，不得将不相容的废物混合或合并存放。每个堆间应留有搬运通道</w:t>
            </w:r>
          </w:p>
          <w:p w14:paraId="441831B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⑥危险废物贮存期限应符合《中华人民共和国固体废物污染环境防治法》的有关规定。</w:t>
            </w:r>
          </w:p>
          <w:p w14:paraId="4C1336A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⑦须做好危险废物情况的记录，记录上须注明危险废物的名称、来源、数量、特性和包装容器的类别、入库日期、存放库位、废物出库日期及接收单位名称。危险废物的记录和货单在危险废物回取后应继续保留三年。</w:t>
            </w:r>
          </w:p>
          <w:p w14:paraId="23015C8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⑧必须定期对所贮存的危险废物包装容器及贮存设施进行检查，发现破损，应及时采取措施清理更换。</w:t>
            </w:r>
          </w:p>
          <w:p w14:paraId="00EAB3C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⑨项目内部作业区域内应设置危险废物收集专用通道和人员避险通道，同时内部转运需填写《危险废物厂内转运记录表》，转运结束后应对转运路线进行检查和清理，确保无危险废物遗失在转运路线上，并对转运工具进行清理。</w:t>
            </w:r>
          </w:p>
          <w:p w14:paraId="6E44E1A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⑩充分考虑防盗要求，采用双钥匙封闭式管理，且有专人24小时看管。</w:t>
            </w:r>
          </w:p>
          <w:p w14:paraId="7090DCF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（6）危险废物贮存安全防护</w:t>
            </w:r>
          </w:p>
          <w:p w14:paraId="02FCA64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①</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危险废物贮存设施</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必须按GB15562.2的规定设置警示标志。</w:t>
            </w:r>
          </w:p>
          <w:p w14:paraId="433A430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②危险废物贮存设施周围应设置围墙或其他防护栅栏。</w:t>
            </w:r>
          </w:p>
          <w:p w14:paraId="6CF1FB6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③危险废物贮存设施应配备通讯设备、照明设施、安全防护服装及工具，并设有应急防护设施。</w:t>
            </w:r>
          </w:p>
          <w:p w14:paraId="305E74D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④危险废物贮存设施内清理出来的泄漏物，一律按危险废物处理。</w:t>
            </w:r>
          </w:p>
          <w:p w14:paraId="78A0F0A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⑤危险废物贮存设施的关闭应按照GB18597的有关规定执行，例如在关闭贮存设施前应提交关闭计划书，经批准后方可执行；必须采取措施消除污染；无法消除污染的设备、土壤、墙体等按危险废物处理，并运至正在营运的危险废物处理处置场或其他贮存设施中；监测部门的监测结果表明已不存在污染时，方可摘下警示标志，撤离留守人员。</w:t>
            </w:r>
          </w:p>
          <w:p w14:paraId="57FA262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四、危险废物转运要求</w:t>
            </w:r>
          </w:p>
          <w:p w14:paraId="58BABC1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根据《危险废物贮存污染控制标准</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GB18597-2023</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和《危险废物转移管理办法》等有关危险废物转移的管理办法，建立危险废物转移联单制度，并在贮运过程中严格执行危险化学品贮存、运输和监管的有关规定：</w:t>
            </w:r>
          </w:p>
          <w:p w14:paraId="6E5C56C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（1）对承运人或者接受人的主体资格和技术能力进行核实，依法签订书面合同，并在合同中约定运输、贮存、利用、处置危险废物的污染防治要求及相关责任。</w:t>
            </w:r>
          </w:p>
          <w:p w14:paraId="102D29F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（2）制定危险废物管理计划，明确拟转移危险废物的种类、重量（数量）和流向等信息，并建立相应的管理制度，保持危废暂存间常闭，并由专人负责。</w:t>
            </w:r>
          </w:p>
          <w:p w14:paraId="7043788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（3）建立危险废物管理台账，对转移的危险废物进行计量称重，如实记录、妥善保管转移危险废物的种类、重量（数量）和</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接收</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人等相关信息，所有废物按类在专用密闭容器中储存，没有混装，废物收集和封装容器得到</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接收</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企业和监管部门的认可。</w:t>
            </w:r>
          </w:p>
          <w:p w14:paraId="5FC1A11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（4）填写、运行危险废物转移联单，在危险废物转移联单中如实填写移出人、承运人、</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接收</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人信息，转移危险废物的种类、重量（数量）、危险特性等信息，以及突发环境事件的防范措施等。</w:t>
            </w:r>
          </w:p>
          <w:p w14:paraId="66B93E5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5）危险废物运输时的中转、装卸过程应遵守如下技术要求：卸载区的工作人员应熟悉废物的危险特性，并配备适当的个人防护装备，装卸剧毒废物应配备特殊的防护装备；卸载区应配备必要的消防设备和设施，并设置明显的指示标志；危险废物装卸区应设置隔离设施，液态废物卸载区应设置收集槽和缓冲罐。完善管理制度，确保项目产生固废（特别是危险废物）全部收集、暂存并合理处置。</w:t>
            </w:r>
          </w:p>
          <w:p w14:paraId="29F08B7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6）由持有危险废物经营许可证的单位组织实施，承担危险废物运输的单位应获得交通运输部门颁发的危险货物运输资质，所有运输车辆的司机和押运人员经专业培训持证上岗，以汽车运输方式应按照《道路危险货物运输管理规定》（交通运输部令[2005</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第9号）、JT617以及JT618执行，废弃危险化学品的运输应执行《危险化学品安全管理条例》有关运输的规定，项目暂存的危险废物最终送至具有危险废物处置资质的单位进行处置。</w:t>
            </w:r>
          </w:p>
          <w:p w14:paraId="5B6549D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（7）及时核实</w:t>
            </w:r>
            <w:r>
              <w:rPr>
                <w:rFonts w:hint="eastAsia" w:ascii="Times New Roman" w:hAnsi="Times New Roman" w:cs="Times New Roman"/>
                <w:b w:val="0"/>
                <w:color w:val="000000" w:themeColor="text1"/>
                <w:kern w:val="2"/>
                <w:sz w:val="24"/>
                <w:szCs w:val="24"/>
                <w:lang w:val="en-US" w:eastAsia="zh-CN" w:bidi="ar-SA"/>
                <w14:textFill>
                  <w14:solidFill>
                    <w14:schemeClr w14:val="tx1"/>
                  </w14:solidFill>
                </w14:textFill>
              </w:rPr>
              <w:t>接收</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人贮存、利用或者处置相关危险废物情况。</w:t>
            </w:r>
          </w:p>
          <w:p w14:paraId="6FE9E329">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eastAsia"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lang w:val="en-US" w:eastAsia="zh-CN"/>
                <w14:textFill>
                  <w14:solidFill>
                    <w14:schemeClr w14:val="tx1"/>
                  </w14:solidFill>
                </w14:textFill>
              </w:rPr>
              <w:t>地下水、土壤污染影响及防治措施</w:t>
            </w:r>
          </w:p>
          <w:p w14:paraId="3D334CA6">
            <w:pPr>
              <w:pStyle w:val="25"/>
              <w:keepNext w:val="0"/>
              <w:keepLines w:val="0"/>
              <w:suppressLineNumbers w:val="0"/>
              <w:bidi w:val="0"/>
              <w:spacing w:before="0" w:beforeAutospacing="0" w:after="0" w:afterAutospacing="0"/>
              <w:ind w:left="0" w:right="0"/>
              <w:jc w:val="both"/>
              <w:rPr>
                <w:rFonts w:hint="default" w:ascii="Times New Roman" w:hAnsi="Times New Roman" w:cs="Times New Roman"/>
                <w:color w:val="0000FF"/>
                <w:lang w:val="en-US" w:eastAsia="zh-CN"/>
              </w:rPr>
            </w:pPr>
            <w:r>
              <w:rPr>
                <w:rFonts w:hint="eastAsia" w:cs="Times New Roman"/>
                <w:color w:val="000000" w:themeColor="text1"/>
                <w:lang w:val="en-US" w:eastAsia="zh-CN"/>
                <w14:textFill>
                  <w14:solidFill>
                    <w14:schemeClr w14:val="tx1"/>
                  </w14:solidFill>
                </w14:textFill>
              </w:rPr>
              <w:t>项目可能对地下水、土壤产生污染的途径主要为：危险废物贮存库导致有害成分渗漏到土壤后渗漏到地下含水层，从而导致污染地下水、土壤。本项目现有危险废物贮存库已按照</w:t>
            </w:r>
            <w:r>
              <w:rPr>
                <w:rFonts w:hint="default" w:ascii="Times New Roman" w:hAnsi="Times New Roman" w:cs="Times New Roman"/>
                <w:color w:val="000000" w:themeColor="text1"/>
                <w:kern w:val="0"/>
                <w:sz w:val="24"/>
                <w:lang w:val="en-US" w:eastAsia="zh-CN"/>
                <w14:textFill>
                  <w14:solidFill>
                    <w14:schemeClr w14:val="tx1"/>
                  </w14:solidFill>
                </w14:textFill>
              </w:rPr>
              <w:t>《危险废物贮存污染控制标准》（GB18597-2023）中的要求</w:t>
            </w:r>
            <w:r>
              <w:rPr>
                <w:rFonts w:hint="eastAsia" w:ascii="Times New Roman" w:hAnsi="Times New Roman" w:cs="Times New Roman"/>
                <w:color w:val="000000" w:themeColor="text1"/>
                <w:kern w:val="0"/>
                <w:sz w:val="24"/>
                <w:lang w:val="en-US" w:eastAsia="zh-CN"/>
                <w14:textFill>
                  <w14:solidFill>
                    <w14:schemeClr w14:val="tx1"/>
                  </w14:solidFill>
                </w14:textFill>
              </w:rPr>
              <w:t>进行</w:t>
            </w:r>
            <w:r>
              <w:rPr>
                <w:rFonts w:hint="default" w:ascii="Times New Roman" w:hAnsi="Times New Roman" w:cs="Times New Roman"/>
                <w:color w:val="000000" w:themeColor="text1"/>
                <w:kern w:val="0"/>
                <w:sz w:val="24"/>
                <w:lang w:val="en-US" w:eastAsia="zh-CN"/>
                <w14:textFill>
                  <w14:solidFill>
                    <w14:schemeClr w14:val="tx1"/>
                  </w14:solidFill>
                </w14:textFill>
              </w:rPr>
              <w:t>防渗处理</w:t>
            </w:r>
            <w:r>
              <w:rPr>
                <w:rFonts w:hint="eastAsia" w:ascii="Times New Roman" w:hAnsi="Times New Roman" w:cs="Times New Roman"/>
                <w:color w:val="000000" w:themeColor="text1"/>
                <w:kern w:val="0"/>
                <w:sz w:val="24"/>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基本从入渗途径阻断了危险废物泄漏对地下水、土壤的影响。在认真采取以上措施的基础上，一旦发生溢出与渗漏事故，渗漏物质将由于防渗层的保护作用，积聚在地面上，不会对地下水及土壤造成影响</w:t>
            </w:r>
            <w:r>
              <w:rPr>
                <w:rFonts w:hint="default" w:ascii="Times New Roman" w:hAnsi="Times New Roman" w:cs="Times New Roman"/>
                <w:color w:val="0000FF"/>
                <w:lang w:val="en-US" w:eastAsia="zh-CN"/>
              </w:rPr>
              <w:t>。</w:t>
            </w:r>
          </w:p>
          <w:p w14:paraId="639DF143">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 环境风险分析</w:t>
            </w:r>
          </w:p>
          <w:p w14:paraId="69D213C0">
            <w:pPr>
              <w:keepNext/>
              <w:keepLines/>
              <w:widowControl w:val="0"/>
              <w:suppressLineNumbers w:val="0"/>
              <w:wordWrap w:val="0"/>
              <w:topLinePunct/>
              <w:spacing w:before="0" w:beforeAutospacing="0" w:after="0" w:afterAutospacing="0" w:line="360" w:lineRule="auto"/>
              <w:ind w:left="0" w:right="0" w:firstLine="0" w:firstLineChars="0"/>
              <w:jc w:val="both"/>
              <w:outlineLvl w:val="2"/>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6.1 风险物质分布</w:t>
            </w:r>
          </w:p>
          <w:p w14:paraId="42838772">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根据《建设项目环境风险评价技术导则》（HJ169-2018）中附录B中的危险物质，本项目天然气</w:t>
            </w:r>
            <w:r>
              <w:rPr>
                <w:rFonts w:hint="default" w:ascii="Times New Roman" w:hAnsi="Times New Roman" w:eastAsia="宋体" w:cs="Times New Roman"/>
                <w:b w:val="0"/>
                <w:bCs w:val="0"/>
                <w:color w:val="000000" w:themeColor="text1"/>
                <w:sz w:val="24"/>
                <w:szCs w:val="22"/>
                <w:lang w:val="en-US" w:eastAsia="zh-CN"/>
                <w14:textFill>
                  <w14:solidFill>
                    <w14:schemeClr w14:val="tx1"/>
                  </w14:solidFill>
                </w14:textFill>
              </w:rPr>
              <w:t>为环境风险物质</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p>
          <w:p w14:paraId="1D8615F6">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项目风险物质最大数量和临界量比值计算见表4-1</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p>
          <w:p w14:paraId="3C8A7100">
            <w:pPr>
              <w:keepNext w:val="0"/>
              <w:keepLines w:val="0"/>
              <w:widowControl w:val="0"/>
              <w:suppressLineNumbers w:val="0"/>
              <w:wordWrap w:val="0"/>
              <w:autoSpaceDE w:val="0"/>
              <w:autoSpaceDN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1"/>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zh-CN"/>
                <w14:textFill>
                  <w14:solidFill>
                    <w14:schemeClr w14:val="tx1"/>
                  </w14:solidFill>
                </w14:textFill>
              </w:rPr>
              <w:t>表4-1</w:t>
            </w:r>
            <w:r>
              <w:rPr>
                <w:rFonts w:hint="eastAsia" w:cs="Times New Roman"/>
                <w:b/>
                <w:bCs/>
                <w:color w:val="000000" w:themeColor="text1"/>
                <w:kern w:val="0"/>
                <w:sz w:val="21"/>
                <w:szCs w:val="21"/>
                <w:lang w:val="en-US" w:eastAsia="zh-CN" w:bidi="zh-CN"/>
                <w14:textFill>
                  <w14:solidFill>
                    <w14:schemeClr w14:val="tx1"/>
                  </w14:solidFill>
                </w14:textFill>
              </w:rPr>
              <w:t>1</w:t>
            </w:r>
            <w:r>
              <w:rPr>
                <w:rFonts w:hint="default" w:ascii="Times New Roman" w:hAnsi="Times New Roman" w:eastAsia="宋体" w:cs="Times New Roman"/>
                <w:b/>
                <w:bCs/>
                <w:color w:val="000000" w:themeColor="text1"/>
                <w:kern w:val="0"/>
                <w:sz w:val="21"/>
                <w:szCs w:val="21"/>
                <w:lang w:val="en-US" w:eastAsia="zh-CN" w:bidi="zh-CN"/>
                <w14:textFill>
                  <w14:solidFill>
                    <w14:schemeClr w14:val="tx1"/>
                  </w14:solidFill>
                </w14:textFill>
              </w:rPr>
              <w:t xml:space="preserve">   本项目危险物质数量与临界量比值</w:t>
            </w:r>
          </w:p>
          <w:tbl>
            <w:tblPr>
              <w:tblStyle w:val="2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05"/>
              <w:gridCol w:w="1502"/>
              <w:gridCol w:w="1414"/>
              <w:gridCol w:w="1864"/>
              <w:gridCol w:w="1153"/>
              <w:gridCol w:w="1224"/>
            </w:tblGrid>
            <w:tr w14:paraId="591E2A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390" w:type="pct"/>
                  <w:tcBorders>
                    <w:bottom w:val="single" w:color="000000" w:sz="12" w:space="0"/>
                  </w:tcBorders>
                  <w:noWrap w:val="0"/>
                  <w:vAlign w:val="center"/>
                </w:tcPr>
                <w:p w14:paraId="244FED3F">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序号</w:t>
                  </w:r>
                </w:p>
              </w:tc>
              <w:tc>
                <w:tcPr>
                  <w:tcW w:w="967" w:type="pct"/>
                  <w:tcBorders>
                    <w:bottom w:val="single" w:color="000000" w:sz="12" w:space="0"/>
                  </w:tcBorders>
                  <w:noWrap w:val="0"/>
                  <w:vAlign w:val="center"/>
                </w:tcPr>
                <w:p w14:paraId="1748C3D8">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危险物质名称</w:t>
                  </w:r>
                </w:p>
              </w:tc>
              <w:tc>
                <w:tcPr>
                  <w:tcW w:w="910" w:type="pct"/>
                  <w:tcBorders>
                    <w:bottom w:val="single" w:color="000000" w:sz="12" w:space="0"/>
                  </w:tcBorders>
                  <w:noWrap w:val="0"/>
                  <w:vAlign w:val="center"/>
                </w:tcPr>
                <w:p w14:paraId="47A38F9C">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储存位置</w:t>
                  </w:r>
                </w:p>
              </w:tc>
              <w:tc>
                <w:tcPr>
                  <w:tcW w:w="1200" w:type="pct"/>
                  <w:tcBorders>
                    <w:bottom w:val="single" w:color="000000" w:sz="12" w:space="0"/>
                  </w:tcBorders>
                  <w:noWrap w:val="0"/>
                  <w:vAlign w:val="center"/>
                </w:tcPr>
                <w:p w14:paraId="6B6581A1">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最大存在总量qn/t</w:t>
                  </w:r>
                </w:p>
              </w:tc>
              <w:tc>
                <w:tcPr>
                  <w:tcW w:w="742" w:type="pct"/>
                  <w:tcBorders>
                    <w:bottom w:val="single" w:color="000000" w:sz="12" w:space="0"/>
                  </w:tcBorders>
                  <w:noWrap w:val="0"/>
                  <w:vAlign w:val="center"/>
                </w:tcPr>
                <w:p w14:paraId="497D761A">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临界量Qn/t</w:t>
                  </w:r>
                </w:p>
              </w:tc>
              <w:tc>
                <w:tcPr>
                  <w:tcW w:w="788" w:type="pct"/>
                  <w:tcBorders>
                    <w:bottom w:val="single" w:color="000000" w:sz="12" w:space="0"/>
                  </w:tcBorders>
                  <w:noWrap w:val="0"/>
                  <w:vAlign w:val="center"/>
                </w:tcPr>
                <w:p w14:paraId="7B285F60">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危险物质</w:t>
                  </w:r>
                </w:p>
                <w:p w14:paraId="0275ADB2">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0"/>
                      <w:lang w:val="en-US" w:eastAsia="zh-CN" w:bidi="zh-CN"/>
                      <w14:textFill>
                        <w14:solidFill>
                          <w14:schemeClr w14:val="tx1"/>
                        </w14:solidFill>
                      </w14:textFill>
                    </w:rPr>
                    <w:t>Q值</w:t>
                  </w:r>
                </w:p>
              </w:tc>
            </w:tr>
            <w:tr w14:paraId="458F8C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390" w:type="pct"/>
                  <w:tcBorders>
                    <w:top w:val="single" w:color="000000" w:sz="12" w:space="0"/>
                    <w:tl2br w:val="nil"/>
                    <w:tr2bl w:val="nil"/>
                  </w:tcBorders>
                  <w:noWrap w:val="0"/>
                  <w:vAlign w:val="center"/>
                </w:tcPr>
                <w:p w14:paraId="6C7CC4E0">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t>1</w:t>
                  </w:r>
                </w:p>
              </w:tc>
              <w:tc>
                <w:tcPr>
                  <w:tcW w:w="967" w:type="pct"/>
                  <w:tcBorders>
                    <w:top w:val="single" w:color="000000" w:sz="12" w:space="0"/>
                    <w:tl2br w:val="nil"/>
                    <w:tr2bl w:val="nil"/>
                  </w:tcBorders>
                  <w:noWrap w:val="0"/>
                  <w:vAlign w:val="center"/>
                </w:tcPr>
                <w:p w14:paraId="2FC45EBD">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t>天然气</w:t>
                  </w:r>
                </w:p>
              </w:tc>
              <w:tc>
                <w:tcPr>
                  <w:tcW w:w="910" w:type="pct"/>
                  <w:tcBorders>
                    <w:top w:val="single" w:color="000000" w:sz="12" w:space="0"/>
                    <w:tl2br w:val="nil"/>
                    <w:tr2bl w:val="nil"/>
                  </w:tcBorders>
                  <w:noWrap w:val="0"/>
                  <w:vAlign w:val="center"/>
                </w:tcPr>
                <w:p w14:paraId="6E142DCA">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pPr>
                  <w:r>
                    <w:rPr>
                      <w:rFonts w:hint="eastAsia" w:cs="Times New Roman"/>
                      <w:b w:val="0"/>
                      <w:bCs w:val="0"/>
                      <w:color w:val="000000" w:themeColor="text1"/>
                      <w:kern w:val="0"/>
                      <w:sz w:val="21"/>
                      <w:szCs w:val="20"/>
                      <w:lang w:val="en-US" w:eastAsia="zh-CN" w:bidi="zh-CN"/>
                      <w14:textFill>
                        <w14:solidFill>
                          <w14:schemeClr w14:val="tx1"/>
                        </w14:solidFill>
                      </w14:textFill>
                    </w:rPr>
                    <w:t>CNG槽车</w:t>
                  </w:r>
                </w:p>
              </w:tc>
              <w:tc>
                <w:tcPr>
                  <w:tcW w:w="1200" w:type="pct"/>
                  <w:tcBorders>
                    <w:top w:val="single" w:color="000000" w:sz="12" w:space="0"/>
                    <w:tl2br w:val="nil"/>
                    <w:tr2bl w:val="nil"/>
                  </w:tcBorders>
                  <w:noWrap w:val="0"/>
                  <w:vAlign w:val="center"/>
                </w:tcPr>
                <w:p w14:paraId="381B45CF">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pPr>
                  <w:r>
                    <w:rPr>
                      <w:rFonts w:hint="eastAsia" w:cs="Times New Roman"/>
                      <w:b w:val="0"/>
                      <w:bCs w:val="0"/>
                      <w:color w:val="000000" w:themeColor="text1"/>
                      <w:kern w:val="0"/>
                      <w:sz w:val="21"/>
                      <w:szCs w:val="20"/>
                      <w:lang w:val="en-US" w:eastAsia="zh-CN" w:bidi="zh-CN"/>
                      <w14:textFill>
                        <w14:solidFill>
                          <w14:schemeClr w14:val="tx1"/>
                        </w14:solidFill>
                      </w14:textFill>
                    </w:rPr>
                    <w:t>6</w:t>
                  </w:r>
                </w:p>
              </w:tc>
              <w:tc>
                <w:tcPr>
                  <w:tcW w:w="742" w:type="pct"/>
                  <w:tcBorders>
                    <w:top w:val="single" w:color="000000" w:sz="12" w:space="0"/>
                    <w:tl2br w:val="nil"/>
                    <w:tr2bl w:val="nil"/>
                  </w:tcBorders>
                  <w:noWrap w:val="0"/>
                  <w:vAlign w:val="center"/>
                </w:tcPr>
                <w:p w14:paraId="0A692B2D">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t>10</w:t>
                  </w:r>
                </w:p>
              </w:tc>
              <w:tc>
                <w:tcPr>
                  <w:tcW w:w="788" w:type="pct"/>
                  <w:tcBorders>
                    <w:top w:val="single" w:color="000000" w:sz="12" w:space="0"/>
                    <w:tl2br w:val="nil"/>
                    <w:tr2bl w:val="nil"/>
                  </w:tcBorders>
                  <w:noWrap w:val="0"/>
                  <w:vAlign w:val="center"/>
                </w:tcPr>
                <w:p w14:paraId="4C275BBB">
                  <w:pPr>
                    <w:keepNext w:val="0"/>
                    <w:keepLines w:val="0"/>
                    <w:widowControl w:val="0"/>
                    <w:suppressLineNumbers w:val="0"/>
                    <w:wordWrap w:val="0"/>
                    <w:autoSpaceDE w:val="0"/>
                    <w:autoSpaceDN w:val="0"/>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0"/>
                      <w:lang w:val="en-US" w:eastAsia="zh-CN" w:bidi="zh-CN"/>
                      <w14:textFill>
                        <w14:solidFill>
                          <w14:schemeClr w14:val="tx1"/>
                        </w14:solidFill>
                      </w14:textFill>
                    </w:rPr>
                  </w:pPr>
                  <w:r>
                    <w:rPr>
                      <w:rFonts w:hint="eastAsia" w:cs="Times New Roman"/>
                      <w:b w:val="0"/>
                      <w:bCs w:val="0"/>
                      <w:color w:val="000000" w:themeColor="text1"/>
                      <w:kern w:val="0"/>
                      <w:sz w:val="21"/>
                      <w:szCs w:val="20"/>
                      <w:lang w:val="en-US" w:eastAsia="zh-CN" w:bidi="zh-CN"/>
                      <w14:textFill>
                        <w14:solidFill>
                          <w14:schemeClr w14:val="tx1"/>
                        </w14:solidFill>
                      </w14:textFill>
                    </w:rPr>
                    <w:t>0.6</w:t>
                  </w:r>
                </w:p>
              </w:tc>
            </w:tr>
          </w:tbl>
          <w:p w14:paraId="421F04A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危险物质数量与临界量比值</w:t>
            </w:r>
            <w:r>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Q</w:t>
            </w:r>
            <w:r>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t>）</w:t>
            </w:r>
          </w:p>
          <w:p w14:paraId="4DC9044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计算所涉及的每种危险物质在厂界内的最大存在总量与其在《建设项目环境风险评价技术导则》</w:t>
            </w:r>
            <w:r>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HJ169-2018</w:t>
            </w:r>
            <w:r>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附录B中对应临界量的比值Q。在不同厂区的同一种物质，按其在厂界内的最大存在总量计算。</w:t>
            </w:r>
          </w:p>
          <w:p w14:paraId="57A70F8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（1）当企业只涉及一种风险物质时，该物质的数量与其临界量比值，即为Q。</w:t>
            </w:r>
          </w:p>
          <w:p w14:paraId="09C78C5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（2）当企业存在多种风险物质时，则按</w:t>
            </w:r>
            <w:r>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t>下列</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式计算：</w:t>
            </w:r>
          </w:p>
          <w:p w14:paraId="31E9B2D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jc w:val="both"/>
              <w:textAlignment w:val="auto"/>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mc:AlternateContent>
                <mc:Choice Requires="wpc">
                  <w:drawing>
                    <wp:inline distT="0" distB="0" distL="114300" distR="114300">
                      <wp:extent cx="4930775" cy="554355"/>
                      <wp:effectExtent l="0" t="0" r="0" b="17145"/>
                      <wp:docPr id="86" name="画布 86"/>
                      <wp:cNvGraphicFramePr/>
                      <a:graphic xmlns:a="http://schemas.openxmlformats.org/drawingml/2006/main">
                        <a:graphicData uri="http://schemas.microsoft.com/office/word/2010/wordprocessingCanvas">
                          <wpc:wpc>
                            <wpc:bg/>
                            <wpc:whole/>
                            <pic:pic xmlns:pic="http://schemas.openxmlformats.org/drawingml/2006/picture">
                              <pic:nvPicPr>
                                <pic:cNvPr id="87" name="图片 6"/>
                                <pic:cNvPicPr>
                                  <a:picLocks noChangeAspect="1"/>
                                </pic:cNvPicPr>
                              </pic:nvPicPr>
                              <pic:blipFill>
                                <a:blip r:embed="rId21"/>
                                <a:stretch>
                                  <a:fillRect/>
                                </a:stretch>
                              </pic:blipFill>
                              <pic:spPr>
                                <a:xfrm>
                                  <a:off x="1301115" y="0"/>
                                  <a:ext cx="2490470" cy="554355"/>
                                </a:xfrm>
                                <a:prstGeom prst="rect">
                                  <a:avLst/>
                                </a:prstGeom>
                                <a:noFill/>
                                <a:ln>
                                  <a:noFill/>
                                </a:ln>
                              </pic:spPr>
                            </pic:pic>
                          </wpc:wpc>
                        </a:graphicData>
                      </a:graphic>
                    </wp:inline>
                  </w:drawing>
                </mc:Choice>
                <mc:Fallback>
                  <w:pict>
                    <v:group id="_x0000_s1026" o:spid="_x0000_s1026" o:spt="203" style="height:43.65pt;width:388.25pt;" coordsize="4930775,554355" editas="canvas" o:gfxdata="UEsDBAoAAAAAAIdO4kAAAAAAAAAAAAAAAAAEAAAAZHJzL1BLAwQUAAAACACHTuJAwu6MfdcAAAAE&#10;AQAADwAAAGRycy9kb3ducmV2LnhtbE2PQWvCQBCF7wX/wzJCL6VubKmRmI0HQZRSEGP1PGanSWh2&#10;NmbXxP77bntpLwOP93jvm3R5M43oqXO1ZQXTSQSCuLC65lLB+2H9OAfhPLLGxjIp+CIHy2x0l2Ki&#10;7cB76nNfilDCLkEFlfdtIqUrKjLoJrYlDt6H7Qz6ILtS6g6HUG4a+RRFM2mw5rBQYUuriorP/GoU&#10;DMWuPx3eNnL3cNpavmwvq/z4qtT9eBotQHi6+b8w/OAHdMgC09leWTvRKAiP+N8bvDievYA4K5jH&#10;zyCzVP6Hz74BUEsDBBQAAAAIAIdO4kAKiMDQSgIAAD0FAAAOAAAAZHJzL2Uyb0RvYy54bWytVM2O&#10;0zAQviPxDpbvNEl/trtR0xWibIW0gmqBB3AdJ7GIf2S7TffMAXHnxosgIfE2q32NHTtptz8IVohD&#10;Es/Ynvm+b2YyudyIGq2ZsVzJDCe9GCMmqcq5LDP88cPVi3OMrCMyJ7WSLMO3zOLL6fNnk0anrK8q&#10;VefMIAgibdroDFfO6TSKLK2YILanNJOwWSgjiAPTlFFuSAPRRR314/gsapTJtVGUWQveWbuJu4jm&#10;KQFVUXDKZoquBJOujWpYTRxQshXXFk8D2qJg1L0rCsscqjMMTF14QxJYL/07mk5IWhqiK047COQp&#10;EI44CcIlJN2FmhFH0Mrwk1CCU6OsKlyPKhG1RIIiwCKJj7SZG7XSgUuZNqXeiQ6FOlL9n8PSt+uF&#10;QTzP8PkZRpIIqPj9t593Pz4jcIA6jS5TODQ3+r1emM5RtpYnvCmM8F+ggjZB19udrmzjEAXn8GIQ&#10;j8cjjCjsjUbDwWjUCk8rqM7JNVq9/vPFaJs28uh2YDSnKTydTLA6kenvzQm33MowEN1Hk+sFpwvT&#10;GntSjbdS3X3/df/1CwpK+Qv+THuDeCjXin6ySKpXFZEle2k19CPMnCcfHR4P5kG6Zc31Fa9rL65f&#10;/98BQSZlYsmg7uZNHgCR1DrDHK18wgIS3wBYD3RvI6B8BOYpWOiK3/RBMoiTJIGSn3ZDf3gRD8cw&#10;gIfdsCsqKGesmzMlkF8AQgACBSEpWV/bDtL2iHdL5XUCqCSt5YEDYnpPgN0CDUvADU7fOzBVgWH3&#10;B/Bju2+HU49/vekDUEsDBAoAAAAAAIdO4kAAAAAAAAAAAAAAAAAKAAAAZHJzL21lZGlhL1BLAwQU&#10;AAAACACHTuJATUO8m4ENAAB8DQAAFAAAAGRycy9tZWRpYS9pbWFnZTEucG5nAXwNg/KJUE5HDQoa&#10;CgAAAA1JSERSAAABuAAAAFgIAgAAAAibddIAAAADc0JJVAgICNvhT+AAAAAJcEhZcwAADsQAAA7E&#10;AZUrDhsAAA0fSURBVHic7d19bBPnHQfwnw1itKWwdmPlDBVdwpKwhlHhDFZRdSYMZ2vXUjnQl004&#10;LFEXNl5UouBgClO7MFjiKJAC6wA5DWmhbeCsRCmtcGWTaVBGZNNWICV2ISJtuGMLqxrHoxDi8/6w&#10;kziJk8PJ2fHZ389ffjk7j5/n8r275557TuH3+wkAAEamnOgCAADEOwQlAIAIBCUAgAgEJQCACAQl&#10;AIAIBCUAgAgEJQCACAQlAIAIBCUAgAgEJQCACAQlAIAIBCUAgAgEJQCACAQlAIAIBCUAgAgEJQCA&#10;CAQlAIAIBCUAgAgEJQCACAQlAIAIBCUAgAgE5dh43PYGi8VisRwuWaZSLNvj9AojLCl4W4/kqdZZ&#10;+N5wrysUCoUq70Az3xP1IkcRaiOpJGVz+yFCdxym1KG1qDbYOsMte5s7v1/PEJHG5Oge8p6Pc9Sb&#10;DZrRPi4DqI2kkrTNjaAcB1+HzagNrCyMwdY19O3bnO01TXBlStWzX4b7ijscW0iaSke3L/rFjTLU&#10;RlJJsubGofc4KGdnby0xMEREPHvhi0GHFx63ZefWU4+WsYH3r5xt+0/vsC8Q+NP7Gh62HVuvnib/&#10;hkBtJJUka24ZFDGuTf9Jzho1EdGVy+2d/SuDp7X6T2XtOX/dvSorM30BERFdudjeOfijAm+vOnpz&#10;7QFjNjMlhiWOJtRGUkmm5kZQjtO0OekpRETkauNuEREJfPMbh6yZJYc3L2WUpExZuCLQqXO2jRvY&#10;qgre1vcrj3/nxaKVaXLYnN411EZSSaLmlk1B49WUWY/MY4iIuju7bpFwzV51vOOXv9+0mAnW7OQf&#10;pCxNJQrd6nrc9g+blb8q3rSU6a9+gXc2WCwnKvJUWSX2GzH/FVKRqDaoh3d+eKIicF40IKek2mJ3&#10;e2L9g2A0UjW3DEye6ALInfLeGQ/eS0T0zfWr/7LUKDNf3pA9aDv5wNwFDxNdCWx1BXI1nuuer31q&#10;0DIee0nG8nI+8ERtiGHppSZFbVDPtYbDdXcefXrdW1zxESIigXfWH31jQ+5yXmu0Ve/Mni2rf7EE&#10;Jklzy4P8ShxvlPc/mEpEdA91PfD42qeGHU1MVaWkExGR62Tdu42c6hmdZugy07PLOL/f32kzqGNT&#10;5uiRoDZoyuyV6zevCnldyah1RfveMTJk3V126vJIg/Yg5qRobpmI2fl1H+eoZ1mWPWrSZw4rBaMx&#10;HGJZtt7ByWCkwBAcq2f0ledHLLnPZdaS1lAz8hJBgaCUx7CyEUlWG0M/12UzMpSZz16V3xqSwKRp&#10;7m9d5tXBJNCaXb5AWBwyaBgiYvQ1LXEwfijaQXmbc5xkgyNLA2lYb3MNGXTV5bLVHzfpmWBm6k1W&#10;19DxqUkhIYIyOnyc1ah52sC2JOWKkQx83Y5KDakNtg7OcdRkMtc7OF8wQFebXd9OdPGiF5Qh2wQi&#10;rcFsc4lsFvrH8RMRozFaZbhvOU4IyrB83S7WaKiyDt2+QgLxXWXzMxm96b1KU1Xf3qevg81nGI3p&#10;fDxsHaMRlLc5R21fRDIaAysWkf1C9sCT8SALQTlMt8tqNtfYkvMII3kE+lWI0e8/z93ue7HTZlAT&#10;s57tuD3aR2NF6qDsbmEN2r6w00Z6rDToSlI9y0lcuDgX/aDkWL1cKtbHOWrNZnZIp7Wv23U6Wh3Z&#10;MqqcUcjxV/hazFpmcF9k4Eg8M5+9eqe7+38TWbggSc9AeS9Vr1+dW24NpKTRVr1blzEtgs8LN7u+&#10;villgWRCaK3OUSkUM5eXO4mc5ctnKhSqnOrWJD2763XbT1TkzVFl6QsKcrNUkxQhJt1f+Omc9Ifk&#10;ed4Uwuq5Vr9/u3VR0aaVGf0nxAV33TZTE7NovuA86eB64+A/QbpxlN5L1etfKqi9REREmfnsocjH&#10;u33tOGUNjiYkRvvzHz8kWeHimzIj/xSXP9GliBfT0rJXFWevCgyhhIQ3ZbZuP+cf/Fr8/UdItW3+&#10;xvn3rX0pSUz+639+bm6EXy14nW+XljuDzxhdYU6K+DfwljzF+ORZeNG/AgDJTaI9Ss+FusqTfU+e&#10;LvpjxDuTAm/bVWxqCj7TGt8xPjf7Lq6WZ3RH/P6o7nooFIpofv3Y+f1+8YUkFbdVMUTsayZhyKWJ&#10;RxeVFUCSns5BJ2EYo60rwt727ovmgVHomXrzxfg5yyl9jUskfHEDffnjMfJ5AEmKHQMjtmU0Kyd2&#10;0MRiolHrUQjKVJPjTgSf9XFnKgdSUmu0dSTZqKAYkuMp0ZhJjMpJjF8Rf6Tpo5yc/uS64MBJoivN&#10;n7fdurvPedwf7/md+omi2ksUHEXVuCuio3b0UQJA9El0Mmda1ro3d/ddV3N8+1/MYjcM8rjt71fk&#10;LU3XFtXyxOhNrIPrOLJ+caSzeDK6I+PcUhzRMeJ/BgCSmlRnvZXTMvLecp6vMWiJiK/dsET1TJgJ&#10;BAdmXZyRvvzFLR8vMh2vt7m6uCPFOrW8pqcDGMLjtmxbFjhMUeXtaeaHDf4b/wIwYaScj1LJLM4r&#10;O7XmFWfjufY7bQ2bCnLLhy6SqTcZV6akrNx/+lXtk3KdcAlgdOmzHpwU5QUgthT+KJ3qEnhn4wd1&#10;extoTVHB87KdhA4AIBoznAu8s/Gjur0Fb5OhrOKYRS2TmwcBAIxEwh29Ht75QXVJziRV1h/+MWub&#10;q/V02ZoIU9LjtjdY7G6vdGWS2g17SZb4OXSPvUQ12lKKnGp3oP+p11kxL+wSsrhzDmojsaF9Q0gx&#10;xqjLZXsv3LzlfTQGMxswfNZef3ByX5Zl2dN3PSHbBBsy9nPECZxD51LSGNkRZlT0cVZjYHCVxmBm&#10;Tzq4uJhX6u6hNhIb2tfv90ty6D09LfuF4uwXQqcxEHhn47l2X/BJW8OG3Nqh4xUZjeH1jUu+RzR1&#10;7uO/0KnldISuZNIXzvpO4DFjKHk1b/H0cIsJ3f9tv84FltKu0T+XFnapnn+3fHLOtcJkfXXdirRI&#10;JluKF6iNxIb2pejdhVHJqFfqBm6VpUuwyWCEG1c/C64TC9JV4dq7h28+vH3HiVZrYKIQ1WOPfD9M&#10;N4e31VJavI/yD7p3yPh8F2ojsaF9cbvaMfJyrouBPeSw64THbdlnbn9yS/G1bGsTERFlLZn/3cHL&#10;CF53fWlhNW2saIxs1s74g9pIbGhf3K52bHq/uMAGexJS0ucMbndvq6XEYKbcHZt/qvzqcnCp1Hlz&#10;Z4Zuk3p4e+kzhY4lB4+VyXO9CYXaSGxoX8Ie5Zj0drZfvhJ4mLp4YcrU/jcE/mzV3qa5BeVladOJ&#10;bnS42gKvM7mLfjR5YKHmqq2/+WzxsWMvR3zJZjxCbSQ2tC8RgnJMvmk57wg+XJqiClZhD998ePtB&#10;Kty5JbhC9LZfYAPzEA/07Aj82aqt2z97bOc/31qaKNdsojYSG9qXCEE5FgN925S6YO5Mor5uGs3O&#10;wwMrhND2+cfBDXH6ioVzlAPdNG8ekO0BSBiojcSG9iUiBOVYDPRtq3MXzZ3sbbWU7j2/5JUdm0NX&#10;CMHbcfli8HF6iqrHbdlVuI82HjymCz9sQrZQG4kN7UtECMoxCO3bnkef7ilt7uumCdVz/Wpf37bm&#10;vra9L224/my9zLtpwkJtJDa0b9BEj3iXnTscW9hfe4Nv2R7qS1bfP+l7pr7yTHTuRT3hUBuJDe0b&#10;hKCMVKfNoBZfIQZujnH3N7cIXMp51KTPZAy28Nd/xZ3o1Ybf7+Mc9UcHXRqrMZjlc51rQohm+8oK&#10;gjJCvhazliHSGtiWUe6A5nOZtTTaFa/D9K+RRESyCcpo1Ybf77taX7n/uM3V/7U+zsGa9AwRaV6z&#10;yeQCYdmLXvvKDYIyQhyrF18hfF02Y6q+piXifR9fl83IyCgoo1sbwwU2J4zW3JKQuy1xJ9btG78Q&#10;lHFFbkEZa502g5qY9WwH9igT27cu8+rg4ZXW7PIF+mEOGTQMETETEcoyHwYKSaSHtx8obdayTbt0&#10;sxPodCqEMTUt/71uR6WG1IaSnPs/PVZR+VHHnF/vPt3mMq/ma09+wo1+70LpYXgQyILHbdlnbvvZ&#10;wcYVspt4BsZC+Mr6t2qXPm/d5+8eX/rbomJGSSRcs5RtP6Mx1T+fNlX8GySFoIQ4J3jdtroznY88&#10;sbFMlyCjl0GM4Gk6uKH6Eunv+eGLL78QHI95o+mNXdWkY196LPaX+iAoIX4JfPPRj1ruW6hdmx96&#10;rbDHbT/XPX8ZbseUsAT3ibIa0tfYD6zJCB5ACF7n26Xlt/PZLc/O6LlJU+6NbYlwFBMnbrmrn1co&#10;Js1Yvpsn4suXzwi92UjSEbzuphMVeXNUS/QFa3OzVJMG3WIlo/DCA+lIyYTVc61+/3broqJNKzP6&#10;u1kEd902UxOzaL7gPOngemP+fxG129UCACQK7FECAIhAUAIAiEBQAgCIQFACAIhAUAIAiEBQAgCI&#10;QFACAIhAUAIAiEBQAgCIQFACAIhAUAIAiEBQAgCIQFACAIhAUAIAiEBQAgCIQFACAIhAUAIAiEBQ&#10;AgCI+D8Q5uzsOCTyO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qhMAAFtDb250ZW50X1R5cGVzXS54bWxQSwECFAAK&#10;AAAAAACHTuJAAAAAAAAAAAAAAAAABgAAAAAAAAAAABAAAAB3EQAAX3JlbHMvUEsBAhQAFAAAAAgA&#10;h07iQIoUZjzRAAAAlAEAAAsAAAAAAAAAAQAgAAAAmxEAAF9yZWxzLy5yZWxzUEsBAhQACgAAAAAA&#10;h07iQAAAAAAAAAAAAAAAAAQAAAAAAAAAAAAQAAAAAAAAAGRycy9QSwECFAAKAAAAAACHTuJAAAAA&#10;AAAAAAAAAAAACgAAAAAAAAAAABAAAACVEgAAZHJzL19yZWxzL1BLAQIUABQAAAAIAIdO4kCqJg6+&#10;tgAAACEBAAAZAAAAAAAAAAEAIAAAAL0SAABkcnMvX3JlbHMvZTJvRG9jLnhtbC5yZWxzUEsBAhQA&#10;FAAAAAgAh07iQMLujH3XAAAABAEAAA8AAAAAAAAAAQAgAAAAIgAAAGRycy9kb3ducmV2LnhtbFBL&#10;AQIUABQAAAAIAIdO4kAKiMDQSgIAAD0FAAAOAAAAAAAAAAEAIAAAACYBAABkcnMvZTJvRG9jLnht&#10;bFBLAQIUAAoAAAAAAIdO4kAAAAAAAAAAAAAAAAAKAAAAAAAAAAAAEAAAAJwDAABkcnMvbWVkaWEv&#10;UEsBAhQAFAAAAAgAh07iQE1DvJuBDQAAfA0AABQAAAAAAAAAAQAgAAAAxAMAAGRycy9tZWRpYS9p&#10;bWFnZTEucG5nUEsFBgAAAAAKAAoAUgIAAN8UAAAAAA==&#10;">
                      <o:lock v:ext="edit" aspectratio="f"/>
                      <v:shape id="_x0000_s1026" o:spid="_x0000_s1026" style="position:absolute;left:0;top:0;height:554355;width:4930775;" filled="f" stroked="f" coordsize="21600,21600" o:gfxdata="UEsDBAoAAAAAAIdO4kAAAAAAAAAAAAAAAAAEAAAAZHJzL1BLAwQUAAAACACHTuJAwu6MfdcAAAAE&#10;AQAADwAAAGRycy9kb3ducmV2LnhtbE2PQWvCQBCF7wX/wzJCL6VubKmRmI0HQZRSEGP1PGanSWh2&#10;NmbXxP77bntpLwOP93jvm3R5M43oqXO1ZQXTSQSCuLC65lLB+2H9OAfhPLLGxjIp+CIHy2x0l2Ki&#10;7cB76nNfilDCLkEFlfdtIqUrKjLoJrYlDt6H7Qz6ILtS6g6HUG4a+RRFM2mw5rBQYUuriorP/GoU&#10;DMWuPx3eNnL3cNpavmwvq/z4qtT9eBotQHi6+b8w/OAHdMgC09leWTvRKAiP+N8bvDievYA4K5jH&#10;zyCzVP6Hz74BUEsDBBQAAAAIAIdO4kAsrpL1BQIAAIQEAAAOAAAAZHJzL2Uyb0RvYy54bWytVF1u&#10;2zAMfh+wOwh6X+ykSX+MOMXQoMOAYguG7QCMTMfCrB9Iip2eYNgZdpfdZug1Rslp07QP7UMfbJMi&#10;9fEj+cHzy51qWYfOS6NLPh7lnKEWppJ6U/If368/nHPmA+gKWqOx5Lfo+eXi/bt5bwucmMa0FTpG&#10;INoXvS15E4ItssyLBhX4kbGoKVgbpyCQ6zZZ5aAndNVmkzw/zXrjKuuMQO/pdDkE+R7RvQbQ1LUU&#10;uDRiq1CHAdVhC4Fa8o20ni8S27pGEb7WtcfA2pJTpyG9qQjZ6/jOFnMoNg5sI8WeAryGwpOeFEhN&#10;RR+glhCAbZ18BqWkcMabOoyEUdnQSJoIdTHOn8zmCnQHQzOCZn1PkKw3xF1vaAYEWfS0WiTbSlHQ&#10;s58GWc+KvbxjuhW2DmkkEU13KylWbnDEl27lmKxKfn7GmQZFGvv35+/d71/sNK4jXog5ww2IVG6M&#10;+OmZNlcN6A1+9JbWStKN2dlxenKPyq1baa9l28blRPttdcZcgWqN1Iz7XCVCUPjgMIgmFqyp8Dci&#10;G4k+CiSWB2KxBW/jfKDY1U7FLymD7ajHk3w8Hs84u30QK+4CExSaTC/y6RnpWFBsNpuezGZpIAcM&#10;63z4hEaxaBBDIpI0Ct2N31O6T4kltYlzIqpQtProgLjHk0R7IJpM4k2HSTo2Wkfqf+ynrMPPY/Ef&#10;UEsDBAoAAAAAAIdO4kAAAAAAAAAAAAAAAAAKAAAAZHJzL21lZGlhL1BLAwQUAAAACACHTuJATUO8&#10;m4ENAAB8DQAAFAAAAGRycy9tZWRpYS9pbWFnZTEucG5nAXwNg/KJUE5HDQoaCgAAAA1JSERSAAAB&#10;uAAAAFgIAgAAAAibddIAAAADc0JJVAgICNvhT+AAAAAJcEhZcwAADsQAAA7EAZUrDhsAAA0fSURB&#10;VHic7d19bBPnHQfwnw1itKWwdmPlDBVdwpKwhlHhDFZRdSYMZ2vXUjnQl004LFEXNl5UouBgClO7&#10;MFjiKJAC6wA5DWmhbeCsRCmtcGWTaVBGZNNWICV2ISJtuGMLqxrHoxDi8/6wkziJk8PJ2fHZ389f&#10;fjk7j5/n8r275557TuH3+wkAAEamnOgCAADEOwQlAIAIBCUAgAgEJQCACAQlAIAIBCUAgAgEJQCA&#10;CAQlAIAIBCUAgAgEJQCACAQlAIAIBCUAgAgEJQCACAQlAIAIBCUAgAgEJQCACAQlAIAIBCUAgAgE&#10;JQCACAQlAIAIBCUAgAgE5dh43PYGi8VisRwuWaZSLNvj9AojLCl4W4/kqdZZ+N5wrysUCoUq70Az&#10;3xP1IkcRaiOpJGVz+yFCdxym1KG1qDbYOsMte5s7v1/PEJHG5Oge8p6Pc9SbDZrRPi4DqI2kkrTN&#10;jaAcB1+HzagNrCyMwdY19O3bnO01TXBlStWzX4b7ijscW0iaSke3L/rFjTLURlJJsubGofc4KGdn&#10;by0xMEREPHvhi0GHFx63ZefWU4+WsYH3r5xt+0/vsC8Q+NP7Gh62HVuvnib/hkBtJJUka24ZFDGu&#10;Tf9Jzho1EdGVy+2d/SuDp7X6T2XtOX/dvSorM30BERFdudjeOfijAm+vOnpz7QFjNjMlhiWOJtRG&#10;Ukmm5kZQjtO0OekpRETkauNuEREJfPMbh6yZJYc3L2WUpExZuCLQqXO2jRvYqgre1vcrj3/nxaKV&#10;aXLYnN411EZSSaLmlk1B49WUWY/MY4iIuju7bpFwzV51vOOXv9+0mAnW7OQfpCxNJQrd6nrc9g+b&#10;lb8q3rSU6a9+gXc2WCwnKvJUWSX2GzH/FVKRqDaoh3d+eKIicF40IKek2mJ3e2L9g2A0UjW3DEye&#10;6ALInfLeGQ/eS0T0zfWr/7LUKDNf3pA9aDv5wNwFDxNdCWx1BXI1nuuer31q0DIee0nG8nI+8ERt&#10;iGHppSZFbVDPtYbDdXcefXrdW1zxESIigXfWH31jQ+5yXmu0Ve/Mni2rf7EEJklzy4P8ShxvlPc/&#10;mEpEdA91PfD42qeGHU1MVaWkExGR62Tdu42c6hmdZugy07PLOL/f32kzqGNT5uiRoDZoyuyV6zev&#10;Cnldyah1RfveMTJk3V126vJIg/Yg5qRobpmI2fl1H+eoZ1mWPWrSZw4rBaMxHGJZtt7ByWCkwBAc&#10;q2f0ledHLLnPZdaS1lAz8hJBgaCUx7CyEUlWG0M/12UzMpSZz16V3xqSwKRp7m9d5tXBJNCaXb5A&#10;WBwyaBgiYvQ1LXEwfijaQXmbc5xkgyNLA2lYb3MNGXTV5bLVHzfpmWBm6k1W19DxqUkhIYIyOnyc&#10;1ah52sC2JOWKkQx83Y5KDakNtg7OcdRkMtc7OF8wQFebXd9OdPGiF5Qh2wQircFsc4lsFvrH8RMR&#10;ozFaZbhvOU4IyrB83S7WaKiyDt2+QgLxXWXzMxm96b1KU1Xf3qevg81nGI3pfDxsHaMRlLc5R21f&#10;RDIaAysWkf1C9sCT8SALQTlMt8tqNtfYkvMII3kE+lWI0e8/z93ue7HTZlATs57tuD3aR2NF6qDs&#10;bmEN2r6w00Z6rDToSlI9y0lcuDgX/aDkWL1cKtbHOWrNZnZIp7Wv23U6Wh3ZMqqcUcjxV/hazFpm&#10;cF9k4Eg8M5+9eqe7+38TWbggSc9AeS9Vr1+dW24NpKTRVr1blzEtgs8LN7u+villgWRCaK3OUSkU&#10;M5eXO4mc5ctnKhSqnOrWJD2763XbT1TkzVFl6QsKcrNUkxQhJt1f+Omc9Ifked4Uwuq5Vr9/u3VR&#10;0aaVGf0nxAV33TZTE7NovuA86eB64+A/QbpxlN5L1etfKqi9REREmfnsocjHu33tOGUNjiYkRvvz&#10;Hz8kWeHimzIj/xSXP9GliBfT0rJXFWevCgyhhIQ3ZbZuP+cf/Fr8/UdItW3+xvn3rX0pSUz+639+&#10;bm6EXy14nW+XljuDzxhdYU6K+DfwljzF+ORZeNG/AgDJTaI9Ss+FusqTfU+eLvpjxDuTAm/bVWxq&#10;Cj7TGt8xPjf7Lq6WZ3RH/P6o7nooFIpofv3Y+f1+8YUkFbdVMUTsayZhyKWJRxeVFUCSns5BJ2EY&#10;o60rwt727ovmgVHomXrzxfg5yyl9jUskfHEDffnjMfJ5AEmKHQMjtmU0Kyd20MRiolHrUQjKVJPj&#10;TgSf9XFnKgdSUmu0dSTZqKAYkuMp0ZhJjMpJjF8Rf6Tpo5yc/uS64MBJoivNn7fdurvPedwf7/md&#10;+omi2ksUHEXVuCuio3b0UQJA9El0Mmda1ro3d/ddV3N8+1/MYjcM8rjt71fkLU3XFtXyxOhNrIPr&#10;OLJ+caSzeDK6I+PcUhzRMeJ/BgCSmlRnvZXTMvLecp6vMWiJiK/dsET1TJgJBAdmXZyRvvzFLR8v&#10;Mh2vt7m6uCPFOrW8pqcDGMLjtmxbFjhMUeXtaeaHDf4b/wIwYaScj1LJLM4rO7XmFWfjufY7bQ2b&#10;CnLLhy6SqTcZV6akrNx/+lXtk3KdcAlgdOmzHpwU5QUgthT+KJ3qEnhn4wd1extoTVHB87KdhA4A&#10;IBoznAu8s/Gjur0Fb5OhrOKYRS2TmwcBAIxEwh29Ht75QXVJziRV1h/+MWubq/V02ZoIU9LjtjdY&#10;7G6vdGWS2g17SZb4OXSPvUQ12lKKnGp3oP+p11kxL+wSsrhzDmojsaF9Q0gxxqjLZXsv3LzlfTQG&#10;MxswfNZef3ByX5Zl2dN3PSHbBBsy9nPECZxD51LSGNkRZlT0cVZjYHCVxmBmTzq4uJhX6u6hNhIb&#10;2tfv90ty6D09LfuF4uwXQqcxEHhn47l2X/BJW8OG3Nqh4xUZjeH1jUu+RzR17uO/0KnldISuZNIX&#10;zvpO4DFjKHk1b/H0cIsJ3f9tv84FltKu0T+XFnapnn+3fHLOtcJkfXXdirRIJluKF6iNxIb2pejd&#10;hVHJqFfqBm6VpUuwyWCEG1c/C64TC9JV4dq7h28+vH3HiVZrYKIQ1WOPfD9MN4e31VJavI/yD7p3&#10;yPh8F2ojsaF9cbvaMfJyrouBPeSw64THbdlnbn9yS/G1bGsTERFlLZn/3cHLCF53fWlhNW2saIxs&#10;1s74g9pIbGhf3K52bHq/uMAGexJS0ucMbndvq6XEYKbcHZt/qvzqcnCp1HlzZ4Zuk3p4e+kzhY4l&#10;B4+VyXO9CYXaSGxoX8Ie5Zj0drZfvhJ4mLp4YcrU/jcE/mzV3qa5BeVladOJbnS42gKvM7mLfjR5&#10;YKHmqq2/+WzxsWMvR3zJZjxCbSQ2tC8RgnJMvmk57wg+XJqiClZhD998ePtBKty5JbhC9LZfYAPz&#10;EA/07Aj82aqt2z97bOc/31qaKNdsojYSG9qXCEE5FgN925S6YO5Mor5uGs3OwwMrhND2+cfBDXH6&#10;ioVzlAPdNG8ekO0BSBiojcSG9iUiBOVYDPRtq3MXzZ3sbbWU7j2/5JUdm0NXCMHbcfli8HF6iqrH&#10;bdlVuI82HjymCz9sQrZQG4kN7UtECMoxCO3bnkef7ilt7uumCdVz/Wpf37bmvra9L224/my9zLtp&#10;wkJtJDa0b9BEj3iXnTscW9hfe4Nv2R7qS1bfP+l7pr7yTHTuRT3hUBuJDe0bhKCMVKfNoBZfIQZu&#10;jnH3N7cIXMp51KTPZAy28Nd/xZ3o1Ybf7+Mc9UcHXRqrMZjlc51rQohm+8oKgjJCvhazliHSGtiW&#10;Ue6A5nOZtTTaFa/D9K+RRESyCcpo1Ybf77taX7n/uM3V/7U+zsGa9AwRaV6zyeQCYdmLXvvKDYIy&#10;QhyrF18hfF02Y6q+piXifR9fl83IyCgoo1sbwwU2J4zW3JKQuy1xJ9btG78QlHFFbkEZa502g5qY&#10;9WwH9igT27cu8+rg4ZXW7PIF+mEOGTQMETETEcoyHwYKSaSHtx8obdayTbt0sxPodCqEMTUt/71u&#10;R6WG1IaSnPs/PVZR+VHHnF/vPt3mMq/ma09+wo1+70LpYXgQyILHbdlnbvvZwcYVspt4BsZC+Mr6&#10;t2qXPm/d5+8eX/rbomJGSSRcs5RtP6Mx1T+fNlX8GySFoIQ4J3jdtroznY88sbFMlyCjl0GM4Gk6&#10;uKH6Eunv+eGLL78QHI95o+mNXdWkY196LPaX+iAoIX4JfPPRj1ruW6hdmx96rbDHbT/XPX8ZbseU&#10;sAT3ibIa0tfYD6zJCB5ACF7n26Xlt/PZLc/O6LlJU+6NbYlwFBMnbrmrn1coJs1Yvpsn4suXzwi9&#10;2UjSEbzuphMVeXNUS/QFa3OzVJMG3WIlo/DCA+lIyYTVc61+/3broqJNKzP6u1kEd902UxOzaL7g&#10;POngemP+fxG129UCACQK7FECAIhAUAIAiEBQAgCIQFACAIhAUAIAiEBQAgCIQFACAIhAUAIAiEBQ&#10;AgCIQFACAIhAUAIAiEBQAgCIQFACAIhAUAIAiEBQAgCIQFACAIhAUAIAiEBQAgCI+D8Q5uzsOCTy&#10;O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ZRMAAFtDb250ZW50X1R5cGVzXS54bWxQSwECFAAKAAAAAACHTuJAAAAA&#10;AAAAAAAAAAAABgAAAAAAAAAAABAAAAAyEQAAX3JlbHMvUEsBAhQAFAAAAAgAh07iQIoUZjzRAAAA&#10;lAEAAAsAAAAAAAAAAQAgAAAAVhEAAF9yZWxzLy5yZWxzUEsBAhQACgAAAAAAh07iQAAAAAAAAAAA&#10;AAAAAAQAAAAAAAAAAAAQAAAAAAAAAGRycy9QSwECFAAKAAAAAACHTuJAAAAAAAAAAAAAAAAACgAA&#10;AAAAAAAAABAAAABQEgAAZHJzL19yZWxzL1BLAQIUABQAAAAIAIdO4kCqJg6+tgAAACEBAAAZAAAA&#10;AAAAAAEAIAAAAHgSAABkcnMvX3JlbHMvZTJvRG9jLnhtbC5yZWxzUEsBAhQAFAAAAAgAh07iQMLu&#10;jH3XAAAABAEAAA8AAAAAAAAAAQAgAAAAIgAAAGRycy9kb3ducmV2LnhtbFBLAQIUABQAAAAIAIdO&#10;4kAsrpL1BQIAAIQEAAAOAAAAAAAAAAEAIAAAACYBAABkcnMvZTJvRG9jLnhtbFBLAQIUAAoAAAAA&#10;AIdO4kAAAAAAAAAAAAAAAAAKAAAAAAAAAAAAEAAAAFcDAABkcnMvbWVkaWEvUEsBAhQAFAAAAAgA&#10;h07iQE1DvJuBDQAAfA0AABQAAAAAAAAAAQAgAAAAfwMAAGRycy9tZWRpYS9pbWFnZTEucG5nUEsF&#10;BgAAAAAKAAoAUgIAAJoUAAAAAA==&#10;">
                        <v:fill on="f" focussize="0,0"/>
                        <v:stroke on="f"/>
                        <v:imagedata o:title=""/>
                        <o:lock v:ext="edit" aspectratio="f"/>
                      </v:shape>
                      <v:shape id="图片 6" o:spid="_x0000_s1026" o:spt="75" type="#_x0000_t75" style="position:absolute;left:1301115;top:0;height:554355;width:2490470;" filled="f" o:preferrelative="t" stroked="f" coordsize="21600,21600" o:gfxdata="UEsDBAoAAAAAAIdO4kAAAAAAAAAAAAAAAAAEAAAAZHJzL1BLAwQUAAAACACHTuJAR4CdC9MAAAAE&#10;AQAADwAAAGRycy9kb3ducmV2LnhtbE2PzWrDMBCE74W8g9hAbo3slsbB9TqHQAqFXuKGnhVrY4lY&#10;K2PJ+Xn7qr20l4Vhhplvq83N9eJCY7CeEfJlBoK49dpyh3D43D2uQYSoWKveMyHcKcCmnj1UqtT+&#10;ynu6NLETqYRDqRBMjEMpZWgNORWWfiBO3smPTsUkx07qUV1TuevlU5atpFOW04JRA20NtedmcgiT&#10;a968Kd63pzywNR9fVtq9RVzM8+wVRKRb/AvDD35ChzoxHf3EOogeIT0Sf2/yimL1AuKIsC6eQdaV&#10;/A9ffwNQSwMEFAAAAAgAh07iQLEZZn7QAQAAAwQAAA4AAABkcnMvZTJvRG9jLnhtbK2TXY7TMBDH&#10;35G4g+V3Nmm32Y+o6QpRLUJaQYXgAK4zaSz8pbH7sSdAnIG7cBvENRg7YbfdpxXwEGfsmfznN+PJ&#10;/OZgNNsBBuVswydnJWdgpWuV3TT886fbV1echShsK7Sz0PB7CPxm8fLFfO9rmLre6RaQkYgN9d43&#10;vI/R10URZA9GhDPnwZKzc2hEpC1uihbFntSNLqZleVHsHbYenYQQ6HQ5OPmoiM8RdF2nJCyd3Bqw&#10;cVBF0CJSSaFXPvBFpu06kPFD1wWITDecKo15pSRkr9NaLOai3qDwvZIjgngOwpOajFCWkj5ILUUU&#10;bIvqL6S8knGLQGpk1fSMWGT9s5rdrZRc4SAt3+9WyFTb8KtLzqwwdNk/v//49e0ru0h9SelTzPCF&#10;SCh3Tn4JzLo3vbAbeB089ZdmKEUXp+F5e5JurZW/VVqnLiX7/144wxrMGqgYfNdmIFGHiBBlnxJ2&#10;lPgjwSbQI0emfARLJQSf+iPqQ4cmvWnW2IFqPC8nk0nF2f3D1MAhMkmu6ey6nF3SQEnyVdXsvKpy&#10;Qx41PIb4FpxhySBCAsnDInZ3YUT6E5JSWpf6lCdT25MDYk8nGXsAzSZx57rGOU7Dd7wn+/jfXfwG&#10;UEsDBAoAAAAAAIdO4kAAAAAAAAAAAAAAAAAKAAAAZHJzL21lZGlhL1BLAwQUAAAACACHTuJATUO8&#10;m4ENAAB8DQAAFAAAAGRycy9tZWRpYS9pbWFnZTEucG5nAXwNg/KJUE5HDQoaCgAAAA1JSERSAAAB&#10;uAAAAFgIAgAAAAibddIAAAADc0JJVAgICNvhT+AAAAAJcEhZcwAADsQAAA7EAZUrDhsAAA0fSURB&#10;VHic7d19bBPnHQfwnw1itKWwdmPlDBVdwpKwhlHhDFZRdSYMZ2vXUjnQl004LFEXNl5UouBgClO7&#10;MFjiKJAC6wA5DWmhbeCsRCmtcGWTaVBGZNNWICV2ISJtuGMLqxrHoxDi8/6wkziJk8PJ2fHZ389f&#10;fjk7j5/n8r275557TuH3+wkAAEamnOgCAADEOwQlAIAIBCUAgAgEJQCACAQlAIAIBCUAgAgEJQCA&#10;CAQlAIAIBCUAgAgEJQCACAQlAIAIBCUAgAgEJQCACAQlAIAIBCUAgAgEJQCACAQlAIAIBCUAgAgE&#10;JQCACAQlAIAIBCUAgAgE5dh43PYGi8VisRwuWaZSLNvj9AojLCl4W4/kqdZZ+N5wrysUCoUq70Az&#10;3xP1IkcRaiOpJGVz+yFCdxym1KG1qDbYOsMte5s7v1/PEJHG5Oge8p6Pc9SbDZrRPi4DqI2kkrTN&#10;jaAcB1+HzagNrCyMwdY19O3bnO01TXBlStWzX4b7ijscW0iaSke3L/rFjTLURlJJsubGofc4KGdn&#10;by0xMEREPHvhi0GHFx63ZefWU4+WsYH3r5xt+0/vsC8Q+NP7Gh62HVuvnib/hkBtJJUka24ZFDGu&#10;Tf9Jzho1EdGVy+2d/SuDp7X6T2XtOX/dvSorM30BERFdudjeOfijAm+vOnpz7QFjNjMlhiWOJtRG&#10;Ukmm5kZQjtO0OekpRETkauNuEREJfPMbh6yZJYc3L2WUpExZuCLQqXO2jRvYqgre1vcrj3/nxaKV&#10;aXLYnN411EZSSaLmlk1B49WUWY/MY4iIuju7bpFwzV51vOOXv9+0mAnW7OQfpCxNJQrd6nrc9g+b&#10;lb8q3rSU6a9+gXc2WCwnKvJUWSX2GzH/FVKRqDaoh3d+eKIicF40IKek2mJ3e2L9g2A0UjW3DEye&#10;6ALInfLeGQ/eS0T0zfWr/7LUKDNf3pA9aDv5wNwFDxNdCWx1BXI1nuuer31q0DIee0nG8nI+8ERt&#10;iGHppSZFbVDPtYbDdXcefXrdW1zxESIigXfWH31jQ+5yXmu0Ve/Mni2rf7EEJklzy4P8ShxvlPc/&#10;mEpEdA91PfD42qeGHU1MVaWkExGR62Tdu42c6hmdZugy07PLOL/f32kzqGNT5uiRoDZoyuyV6zev&#10;Cnldyah1RfveMTJk3V126vJIg/Yg5qRobpmI2fl1H+eoZ1mWPWrSZw4rBaMxHGJZtt7ByWCkwBAc&#10;q2f0ledHLLnPZdaS1lAz8hJBgaCUx7CyEUlWG0M/12UzMpSZz16V3xqSwKRp7m9d5tXBJNCaXb5A&#10;WBwyaBgiYvQ1LXEwfijaQXmbc5xkgyNLA2lYb3MNGXTV5bLVHzfpmWBm6k1W19DxqUkhIYIyOnyc&#10;1ah52sC2JOWKkQx83Y5KDakNtg7OcdRkMtc7OF8wQFebXd9OdPGiF5Qh2wQircFsc4lsFvrH8RMR&#10;ozFaZbhvOU4IyrB83S7WaKiyDt2+QgLxXWXzMxm96b1KU1Xf3qevg81nGI3pfDxsHaMRlLc5R21f&#10;RDIaAysWkf1C9sCT8SALQTlMt8tqNtfYkvMII3kE+lWI0e8/z93ue7HTZlATs57tuD3aR2NF6qDs&#10;bmEN2r6w00Z6rDToSlI9y0lcuDgX/aDkWL1cKtbHOWrNZnZIp7Wv23U6Wh3ZMqqcUcjxV/hazFpm&#10;cF9k4Eg8M5+9eqe7+38TWbggSc9AeS9Vr1+dW24NpKTRVr1blzEtgs8LN7u+villgWRCaK3OUSkU&#10;M5eXO4mc5ctnKhSqnOrWJD2763XbT1TkzVFl6QsKcrNUkxQhJt1f+Omc9Ifked4Uwuq5Vr9/u3VR&#10;0aaVGf0nxAV33TZTE7NovuA86eB64+A/QbpxlN5L1etfKqi9REREmfnsocjHu33tOGUNjiYkRvvz&#10;Hz8kWeHimzIj/xSXP9GliBfT0rJXFWevCgyhhIQ3ZbZuP+cf/Fr8/UdItW3+xvn3rX0pSUz+639+&#10;bm6EXy14nW+XljuDzxhdYU6K+DfwljzF+ORZeNG/AgDJTaI9Ss+FusqTfU+eLvpjxDuTAm/bVWxq&#10;Cj7TGt8xPjf7Lq6WZ3RH/P6o7nooFIpofv3Y+f1+8YUkFbdVMUTsayZhyKWJRxeVFUCSns5BJ2EY&#10;o60rwt727ovmgVHomXrzxfg5yyl9jUskfHEDffnjMfJ5AEmKHQMjtmU0Kyd20MRiolHrUQjKVJPj&#10;TgSf9XFnKgdSUmu0dSTZqKAYkuMp0ZhJjMpJjF8Rf6Tpo5yc/uS64MBJoivNn7fdurvPedwf7/md&#10;+omi2ksUHEXVuCuio3b0UQJA9El0Mmda1ro3d/ddV3N8+1/MYjcM8rjt71fkLU3XFtXyxOhNrIPr&#10;OLJ+caSzeDK6I+PcUhzRMeJ/BgCSmlRnvZXTMvLecp6vMWiJiK/dsET1TJgJBAdmXZyRvvzFLR8v&#10;Mh2vt7m6uCPFOrW8pqcDGMLjtmxbFjhMUeXtaeaHDf4b/wIwYaScj1LJLM4rO7XmFWfjufY7bQ2b&#10;CnLLhy6SqTcZV6akrNx/+lXtk3KdcAlgdOmzHpwU5QUgthT+KJ3qEnhn4wd1extoTVHB87KdhA4A&#10;IBoznAu8s/Gjur0Fb5OhrOKYRS2TmwcBAIxEwh29Ht75QXVJziRV1h/+MWubq/V02ZoIU9LjtjdY&#10;7G6vdGWS2g17SZb4OXSPvUQ12lKKnGp3oP+p11kxL+wSsrhzDmojsaF9Q0gxxqjLZXsv3LzlfTQG&#10;MxswfNZef3ByX5Zl2dN3PSHbBBsy9nPECZxD51LSGNkRZlT0cVZjYHCVxmBmTzq4uJhX6u6hNhIb&#10;2tfv90ty6D09LfuF4uwXQqcxEHhn47l2X/BJW8OG3Nqh4xUZjeH1jUu+RzR17uO/0KnldISuZNIX&#10;zvpO4DFjKHk1b/H0cIsJ3f9tv84FltKu0T+XFnapnn+3fHLOtcJkfXXdirRIJluKF6iNxIb2pejd&#10;hVHJqFfqBm6VpUuwyWCEG1c/C64TC9JV4dq7h28+vH3HiVZrYKIQ1WOPfD9MN4e31VJavI/yD7p3&#10;yPh8F2ojsaF9cbvaMfJyrouBPeSw64THbdlnbn9yS/G1bGsTERFlLZn/3cHLCF53fWlhNW2saIxs&#10;1s74g9pIbGhf3K52bHq/uMAGexJS0ucMbndvq6XEYKbcHZt/qvzqcnCp1HlzZ4Zuk3p4e+kzhY4l&#10;B4+VyXO9CYXaSGxoX8Ie5Zj0drZfvhJ4mLp4YcrU/jcE/mzV3qa5BeVladOJbnS42gKvM7mLfjR5&#10;YKHmqq2/+WzxsWMvR3zJZjxCbSQ2tC8RgnJMvmk57wg+XJqiClZhD998ePtBKty5JbhC9LZfYAPz&#10;EA/07Aj82aqt2z97bOc/31qaKNdsojYSG9qXCEE5FgN925S6YO5Mor5uGs3OwwMrhND2+cfBDXH6&#10;ioVzlAPdNG8ekO0BSBiojcSG9iUiBOVYDPRtq3MXzZ3sbbWU7j2/5JUdm0NXCMHbcfli8HF6iqrH&#10;bdlVuI82HjymCz9sQrZQG4kN7UtECMoxCO3bnkef7ilt7uumCdVz/Wpf37bmvra9L224/my9zLtp&#10;wkJtJDa0b9BEj3iXnTscW9hfe4Nv2R7qS1bfP+l7pr7yTHTuRT3hUBuJDe0bhKCMVKfNoBZfIQZu&#10;jnH3N7cIXMp51KTPZAy28Nd/xZ3o1Ybf7+Mc9UcHXRqrMZjlc51rQohm+8oKgjJCvhazliHSGtiW&#10;Ue6A5nOZtTTaFa/D9K+RRESyCcpo1Ybf77taX7n/uM3V/7U+zsGa9AwRaV6zyeQCYdmLXvvKDYIy&#10;QhyrF18hfF02Y6q+piXifR9fl83IyCgoo1sbwwU2J4zW3JKQuy1xJ9btG78QlHFFbkEZa502g5qY&#10;9WwH9igT27cu8+rg4ZXW7PIF+mEOGTQMETETEcoyHwYKSaSHtx8obdayTbt0sxPodCqEMTUt/71u&#10;R6WG1IaSnPs/PVZR+VHHnF/vPt3mMq/ma09+wo1+70LpYXgQyILHbdlnbvvZwcYVspt4BsZC+Mr6&#10;t2qXPm/d5+8eX/rbomJGSSRcs5RtP6Mx1T+fNlX8GySFoIQ4J3jdtroznY88sbFMlyCjl0GM4Gk6&#10;uKH6Eunv+eGLL78QHI95o+mNXdWkY196LPaX+iAoIX4JfPPRj1ruW6hdmx96rbDHbT/XPX8ZbseU&#10;sAT3ibIa0tfYD6zJCB5ACF7n26Xlt/PZLc/O6LlJU+6NbYlwFBMnbrmrn1coJs1Yvpsn4suXzwi9&#10;2UjSEbzuphMVeXNUS/QFa3OzVJMG3WIlo/DCA+lIyYTVc61+/3broqJNKzP6u1kEd902UxOzaL7g&#10;POngemP+fxG129UCACQK7FECAIhAUAIAiEBQAgCIQFACAIhAUAIAiEBQAgCIQFACAIhAUAIAiEBQ&#10;AgCIQFACAIhAUAIAiEBQAgCIQFACAIhAUAIAiEBQAgCIQFACAIhAUAIAiEBQAgCI+D8Q5uzsOCTy&#10;O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LBMAAFtDb250ZW50X1R5cGVzXS54bWxQSwECFAAKAAAAAACHTuJAAAAA&#10;AAAAAAAAAAAABgAAAAAAAAAAABAAAAD5EAAAX3JlbHMvUEsBAhQAFAAAAAgAh07iQIoUZjzRAAAA&#10;lAEAAAsAAAAAAAAAAQAgAAAAHREAAF9yZWxzLy5yZWxzUEsBAhQACgAAAAAAh07iQAAAAAAAAAAA&#10;AAAAAAQAAAAAAAAAAAAQAAAAAAAAAGRycy9QSwECFAAKAAAAAACHTuJAAAAAAAAAAAAAAAAACgAA&#10;AAAAAAAAABAAAAAXEgAAZHJzL19yZWxzL1BLAQIUABQAAAAIAIdO4kCqJg6+tgAAACEBAAAZAAAA&#10;AAAAAAEAIAAAAD8SAABkcnMvX3JlbHMvZTJvRG9jLnhtbC5yZWxzUEsBAhQAFAAAAAgAh07iQEeA&#10;nQvTAAAABAEAAA8AAAAAAAAAAQAgAAAAIgAAAGRycy9kb3ducmV2LnhtbFBLAQIUABQAAAAIAIdO&#10;4kCxGWZ+0AEAAAMEAAAOAAAAAAAAAAEAIAAAACIBAABkcnMvZTJvRG9jLnhtbFBLAQIUAAoAAAAA&#10;AIdO4kAAAAAAAAAAAAAAAAAKAAAAAAAAAAAAEAAAAB4DAABkcnMvbWVkaWEvUEsBAhQAFAAAAAgA&#10;h07iQE1DvJuBDQAAfA0AABQAAAAAAAAAAQAgAAAARgMAAGRycy9tZWRpYS9pbWFnZTEucG5nUEsF&#10;BgAAAAAKAAoAUgIAAGEUAAAAAA==&#10;">
                        <v:fill on="f" focussize="0,0"/>
                        <v:stroke on="f"/>
                        <v:imagedata r:id="rId21" o:title=""/>
                        <o:lock v:ext="edit" aspectratio="t"/>
                      </v:shape>
                      <w10:wrap type="none"/>
                      <w10:anchorlock/>
                    </v:group>
                  </w:pict>
                </mc:Fallback>
              </mc:AlternateContent>
            </w:r>
          </w:p>
          <w:p w14:paraId="6715A36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式中：w1，w2</w:t>
            </w:r>
            <w:r>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wn——每种风险物质的存在量，t；</w:t>
            </w:r>
          </w:p>
          <w:p w14:paraId="6A02BE6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W1，W2</w:t>
            </w:r>
            <w:r>
              <w:rPr>
                <w:rFonts w:hint="default" w:ascii="Times New Roman" w:hAnsi="Times New Roman" w:eastAsia="宋体" w:cs="Times New Roman"/>
                <w:b w:val="0"/>
                <w:bCs w:val="0"/>
                <w:i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Wn——每种风险物质的临界量，t。</w:t>
            </w:r>
          </w:p>
          <w:p w14:paraId="12B7E54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t>当</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Q＜1，该项目环境风险潜势为Ⅰ；</w:t>
            </w:r>
          </w:p>
          <w:p w14:paraId="31A3A4F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t>当Q＞1时，将Q值分为（1）</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1≤Q＜10；（</w:t>
            </w:r>
            <w:r>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）10≤Q＜100；（</w:t>
            </w:r>
            <w:r>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val="0"/>
                <w:iCs/>
                <w:color w:val="000000" w:themeColor="text1"/>
                <w:sz w:val="24"/>
                <w:szCs w:val="24"/>
                <w:highlight w:val="none"/>
                <w14:textFill>
                  <w14:solidFill>
                    <w14:schemeClr w14:val="tx1"/>
                  </w14:solidFill>
                </w14:textFill>
              </w:rPr>
              <w:t>）Q≥100。</w:t>
            </w:r>
          </w:p>
          <w:p w14:paraId="60E6E63D">
            <w:pPr>
              <w:keepNext/>
              <w:keepLines/>
              <w:widowControl w:val="0"/>
              <w:suppressLineNumbers w:val="0"/>
              <w:wordWrap w:val="0"/>
              <w:topLinePunct/>
              <w:spacing w:before="0" w:beforeAutospacing="0" w:after="0" w:afterAutospacing="0" w:line="360" w:lineRule="auto"/>
              <w:ind w:left="0" w:right="0" w:firstLine="480" w:firstLineChars="200"/>
              <w:jc w:val="both"/>
              <w:outlineLvl w:val="2"/>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iCs/>
                <w:color w:val="000000" w:themeColor="text1"/>
                <w:sz w:val="24"/>
                <w:szCs w:val="24"/>
                <w:highlight w:val="none"/>
                <w:lang w:val="en-US" w:eastAsia="zh-CN"/>
                <w14:textFill>
                  <w14:solidFill>
                    <w14:schemeClr w14:val="tx1"/>
                  </w14:solidFill>
                </w14:textFill>
              </w:rPr>
              <w:t>根据上表，本项目Q＜1，环境风险潜势为Ⅰ。参照《建设项目环境风险评价技术导则》（HJ169-2018）表1评价工作等级划分，环境风险潜势为Ⅰ时，评价工作等级为简单分析。</w:t>
            </w:r>
          </w:p>
          <w:p w14:paraId="0BD3D5C2">
            <w:pPr>
              <w:keepNext/>
              <w:keepLines/>
              <w:widowControl w:val="0"/>
              <w:suppressLineNumbers w:val="0"/>
              <w:wordWrap w:val="0"/>
              <w:topLinePunct/>
              <w:spacing w:before="0" w:beforeAutospacing="0" w:after="0" w:afterAutospacing="0" w:line="360" w:lineRule="auto"/>
              <w:ind w:left="0" w:right="0" w:firstLine="0" w:firstLineChars="0"/>
              <w:jc w:val="both"/>
              <w:outlineLvl w:val="2"/>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6.2 环境风险影响分析</w:t>
            </w:r>
          </w:p>
          <w:p w14:paraId="41BD171A">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燃气锅炉房核心危险物质为天然气，其是多组分混合气态化石燃料，主要成分为甲烷，含硫量低，不含一氧化碳，且密度小于空气，泄漏后易向上扩散，安全性相对较高。但天然气属于易燃、易爆物质，爆炸极限为5%—158%（V%），仍存在显著环境风险。</w:t>
            </w:r>
          </w:p>
          <w:p w14:paraId="63CF3065">
            <w:pPr>
              <w:keepNext w:val="0"/>
              <w:keepLines w:val="0"/>
              <w:suppressLineNumbers w:val="0"/>
              <w:bidi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燃气泄漏的环境风险影响</w:t>
            </w:r>
          </w:p>
          <w:p w14:paraId="71082803">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大气环境影响：天然气虽为清洁能源，但其主要成分甲烷是强效温室气体，泄漏后会加剧区域温室效应，长期大量泄漏可能对局部大气环境的温室气体平衡产生影响。若泄漏过程中伴随少量硫化氢（因含硫量低，量极少），虽短期内难以达到有害浓度，但在密闭或半密闭环境中积聚，仍可能对周边植物生长产生轻微抑制作用，影响局部大气生态。</w:t>
            </w:r>
          </w:p>
          <w:p w14:paraId="1F4F3C57">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安全衍生风险：天然气泄漏后，即便因密度小不易积聚，但一旦在建筑物缝隙、地下空间等特殊区域滞留，达到爆炸极限，遇火源易引发后续爆炸或火灾，间接扩大环境破坏范围。</w:t>
            </w:r>
          </w:p>
          <w:p w14:paraId="212D7A8A">
            <w:pPr>
              <w:keepNext w:val="0"/>
              <w:keepLines w:val="0"/>
              <w:suppressLineNumbers w:val="0"/>
              <w:bidi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火灾的环境风险影响</w:t>
            </w:r>
          </w:p>
          <w:p w14:paraId="633F7B42">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大气污染：天然气燃烧时若发生不完全燃烧（火灾状态下供氧不稳定易出现），会产生一氧化碳、</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炭黑颗粒</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等污染物。一氧化碳具有毒性，若扩散至周边区域，可能对人体健康造成威胁，同时</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炭黑颗粒</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会影响大气能见度，加剧局部雾霾风险；此外，燃烧过程中虽含硫量低，但仍会有少量二氧化硫生成，长期或大量排放可能对周边土壤和植物产生轻微酸性影响。</w:t>
            </w:r>
          </w:p>
          <w:p w14:paraId="7FC925CE">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热辐射与生态破坏：火灾产生的高温热辐射会直接灼伤周边植物，导致植被枯萎、死亡，破坏局部地表生态；这些物质燃烧可能产生更复杂的有毒有害气体，进一步加重大气污染，且燃烧残留物若渗入土壤，会对土壤结构和肥力造成一定破坏。</w:t>
            </w:r>
          </w:p>
          <w:p w14:paraId="1DF430EF">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水体污染风险：火灾扑灭过程中使用的消防水，可能会携带燃烧残留物（如碳黑、未燃尽的杂质等）流入周边雨水管网或土壤，进而渗透至地下水或汇入地表水体，导致水体悬浮物增多、水质浑浊，短期内影响水生生物的生存环境。</w:t>
            </w:r>
          </w:p>
          <w:p w14:paraId="22B01438">
            <w:pPr>
              <w:keepNext w:val="0"/>
              <w:keepLines w:val="0"/>
              <w:suppressLineNumbers w:val="0"/>
              <w:bidi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爆炸的环境风险影响</w:t>
            </w:r>
          </w:p>
          <w:p w14:paraId="300A1F64">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炉膛爆炸：可燃气体与空气混合形成爆炸极限范围内的混合物，接触点火源引发。主要成因包括点火操作不当（如熄火后未彻底吹扫可燃气体）、火焰不稳定熄火（脱火或回火后炉膛高温引燃新通入气体）、设备缺陷（无保护/检测装置、阀门漏气）、操作违规（未按规章维护检修）。</w:t>
            </w:r>
          </w:p>
          <w:p w14:paraId="4B88C948">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炉体爆炸：因设备自身问题（设计缺陷、材料不达标、焊接质量差、受压元件强度不足）或运行异常（锅炉缺水后持续加热导致炉体过热）引发。</w:t>
            </w:r>
          </w:p>
          <w:p w14:paraId="536F6E69">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环境破坏影响：爆炸产生的强大冲击波会直接摧毁锅炉房及周边建筑物，导致建筑碎片散落，破坏地表植被和土壤结构；同时，爆炸可能撕裂燃气管线，加剧天然气泄漏，形成“爆炸</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泄漏-二次灾害”的连锁反应，扩大大气污染范围；若爆炸波及存储的辅助化学品，其泄漏会进一步污染土壤和水体，对局部生态系统造成短期难以恢复的破坏。</w:t>
            </w:r>
          </w:p>
          <w:p w14:paraId="4CB3AF28">
            <w:pPr>
              <w:keepNext w:val="0"/>
              <w:keepLines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0"/>
                <w:sz w:val="24"/>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爆炸发生关键条件：需同时满足三个条件——可燃气体处于爆炸极限范围内、存在点火源、处于密闭/半密闭容器空间（如炉膛、炉体）。</w:t>
            </w:r>
          </w:p>
          <w:p w14:paraId="1863977D">
            <w:pPr>
              <w:keepNext/>
              <w:keepLines/>
              <w:widowControl w:val="0"/>
              <w:suppressLineNumbers w:val="0"/>
              <w:wordWrap w:val="0"/>
              <w:topLinePunct/>
              <w:spacing w:before="0" w:beforeAutospacing="0" w:after="0" w:afterAutospacing="0" w:line="360" w:lineRule="auto"/>
              <w:ind w:left="0" w:right="0" w:firstLine="0" w:firstLineChars="0"/>
              <w:jc w:val="both"/>
              <w:outlineLvl w:val="2"/>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6.3 环境风险防范措施</w:t>
            </w:r>
          </w:p>
          <w:p w14:paraId="19EF39DB">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（1）锅炉房管理过</w:t>
            </w:r>
            <w:r>
              <w:rPr>
                <w:rFonts w:hint="eastAsia" w:ascii="Times New Roman" w:hAnsi="Times New Roman" w:cs="Times New Roman"/>
                <w:color w:val="000000" w:themeColor="text1"/>
                <w:sz w:val="24"/>
                <w:lang w:val="en-US" w:eastAsia="zh-CN"/>
                <w14:textFill>
                  <w14:solidFill>
                    <w14:schemeClr w14:val="tx1"/>
                  </w14:solidFill>
                </w14:textFill>
              </w:rPr>
              <w:t>程中</w:t>
            </w:r>
            <w:r>
              <w:rPr>
                <w:rFonts w:hint="default" w:ascii="Times New Roman" w:hAnsi="Times New Roman" w:eastAsia="宋体" w:cs="Times New Roman"/>
                <w:color w:val="000000" w:themeColor="text1"/>
                <w:sz w:val="24"/>
                <w:lang w:val="en-US" w:eastAsia="zh-CN"/>
                <w14:textFill>
                  <w14:solidFill>
                    <w14:schemeClr w14:val="tx1"/>
                  </w14:solidFill>
                </w14:textFill>
              </w:rPr>
              <w:t xml:space="preserve">应注意事项 </w:t>
            </w:r>
          </w:p>
          <w:p w14:paraId="0F4376C2">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在燃气锅炉安全管理过程中，必须注意以下四个方面的因素：</w:t>
            </w:r>
          </w:p>
          <w:p w14:paraId="5574B33E">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一是由人的错误推测和错误行为（玩忽职守或麻痹大意）造成的事故，即人的行为因素。</w:t>
            </w:r>
          </w:p>
          <w:p w14:paraId="247A7BD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二是由设备的不安全状态（如锅炉的质量及性能、燃烧系统、供、回水系统、软水系统、消防安检系统、自动报警系统等）造成的事故，即物的因素。</w:t>
            </w:r>
          </w:p>
          <w:p w14:paraId="34D3241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三是由不良环境（如通风系统、照明系统、防噪声系统、环境卫生等）造成的事故，即人为环境因素；四是由自然灾害、突发事故等不可抗力造成的事故，即自然环境因素。针对燃气锅炉发生事故的原因和国家相关法规规范，应制定锅炉房管理细则和做好达标工作，并制定紧急情况处理预案。</w:t>
            </w:r>
          </w:p>
          <w:p w14:paraId="45FAF896">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（2）锅炉管理细则要点</w:t>
            </w:r>
          </w:p>
          <w:p w14:paraId="7D15306F">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①燃气锅炉房内不得有明火、不得吸烟，在锅炉房内、外明显部位要张贴禁烟、禁火标志。</w:t>
            </w:r>
          </w:p>
          <w:p w14:paraId="35C8852D">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②烧完锅炉后，要将管道内剩余的气体放净，然后把所有燃气管道的阀门关紧（电磁阀）。</w:t>
            </w:r>
          </w:p>
          <w:p w14:paraId="4107AEDE">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③维修锅炉需动用电气焊时，必须由专业人员在有人监护和确认无误管道中没有余气的情况下，方可进行操作。</w:t>
            </w:r>
            <w:r>
              <w:rPr>
                <w:rFonts w:hint="eastAsia" w:ascii="Times New Roman" w:hAnsi="Times New Roman" w:cs="Times New Roman"/>
                <w:color w:val="000000" w:themeColor="text1"/>
                <w:sz w:val="24"/>
                <w:lang w:val="en-US" w:eastAsia="zh-CN"/>
                <w14:textFill>
                  <w14:solidFill>
                    <w14:schemeClr w14:val="tx1"/>
                  </w14:solidFill>
                </w14:textFill>
              </w:rPr>
              <w:t>维修</w:t>
            </w:r>
            <w:r>
              <w:rPr>
                <w:rFonts w:hint="default" w:ascii="Times New Roman" w:hAnsi="Times New Roman" w:eastAsia="宋体" w:cs="Times New Roman"/>
                <w:color w:val="000000" w:themeColor="text1"/>
                <w:sz w:val="24"/>
                <w:lang w:val="en-US" w:eastAsia="zh-CN"/>
                <w14:textFill>
                  <w14:solidFill>
                    <w14:schemeClr w14:val="tx1"/>
                  </w14:solidFill>
                </w14:textFill>
              </w:rPr>
              <w:t>燃气部分要由燃气公司的专业人员进行维修。</w:t>
            </w:r>
          </w:p>
          <w:p w14:paraId="0551F1D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④锅炉运行及维修时，锅炉房内闲杂人员不得进入。锅炉不运行期间，锅炉房内不得堆放与锅炉设备无关的物品。</w:t>
            </w:r>
          </w:p>
          <w:p w14:paraId="0C9AFDF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⑤燃气调压箱及计量间周围要悬挂禁烟、禁明火、禁停放汽车标志，以保证燃气调压箱及计量间的安全。</w:t>
            </w:r>
          </w:p>
          <w:p w14:paraId="313E003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⑥要时刻保证燃气、消防、通风等设备的灵敏可靠。</w:t>
            </w:r>
          </w:p>
          <w:p w14:paraId="5BAF1CAA">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⑦锅炉房设置防火墙。</w:t>
            </w:r>
          </w:p>
          <w:p w14:paraId="75F36F8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⑧要经常对司炉、维修、管理人员进行燃气安全方面的教育。</w:t>
            </w:r>
          </w:p>
          <w:p w14:paraId="38EB96E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（3）管理燃气锅炉房的达标情况</w:t>
            </w:r>
          </w:p>
          <w:p w14:paraId="6184B71A">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①建立和健全领导组织机构，明确锅炉房管理人员职责。</w:t>
            </w:r>
          </w:p>
          <w:p w14:paraId="5B2052B8">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②制订和完善锅炉房各项安全管理制度、健全锅炉设备档案，编制安全措施和维修计划并督促实施。</w:t>
            </w:r>
          </w:p>
          <w:p w14:paraId="31914A7C">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③锅炉房的管道要画水流方向箭头，按规定刷色环，锅炉房内外要整洁干净。</w:t>
            </w:r>
          </w:p>
          <w:p w14:paraId="680A9C8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④锅炉房要悬挂《锅炉使用登记证》《燃气锅炉房的各层次领导管理框图》《燃气锅炉管理制度》《司炉工巡视路线图》《锅炉房管道系统图》《天然气公司紧急抢修电话》《燃气锅炉房发生紧急情况的处理预案》直接工作人员上岗证等。</w:t>
            </w:r>
          </w:p>
          <w:p w14:paraId="1C667A07">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⑤进行安全宣传，组织锅炉房直接工作人员（司、维、管、水质化验等）培训。</w:t>
            </w:r>
          </w:p>
          <w:p w14:paraId="69561889">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⑥组织安全检查，开展安全竞赛以及评比总结，实施奖励、处分。</w:t>
            </w:r>
          </w:p>
          <w:p w14:paraId="64D33353">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 xml:space="preserve">（4）紧急情况的处理预案 </w:t>
            </w:r>
          </w:p>
          <w:p w14:paraId="7063D25B">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天然气锅炉房一旦发生事故</w:t>
            </w:r>
            <w:r>
              <w:rPr>
                <w:rFonts w:hint="eastAsia" w:ascii="Times New Roman" w:hAnsi="Times New Roman" w:cs="Times New Roman"/>
                <w:color w:val="000000" w:themeColor="text1"/>
                <w:sz w:val="24"/>
                <w:lang w:val="en-US" w:eastAsia="zh-CN"/>
                <w14:textFill>
                  <w14:solidFill>
                    <w14:schemeClr w14:val="tx1"/>
                  </w14:solidFill>
                </w14:textFill>
              </w:rPr>
              <w:t>或不可抗力</w:t>
            </w:r>
            <w:r>
              <w:rPr>
                <w:rFonts w:hint="default" w:ascii="Times New Roman" w:hAnsi="Times New Roman" w:eastAsia="宋体" w:cs="Times New Roman"/>
                <w:color w:val="000000" w:themeColor="text1"/>
                <w:sz w:val="24"/>
                <w:lang w:val="en-US" w:eastAsia="zh-CN"/>
                <w14:textFill>
                  <w14:solidFill>
                    <w14:schemeClr w14:val="tx1"/>
                  </w14:solidFill>
                </w14:textFill>
              </w:rPr>
              <w:t>的自然灾害时，现场工作人员应急处置措施如下：</w:t>
            </w:r>
          </w:p>
          <w:p w14:paraId="75B71E91">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①立即利用电动（或手动阀门）将天然气源切断，同时通知配电值班室人员切断电源。</w:t>
            </w:r>
          </w:p>
          <w:p w14:paraId="7769DF8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②立即拨打火警电话（119）、通知上级公司以防事故的连锁反应、报告本单位主管领导进入现场指挥处理事故、报告当地锅炉压力容器安全国家监察委员会专门指导协助事故处理。</w:t>
            </w:r>
          </w:p>
          <w:p w14:paraId="7DB198D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③若现场发生人员伤害，立即拨打急救电话（120），同时利用现有条件进行自救、互救。</w:t>
            </w:r>
          </w:p>
          <w:p w14:paraId="342E6F55">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④成立事故调查组，进入事故现场观察（摄像、分析、研究）。对在场人员进行调查了解、核实情况。</w:t>
            </w:r>
          </w:p>
          <w:p w14:paraId="3C1C869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⑤一旦爆炸导致天然气泄漏，应及时做好周围群众的疏散工作。</w:t>
            </w:r>
          </w:p>
          <w:p w14:paraId="0819D990">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（5）应急预案</w:t>
            </w:r>
          </w:p>
          <w:p w14:paraId="04DABCAF">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针对以上分析，建设单位在项目运营时应该建立相应的环境风险事故应急预案。</w:t>
            </w:r>
          </w:p>
          <w:p w14:paraId="60A50E61">
            <w:pPr>
              <w:keepNext/>
              <w:keepLines/>
              <w:widowControl w:val="0"/>
              <w:suppressLineNumbers w:val="0"/>
              <w:wordWrap w:val="0"/>
              <w:topLinePunct/>
              <w:spacing w:before="0" w:beforeAutospacing="0" w:after="0" w:afterAutospacing="0" w:line="360" w:lineRule="auto"/>
              <w:ind w:left="0" w:right="0" w:firstLine="0" w:firstLineChars="0"/>
              <w:jc w:val="both"/>
              <w:outlineLvl w:val="2"/>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6.4 分析结论</w:t>
            </w:r>
          </w:p>
          <w:p w14:paraId="2EB2540C">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建设单位须进一步加强风险管理，严格风险管理机制，落实本评价提出的环境风险防范措施和应急措施，并应经常或定期开展应急救援培训和演练，一旦发生事故，能够及时启动应急预案，将风险事故的影响降到较低水平。在此基础上，本项目环境风险可接受。</w:t>
            </w:r>
          </w:p>
          <w:p w14:paraId="2468DA3C">
            <w:pPr>
              <w:keepNext w:val="0"/>
              <w:keepLines w:val="0"/>
              <w:widowControl w:val="0"/>
              <w:suppressLineNumbers w:val="0"/>
              <w:wordWrap w:val="0"/>
              <w:autoSpaceDE w:val="0"/>
              <w:autoSpaceDN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kern w:val="0"/>
                <w:sz w:val="21"/>
                <w:szCs w:val="21"/>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zh-CN"/>
                <w14:textFill>
                  <w14:solidFill>
                    <w14:schemeClr w14:val="tx1"/>
                  </w14:solidFill>
                </w14:textFill>
              </w:rPr>
              <w:t>表4-1</w:t>
            </w:r>
            <w:r>
              <w:rPr>
                <w:rFonts w:hint="eastAsia" w:cs="Times New Roman"/>
                <w:b/>
                <w:bCs/>
                <w:color w:val="000000" w:themeColor="text1"/>
                <w:kern w:val="0"/>
                <w:sz w:val="21"/>
                <w:szCs w:val="21"/>
                <w:lang w:val="en-US" w:eastAsia="zh-CN" w:bidi="zh-CN"/>
                <w14:textFill>
                  <w14:solidFill>
                    <w14:schemeClr w14:val="tx1"/>
                  </w14:solidFill>
                </w14:textFill>
              </w:rPr>
              <w:t>2</w:t>
            </w:r>
            <w:r>
              <w:rPr>
                <w:rFonts w:hint="default" w:ascii="Times New Roman" w:hAnsi="Times New Roman" w:eastAsia="宋体" w:cs="Times New Roman"/>
                <w:b/>
                <w:bCs/>
                <w:color w:val="000000" w:themeColor="text1"/>
                <w:kern w:val="0"/>
                <w:sz w:val="21"/>
                <w:szCs w:val="21"/>
                <w:lang w:val="en-US" w:eastAsia="zh-CN" w:bidi="zh-CN"/>
                <w14:textFill>
                  <w14:solidFill>
                    <w14:schemeClr w14:val="tx1"/>
                  </w14:solidFill>
                </w14:textFill>
              </w:rPr>
              <w:t xml:space="preserve">   建设项目环境风险简单分析内容表</w:t>
            </w:r>
          </w:p>
          <w:tbl>
            <w:tblPr>
              <w:tblStyle w:val="3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77"/>
              <w:gridCol w:w="908"/>
              <w:gridCol w:w="2261"/>
              <w:gridCol w:w="834"/>
              <w:gridCol w:w="2182"/>
            </w:tblGrid>
            <w:tr w14:paraId="624282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16" w:type="pct"/>
                  <w:tcBorders>
                    <w:bottom w:val="single" w:color="auto" w:sz="12" w:space="0"/>
                  </w:tcBorders>
                  <w:vAlign w:val="center"/>
                </w:tcPr>
                <w:p w14:paraId="4D23C5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建设项目名称</w:t>
                  </w:r>
                </w:p>
              </w:tc>
              <w:tc>
                <w:tcPr>
                  <w:tcW w:w="3983" w:type="pct"/>
                  <w:gridSpan w:val="4"/>
                  <w:tcBorders>
                    <w:bottom w:val="single" w:color="auto" w:sz="12" w:space="0"/>
                  </w:tcBorders>
                  <w:vAlign w:val="center"/>
                </w:tcPr>
                <w:p w14:paraId="276E3E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 w:val="0"/>
                      <w:bCs/>
                      <w:color w:val="auto"/>
                      <w:sz w:val="21"/>
                      <w:szCs w:val="21"/>
                      <w:lang w:val="en-US"/>
                    </w:rPr>
                    <w:t>新兴铸管阜康能源有限公司煤气锅炉改天然气采暖锅炉环保改造项目</w:t>
                  </w:r>
                </w:p>
              </w:tc>
            </w:tr>
            <w:tr w14:paraId="3DFFE8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16" w:type="pct"/>
                  <w:tcBorders>
                    <w:top w:val="single" w:color="auto" w:sz="12" w:space="0"/>
                    <w:tl2br w:val="nil"/>
                    <w:tr2bl w:val="nil"/>
                  </w:tcBorders>
                  <w:vAlign w:val="center"/>
                </w:tcPr>
                <w:p w14:paraId="7B9AD3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建设地点</w:t>
                  </w:r>
                </w:p>
              </w:tc>
              <w:tc>
                <w:tcPr>
                  <w:tcW w:w="3983" w:type="pct"/>
                  <w:gridSpan w:val="4"/>
                  <w:tcBorders>
                    <w:top w:val="single" w:color="auto" w:sz="12" w:space="0"/>
                    <w:tl2br w:val="nil"/>
                    <w:tr2bl w:val="nil"/>
                  </w:tcBorders>
                  <w:vAlign w:val="center"/>
                </w:tcPr>
                <w:p w14:paraId="327CA0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 w:val="0"/>
                      <w:bCs/>
                      <w:color w:val="auto"/>
                      <w:sz w:val="21"/>
                      <w:szCs w:val="21"/>
                      <w:lang w:val="en-US" w:eastAsia="zh-CN"/>
                    </w:rPr>
                    <w:t>新疆昌吉州阜康市产业园阜东一区百盛路29号</w:t>
                  </w:r>
                </w:p>
              </w:tc>
            </w:tr>
            <w:tr w14:paraId="7731F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16" w:type="pct"/>
                  <w:tcBorders>
                    <w:tl2br w:val="nil"/>
                    <w:tr2bl w:val="nil"/>
                  </w:tcBorders>
                  <w:vAlign w:val="center"/>
                </w:tcPr>
                <w:p w14:paraId="66B0C3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地理坐标</w:t>
                  </w:r>
                </w:p>
              </w:tc>
              <w:tc>
                <w:tcPr>
                  <w:tcW w:w="585" w:type="pct"/>
                  <w:tcBorders>
                    <w:tl2br w:val="nil"/>
                    <w:tr2bl w:val="nil"/>
                  </w:tcBorders>
                  <w:vAlign w:val="center"/>
                </w:tcPr>
                <w:p w14:paraId="718661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经度</w:t>
                  </w:r>
                </w:p>
              </w:tc>
              <w:tc>
                <w:tcPr>
                  <w:tcW w:w="1456" w:type="pct"/>
                  <w:tcBorders>
                    <w:tl2br w:val="nil"/>
                    <w:tr2bl w:val="nil"/>
                  </w:tcBorders>
                  <w:vAlign w:val="center"/>
                </w:tcPr>
                <w:p w14:paraId="475EF6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88度15分20.873秒</w:t>
                  </w:r>
                </w:p>
              </w:tc>
              <w:tc>
                <w:tcPr>
                  <w:tcW w:w="537" w:type="pct"/>
                  <w:tcBorders>
                    <w:tl2br w:val="nil"/>
                    <w:tr2bl w:val="nil"/>
                  </w:tcBorders>
                  <w:vAlign w:val="center"/>
                </w:tcPr>
                <w:p w14:paraId="524184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纬度</w:t>
                  </w:r>
                </w:p>
              </w:tc>
              <w:tc>
                <w:tcPr>
                  <w:tcW w:w="1405" w:type="pct"/>
                  <w:tcBorders>
                    <w:tl2br w:val="nil"/>
                    <w:tr2bl w:val="nil"/>
                  </w:tcBorders>
                  <w:vAlign w:val="center"/>
                </w:tcPr>
                <w:p w14:paraId="4A8FD2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44度07分01.978秒</w:t>
                  </w:r>
                </w:p>
              </w:tc>
            </w:tr>
            <w:tr w14:paraId="5D04DB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16" w:type="pct"/>
                  <w:tcBorders>
                    <w:tl2br w:val="nil"/>
                    <w:tr2bl w:val="nil"/>
                  </w:tcBorders>
                  <w:vAlign w:val="center"/>
                </w:tcPr>
                <w:p w14:paraId="059DF2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主要危险物质及分布</w:t>
                  </w:r>
                </w:p>
              </w:tc>
              <w:tc>
                <w:tcPr>
                  <w:tcW w:w="3983" w:type="pct"/>
                  <w:gridSpan w:val="4"/>
                  <w:tcBorders>
                    <w:tl2br w:val="nil"/>
                    <w:tr2bl w:val="nil"/>
                  </w:tcBorders>
                  <w:vAlign w:val="center"/>
                </w:tcPr>
                <w:p w14:paraId="202CA9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天然气（分布于锅炉房）</w:t>
                  </w:r>
                </w:p>
              </w:tc>
            </w:tr>
            <w:tr w14:paraId="1303E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16" w:type="pct"/>
                  <w:tcBorders>
                    <w:tl2br w:val="nil"/>
                    <w:tr2bl w:val="nil"/>
                  </w:tcBorders>
                  <w:vAlign w:val="center"/>
                </w:tcPr>
                <w:p w14:paraId="1B8F32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环境影响途径及危害后果</w:t>
                  </w:r>
                </w:p>
              </w:tc>
              <w:tc>
                <w:tcPr>
                  <w:tcW w:w="3983" w:type="pct"/>
                  <w:gridSpan w:val="4"/>
                  <w:tcBorders>
                    <w:tl2br w:val="nil"/>
                    <w:tr2bl w:val="nil"/>
                  </w:tcBorders>
                  <w:vAlign w:val="center"/>
                </w:tcPr>
                <w:p w14:paraId="46974B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大气途径：非正常工况下产生的废气；日常管理不到位或误操作造成泄漏、火灾、爆炸。</w:t>
                  </w:r>
                </w:p>
              </w:tc>
            </w:tr>
            <w:tr w14:paraId="72355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16" w:type="pct"/>
                  <w:tcBorders>
                    <w:tl2br w:val="nil"/>
                    <w:tr2bl w:val="nil"/>
                  </w:tcBorders>
                  <w:vAlign w:val="center"/>
                </w:tcPr>
                <w:p w14:paraId="0002D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风险防范措施要求</w:t>
                  </w:r>
                </w:p>
              </w:tc>
              <w:tc>
                <w:tcPr>
                  <w:tcW w:w="3983" w:type="pct"/>
                  <w:gridSpan w:val="4"/>
                  <w:tcBorders>
                    <w:tl2br w:val="nil"/>
                    <w:tr2bl w:val="nil"/>
                  </w:tcBorders>
                  <w:vAlign w:val="center"/>
                </w:tcPr>
                <w:p w14:paraId="26D03E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①加强管理，明确岗位责任制，定期检查、维修、保养设备及构件，确保各种工艺、电气、除尘设备的正常运行。以及消防系统的可靠性。</w:t>
                  </w:r>
                </w:p>
                <w:p w14:paraId="4F6EB17B">
                  <w:pPr>
                    <w:pStyle w:val="1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b w:val="0"/>
                      <w:bCs/>
                      <w:color w:val="auto"/>
                      <w:kern w:val="2"/>
                      <w:sz w:val="21"/>
                      <w:szCs w:val="21"/>
                      <w:lang w:val="en-US" w:eastAsia="zh-CN" w:bidi="ar-SA"/>
                    </w:rPr>
                    <w:t>②消防措施：配备相应消防器材；制定应急预案，定期演练。</w:t>
                  </w:r>
                </w:p>
              </w:tc>
            </w:tr>
            <w:tr w14:paraId="0DE23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16" w:type="pct"/>
                  <w:tcBorders>
                    <w:tl2br w:val="nil"/>
                    <w:tr2bl w:val="nil"/>
                  </w:tcBorders>
                  <w:vAlign w:val="center"/>
                </w:tcPr>
                <w:p w14:paraId="5E5DF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填表说明</w:t>
                  </w:r>
                </w:p>
              </w:tc>
              <w:tc>
                <w:tcPr>
                  <w:tcW w:w="3983" w:type="pct"/>
                  <w:gridSpan w:val="4"/>
                  <w:tcBorders>
                    <w:tl2br w:val="nil"/>
                    <w:tr2bl w:val="nil"/>
                  </w:tcBorders>
                  <w:vAlign w:val="center"/>
                </w:tcPr>
                <w:p w14:paraId="448A27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本项目</w:t>
                  </w:r>
                  <w:r>
                    <w:rPr>
                      <w:rFonts w:hint="default" w:ascii="Times New Roman" w:hAnsi="Times New Roman" w:eastAsia="宋体" w:cs="Times New Roman"/>
                      <w:b w:val="0"/>
                      <w:bCs/>
                      <w:color w:val="auto"/>
                      <w:sz w:val="21"/>
                      <w:szCs w:val="21"/>
                      <w:lang w:eastAsia="zh-CN"/>
                    </w:rPr>
                    <w:t>主要是</w:t>
                  </w:r>
                  <w:r>
                    <w:rPr>
                      <w:rFonts w:hint="default" w:ascii="Times New Roman" w:hAnsi="Times New Roman" w:eastAsia="宋体" w:cs="Times New Roman"/>
                      <w:b w:val="0"/>
                      <w:bCs/>
                      <w:color w:val="auto"/>
                      <w:sz w:val="21"/>
                      <w:szCs w:val="21"/>
                    </w:rPr>
                    <w:t>所涉及工艺较成熟，危险性较低，环境敏感度较低。</w:t>
                  </w:r>
                </w:p>
              </w:tc>
            </w:tr>
          </w:tbl>
          <w:p w14:paraId="017D9B5A">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因此，本项目严格采取上述措施以后，运营期间发生环境风险概率较小，所以本项目的事故风险水平是可以接受的</w:t>
            </w:r>
            <w:r>
              <w:rPr>
                <w:rFonts w:hint="default" w:ascii="Times New Roman" w:hAnsi="Times New Roman" w:eastAsia="宋体" w:cs="Times New Roman"/>
                <w:color w:val="000000" w:themeColor="text1"/>
                <w:sz w:val="24"/>
                <w:lang w:eastAsia="zh-CN"/>
                <w14:textFill>
                  <w14:solidFill>
                    <w14:schemeClr w14:val="tx1"/>
                  </w14:solidFill>
                </w14:textFill>
              </w:rPr>
              <w:t>。</w:t>
            </w:r>
          </w:p>
          <w:p w14:paraId="46F0422B">
            <w:pPr>
              <w:pStyle w:val="6"/>
              <w:suppressLineNumbers w:val="0"/>
              <w:spacing w:before="0" w:beforeAutospacing="0" w:after="0" w:afterAutospacing="0"/>
              <w:ind w:left="0" w:right="0"/>
              <w:jc w:val="both"/>
              <w:outlineLvl w:val="2"/>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7 环保投资估算</w:t>
            </w:r>
          </w:p>
          <w:p w14:paraId="04BABD19">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auto"/>
              </w:rPr>
            </w:pPr>
            <w:r>
              <w:rPr>
                <w:rFonts w:hint="default" w:ascii="Times New Roman" w:hAnsi="Times New Roman" w:eastAsia="宋体" w:cs="Times New Roman"/>
                <w:color w:val="auto"/>
              </w:rPr>
              <w:t>本项目总投资</w:t>
            </w:r>
            <w:r>
              <w:rPr>
                <w:rFonts w:hint="default" w:ascii="Times New Roman" w:hAnsi="Times New Roman" w:eastAsia="宋体" w:cs="Times New Roman"/>
                <w:color w:val="auto"/>
                <w:lang w:val="en-US" w:eastAsia="zh-CN"/>
              </w:rPr>
              <w:t>150.36</w:t>
            </w:r>
            <w:r>
              <w:rPr>
                <w:rFonts w:hint="default" w:ascii="Times New Roman" w:hAnsi="Times New Roman" w:eastAsia="宋体" w:cs="Times New Roman"/>
                <w:color w:val="auto"/>
              </w:rPr>
              <w:t>万元，环保投资</w:t>
            </w:r>
            <w:r>
              <w:rPr>
                <w:rFonts w:hint="default" w:ascii="Times New Roman" w:hAnsi="Times New Roman" w:eastAsia="宋体" w:cs="Times New Roman"/>
                <w:color w:val="auto"/>
                <w:lang w:val="en-US" w:eastAsia="zh-CN"/>
              </w:rPr>
              <w:t>35.3</w:t>
            </w:r>
            <w:r>
              <w:rPr>
                <w:rFonts w:hint="default" w:ascii="Times New Roman" w:hAnsi="Times New Roman" w:eastAsia="宋体" w:cs="Times New Roman"/>
                <w:color w:val="auto"/>
              </w:rPr>
              <w:t>万元，占总投资的</w:t>
            </w:r>
            <w:r>
              <w:rPr>
                <w:rFonts w:hint="default" w:ascii="Times New Roman" w:hAnsi="Times New Roman" w:eastAsia="宋体" w:cs="Times New Roman"/>
                <w:color w:val="auto"/>
                <w:lang w:val="en-US" w:eastAsia="zh-CN"/>
              </w:rPr>
              <w:t>23.5</w:t>
            </w:r>
            <w:r>
              <w:rPr>
                <w:rFonts w:hint="default" w:ascii="Times New Roman" w:hAnsi="Times New Roman" w:eastAsia="宋体" w:cs="Times New Roman"/>
                <w:color w:val="auto"/>
              </w:rPr>
              <w:t>%。本项目环保工程主要包括废气治理工程、噪声治理工程</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废水治理工程、环境监测及管理、运行维护</w:t>
            </w:r>
            <w:r>
              <w:rPr>
                <w:rFonts w:hint="default" w:ascii="Times New Roman" w:hAnsi="Times New Roman" w:eastAsia="宋体" w:cs="Times New Roman"/>
                <w:color w:val="auto"/>
              </w:rPr>
              <w:t>，具体见表4-</w:t>
            </w:r>
            <w:r>
              <w:rPr>
                <w:rFonts w:hint="default" w:ascii="Times New Roman" w:hAnsi="Times New Roman" w:eastAsia="宋体" w:cs="Times New Roman"/>
                <w:color w:val="auto"/>
                <w:lang w:val="en-US" w:eastAsia="zh-CN"/>
              </w:rPr>
              <w:t>1</w:t>
            </w:r>
            <w:r>
              <w:rPr>
                <w:rFonts w:hint="eastAsia" w:cs="Times New Roman"/>
                <w:color w:val="auto"/>
                <w:lang w:val="en-US" w:eastAsia="zh-CN"/>
              </w:rPr>
              <w:t>3</w:t>
            </w:r>
            <w:r>
              <w:rPr>
                <w:rFonts w:hint="default" w:ascii="Times New Roman" w:hAnsi="Times New Roman" w:eastAsia="宋体" w:cs="Times New Roman"/>
                <w:color w:val="auto"/>
              </w:rPr>
              <w:t>。</w:t>
            </w:r>
          </w:p>
          <w:p w14:paraId="78EC5D98">
            <w:pPr>
              <w:pStyle w:val="38"/>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环保工程项目及投资估算</w:t>
            </w:r>
          </w:p>
          <w:tbl>
            <w:tblPr>
              <w:tblStyle w:val="29"/>
              <w:tblW w:w="49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180"/>
              <w:gridCol w:w="4467"/>
              <w:gridCol w:w="1407"/>
            </w:tblGrid>
            <w:tr w14:paraId="62AD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12" w:space="0"/>
                    <w:left w:val="nil"/>
                    <w:bottom w:val="single" w:color="auto" w:sz="12" w:space="0"/>
                    <w:right w:val="single" w:color="auto" w:sz="4" w:space="0"/>
                  </w:tcBorders>
                  <w:vAlign w:val="center"/>
                </w:tcPr>
                <w:p w14:paraId="4D5ACAA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序号</w:t>
                  </w:r>
                </w:p>
              </w:tc>
              <w:tc>
                <w:tcPr>
                  <w:tcW w:w="764" w:type="pct"/>
                  <w:tcBorders>
                    <w:top w:val="single" w:color="auto" w:sz="12" w:space="0"/>
                    <w:left w:val="nil"/>
                    <w:bottom w:val="single" w:color="auto" w:sz="12" w:space="0"/>
                    <w:right w:val="single" w:color="auto" w:sz="4" w:space="0"/>
                  </w:tcBorders>
                  <w:vAlign w:val="center"/>
                </w:tcPr>
                <w:p w14:paraId="07B2B02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内容</w:t>
                  </w:r>
                </w:p>
              </w:tc>
              <w:tc>
                <w:tcPr>
                  <w:tcW w:w="2892" w:type="pct"/>
                  <w:tcBorders>
                    <w:top w:val="single" w:color="auto" w:sz="12" w:space="0"/>
                    <w:left w:val="nil"/>
                    <w:bottom w:val="single" w:color="auto" w:sz="12" w:space="0"/>
                    <w:right w:val="single" w:color="auto" w:sz="4" w:space="0"/>
                  </w:tcBorders>
                  <w:vAlign w:val="center"/>
                </w:tcPr>
                <w:p w14:paraId="7229F12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环保设施</w:t>
                  </w:r>
                </w:p>
              </w:tc>
              <w:tc>
                <w:tcPr>
                  <w:tcW w:w="911" w:type="pct"/>
                  <w:tcBorders>
                    <w:top w:val="single" w:color="auto" w:sz="12" w:space="0"/>
                    <w:left w:val="nil"/>
                    <w:bottom w:val="single" w:color="auto" w:sz="12" w:space="0"/>
                    <w:right w:val="nil"/>
                  </w:tcBorders>
                  <w:vAlign w:val="center"/>
                </w:tcPr>
                <w:p w14:paraId="222B182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投资（万元）</w:t>
                  </w:r>
                </w:p>
              </w:tc>
            </w:tr>
            <w:tr w14:paraId="3386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12" w:space="0"/>
                    <w:left w:val="nil"/>
                    <w:bottom w:val="single" w:color="auto" w:sz="4" w:space="0"/>
                    <w:right w:val="single" w:color="auto" w:sz="4" w:space="0"/>
                  </w:tcBorders>
                  <w:vAlign w:val="center"/>
                </w:tcPr>
                <w:p w14:paraId="213C241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764" w:type="pct"/>
                  <w:tcBorders>
                    <w:top w:val="single" w:color="auto" w:sz="12" w:space="0"/>
                    <w:left w:val="single" w:color="auto" w:sz="4" w:space="0"/>
                    <w:bottom w:val="single" w:color="auto" w:sz="4" w:space="0"/>
                    <w:right w:val="single" w:color="auto" w:sz="4" w:space="0"/>
                  </w:tcBorders>
                  <w:vAlign w:val="center"/>
                </w:tcPr>
                <w:p w14:paraId="126B2C1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TW"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废气治理</w:t>
                  </w:r>
                </w:p>
              </w:tc>
              <w:tc>
                <w:tcPr>
                  <w:tcW w:w="2892" w:type="pct"/>
                  <w:tcBorders>
                    <w:top w:val="single" w:color="auto" w:sz="12" w:space="0"/>
                    <w:left w:val="single" w:color="auto" w:sz="4" w:space="0"/>
                    <w:bottom w:val="single" w:color="auto" w:sz="4" w:space="0"/>
                    <w:right w:val="single" w:color="auto" w:sz="4" w:space="0"/>
                  </w:tcBorders>
                  <w:vAlign w:val="center"/>
                </w:tcPr>
                <w:p w14:paraId="489FDB7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低氮燃烧器+烟气再循环技术工艺+1根排气筒</w:t>
                  </w:r>
                </w:p>
              </w:tc>
              <w:tc>
                <w:tcPr>
                  <w:tcW w:w="911" w:type="pct"/>
                  <w:tcBorders>
                    <w:top w:val="single" w:color="auto" w:sz="12" w:space="0"/>
                    <w:left w:val="single" w:color="auto" w:sz="4" w:space="0"/>
                    <w:bottom w:val="single" w:color="auto" w:sz="4" w:space="0"/>
                    <w:right w:val="nil"/>
                  </w:tcBorders>
                  <w:vAlign w:val="center"/>
                </w:tcPr>
                <w:p w14:paraId="54F3CED6">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32</w:t>
                  </w:r>
                </w:p>
              </w:tc>
            </w:tr>
            <w:tr w14:paraId="4BBC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4" w:space="0"/>
                    <w:left w:val="nil"/>
                    <w:bottom w:val="single" w:color="auto" w:sz="4" w:space="0"/>
                    <w:right w:val="single" w:color="auto" w:sz="4" w:space="0"/>
                  </w:tcBorders>
                  <w:vAlign w:val="center"/>
                </w:tcPr>
                <w:p w14:paraId="4D26B84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764" w:type="pct"/>
                  <w:tcBorders>
                    <w:top w:val="single" w:color="auto" w:sz="4" w:space="0"/>
                    <w:left w:val="nil"/>
                    <w:bottom w:val="single" w:color="auto" w:sz="4" w:space="0"/>
                    <w:right w:val="single" w:color="auto" w:sz="4" w:space="0"/>
                  </w:tcBorders>
                  <w:vAlign w:val="center"/>
                </w:tcPr>
                <w:p w14:paraId="238DD8F1">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废水治理</w:t>
                  </w:r>
                </w:p>
              </w:tc>
              <w:tc>
                <w:tcPr>
                  <w:tcW w:w="2892" w:type="pct"/>
                  <w:tcBorders>
                    <w:top w:val="single" w:color="auto" w:sz="4" w:space="0"/>
                    <w:left w:val="nil"/>
                    <w:bottom w:val="single" w:color="auto" w:sz="4" w:space="0"/>
                    <w:right w:val="single" w:color="auto" w:sz="4" w:space="0"/>
                  </w:tcBorders>
                  <w:vAlign w:val="center"/>
                </w:tcPr>
                <w:p w14:paraId="0562F57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auto"/>
                      <w:lang w:val="en-US" w:eastAsia="zh-CN"/>
                    </w:rPr>
                    <w:t>锅炉排污水排入循环水池收集后回用生产车间</w:t>
                  </w:r>
                </w:p>
              </w:tc>
              <w:tc>
                <w:tcPr>
                  <w:tcW w:w="911" w:type="pct"/>
                  <w:tcBorders>
                    <w:top w:val="single" w:color="auto" w:sz="4" w:space="0"/>
                    <w:left w:val="nil"/>
                    <w:bottom w:val="single" w:color="auto" w:sz="4" w:space="0"/>
                    <w:right w:val="nil"/>
                  </w:tcBorders>
                  <w:vAlign w:val="center"/>
                </w:tcPr>
                <w:p w14:paraId="6CE49A7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w:t>
                  </w:r>
                </w:p>
              </w:tc>
            </w:tr>
            <w:tr w14:paraId="2C77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4" w:space="0"/>
                    <w:left w:val="nil"/>
                    <w:right w:val="single" w:color="auto" w:sz="4" w:space="0"/>
                  </w:tcBorders>
                  <w:vAlign w:val="center"/>
                </w:tcPr>
                <w:p w14:paraId="7020558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zh-TW" w:eastAsia="zh-TW"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w:t>
                  </w:r>
                </w:p>
              </w:tc>
              <w:tc>
                <w:tcPr>
                  <w:tcW w:w="764" w:type="pct"/>
                  <w:tcBorders>
                    <w:top w:val="single" w:color="auto" w:sz="4" w:space="0"/>
                    <w:left w:val="nil"/>
                    <w:right w:val="single" w:color="auto" w:sz="4" w:space="0"/>
                  </w:tcBorders>
                  <w:vAlign w:val="center"/>
                </w:tcPr>
                <w:p w14:paraId="3DE2E90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噪声治理</w:t>
                  </w:r>
                </w:p>
              </w:tc>
              <w:tc>
                <w:tcPr>
                  <w:tcW w:w="2892" w:type="pct"/>
                  <w:tcBorders>
                    <w:top w:val="single" w:color="auto" w:sz="4" w:space="0"/>
                    <w:left w:val="nil"/>
                    <w:bottom w:val="single" w:color="auto" w:sz="4" w:space="0"/>
                    <w:right w:val="single" w:color="auto" w:sz="4" w:space="0"/>
                  </w:tcBorders>
                  <w:vAlign w:val="center"/>
                </w:tcPr>
                <w:p w14:paraId="1C22DCC0">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设置隔声、减振措施</w:t>
                  </w:r>
                </w:p>
              </w:tc>
              <w:tc>
                <w:tcPr>
                  <w:tcW w:w="911" w:type="pct"/>
                  <w:tcBorders>
                    <w:top w:val="single" w:color="auto" w:sz="4" w:space="0"/>
                    <w:left w:val="nil"/>
                    <w:bottom w:val="single" w:color="auto" w:sz="4" w:space="0"/>
                    <w:right w:val="nil"/>
                  </w:tcBorders>
                  <w:vAlign w:val="center"/>
                </w:tcPr>
                <w:p w14:paraId="4F7DEB3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1.3</w:t>
                  </w:r>
                  <w:bookmarkStart w:id="2" w:name="_GoBack"/>
                  <w:bookmarkEnd w:id="2"/>
                </w:p>
              </w:tc>
            </w:tr>
            <w:tr w14:paraId="1540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4" w:space="0"/>
                    <w:left w:val="nil"/>
                    <w:bottom w:val="single" w:color="auto" w:sz="4" w:space="0"/>
                    <w:right w:val="single" w:color="auto" w:sz="4" w:space="0"/>
                  </w:tcBorders>
                  <w:vAlign w:val="center"/>
                </w:tcPr>
                <w:p w14:paraId="5C2384A5">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w:t>
                  </w:r>
                </w:p>
              </w:tc>
              <w:tc>
                <w:tcPr>
                  <w:tcW w:w="764" w:type="pct"/>
                  <w:tcBorders>
                    <w:top w:val="single" w:color="auto" w:sz="4" w:space="0"/>
                    <w:left w:val="nil"/>
                    <w:bottom w:val="single" w:color="auto" w:sz="4" w:space="0"/>
                    <w:right w:val="single" w:color="auto" w:sz="4" w:space="0"/>
                  </w:tcBorders>
                  <w:vAlign w:val="center"/>
                </w:tcPr>
                <w:p w14:paraId="3ECC345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固废治理</w:t>
                  </w:r>
                </w:p>
              </w:tc>
              <w:tc>
                <w:tcPr>
                  <w:tcW w:w="2892" w:type="pct"/>
                  <w:tcBorders>
                    <w:top w:val="single" w:color="auto" w:sz="4" w:space="0"/>
                    <w:left w:val="nil"/>
                    <w:bottom w:val="single" w:color="auto" w:sz="4" w:space="0"/>
                    <w:right w:val="single" w:color="auto" w:sz="4" w:space="0"/>
                  </w:tcBorders>
                  <w:vAlign w:val="center"/>
                </w:tcPr>
                <w:p w14:paraId="4792CB8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废离子交换树脂由厂家回收，危险废物委托有资质单位进行处理</w:t>
                  </w:r>
                </w:p>
              </w:tc>
              <w:tc>
                <w:tcPr>
                  <w:tcW w:w="911" w:type="pct"/>
                  <w:tcBorders>
                    <w:top w:val="single" w:color="auto" w:sz="4" w:space="0"/>
                    <w:left w:val="nil"/>
                    <w:bottom w:val="single" w:color="auto" w:sz="4" w:space="0"/>
                    <w:right w:val="nil"/>
                  </w:tcBorders>
                  <w:vAlign w:val="center"/>
                </w:tcPr>
                <w:p w14:paraId="6CD41032">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0.5</w:t>
                  </w:r>
                </w:p>
              </w:tc>
            </w:tr>
            <w:tr w14:paraId="55D6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4" w:space="0"/>
                    <w:left w:val="nil"/>
                    <w:bottom w:val="single" w:color="auto" w:sz="4" w:space="0"/>
                    <w:right w:val="single" w:color="auto" w:sz="4" w:space="0"/>
                  </w:tcBorders>
                  <w:vAlign w:val="center"/>
                </w:tcPr>
                <w:p w14:paraId="677D1FD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w:t>
                  </w:r>
                </w:p>
              </w:tc>
              <w:tc>
                <w:tcPr>
                  <w:tcW w:w="764" w:type="pct"/>
                  <w:tcBorders>
                    <w:top w:val="single" w:color="auto" w:sz="4" w:space="0"/>
                    <w:left w:val="nil"/>
                    <w:bottom w:val="single" w:color="auto" w:sz="4" w:space="0"/>
                    <w:right w:val="single" w:color="auto" w:sz="4" w:space="0"/>
                  </w:tcBorders>
                  <w:vAlign w:val="center"/>
                </w:tcPr>
                <w:p w14:paraId="290D6A2F">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环境监测及管理</w:t>
                  </w:r>
                </w:p>
              </w:tc>
              <w:tc>
                <w:tcPr>
                  <w:tcW w:w="2892" w:type="pct"/>
                  <w:tcBorders>
                    <w:top w:val="single" w:color="auto" w:sz="4" w:space="0"/>
                    <w:left w:val="nil"/>
                    <w:bottom w:val="single" w:color="auto" w:sz="4" w:space="0"/>
                    <w:right w:val="single" w:color="auto" w:sz="4" w:space="0"/>
                  </w:tcBorders>
                  <w:vAlign w:val="center"/>
                </w:tcPr>
                <w:p w14:paraId="4DCBD02A">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建立环境管理和监测体系</w:t>
                  </w:r>
                </w:p>
              </w:tc>
              <w:tc>
                <w:tcPr>
                  <w:tcW w:w="911" w:type="pct"/>
                  <w:tcBorders>
                    <w:top w:val="single" w:color="auto" w:sz="4" w:space="0"/>
                    <w:left w:val="nil"/>
                    <w:bottom w:val="single" w:color="auto" w:sz="4" w:space="0"/>
                    <w:right w:val="nil"/>
                  </w:tcBorders>
                  <w:vAlign w:val="center"/>
                </w:tcPr>
                <w:p w14:paraId="284F735B">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0.2</w:t>
                  </w:r>
                </w:p>
              </w:tc>
            </w:tr>
            <w:tr w14:paraId="0E6C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1" w:type="pct"/>
                  <w:tcBorders>
                    <w:top w:val="single" w:color="auto" w:sz="4" w:space="0"/>
                    <w:left w:val="nil"/>
                    <w:bottom w:val="single" w:color="auto" w:sz="4" w:space="0"/>
                    <w:right w:val="single" w:color="auto" w:sz="4" w:space="0"/>
                  </w:tcBorders>
                  <w:vAlign w:val="center"/>
                </w:tcPr>
                <w:p w14:paraId="1175BC7C">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w:t>
                  </w:r>
                </w:p>
              </w:tc>
              <w:tc>
                <w:tcPr>
                  <w:tcW w:w="764" w:type="pct"/>
                  <w:tcBorders>
                    <w:top w:val="single" w:color="auto" w:sz="4" w:space="0"/>
                    <w:left w:val="nil"/>
                    <w:bottom w:val="single" w:color="auto" w:sz="4" w:space="0"/>
                    <w:right w:val="single" w:color="auto" w:sz="4" w:space="0"/>
                  </w:tcBorders>
                  <w:vAlign w:val="center"/>
                </w:tcPr>
                <w:p w14:paraId="1D9DCF48">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运行维护</w:t>
                  </w:r>
                </w:p>
              </w:tc>
              <w:tc>
                <w:tcPr>
                  <w:tcW w:w="2892" w:type="pct"/>
                  <w:tcBorders>
                    <w:top w:val="single" w:color="auto" w:sz="4" w:space="0"/>
                    <w:left w:val="nil"/>
                    <w:bottom w:val="single" w:color="auto" w:sz="4" w:space="0"/>
                    <w:right w:val="single" w:color="auto" w:sz="4" w:space="0"/>
                  </w:tcBorders>
                  <w:vAlign w:val="center"/>
                </w:tcPr>
                <w:p w14:paraId="50FBCFE9">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环保设施运行维护费用</w:t>
                  </w:r>
                </w:p>
              </w:tc>
              <w:tc>
                <w:tcPr>
                  <w:tcW w:w="911" w:type="pct"/>
                  <w:tcBorders>
                    <w:top w:val="single" w:color="auto" w:sz="4" w:space="0"/>
                    <w:left w:val="nil"/>
                    <w:bottom w:val="single" w:color="auto" w:sz="4" w:space="0"/>
                    <w:right w:val="nil"/>
                  </w:tcBorders>
                  <w:vAlign w:val="center"/>
                </w:tcPr>
                <w:p w14:paraId="781F15F3">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0.3</w:t>
                  </w:r>
                </w:p>
              </w:tc>
            </w:tr>
            <w:tr w14:paraId="7E8C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88" w:type="pct"/>
                  <w:gridSpan w:val="3"/>
                  <w:tcBorders>
                    <w:top w:val="single" w:color="auto" w:sz="4" w:space="0"/>
                    <w:left w:val="nil"/>
                    <w:bottom w:val="single" w:color="auto" w:sz="12" w:space="0"/>
                    <w:right w:val="single" w:color="auto" w:sz="4" w:space="0"/>
                  </w:tcBorders>
                  <w:vAlign w:val="center"/>
                </w:tcPr>
                <w:p w14:paraId="312DBC4E">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合计</w:t>
                  </w:r>
                </w:p>
              </w:tc>
              <w:tc>
                <w:tcPr>
                  <w:tcW w:w="911" w:type="pct"/>
                  <w:tcBorders>
                    <w:top w:val="single" w:color="auto" w:sz="4" w:space="0"/>
                    <w:left w:val="nil"/>
                    <w:bottom w:val="single" w:color="auto" w:sz="12" w:space="0"/>
                    <w:right w:val="nil"/>
                  </w:tcBorders>
                  <w:vAlign w:val="center"/>
                </w:tcPr>
                <w:p w14:paraId="1DFF0AB4">
                  <w:pPr>
                    <w:pStyle w:val="3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35.3</w:t>
                  </w:r>
                </w:p>
              </w:tc>
            </w:tr>
          </w:tbl>
          <w:p w14:paraId="3F344AC7">
            <w:pPr>
              <w:pStyle w:val="25"/>
              <w:keepNext w:val="0"/>
              <w:keepLines w:val="0"/>
              <w:suppressLineNumbers w:val="0"/>
              <w:spacing w:before="0" w:beforeAutospacing="0" w:after="0" w:afterAutospacing="0" w:line="360" w:lineRule="auto"/>
              <w:ind w:left="0" w:leftChars="0" w:right="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8 项目实施前后“三本账”分析</w:t>
            </w:r>
          </w:p>
          <w:p w14:paraId="28D5832F">
            <w:pPr>
              <w:pStyle w:val="25"/>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本项目实施后污染物排放变化情况汇总详见表4-</w:t>
            </w:r>
            <w:r>
              <w:rPr>
                <w:rFonts w:hint="default" w:ascii="Times New Roman" w:hAnsi="Times New Roman" w:eastAsia="宋体" w:cs="Times New Roman"/>
                <w:color w:val="auto"/>
                <w:lang w:val="en-US" w:eastAsia="zh-CN"/>
              </w:rPr>
              <w:t>1</w:t>
            </w:r>
            <w:r>
              <w:rPr>
                <w:rFonts w:hint="eastAsia" w:cs="Times New Roman"/>
                <w:color w:val="auto"/>
                <w:lang w:val="en-US" w:eastAsia="zh-CN"/>
              </w:rPr>
              <w:t>4</w:t>
            </w:r>
            <w:r>
              <w:rPr>
                <w:rFonts w:hint="default" w:ascii="Times New Roman" w:hAnsi="Times New Roman" w:eastAsia="宋体" w:cs="Times New Roman"/>
                <w:color w:val="auto"/>
                <w:lang w:eastAsia="zh-CN"/>
              </w:rPr>
              <w:t>。</w:t>
            </w:r>
          </w:p>
          <w:p w14:paraId="37F13BF0">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highlight w:val="yellow"/>
                <w:vertAlign w:val="baseline"/>
                <w:lang w:eastAsia="zh-CN"/>
              </w:rPr>
            </w:pPr>
            <w:r>
              <w:rPr>
                <w:rFonts w:hint="default" w:ascii="Times New Roman" w:hAnsi="Times New Roman" w:eastAsia="宋体" w:cs="Times New Roman"/>
                <w:b/>
                <w:bCs/>
                <w:color w:val="auto"/>
                <w:sz w:val="21"/>
                <w:szCs w:val="21"/>
                <w:highlight w:val="yellow"/>
                <w:lang w:val="en-US" w:eastAsia="zh-CN"/>
              </w:rPr>
              <w:t>表4-</w:t>
            </w:r>
            <w:r>
              <w:rPr>
                <w:rFonts w:hint="eastAsia" w:cs="Times New Roman"/>
                <w:b/>
                <w:bCs/>
                <w:color w:val="auto"/>
                <w:sz w:val="21"/>
                <w:szCs w:val="21"/>
                <w:highlight w:val="yellow"/>
                <w:lang w:val="en-US" w:eastAsia="zh-CN"/>
              </w:rPr>
              <w:t>14</w:t>
            </w:r>
            <w:r>
              <w:rPr>
                <w:rFonts w:hint="default" w:ascii="Times New Roman" w:hAnsi="Times New Roman" w:eastAsia="宋体" w:cs="Times New Roman"/>
                <w:b/>
                <w:bCs/>
                <w:color w:val="auto"/>
                <w:sz w:val="21"/>
                <w:szCs w:val="21"/>
                <w:highlight w:val="yellow"/>
                <w:lang w:val="en-US" w:eastAsia="zh-CN"/>
              </w:rPr>
              <w:t xml:space="preserve">   </w:t>
            </w:r>
            <w:r>
              <w:rPr>
                <w:rFonts w:hint="default" w:ascii="Times New Roman" w:hAnsi="Times New Roman" w:eastAsia="宋体" w:cs="Times New Roman"/>
                <w:b/>
                <w:bCs/>
                <w:color w:val="auto"/>
                <w:sz w:val="21"/>
                <w:szCs w:val="21"/>
                <w:highlight w:val="yellow"/>
                <w:lang w:eastAsia="zh-CN"/>
              </w:rPr>
              <w:t>本项目实施前后“三本账”一览表</w:t>
            </w:r>
          </w:p>
          <w:tbl>
            <w:tblPr>
              <w:tblStyle w:val="30"/>
              <w:tblW w:w="774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068"/>
              <w:gridCol w:w="917"/>
              <w:gridCol w:w="871"/>
              <w:gridCol w:w="893"/>
              <w:gridCol w:w="1018"/>
              <w:gridCol w:w="871"/>
              <w:gridCol w:w="1049"/>
            </w:tblGrid>
            <w:tr w14:paraId="0CEB5F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89" w:type="pct"/>
                  <w:tcBorders>
                    <w:bottom w:val="single" w:color="auto" w:sz="12" w:space="0"/>
                  </w:tcBorders>
                  <w:vAlign w:val="center"/>
                </w:tcPr>
                <w:p w14:paraId="4D24B37E">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种类</w:t>
                  </w:r>
                </w:p>
              </w:tc>
              <w:tc>
                <w:tcPr>
                  <w:tcW w:w="693" w:type="pct"/>
                  <w:tcBorders>
                    <w:bottom w:val="single" w:color="auto" w:sz="12" w:space="0"/>
                  </w:tcBorders>
                  <w:vAlign w:val="center"/>
                </w:tcPr>
                <w:p w14:paraId="51C6C812">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污染物名称</w:t>
                  </w:r>
                </w:p>
              </w:tc>
              <w:tc>
                <w:tcPr>
                  <w:tcW w:w="596" w:type="pct"/>
                  <w:tcBorders>
                    <w:bottom w:val="single" w:color="auto" w:sz="12" w:space="0"/>
                  </w:tcBorders>
                  <w:vAlign w:val="center"/>
                </w:tcPr>
                <w:p w14:paraId="383E479E">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现有工程（t/a）</w:t>
                  </w:r>
                </w:p>
              </w:tc>
              <w:tc>
                <w:tcPr>
                  <w:tcW w:w="548" w:type="pct"/>
                  <w:tcBorders>
                    <w:bottom w:val="single" w:color="auto" w:sz="12" w:space="0"/>
                  </w:tcBorders>
                  <w:vAlign w:val="center"/>
                </w:tcPr>
                <w:p w14:paraId="2CF7A150">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color w:val="auto"/>
                      <w:lang w:val="en-US" w:eastAsia="zh-CN"/>
                    </w:rPr>
                  </w:pPr>
                  <w:r>
                    <w:rPr>
                      <w:rFonts w:hint="default" w:ascii="Times New Roman" w:hAnsi="Times New Roman" w:eastAsia="宋体" w:cs="Times New Roman"/>
                      <w:b/>
                      <w:bCs w:val="0"/>
                      <w:snapToGrid w:val="0"/>
                      <w:color w:val="auto"/>
                      <w:kern w:val="21"/>
                      <w:sz w:val="21"/>
                      <w:szCs w:val="21"/>
                      <w:lang w:val="en-US" w:eastAsia="zh-CN"/>
                    </w:rPr>
                    <w:t>本项目（t/a</w:t>
                  </w:r>
                  <w:r>
                    <w:rPr>
                      <w:rFonts w:hint="eastAsia" w:ascii="Times New Roman" w:eastAsia="宋体" w:cs="Times New Roman"/>
                      <w:b/>
                      <w:bCs w:val="0"/>
                      <w:snapToGrid w:val="0"/>
                      <w:color w:val="auto"/>
                      <w:kern w:val="21"/>
                      <w:sz w:val="21"/>
                      <w:szCs w:val="21"/>
                      <w:lang w:val="en-US" w:eastAsia="zh-CN"/>
                    </w:rPr>
                    <w:t>）</w:t>
                  </w:r>
                </w:p>
              </w:tc>
              <w:tc>
                <w:tcPr>
                  <w:tcW w:w="580" w:type="pct"/>
                  <w:tcBorders>
                    <w:bottom w:val="single" w:color="auto" w:sz="12" w:space="0"/>
                  </w:tcBorders>
                  <w:vAlign w:val="center"/>
                </w:tcPr>
                <w:p w14:paraId="3DEBA610">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以新带老（t/a）</w:t>
                  </w:r>
                </w:p>
              </w:tc>
              <w:tc>
                <w:tcPr>
                  <w:tcW w:w="661" w:type="pct"/>
                  <w:tcBorders>
                    <w:bottom w:val="single" w:color="auto" w:sz="12" w:space="0"/>
                  </w:tcBorders>
                  <w:vAlign w:val="center"/>
                </w:tcPr>
                <w:p w14:paraId="0050D263">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总体工程（t/a）</w:t>
                  </w:r>
                </w:p>
              </w:tc>
              <w:tc>
                <w:tcPr>
                  <w:tcW w:w="548" w:type="pct"/>
                  <w:tcBorders>
                    <w:bottom w:val="single" w:color="auto" w:sz="12" w:space="0"/>
                  </w:tcBorders>
                  <w:vAlign w:val="center"/>
                </w:tcPr>
                <w:p w14:paraId="02E5FA27">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已批复总量（t/a）</w:t>
                  </w:r>
                </w:p>
              </w:tc>
              <w:tc>
                <w:tcPr>
                  <w:tcW w:w="681" w:type="pct"/>
                  <w:tcBorders>
                    <w:bottom w:val="single" w:color="auto" w:sz="12" w:space="0"/>
                  </w:tcBorders>
                  <w:vAlign w:val="center"/>
                </w:tcPr>
                <w:p w14:paraId="09877A2E">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kern w:val="21"/>
                      <w:sz w:val="21"/>
                      <w:szCs w:val="21"/>
                      <w:lang w:val="en-US" w:eastAsia="zh-CN"/>
                    </w:rPr>
                  </w:pPr>
                  <w:r>
                    <w:rPr>
                      <w:rFonts w:hint="default" w:ascii="Times New Roman" w:hAnsi="Times New Roman" w:eastAsia="宋体" w:cs="Times New Roman"/>
                      <w:b/>
                      <w:bCs w:val="0"/>
                      <w:snapToGrid w:val="0"/>
                      <w:color w:val="auto"/>
                      <w:kern w:val="21"/>
                      <w:sz w:val="21"/>
                      <w:szCs w:val="21"/>
                      <w:lang w:val="en-US" w:eastAsia="zh-CN"/>
                    </w:rPr>
                    <w:t>增减量（t/a）</w:t>
                  </w:r>
                </w:p>
              </w:tc>
            </w:tr>
            <w:tr w14:paraId="5D2E2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restart"/>
                  <w:tcBorders>
                    <w:top w:val="single" w:color="auto" w:sz="12" w:space="0"/>
                    <w:tl2br w:val="nil"/>
                    <w:tr2bl w:val="nil"/>
                  </w:tcBorders>
                  <w:vAlign w:val="center"/>
                </w:tcPr>
                <w:p w14:paraId="12710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废气</w:t>
                  </w:r>
                </w:p>
              </w:tc>
              <w:tc>
                <w:tcPr>
                  <w:tcW w:w="693" w:type="pct"/>
                  <w:tcBorders>
                    <w:top w:val="single" w:color="auto" w:sz="12" w:space="0"/>
                    <w:tl2br w:val="nil"/>
                    <w:tr2bl w:val="nil"/>
                  </w:tcBorders>
                  <w:vAlign w:val="center"/>
                </w:tcPr>
                <w:p w14:paraId="490D2F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颗粒物</w:t>
                  </w:r>
                </w:p>
              </w:tc>
              <w:tc>
                <w:tcPr>
                  <w:tcW w:w="596" w:type="pct"/>
                  <w:tcBorders>
                    <w:top w:val="single" w:color="auto" w:sz="12" w:space="0"/>
                    <w:tl2br w:val="nil"/>
                    <w:tr2bl w:val="nil"/>
                  </w:tcBorders>
                  <w:vAlign w:val="center"/>
                </w:tcPr>
                <w:p w14:paraId="74F3EE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15</w:t>
                  </w:r>
                </w:p>
              </w:tc>
              <w:tc>
                <w:tcPr>
                  <w:tcW w:w="548" w:type="pct"/>
                  <w:tcBorders>
                    <w:top w:val="single" w:color="auto" w:sz="12" w:space="0"/>
                    <w:tl2br w:val="nil"/>
                    <w:tr2bl w:val="nil"/>
                  </w:tcBorders>
                  <w:vAlign w:val="center"/>
                </w:tcPr>
                <w:p w14:paraId="2ECA55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0.108</w:t>
                  </w:r>
                </w:p>
              </w:tc>
              <w:tc>
                <w:tcPr>
                  <w:tcW w:w="580" w:type="pct"/>
                  <w:tcBorders>
                    <w:top w:val="single" w:color="auto" w:sz="12" w:space="0"/>
                    <w:tl2br w:val="nil"/>
                    <w:tr2bl w:val="nil"/>
                  </w:tcBorders>
                  <w:vAlign w:val="center"/>
                </w:tcPr>
                <w:p w14:paraId="2B86CD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0.160</w:t>
                  </w:r>
                </w:p>
              </w:tc>
              <w:tc>
                <w:tcPr>
                  <w:tcW w:w="661" w:type="pct"/>
                  <w:tcBorders>
                    <w:top w:val="single" w:color="auto" w:sz="12" w:space="0"/>
                    <w:tl2br w:val="nil"/>
                    <w:tr2bl w:val="nil"/>
                  </w:tcBorders>
                  <w:vAlign w:val="center"/>
                </w:tcPr>
                <w:p w14:paraId="1F15D3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14.948</w:t>
                  </w:r>
                </w:p>
              </w:tc>
              <w:tc>
                <w:tcPr>
                  <w:tcW w:w="548" w:type="pct"/>
                  <w:tcBorders>
                    <w:top w:val="single" w:color="auto" w:sz="12" w:space="0"/>
                    <w:tl2br w:val="nil"/>
                    <w:tr2bl w:val="nil"/>
                  </w:tcBorders>
                  <w:vAlign w:val="center"/>
                </w:tcPr>
                <w:p w14:paraId="4596D1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1056" w:type="dxa"/>
                  <w:tcBorders>
                    <w:top w:val="single" w:color="auto" w:sz="12" w:space="0"/>
                    <w:tl2br w:val="nil"/>
                    <w:tr2bl w:val="nil"/>
                  </w:tcBorders>
                  <w:vAlign w:val="center"/>
                </w:tcPr>
                <w:p w14:paraId="182769ED">
                  <w:pPr>
                    <w:pStyle w:val="3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cs="Times New Roman"/>
                      <w:b w:val="0"/>
                      <w:bCs/>
                      <w:snapToGrid w:val="0"/>
                      <w:color w:val="auto"/>
                      <w:kern w:val="21"/>
                      <w:sz w:val="21"/>
                      <w:szCs w:val="21"/>
                      <w:lang w:val="en-US" w:eastAsia="zh-CN"/>
                    </w:rPr>
                  </w:pPr>
                  <w:r>
                    <w:rPr>
                      <w:rFonts w:hint="eastAsia" w:cs="Times New Roman"/>
                      <w:b w:val="0"/>
                      <w:bCs/>
                      <w:color w:val="auto"/>
                      <w:kern w:val="2"/>
                      <w:sz w:val="21"/>
                      <w:szCs w:val="21"/>
                      <w:lang w:val="en-US" w:eastAsia="zh-CN" w:bidi="ar-SA"/>
                    </w:rPr>
                    <w:t>-0.052</w:t>
                  </w:r>
                </w:p>
              </w:tc>
            </w:tr>
            <w:tr w14:paraId="1A5219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tcBorders>
                    <w:tl2br w:val="nil"/>
                    <w:tr2bl w:val="nil"/>
                  </w:tcBorders>
                  <w:vAlign w:val="center"/>
                </w:tcPr>
                <w:p w14:paraId="0DD310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p>
              </w:tc>
              <w:tc>
                <w:tcPr>
                  <w:tcW w:w="693" w:type="pct"/>
                  <w:tcBorders>
                    <w:tl2br w:val="nil"/>
                    <w:tr2bl w:val="nil"/>
                  </w:tcBorders>
                  <w:vAlign w:val="center"/>
                </w:tcPr>
                <w:p w14:paraId="525D84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SO</w:t>
                  </w:r>
                  <w:r>
                    <w:rPr>
                      <w:rFonts w:hint="default" w:cs="Times New Roman"/>
                      <w:b w:val="0"/>
                      <w:bCs/>
                      <w:snapToGrid w:val="0"/>
                      <w:color w:val="auto"/>
                      <w:kern w:val="21"/>
                      <w:sz w:val="21"/>
                      <w:szCs w:val="21"/>
                      <w:vertAlign w:val="subscript"/>
                      <w:lang w:val="en-US" w:eastAsia="zh-CN"/>
                    </w:rPr>
                    <w:t>2</w:t>
                  </w:r>
                </w:p>
              </w:tc>
              <w:tc>
                <w:tcPr>
                  <w:tcW w:w="596" w:type="pct"/>
                  <w:tcBorders>
                    <w:tl2br w:val="nil"/>
                    <w:tr2bl w:val="nil"/>
                  </w:tcBorders>
                  <w:vAlign w:val="center"/>
                </w:tcPr>
                <w:p w14:paraId="2AF9CD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14.6</w:t>
                  </w:r>
                </w:p>
              </w:tc>
              <w:tc>
                <w:tcPr>
                  <w:tcW w:w="548" w:type="pct"/>
                  <w:tcBorders>
                    <w:tl2br w:val="nil"/>
                    <w:tr2bl w:val="nil"/>
                  </w:tcBorders>
                  <w:vAlign w:val="center"/>
                </w:tcPr>
                <w:p w14:paraId="1AC79D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0.002</w:t>
                  </w:r>
                </w:p>
              </w:tc>
              <w:tc>
                <w:tcPr>
                  <w:tcW w:w="580" w:type="pct"/>
                  <w:tcBorders>
                    <w:tl2br w:val="nil"/>
                    <w:tr2bl w:val="nil"/>
                  </w:tcBorders>
                  <w:vAlign w:val="center"/>
                </w:tcPr>
                <w:p w14:paraId="69B073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1.20</w:t>
                  </w:r>
                </w:p>
              </w:tc>
              <w:tc>
                <w:tcPr>
                  <w:tcW w:w="661" w:type="pct"/>
                  <w:tcBorders>
                    <w:tl2br w:val="nil"/>
                    <w:tr2bl w:val="nil"/>
                  </w:tcBorders>
                  <w:vAlign w:val="center"/>
                </w:tcPr>
                <w:p w14:paraId="1E8A5C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13.402</w:t>
                  </w:r>
                </w:p>
              </w:tc>
              <w:tc>
                <w:tcPr>
                  <w:tcW w:w="548" w:type="pct"/>
                  <w:tcBorders>
                    <w:tl2br w:val="nil"/>
                    <w:tr2bl w:val="nil"/>
                  </w:tcBorders>
                  <w:vAlign w:val="center"/>
                </w:tcPr>
                <w:p w14:paraId="14845D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19.6</w:t>
                  </w:r>
                </w:p>
              </w:tc>
              <w:tc>
                <w:tcPr>
                  <w:tcW w:w="1056" w:type="dxa"/>
                  <w:tcBorders>
                    <w:tl2br w:val="nil"/>
                    <w:tr2bl w:val="nil"/>
                  </w:tcBorders>
                  <w:vAlign w:val="center"/>
                </w:tcPr>
                <w:p w14:paraId="18222033">
                  <w:pPr>
                    <w:pStyle w:val="3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cs="Times New Roman"/>
                      <w:b w:val="0"/>
                      <w:bCs/>
                      <w:snapToGrid w:val="0"/>
                      <w:color w:val="auto"/>
                      <w:kern w:val="21"/>
                      <w:sz w:val="21"/>
                      <w:szCs w:val="21"/>
                      <w:lang w:val="en-US" w:eastAsia="zh-CN"/>
                    </w:rPr>
                  </w:pPr>
                  <w:r>
                    <w:rPr>
                      <w:rFonts w:hint="eastAsia" w:cs="Times New Roman"/>
                      <w:b w:val="0"/>
                      <w:bCs/>
                      <w:color w:val="auto"/>
                      <w:kern w:val="2"/>
                      <w:sz w:val="21"/>
                      <w:szCs w:val="21"/>
                      <w:lang w:val="en-US" w:eastAsia="zh-CN" w:bidi="ar-SA"/>
                    </w:rPr>
                    <w:t>-1.198</w:t>
                  </w:r>
                </w:p>
              </w:tc>
            </w:tr>
            <w:tr w14:paraId="3AB575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tcBorders>
                    <w:tl2br w:val="nil"/>
                    <w:tr2bl w:val="nil"/>
                  </w:tcBorders>
                  <w:vAlign w:val="center"/>
                </w:tcPr>
                <w:p w14:paraId="0B1D98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p>
              </w:tc>
              <w:tc>
                <w:tcPr>
                  <w:tcW w:w="693" w:type="pct"/>
                  <w:tcBorders>
                    <w:tl2br w:val="nil"/>
                    <w:tr2bl w:val="nil"/>
                  </w:tcBorders>
                  <w:vAlign w:val="center"/>
                </w:tcPr>
                <w:p w14:paraId="789BC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NO</w:t>
                  </w:r>
                  <w:r>
                    <w:rPr>
                      <w:rFonts w:hint="default" w:cs="Times New Roman"/>
                      <w:b w:val="0"/>
                      <w:bCs/>
                      <w:snapToGrid w:val="0"/>
                      <w:color w:val="auto"/>
                      <w:kern w:val="21"/>
                      <w:sz w:val="21"/>
                      <w:szCs w:val="21"/>
                      <w:vertAlign w:val="subscript"/>
                      <w:lang w:val="en-US" w:eastAsia="zh-CN"/>
                    </w:rPr>
                    <w:t>X</w:t>
                  </w:r>
                </w:p>
              </w:tc>
              <w:tc>
                <w:tcPr>
                  <w:tcW w:w="596" w:type="pct"/>
                  <w:tcBorders>
                    <w:tl2br w:val="nil"/>
                    <w:tr2bl w:val="nil"/>
                  </w:tcBorders>
                  <w:vAlign w:val="center"/>
                </w:tcPr>
                <w:p w14:paraId="7629B5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9.72</w:t>
                  </w:r>
                </w:p>
              </w:tc>
              <w:tc>
                <w:tcPr>
                  <w:tcW w:w="548" w:type="pct"/>
                  <w:tcBorders>
                    <w:tl2br w:val="nil"/>
                    <w:tr2bl w:val="nil"/>
                  </w:tcBorders>
                  <w:vAlign w:val="center"/>
                </w:tcPr>
                <w:p w14:paraId="59515B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0.233</w:t>
                  </w:r>
                </w:p>
              </w:tc>
              <w:tc>
                <w:tcPr>
                  <w:tcW w:w="580" w:type="pct"/>
                  <w:tcBorders>
                    <w:tl2br w:val="nil"/>
                    <w:tr2bl w:val="nil"/>
                  </w:tcBorders>
                  <w:vAlign w:val="center"/>
                </w:tcPr>
                <w:p w14:paraId="28F3D4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1.74</w:t>
                  </w:r>
                </w:p>
              </w:tc>
              <w:tc>
                <w:tcPr>
                  <w:tcW w:w="661" w:type="pct"/>
                  <w:tcBorders>
                    <w:tl2br w:val="nil"/>
                    <w:tr2bl w:val="nil"/>
                  </w:tcBorders>
                  <w:vAlign w:val="center"/>
                </w:tcPr>
                <w:p w14:paraId="10419B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8.213</w:t>
                  </w:r>
                </w:p>
              </w:tc>
              <w:tc>
                <w:tcPr>
                  <w:tcW w:w="548" w:type="pct"/>
                  <w:tcBorders>
                    <w:tl2br w:val="nil"/>
                    <w:tr2bl w:val="nil"/>
                  </w:tcBorders>
                  <w:vAlign w:val="center"/>
                </w:tcPr>
                <w:p w14:paraId="59B09E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16.51</w:t>
                  </w:r>
                </w:p>
              </w:tc>
              <w:tc>
                <w:tcPr>
                  <w:tcW w:w="1056" w:type="dxa"/>
                  <w:tcBorders>
                    <w:tl2br w:val="nil"/>
                    <w:tr2bl w:val="nil"/>
                  </w:tcBorders>
                  <w:vAlign w:val="center"/>
                </w:tcPr>
                <w:p w14:paraId="578F795A">
                  <w:pPr>
                    <w:pStyle w:val="3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cs="Times New Roman"/>
                      <w:b w:val="0"/>
                      <w:bCs/>
                      <w:snapToGrid w:val="0"/>
                      <w:color w:val="auto"/>
                      <w:kern w:val="21"/>
                      <w:sz w:val="21"/>
                      <w:szCs w:val="21"/>
                      <w:lang w:val="en-US" w:eastAsia="zh-CN"/>
                    </w:rPr>
                  </w:pPr>
                  <w:r>
                    <w:rPr>
                      <w:rFonts w:hint="eastAsia" w:cs="Times New Roman"/>
                      <w:b w:val="0"/>
                      <w:bCs/>
                      <w:color w:val="auto"/>
                      <w:kern w:val="2"/>
                      <w:sz w:val="21"/>
                      <w:szCs w:val="21"/>
                      <w:lang w:val="en-US" w:eastAsia="zh-CN" w:bidi="ar-SA"/>
                    </w:rPr>
                    <w:t>-1.507</w:t>
                  </w:r>
                </w:p>
              </w:tc>
            </w:tr>
            <w:tr w14:paraId="237261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tcBorders>
                    <w:tl2br w:val="nil"/>
                    <w:tr2bl w:val="nil"/>
                  </w:tcBorders>
                  <w:vAlign w:val="center"/>
                </w:tcPr>
                <w:p w14:paraId="2FB5C4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p>
              </w:tc>
              <w:tc>
                <w:tcPr>
                  <w:tcW w:w="693" w:type="pct"/>
                  <w:tcBorders>
                    <w:tl2br w:val="nil"/>
                    <w:tr2bl w:val="nil"/>
                  </w:tcBorders>
                  <w:vAlign w:val="center"/>
                </w:tcPr>
                <w:p w14:paraId="31AE58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VOC</w:t>
                  </w:r>
                  <w:r>
                    <w:rPr>
                      <w:rFonts w:hint="eastAsia" w:cs="Times New Roman"/>
                      <w:b w:val="0"/>
                      <w:bCs/>
                      <w:snapToGrid w:val="0"/>
                      <w:color w:val="auto"/>
                      <w:kern w:val="21"/>
                      <w:sz w:val="21"/>
                      <w:szCs w:val="21"/>
                      <w:lang w:val="en-US" w:eastAsia="zh-CN"/>
                    </w:rPr>
                    <w:t>s</w:t>
                  </w:r>
                </w:p>
              </w:tc>
              <w:tc>
                <w:tcPr>
                  <w:tcW w:w="596" w:type="pct"/>
                  <w:tcBorders>
                    <w:tl2br w:val="nil"/>
                    <w:tr2bl w:val="nil"/>
                  </w:tcBorders>
                  <w:vAlign w:val="center"/>
                </w:tcPr>
                <w:p w14:paraId="027645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0.00892</w:t>
                  </w:r>
                </w:p>
              </w:tc>
              <w:tc>
                <w:tcPr>
                  <w:tcW w:w="548" w:type="pct"/>
                  <w:tcBorders>
                    <w:tl2br w:val="nil"/>
                    <w:tr2bl w:val="nil"/>
                  </w:tcBorders>
                  <w:vAlign w:val="center"/>
                </w:tcPr>
                <w:p w14:paraId="2B00A0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80" w:type="pct"/>
                  <w:tcBorders>
                    <w:tl2br w:val="nil"/>
                    <w:tr2bl w:val="nil"/>
                  </w:tcBorders>
                  <w:vAlign w:val="center"/>
                </w:tcPr>
                <w:p w14:paraId="7C5F65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661" w:type="pct"/>
                  <w:tcBorders>
                    <w:tl2br w:val="nil"/>
                    <w:tr2bl w:val="nil"/>
                  </w:tcBorders>
                  <w:vAlign w:val="center"/>
                </w:tcPr>
                <w:p w14:paraId="294316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0.00892</w:t>
                  </w:r>
                </w:p>
              </w:tc>
              <w:tc>
                <w:tcPr>
                  <w:tcW w:w="548" w:type="pct"/>
                  <w:tcBorders>
                    <w:tl2br w:val="nil"/>
                    <w:tr2bl w:val="nil"/>
                  </w:tcBorders>
                  <w:vAlign w:val="center"/>
                </w:tcPr>
                <w:p w14:paraId="0C8954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681" w:type="pct"/>
                  <w:tcBorders>
                    <w:tl2br w:val="nil"/>
                    <w:tr2bl w:val="nil"/>
                  </w:tcBorders>
                  <w:vAlign w:val="center"/>
                </w:tcPr>
                <w:p w14:paraId="78DC0A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r>
            <w:tr w14:paraId="4D2BF7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restart"/>
                  <w:tcBorders>
                    <w:tl2br w:val="nil"/>
                    <w:tr2bl w:val="nil"/>
                  </w:tcBorders>
                  <w:vAlign w:val="center"/>
                </w:tcPr>
                <w:p w14:paraId="58AE29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废水</w:t>
                  </w:r>
                </w:p>
              </w:tc>
              <w:tc>
                <w:tcPr>
                  <w:tcW w:w="693" w:type="pct"/>
                  <w:tcBorders>
                    <w:tl2br w:val="nil"/>
                    <w:tr2bl w:val="nil"/>
                  </w:tcBorders>
                  <w:vAlign w:val="center"/>
                </w:tcPr>
                <w:p w14:paraId="72E7AD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生产废水</w:t>
                  </w:r>
                </w:p>
              </w:tc>
              <w:tc>
                <w:tcPr>
                  <w:tcW w:w="596" w:type="pct"/>
                  <w:tcBorders>
                    <w:tl2br w:val="nil"/>
                    <w:tr2bl w:val="nil"/>
                  </w:tcBorders>
                  <w:vAlign w:val="center"/>
                </w:tcPr>
                <w:p w14:paraId="66C2D7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48" w:type="pct"/>
                  <w:tcBorders>
                    <w:tl2br w:val="nil"/>
                    <w:tr2bl w:val="nil"/>
                  </w:tcBorders>
                  <w:vAlign w:val="center"/>
                </w:tcPr>
                <w:p w14:paraId="709A4D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80" w:type="pct"/>
                  <w:tcBorders>
                    <w:tl2br w:val="nil"/>
                    <w:tr2bl w:val="nil"/>
                  </w:tcBorders>
                  <w:vAlign w:val="center"/>
                </w:tcPr>
                <w:p w14:paraId="3542AE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661" w:type="pct"/>
                  <w:tcBorders>
                    <w:tl2br w:val="nil"/>
                    <w:tr2bl w:val="nil"/>
                  </w:tcBorders>
                  <w:vAlign w:val="center"/>
                </w:tcPr>
                <w:p w14:paraId="705A78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48" w:type="pct"/>
                  <w:tcBorders>
                    <w:tl2br w:val="nil"/>
                    <w:tr2bl w:val="nil"/>
                  </w:tcBorders>
                  <w:vAlign w:val="center"/>
                </w:tcPr>
                <w:p w14:paraId="543CD1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681" w:type="pct"/>
                  <w:tcBorders>
                    <w:tl2br w:val="nil"/>
                    <w:tr2bl w:val="nil"/>
                  </w:tcBorders>
                  <w:vAlign w:val="center"/>
                </w:tcPr>
                <w:p w14:paraId="3B6E3B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r>
            <w:tr w14:paraId="46A30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tcBorders>
                    <w:tl2br w:val="nil"/>
                    <w:tr2bl w:val="nil"/>
                  </w:tcBorders>
                  <w:vAlign w:val="center"/>
                </w:tcPr>
                <w:p w14:paraId="321ED5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p>
              </w:tc>
              <w:tc>
                <w:tcPr>
                  <w:tcW w:w="693" w:type="pct"/>
                  <w:tcBorders>
                    <w:tl2br w:val="nil"/>
                    <w:tr2bl w:val="nil"/>
                  </w:tcBorders>
                  <w:vAlign w:val="center"/>
                </w:tcPr>
                <w:p w14:paraId="09018A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生活污水</w:t>
                  </w:r>
                </w:p>
              </w:tc>
              <w:tc>
                <w:tcPr>
                  <w:tcW w:w="596" w:type="pct"/>
                  <w:tcBorders>
                    <w:tl2br w:val="nil"/>
                    <w:tr2bl w:val="nil"/>
                  </w:tcBorders>
                  <w:vAlign w:val="center"/>
                </w:tcPr>
                <w:p w14:paraId="61E6EF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548" w:type="pct"/>
                  <w:tcBorders>
                    <w:tl2br w:val="nil"/>
                    <w:tr2bl w:val="nil"/>
                  </w:tcBorders>
                  <w:vAlign w:val="center"/>
                </w:tcPr>
                <w:p w14:paraId="3DC07D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80" w:type="pct"/>
                  <w:tcBorders>
                    <w:tl2br w:val="nil"/>
                    <w:tr2bl w:val="nil"/>
                  </w:tcBorders>
                  <w:vAlign w:val="center"/>
                </w:tcPr>
                <w:p w14:paraId="0C5B46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661" w:type="pct"/>
                  <w:tcBorders>
                    <w:tl2br w:val="nil"/>
                    <w:tr2bl w:val="nil"/>
                  </w:tcBorders>
                  <w:vAlign w:val="center"/>
                </w:tcPr>
                <w:p w14:paraId="180388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548" w:type="pct"/>
                  <w:tcBorders>
                    <w:tl2br w:val="nil"/>
                    <w:tr2bl w:val="nil"/>
                  </w:tcBorders>
                  <w:vAlign w:val="center"/>
                </w:tcPr>
                <w:p w14:paraId="4C660B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681" w:type="pct"/>
                  <w:tcBorders>
                    <w:tl2br w:val="nil"/>
                    <w:tr2bl w:val="nil"/>
                  </w:tcBorders>
                  <w:vAlign w:val="center"/>
                </w:tcPr>
                <w:p w14:paraId="3B7328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r>
            <w:tr w14:paraId="20029D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restart"/>
                  <w:tcBorders>
                    <w:tl2br w:val="nil"/>
                    <w:tr2bl w:val="nil"/>
                  </w:tcBorders>
                  <w:vAlign w:val="center"/>
                </w:tcPr>
                <w:p w14:paraId="1AF35F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一般工业固废</w:t>
                  </w:r>
                </w:p>
              </w:tc>
              <w:tc>
                <w:tcPr>
                  <w:tcW w:w="693" w:type="pct"/>
                  <w:tcBorders>
                    <w:tl2br w:val="nil"/>
                    <w:tr2bl w:val="nil"/>
                  </w:tcBorders>
                  <w:vAlign w:val="center"/>
                </w:tcPr>
                <w:p w14:paraId="287319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生活垃圾</w:t>
                  </w:r>
                </w:p>
              </w:tc>
              <w:tc>
                <w:tcPr>
                  <w:tcW w:w="596" w:type="pct"/>
                  <w:tcBorders>
                    <w:tl2br w:val="nil"/>
                    <w:tr2bl w:val="nil"/>
                  </w:tcBorders>
                  <w:vAlign w:val="center"/>
                </w:tcPr>
                <w:p w14:paraId="7ADCA7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66</w:t>
                  </w:r>
                </w:p>
              </w:tc>
              <w:tc>
                <w:tcPr>
                  <w:tcW w:w="548" w:type="pct"/>
                  <w:tcBorders>
                    <w:tl2br w:val="nil"/>
                    <w:tr2bl w:val="nil"/>
                  </w:tcBorders>
                  <w:vAlign w:val="center"/>
                </w:tcPr>
                <w:p w14:paraId="360E1C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80" w:type="pct"/>
                  <w:tcBorders>
                    <w:tl2br w:val="nil"/>
                    <w:tr2bl w:val="nil"/>
                  </w:tcBorders>
                  <w:vAlign w:val="center"/>
                </w:tcPr>
                <w:p w14:paraId="6F44BD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661" w:type="pct"/>
                  <w:tcBorders>
                    <w:tl2br w:val="nil"/>
                    <w:tr2bl w:val="nil"/>
                  </w:tcBorders>
                  <w:vAlign w:val="center"/>
                </w:tcPr>
                <w:p w14:paraId="610F68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66</w:t>
                  </w:r>
                </w:p>
              </w:tc>
              <w:tc>
                <w:tcPr>
                  <w:tcW w:w="548" w:type="pct"/>
                  <w:tcBorders>
                    <w:tl2br w:val="nil"/>
                    <w:tr2bl w:val="nil"/>
                  </w:tcBorders>
                  <w:vAlign w:val="center"/>
                </w:tcPr>
                <w:p w14:paraId="34940C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681" w:type="pct"/>
                  <w:tcBorders>
                    <w:tl2br w:val="nil"/>
                    <w:tr2bl w:val="nil"/>
                  </w:tcBorders>
                  <w:vAlign w:val="center"/>
                </w:tcPr>
                <w:p w14:paraId="177730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r>
            <w:tr w14:paraId="4F3934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tcBorders>
                    <w:tl2br w:val="nil"/>
                    <w:tr2bl w:val="nil"/>
                  </w:tcBorders>
                  <w:vAlign w:val="center"/>
                </w:tcPr>
                <w:p w14:paraId="27017F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p>
              </w:tc>
              <w:tc>
                <w:tcPr>
                  <w:tcW w:w="693" w:type="pct"/>
                  <w:tcBorders>
                    <w:tl2br w:val="nil"/>
                    <w:tr2bl w:val="nil"/>
                  </w:tcBorders>
                  <w:vAlign w:val="center"/>
                </w:tcPr>
                <w:p w14:paraId="682FC2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废离子交换树脂</w:t>
                  </w:r>
                </w:p>
              </w:tc>
              <w:tc>
                <w:tcPr>
                  <w:tcW w:w="596" w:type="pct"/>
                  <w:tcBorders>
                    <w:tl2br w:val="nil"/>
                    <w:tr2bl w:val="nil"/>
                  </w:tcBorders>
                  <w:vAlign w:val="center"/>
                </w:tcPr>
                <w:p w14:paraId="753EF7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548" w:type="pct"/>
                  <w:tcBorders>
                    <w:tl2br w:val="nil"/>
                    <w:tr2bl w:val="nil"/>
                  </w:tcBorders>
                  <w:vAlign w:val="center"/>
                </w:tcPr>
                <w:p w14:paraId="781630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0.05</w:t>
                  </w:r>
                </w:p>
              </w:tc>
              <w:tc>
                <w:tcPr>
                  <w:tcW w:w="580" w:type="pct"/>
                  <w:tcBorders>
                    <w:tl2br w:val="nil"/>
                    <w:tr2bl w:val="nil"/>
                  </w:tcBorders>
                  <w:vAlign w:val="center"/>
                </w:tcPr>
                <w:p w14:paraId="526111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w:t>
                  </w:r>
                </w:p>
              </w:tc>
              <w:tc>
                <w:tcPr>
                  <w:tcW w:w="661" w:type="pct"/>
                  <w:tcBorders>
                    <w:tl2br w:val="nil"/>
                    <w:tr2bl w:val="nil"/>
                  </w:tcBorders>
                  <w:vAlign w:val="center"/>
                </w:tcPr>
                <w:p w14:paraId="284B48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0.05</w:t>
                  </w:r>
                </w:p>
              </w:tc>
              <w:tc>
                <w:tcPr>
                  <w:tcW w:w="548" w:type="pct"/>
                  <w:tcBorders>
                    <w:tl2br w:val="nil"/>
                    <w:tr2bl w:val="nil"/>
                  </w:tcBorders>
                  <w:vAlign w:val="center"/>
                </w:tcPr>
                <w:p w14:paraId="782326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681" w:type="pct"/>
                  <w:tcBorders>
                    <w:tl2br w:val="nil"/>
                    <w:tr2bl w:val="nil"/>
                  </w:tcBorders>
                  <w:vAlign w:val="center"/>
                </w:tcPr>
                <w:p w14:paraId="324E28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+0.05</w:t>
                  </w:r>
                </w:p>
              </w:tc>
            </w:tr>
            <w:tr w14:paraId="4586F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689" w:type="pct"/>
                  <w:tcBorders>
                    <w:tl2br w:val="nil"/>
                    <w:tr2bl w:val="nil"/>
                  </w:tcBorders>
                  <w:vAlign w:val="center"/>
                </w:tcPr>
                <w:p w14:paraId="1C6CC3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危险废物</w:t>
                  </w:r>
                </w:p>
              </w:tc>
              <w:tc>
                <w:tcPr>
                  <w:tcW w:w="693" w:type="pct"/>
                  <w:tcBorders>
                    <w:tl2br w:val="nil"/>
                    <w:tr2bl w:val="nil"/>
                  </w:tcBorders>
                  <w:vAlign w:val="center"/>
                </w:tcPr>
                <w:p w14:paraId="4EA5AC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废机油</w:t>
                  </w:r>
                </w:p>
              </w:tc>
              <w:tc>
                <w:tcPr>
                  <w:tcW w:w="596" w:type="pct"/>
                  <w:tcBorders>
                    <w:tl2br w:val="nil"/>
                    <w:tr2bl w:val="nil"/>
                  </w:tcBorders>
                  <w:vAlign w:val="center"/>
                </w:tcPr>
                <w:p w14:paraId="1BF501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6</w:t>
                  </w:r>
                </w:p>
              </w:tc>
              <w:tc>
                <w:tcPr>
                  <w:tcW w:w="548" w:type="pct"/>
                  <w:tcBorders>
                    <w:tl2br w:val="nil"/>
                    <w:tr2bl w:val="nil"/>
                  </w:tcBorders>
                  <w:vAlign w:val="center"/>
                </w:tcPr>
                <w:p w14:paraId="313BF4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0.05</w:t>
                  </w:r>
                </w:p>
              </w:tc>
              <w:tc>
                <w:tcPr>
                  <w:tcW w:w="580" w:type="pct"/>
                  <w:tcBorders>
                    <w:tl2br w:val="nil"/>
                    <w:tr2bl w:val="nil"/>
                  </w:tcBorders>
                  <w:vAlign w:val="center"/>
                </w:tcPr>
                <w:p w14:paraId="4E501D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1.0</w:t>
                  </w:r>
                </w:p>
              </w:tc>
              <w:tc>
                <w:tcPr>
                  <w:tcW w:w="661" w:type="pct"/>
                  <w:tcBorders>
                    <w:tl2br w:val="nil"/>
                    <w:tr2bl w:val="nil"/>
                  </w:tcBorders>
                  <w:vAlign w:val="center"/>
                </w:tcPr>
                <w:p w14:paraId="3753B2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5.05</w:t>
                  </w:r>
                </w:p>
              </w:tc>
              <w:tc>
                <w:tcPr>
                  <w:tcW w:w="548" w:type="pct"/>
                  <w:tcBorders>
                    <w:tl2br w:val="nil"/>
                    <w:tr2bl w:val="nil"/>
                  </w:tcBorders>
                  <w:vAlign w:val="center"/>
                </w:tcPr>
                <w:p w14:paraId="5A4337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w:t>
                  </w:r>
                </w:p>
              </w:tc>
              <w:tc>
                <w:tcPr>
                  <w:tcW w:w="681" w:type="pct"/>
                  <w:tcBorders>
                    <w:tl2br w:val="nil"/>
                    <w:tr2bl w:val="nil"/>
                  </w:tcBorders>
                  <w:vAlign w:val="center"/>
                </w:tcPr>
                <w:p w14:paraId="3041C5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default" w:cs="Times New Roman"/>
                      <w:b w:val="0"/>
                      <w:bCs/>
                      <w:snapToGrid w:val="0"/>
                      <w:color w:val="auto"/>
                      <w:kern w:val="21"/>
                      <w:sz w:val="21"/>
                      <w:szCs w:val="21"/>
                      <w:lang w:val="en-US" w:eastAsia="zh-CN"/>
                    </w:rPr>
                    <w:t>-</w:t>
                  </w:r>
                  <w:r>
                    <w:rPr>
                      <w:rFonts w:hint="eastAsia" w:cs="Times New Roman"/>
                      <w:b w:val="0"/>
                      <w:bCs/>
                      <w:snapToGrid w:val="0"/>
                      <w:color w:val="auto"/>
                      <w:kern w:val="21"/>
                      <w:sz w:val="21"/>
                      <w:szCs w:val="21"/>
                      <w:lang w:val="en-US" w:eastAsia="zh-CN"/>
                    </w:rPr>
                    <w:t>0.95</w:t>
                  </w:r>
                </w:p>
              </w:tc>
            </w:tr>
          </w:tbl>
          <w:p w14:paraId="1F9CDCAA">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对本项目的调查监测表明，本项目二氧化硫排放量与现有工程总共排放为13.404t/a，氮氧化物排放量与现有工程总共排放为8.446t/a，满足原昌吉回族自治州环境保护局下发《昌吉州环保局关于新兴铸管阜康能源有限公司20万吨/年球墨铸铁管项目环评变更意见的复函》（昌州环函</w:t>
            </w:r>
            <w:r>
              <w:rPr>
                <w:rFonts w:hint="eastAsia" w:cs="Times New Roman"/>
                <w:color w:val="auto"/>
                <w:lang w:val="en-US" w:eastAsia="zh-CN"/>
              </w:rPr>
              <w:t>〔2015〕66号</w:t>
            </w:r>
            <w:r>
              <w:rPr>
                <w:rFonts w:hint="default" w:ascii="Times New Roman" w:hAnsi="Times New Roman" w:eastAsia="宋体" w:cs="Times New Roman"/>
                <w:color w:val="auto"/>
                <w:lang w:val="en-US" w:eastAsia="zh-CN"/>
              </w:rPr>
              <w:t>）核定的氮氧化物排放量为16.51吨/年，二氧化硫排放量为19.6吨/年。</w:t>
            </w:r>
          </w:p>
          <w:p w14:paraId="77DCC7EF">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p w14:paraId="62597714">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p w14:paraId="08772371">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cs="Times New Roman"/>
                <w:color w:val="000000" w:themeColor="text1"/>
                <w:lang w:val="en-US" w:eastAsia="zh-CN"/>
                <w14:textFill>
                  <w14:solidFill>
                    <w14:schemeClr w14:val="tx1"/>
                  </w14:solidFill>
                </w14:textFill>
              </w:rPr>
            </w:pPr>
          </w:p>
        </w:tc>
      </w:tr>
    </w:tbl>
    <w:p w14:paraId="406CC362">
      <w:pPr>
        <w:jc w:val="both"/>
        <w:rPr>
          <w:rFonts w:hint="default" w:ascii="Times New Roman" w:hAnsi="Times New Roman" w:eastAsia="宋体"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07DBF63">
      <w:pPr>
        <w:pStyle w:val="4"/>
        <w:numPr>
          <w:ilvl w:val="0"/>
          <w:numId w:val="0"/>
        </w:numPr>
        <w:jc w:val="center"/>
        <w:rPr>
          <w:rFonts w:hint="default" w:ascii="Times New Roman" w:hAnsi="Times New Roman" w:eastAsia="宋体" w:cs="Times New Roman"/>
          <w:b/>
          <w:bCs w:val="0"/>
        </w:rPr>
      </w:pPr>
      <w:bookmarkStart w:id="1" w:name="_Hlk54167917"/>
      <w:r>
        <w:rPr>
          <w:rFonts w:hint="default" w:ascii="Times New Roman" w:hAnsi="Times New Roman" w:eastAsia="宋体" w:cs="Times New Roman"/>
          <w:b/>
          <w:bCs w:val="0"/>
          <w:kern w:val="44"/>
          <w:sz w:val="30"/>
          <w:szCs w:val="24"/>
          <w:lang w:val="en-US" w:eastAsia="zh-CN" w:bidi="ar-SA"/>
        </w:rPr>
        <w:t>五、</w:t>
      </w:r>
      <w:r>
        <w:rPr>
          <w:rFonts w:hint="default" w:ascii="Times New Roman" w:hAnsi="Times New Roman" w:eastAsia="宋体" w:cs="Times New Roman"/>
          <w:b/>
          <w:bCs w:val="0"/>
        </w:rPr>
        <w:t>环境保护措施监督检查清单</w:t>
      </w:r>
      <w:bookmarkEnd w:id="1"/>
    </w:p>
    <w:tbl>
      <w:tblPr>
        <w:tblStyle w:val="30"/>
        <w:tblW w:w="848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638"/>
        <w:gridCol w:w="1798"/>
        <w:gridCol w:w="1831"/>
        <w:gridCol w:w="2765"/>
      </w:tblGrid>
      <w:tr w14:paraId="6617E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57" w:type="dxa"/>
            <w:tcBorders>
              <w:tl2br w:val="single" w:color="auto" w:sz="4" w:space="0"/>
            </w:tcBorders>
            <w:vAlign w:val="center"/>
          </w:tcPr>
          <w:p w14:paraId="30D395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 xml:space="preserve"> 内容</w:t>
            </w:r>
          </w:p>
          <w:p w14:paraId="791C5DFF">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要素</w:t>
            </w:r>
          </w:p>
        </w:tc>
        <w:tc>
          <w:tcPr>
            <w:tcW w:w="1638" w:type="dxa"/>
            <w:tcBorders>
              <w:tl2br w:val="nil"/>
              <w:tr2bl w:val="nil"/>
            </w:tcBorders>
            <w:vAlign w:val="center"/>
          </w:tcPr>
          <w:p w14:paraId="1E04AD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排放口</w:t>
            </w:r>
            <w:r>
              <w:rPr>
                <w:rFonts w:hint="default"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编号、名称</w:t>
            </w:r>
            <w:r>
              <w:rPr>
                <w:rFonts w:hint="default"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/污染源</w:t>
            </w:r>
          </w:p>
        </w:tc>
        <w:tc>
          <w:tcPr>
            <w:tcW w:w="1798" w:type="dxa"/>
            <w:tcBorders>
              <w:tl2br w:val="nil"/>
              <w:tr2bl w:val="nil"/>
            </w:tcBorders>
            <w:vAlign w:val="center"/>
          </w:tcPr>
          <w:p w14:paraId="152632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污染物项目</w:t>
            </w:r>
          </w:p>
        </w:tc>
        <w:tc>
          <w:tcPr>
            <w:tcW w:w="1831" w:type="dxa"/>
            <w:tcBorders>
              <w:tl2br w:val="nil"/>
              <w:tr2bl w:val="nil"/>
            </w:tcBorders>
            <w:vAlign w:val="center"/>
          </w:tcPr>
          <w:p w14:paraId="6D1FF98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环境保护措施</w:t>
            </w:r>
          </w:p>
        </w:tc>
        <w:tc>
          <w:tcPr>
            <w:tcW w:w="2765" w:type="dxa"/>
            <w:tcBorders>
              <w:tl2br w:val="nil"/>
              <w:tr2bl w:val="nil"/>
            </w:tcBorders>
            <w:vAlign w:val="center"/>
          </w:tcPr>
          <w:p w14:paraId="321769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执行标准</w:t>
            </w:r>
          </w:p>
        </w:tc>
      </w:tr>
      <w:tr w14:paraId="765CB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57" w:type="dxa"/>
            <w:tcBorders>
              <w:tl2br w:val="nil"/>
              <w:tr2bl w:val="nil"/>
            </w:tcBorders>
            <w:vAlign w:val="center"/>
          </w:tcPr>
          <w:p w14:paraId="380241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大气环境</w:t>
            </w:r>
          </w:p>
        </w:tc>
        <w:tc>
          <w:tcPr>
            <w:tcW w:w="1638" w:type="dxa"/>
            <w:tcBorders>
              <w:tl2br w:val="nil"/>
              <w:tr2bl w:val="nil"/>
            </w:tcBorders>
            <w:vAlign w:val="center"/>
          </w:tcPr>
          <w:p w14:paraId="79E96E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b w:val="0"/>
                <w:bCs/>
                <w:color w:val="auto"/>
                <w:lang w:val="en-US" w:eastAsia="zh-CN"/>
              </w:rPr>
              <w:t>锅炉房排气筒</w:t>
            </w:r>
            <w:r>
              <w:rPr>
                <w:rFonts w:hint="eastAsia" w:cs="Times New Roman"/>
                <w:b w:val="0"/>
                <w:bCs/>
                <w:color w:val="auto"/>
                <w:lang w:val="en-US" w:eastAsia="zh-CN"/>
              </w:rPr>
              <w:t>（DA014）</w:t>
            </w:r>
          </w:p>
        </w:tc>
        <w:tc>
          <w:tcPr>
            <w:tcW w:w="1798" w:type="dxa"/>
            <w:tcBorders>
              <w:tl2br w:val="nil"/>
              <w:tr2bl w:val="nil"/>
            </w:tcBorders>
            <w:vAlign w:val="center"/>
          </w:tcPr>
          <w:p w14:paraId="22C4D03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lang w:val="en-US" w:eastAsia="zh-CN"/>
              </w:rPr>
            </w:pPr>
            <w:r>
              <w:rPr>
                <w:rFonts w:hint="default" w:ascii="Times New Roman" w:hAnsi="Times New Roman" w:eastAsia="宋体" w:cs="Times New Roman"/>
                <w:b w:val="0"/>
                <w:bCs/>
                <w:color w:val="auto"/>
                <w:lang w:val="en-US" w:eastAsia="zh-CN"/>
              </w:rPr>
              <w:t>颗粒物、SO</w:t>
            </w:r>
            <w:r>
              <w:rPr>
                <w:rFonts w:hint="default" w:ascii="Times New Roman" w:hAnsi="Times New Roman" w:eastAsia="宋体" w:cs="Times New Roman"/>
                <w:b w:val="0"/>
                <w:bCs/>
                <w:color w:val="auto"/>
                <w:vertAlign w:val="subscript"/>
                <w:lang w:val="en-US" w:eastAsia="zh-CN"/>
              </w:rPr>
              <w:t>2</w:t>
            </w:r>
            <w:r>
              <w:rPr>
                <w:rFonts w:hint="default" w:ascii="Times New Roman" w:hAnsi="Times New Roman" w:eastAsia="宋体" w:cs="Times New Roman"/>
                <w:b w:val="0"/>
                <w:bCs/>
                <w:color w:val="auto"/>
                <w:lang w:val="en-US" w:eastAsia="zh-CN"/>
              </w:rPr>
              <w:t>、NOx、林格曼黑度</w:t>
            </w:r>
          </w:p>
        </w:tc>
        <w:tc>
          <w:tcPr>
            <w:tcW w:w="1831" w:type="dxa"/>
            <w:tcBorders>
              <w:tl2br w:val="nil"/>
              <w:tr2bl w:val="nil"/>
            </w:tcBorders>
            <w:vAlign w:val="center"/>
          </w:tcPr>
          <w:p w14:paraId="5D75CAE9">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auto"/>
                <w:lang w:val="en-US" w:eastAsia="zh-CN"/>
              </w:rPr>
            </w:pPr>
            <w:r>
              <w:rPr>
                <w:rFonts w:hint="eastAsia" w:cs="Times New Roman"/>
                <w:b w:val="0"/>
                <w:bCs/>
                <w:color w:val="auto"/>
                <w:lang w:val="en-US" w:eastAsia="zh-CN"/>
              </w:rPr>
              <w:t>经</w:t>
            </w:r>
            <w:r>
              <w:rPr>
                <w:rFonts w:hint="default" w:ascii="Times New Roman" w:hAnsi="Times New Roman" w:eastAsia="宋体" w:cs="Times New Roman"/>
                <w:b w:val="0"/>
                <w:bCs/>
                <w:color w:val="auto"/>
                <w:lang w:val="en-US" w:eastAsia="zh-CN"/>
              </w:rPr>
              <w:t>低氮燃烧器+烟气再循环技术工艺</w:t>
            </w:r>
            <w:r>
              <w:rPr>
                <w:rFonts w:hint="eastAsia" w:cs="Times New Roman"/>
                <w:b w:val="0"/>
                <w:bCs/>
                <w:color w:val="auto"/>
                <w:lang w:val="en-US" w:eastAsia="zh-CN"/>
              </w:rPr>
              <w:t>处理后</w:t>
            </w:r>
            <w:r>
              <w:rPr>
                <w:rFonts w:hint="default" w:ascii="Times New Roman" w:hAnsi="Times New Roman" w:eastAsia="宋体" w:cs="Times New Roman"/>
                <w:b w:val="0"/>
                <w:bCs/>
                <w:color w:val="auto"/>
                <w:lang w:val="en-US" w:eastAsia="zh-CN"/>
              </w:rPr>
              <w:t>，</w:t>
            </w:r>
            <w:r>
              <w:rPr>
                <w:rFonts w:hint="eastAsia" w:cs="Times New Roman"/>
                <w:b w:val="0"/>
                <w:bCs/>
                <w:color w:val="auto"/>
                <w:lang w:val="en-US" w:eastAsia="zh-CN"/>
              </w:rPr>
              <w:t>经</w:t>
            </w:r>
            <w:r>
              <w:rPr>
                <w:rFonts w:hint="default" w:ascii="Times New Roman" w:hAnsi="Times New Roman" w:eastAsia="宋体" w:cs="Times New Roman"/>
                <w:b w:val="0"/>
                <w:bCs/>
                <w:color w:val="auto"/>
                <w:lang w:val="en-US" w:eastAsia="zh-CN"/>
              </w:rPr>
              <w:t>1根</w:t>
            </w:r>
            <w:r>
              <w:rPr>
                <w:rFonts w:hint="eastAsia" w:cs="Times New Roman"/>
                <w:b w:val="0"/>
                <w:bCs/>
                <w:color w:val="auto"/>
                <w:lang w:val="en-US" w:eastAsia="zh-CN"/>
              </w:rPr>
              <w:t>22米高</w:t>
            </w:r>
            <w:r>
              <w:rPr>
                <w:rFonts w:hint="default" w:ascii="Times New Roman" w:hAnsi="Times New Roman" w:eastAsia="宋体" w:cs="Times New Roman"/>
                <w:b w:val="0"/>
                <w:bCs/>
                <w:color w:val="auto"/>
                <w:lang w:val="en-US" w:eastAsia="zh-CN"/>
              </w:rPr>
              <w:t>排气筒</w:t>
            </w:r>
            <w:r>
              <w:rPr>
                <w:rFonts w:hint="eastAsia" w:cs="Times New Roman"/>
                <w:b w:val="0"/>
                <w:bCs/>
                <w:color w:val="auto"/>
                <w:lang w:val="en-US" w:eastAsia="zh-CN"/>
              </w:rPr>
              <w:t>排放</w:t>
            </w:r>
          </w:p>
        </w:tc>
        <w:tc>
          <w:tcPr>
            <w:tcW w:w="2765" w:type="dxa"/>
            <w:tcBorders>
              <w:tl2br w:val="nil"/>
              <w:tr2bl w:val="nil"/>
            </w:tcBorders>
            <w:vAlign w:val="center"/>
          </w:tcPr>
          <w:p w14:paraId="72CA975E">
            <w:pPr>
              <w:pStyle w:val="46"/>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lang w:val="en-US"/>
              </w:rPr>
            </w:pPr>
            <w:r>
              <w:rPr>
                <w:rFonts w:hint="default" w:ascii="Times New Roman" w:hAnsi="Times New Roman" w:eastAsia="宋体" w:cs="Times New Roman"/>
                <w:b w:val="0"/>
                <w:bCs/>
                <w:color w:val="auto"/>
                <w:kern w:val="2"/>
                <w:sz w:val="24"/>
                <w:szCs w:val="24"/>
                <w:lang w:val="en-US" w:eastAsia="zh-CN" w:bidi="ar-SA"/>
              </w:rPr>
              <w:t>颗粒物、二氧化硫、林格曼黑度执行《锅炉大气污染物排放标准》（GB 13271-2014）表3大气污染物特别排放限值：颗粒物：20mg/m</w:t>
            </w:r>
            <w:r>
              <w:rPr>
                <w:rFonts w:hint="default" w:ascii="Times New Roman" w:hAnsi="Times New Roman" w:eastAsia="宋体" w:cs="Times New Roman"/>
                <w:b w:val="0"/>
                <w:bCs/>
                <w:color w:val="auto"/>
                <w:kern w:val="2"/>
                <w:sz w:val="24"/>
                <w:szCs w:val="24"/>
                <w:vertAlign w:val="superscript"/>
                <w:lang w:val="en-US" w:eastAsia="zh-CN" w:bidi="ar-SA"/>
              </w:rPr>
              <w:t>3</w:t>
            </w:r>
            <w:r>
              <w:rPr>
                <w:rFonts w:hint="default" w:ascii="Times New Roman" w:hAnsi="Times New Roman" w:eastAsia="宋体" w:cs="Times New Roman"/>
                <w:b w:val="0"/>
                <w:bCs/>
                <w:color w:val="auto"/>
                <w:kern w:val="2"/>
                <w:sz w:val="24"/>
                <w:szCs w:val="24"/>
                <w:lang w:val="en-US" w:eastAsia="zh-CN" w:bidi="ar-SA"/>
              </w:rPr>
              <w:t>；SO</w:t>
            </w:r>
            <w:r>
              <w:rPr>
                <w:rFonts w:hint="default" w:ascii="Times New Roman" w:hAnsi="Times New Roman" w:eastAsia="宋体" w:cs="Times New Roman"/>
                <w:b w:val="0"/>
                <w:bCs/>
                <w:color w:val="auto"/>
                <w:kern w:val="2"/>
                <w:sz w:val="24"/>
                <w:szCs w:val="24"/>
                <w:vertAlign w:val="subscript"/>
                <w:lang w:val="en-US" w:eastAsia="zh-CN" w:bidi="ar-SA"/>
              </w:rPr>
              <w:t>2</w:t>
            </w:r>
            <w:r>
              <w:rPr>
                <w:rFonts w:hint="eastAsia" w:cs="Times New Roman"/>
                <w:b w:val="0"/>
                <w:bCs/>
                <w:color w:val="auto"/>
                <w:kern w:val="2"/>
                <w:sz w:val="24"/>
                <w:szCs w:val="24"/>
                <w:vertAlign w:val="subscript"/>
                <w:lang w:val="en-US" w:eastAsia="zh-CN" w:bidi="ar-SA"/>
              </w:rPr>
              <w:t>:</w:t>
            </w:r>
            <w:r>
              <w:rPr>
                <w:rFonts w:hint="default" w:ascii="Times New Roman" w:hAnsi="Times New Roman" w:eastAsia="宋体" w:cs="Times New Roman"/>
                <w:b w:val="0"/>
                <w:bCs/>
                <w:color w:val="auto"/>
                <w:kern w:val="2"/>
                <w:sz w:val="24"/>
                <w:szCs w:val="24"/>
                <w:lang w:val="en-US" w:eastAsia="zh-CN" w:bidi="ar-SA"/>
              </w:rPr>
              <w:t>50mg/m</w:t>
            </w:r>
            <w:r>
              <w:rPr>
                <w:rFonts w:hint="eastAsia" w:cs="Times New Roman"/>
                <w:b w:val="0"/>
                <w:bCs/>
                <w:color w:val="auto"/>
                <w:kern w:val="2"/>
                <w:sz w:val="24"/>
                <w:szCs w:val="24"/>
                <w:vertAlign w:val="superscript"/>
                <w:lang w:val="en-US" w:eastAsia="zh-CN" w:bidi="ar-SA"/>
              </w:rPr>
              <w:t>3</w:t>
            </w:r>
            <w:r>
              <w:rPr>
                <w:rFonts w:hint="eastAsia" w:cs="Times New Roman"/>
                <w:b w:val="0"/>
                <w:bCs/>
                <w:color w:val="auto"/>
                <w:kern w:val="2"/>
                <w:sz w:val="24"/>
                <w:szCs w:val="24"/>
                <w:lang w:val="en-US" w:eastAsia="zh-CN" w:bidi="ar-SA"/>
              </w:rPr>
              <w:t>；</w:t>
            </w:r>
            <w:r>
              <w:rPr>
                <w:rFonts w:hint="default" w:ascii="Times New Roman" w:hAnsi="Times New Roman" w:eastAsia="宋体" w:cs="Times New Roman"/>
                <w:b w:val="0"/>
                <w:bCs/>
                <w:color w:val="auto"/>
                <w:kern w:val="2"/>
                <w:sz w:val="24"/>
                <w:szCs w:val="24"/>
                <w:lang w:val="en-US" w:eastAsia="zh-CN" w:bidi="ar-SA"/>
              </w:rPr>
              <w:t>林格曼黑度≤1，氮氧化物执行《关于开展自治区2022年度夏秋季大气污染防治</w:t>
            </w:r>
            <w:r>
              <w:rPr>
                <w:rFonts w:hint="eastAsia" w:ascii="Times New Roman" w:hAnsi="Times New Roman" w:eastAsia="宋体" w:cs="Times New Roman"/>
                <w:b w:val="0"/>
                <w:bCs/>
                <w:color w:val="auto"/>
                <w:kern w:val="2"/>
                <w:sz w:val="24"/>
                <w:szCs w:val="24"/>
                <w:lang w:val="en-US" w:eastAsia="zh-CN" w:bidi="ar-SA"/>
              </w:rPr>
              <w:t>“</w:t>
            </w:r>
            <w:r>
              <w:rPr>
                <w:rFonts w:hint="default" w:ascii="Times New Roman" w:hAnsi="Times New Roman" w:eastAsia="宋体" w:cs="Times New Roman"/>
                <w:b w:val="0"/>
                <w:bCs/>
                <w:color w:val="auto"/>
                <w:kern w:val="2"/>
                <w:sz w:val="24"/>
                <w:szCs w:val="24"/>
                <w:lang w:val="en-US" w:eastAsia="zh-CN" w:bidi="ar-SA"/>
              </w:rPr>
              <w:t>冬病夏治</w:t>
            </w:r>
            <w:r>
              <w:rPr>
                <w:rFonts w:hint="eastAsia" w:ascii="Times New Roman" w:hAnsi="Times New Roman" w:eastAsia="宋体" w:cs="Times New Roman"/>
                <w:b w:val="0"/>
                <w:bCs/>
                <w:color w:val="auto"/>
                <w:kern w:val="2"/>
                <w:sz w:val="24"/>
                <w:szCs w:val="24"/>
                <w:lang w:val="en-US" w:eastAsia="zh-CN" w:bidi="ar-SA"/>
              </w:rPr>
              <w:t>”</w:t>
            </w:r>
            <w:r>
              <w:rPr>
                <w:rFonts w:hint="default" w:ascii="Times New Roman" w:hAnsi="Times New Roman" w:eastAsia="宋体" w:cs="Times New Roman"/>
                <w:b w:val="0"/>
                <w:bCs/>
                <w:color w:val="auto"/>
                <w:kern w:val="2"/>
                <w:sz w:val="24"/>
                <w:szCs w:val="24"/>
                <w:lang w:val="en-US" w:eastAsia="zh-CN" w:bidi="ar-SA"/>
              </w:rPr>
              <w:t>工作的通知》（新环大气函〔2022〕483号）的要求：NOx：50mg/m</w:t>
            </w:r>
            <w:r>
              <w:rPr>
                <w:rFonts w:hint="default" w:ascii="Times New Roman" w:hAnsi="Times New Roman" w:eastAsia="宋体" w:cs="Times New Roman"/>
                <w:b w:val="0"/>
                <w:bCs/>
                <w:color w:val="auto"/>
                <w:kern w:val="2"/>
                <w:sz w:val="24"/>
                <w:szCs w:val="24"/>
                <w:vertAlign w:val="superscript"/>
                <w:lang w:val="en-US" w:eastAsia="zh-CN" w:bidi="ar-SA"/>
              </w:rPr>
              <w:t>3</w:t>
            </w:r>
          </w:p>
        </w:tc>
      </w:tr>
      <w:tr w14:paraId="4419D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457" w:type="dxa"/>
            <w:tcBorders>
              <w:tl2br w:val="nil"/>
              <w:tr2bl w:val="nil"/>
            </w:tcBorders>
            <w:vAlign w:val="center"/>
          </w:tcPr>
          <w:p w14:paraId="45E9FB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w:t>
            </w:r>
          </w:p>
          <w:p w14:paraId="024D5E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表</w:t>
            </w:r>
          </w:p>
          <w:p w14:paraId="5B3FC5E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w:t>
            </w:r>
          </w:p>
          <w:p w14:paraId="477AE5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w:t>
            </w:r>
          </w:p>
          <w:p w14:paraId="507AF4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Cs w:val="21"/>
              </w:rPr>
              <w:t>境</w:t>
            </w:r>
          </w:p>
        </w:tc>
        <w:tc>
          <w:tcPr>
            <w:tcW w:w="1638" w:type="dxa"/>
            <w:tcBorders>
              <w:tl2br w:val="nil"/>
              <w:tr2bl w:val="nil"/>
            </w:tcBorders>
            <w:vAlign w:val="center"/>
          </w:tcPr>
          <w:p w14:paraId="6E026A4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lang w:val="en-US" w:eastAsia="zh-CN"/>
              </w:rPr>
              <w:t>生产</w:t>
            </w:r>
            <w:r>
              <w:rPr>
                <w:rFonts w:hint="default" w:ascii="Times New Roman" w:hAnsi="Times New Roman" w:eastAsia="宋体" w:cs="Times New Roman"/>
                <w:b w:val="0"/>
                <w:bCs/>
                <w:color w:val="auto"/>
              </w:rPr>
              <w:t>废水</w:t>
            </w:r>
          </w:p>
        </w:tc>
        <w:tc>
          <w:tcPr>
            <w:tcW w:w="1798" w:type="dxa"/>
            <w:tcBorders>
              <w:tl2br w:val="nil"/>
              <w:tr2bl w:val="nil"/>
            </w:tcBorders>
            <w:vAlign w:val="center"/>
          </w:tcPr>
          <w:p w14:paraId="7FA06B2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lang w:val="en-US" w:eastAsia="zh-CN"/>
              </w:rPr>
            </w:pPr>
            <w:r>
              <w:rPr>
                <w:rFonts w:hint="default" w:ascii="Times New Roman" w:hAnsi="Times New Roman" w:eastAsia="宋体" w:cs="Times New Roman"/>
                <w:b w:val="0"/>
                <w:bCs/>
                <w:color w:val="auto"/>
                <w:lang w:val="en-US" w:eastAsia="zh-CN"/>
              </w:rPr>
              <w:t>COD</w:t>
            </w:r>
            <w:r>
              <w:rPr>
                <w:rFonts w:hint="default" w:ascii="Times New Roman" w:hAnsi="Times New Roman" w:eastAsia="宋体" w:cs="Times New Roman"/>
                <w:b w:val="0"/>
                <w:bCs/>
                <w:color w:val="auto"/>
                <w:vertAlign w:val="subscript"/>
                <w:lang w:val="en-US" w:eastAsia="zh-CN"/>
              </w:rPr>
              <w:t>cr</w:t>
            </w:r>
            <w:r>
              <w:rPr>
                <w:rFonts w:hint="default" w:ascii="Times New Roman" w:hAnsi="Times New Roman" w:eastAsia="宋体" w:cs="Times New Roman"/>
                <w:b w:val="0"/>
                <w:bCs/>
                <w:color w:val="auto"/>
                <w:lang w:val="en-US" w:eastAsia="zh-CN"/>
              </w:rPr>
              <w:t>、BOD</w:t>
            </w:r>
            <w:r>
              <w:rPr>
                <w:rFonts w:hint="default" w:ascii="Times New Roman" w:hAnsi="Times New Roman" w:eastAsia="宋体" w:cs="Times New Roman"/>
                <w:b w:val="0"/>
                <w:bCs/>
                <w:color w:val="auto"/>
                <w:vertAlign w:val="subscript"/>
                <w:lang w:val="en-US" w:eastAsia="zh-CN"/>
              </w:rPr>
              <w:t>5</w:t>
            </w:r>
            <w:r>
              <w:rPr>
                <w:rFonts w:hint="default" w:ascii="Times New Roman" w:hAnsi="Times New Roman" w:eastAsia="宋体" w:cs="Times New Roman"/>
                <w:b w:val="0"/>
                <w:bCs/>
                <w:color w:val="auto"/>
                <w:lang w:val="en-US" w:eastAsia="zh-CN"/>
              </w:rPr>
              <w:t>、SS、</w:t>
            </w:r>
          </w:p>
        </w:tc>
        <w:tc>
          <w:tcPr>
            <w:tcW w:w="1831" w:type="dxa"/>
            <w:tcBorders>
              <w:tl2br w:val="nil"/>
              <w:tr2bl w:val="nil"/>
            </w:tcBorders>
            <w:vAlign w:val="center"/>
          </w:tcPr>
          <w:p w14:paraId="32B43BA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lang w:val="en-US" w:eastAsia="zh-CN"/>
              </w:rPr>
            </w:pPr>
            <w:r>
              <w:rPr>
                <w:rFonts w:hint="default" w:ascii="Times New Roman" w:hAnsi="Times New Roman" w:eastAsia="宋体" w:cs="Times New Roman"/>
                <w:b w:val="0"/>
                <w:bCs/>
                <w:color w:val="auto"/>
                <w:lang w:val="en-US" w:eastAsia="zh-CN"/>
              </w:rPr>
              <w:t>锅炉排污水排入循环水池收集后回用生产车间，冷凝水循环管网回流</w:t>
            </w:r>
          </w:p>
        </w:tc>
        <w:tc>
          <w:tcPr>
            <w:tcW w:w="2765" w:type="dxa"/>
            <w:tcBorders>
              <w:tl2br w:val="nil"/>
              <w:tr2bl w:val="nil"/>
            </w:tcBorders>
            <w:vAlign w:val="center"/>
          </w:tcPr>
          <w:p w14:paraId="024B42C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FF"/>
                <w:lang w:val="en-US" w:eastAsia="zh-CN"/>
              </w:rPr>
            </w:pPr>
            <w:r>
              <w:rPr>
                <w:rFonts w:hint="default" w:ascii="Times New Roman" w:hAnsi="Times New Roman" w:eastAsia="宋体" w:cs="Times New Roman"/>
                <w:b w:val="0"/>
                <w:bCs/>
                <w:color w:val="0000FF"/>
                <w:lang w:val="en-US" w:eastAsia="zh-CN"/>
              </w:rPr>
              <w:t>/</w:t>
            </w:r>
          </w:p>
        </w:tc>
      </w:tr>
      <w:tr w14:paraId="2C6C0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457" w:type="dxa"/>
            <w:tcBorders>
              <w:tl2br w:val="nil"/>
              <w:tr2bl w:val="nil"/>
            </w:tcBorders>
            <w:vAlign w:val="center"/>
          </w:tcPr>
          <w:p w14:paraId="3F2D1FB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声</w:t>
            </w:r>
          </w:p>
          <w:p w14:paraId="1454BE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w:t>
            </w:r>
          </w:p>
          <w:p w14:paraId="1C9F86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境</w:t>
            </w:r>
          </w:p>
        </w:tc>
        <w:tc>
          <w:tcPr>
            <w:tcW w:w="1638" w:type="dxa"/>
            <w:tcBorders>
              <w:tl2br w:val="nil"/>
              <w:tr2bl w:val="nil"/>
            </w:tcBorders>
            <w:vAlign w:val="center"/>
          </w:tcPr>
          <w:p w14:paraId="7DF7C5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厂界四周</w:t>
            </w:r>
          </w:p>
        </w:tc>
        <w:tc>
          <w:tcPr>
            <w:tcW w:w="1798" w:type="dxa"/>
            <w:tcBorders>
              <w:tl2br w:val="nil"/>
              <w:tr2bl w:val="nil"/>
            </w:tcBorders>
            <w:vAlign w:val="center"/>
          </w:tcPr>
          <w:p w14:paraId="52CC623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等效A声级</w:t>
            </w:r>
          </w:p>
        </w:tc>
        <w:tc>
          <w:tcPr>
            <w:tcW w:w="1831" w:type="dxa"/>
            <w:tcBorders>
              <w:tl2br w:val="nil"/>
              <w:tr2bl w:val="nil"/>
            </w:tcBorders>
            <w:vAlign w:val="center"/>
          </w:tcPr>
          <w:p w14:paraId="0666648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消声、减振加强设备维护</w:t>
            </w:r>
          </w:p>
        </w:tc>
        <w:tc>
          <w:tcPr>
            <w:tcW w:w="2765" w:type="dxa"/>
            <w:tcBorders>
              <w:tl2br w:val="nil"/>
              <w:tr2bl w:val="nil"/>
            </w:tcBorders>
            <w:vAlign w:val="center"/>
          </w:tcPr>
          <w:p w14:paraId="7CC0E942">
            <w:pPr>
              <w:keepNext w:val="0"/>
              <w:keepLines w:val="0"/>
              <w:suppressLineNumbers w:val="0"/>
              <w:spacing w:before="0" w:beforeAutospacing="0" w:after="0" w:afterAutospacing="0"/>
              <w:ind w:left="0" w:right="0"/>
              <w:jc w:val="both"/>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《工业企业厂界环境噪声排放标准》（GB12348-2008）中的</w:t>
            </w:r>
            <w:r>
              <w:rPr>
                <w:rFonts w:hint="default" w:ascii="Times New Roman" w:hAnsi="Times New Roman" w:eastAsia="宋体" w:cs="Times New Roman"/>
                <w:b w:val="0"/>
                <w:bCs/>
                <w:color w:val="000000" w:themeColor="text1"/>
                <w:lang w:val="en-US" w:eastAsia="zh-CN"/>
                <w14:textFill>
                  <w14:solidFill>
                    <w14:schemeClr w14:val="tx1"/>
                  </w14:solidFill>
                </w14:textFill>
              </w:rPr>
              <w:t>3</w:t>
            </w:r>
            <w:r>
              <w:rPr>
                <w:rFonts w:hint="default" w:ascii="Times New Roman" w:hAnsi="Times New Roman" w:eastAsia="宋体" w:cs="Times New Roman"/>
                <w:b w:val="0"/>
                <w:bCs/>
                <w:color w:val="000000" w:themeColor="text1"/>
                <w14:textFill>
                  <w14:solidFill>
                    <w14:schemeClr w14:val="tx1"/>
                  </w14:solidFill>
                </w14:textFill>
              </w:rPr>
              <w:t>类标准要求</w:t>
            </w:r>
            <w:r>
              <w:rPr>
                <w:rFonts w:hint="default" w:ascii="Times New Roman" w:hAnsi="Times New Roman" w:eastAsia="宋体" w:cs="Times New Roman"/>
                <w:b w:val="0"/>
                <w:bCs/>
                <w:color w:val="000000" w:themeColor="text1"/>
                <w:lang w:eastAsia="zh-CN"/>
                <w14:textFill>
                  <w14:solidFill>
                    <w14:schemeClr w14:val="tx1"/>
                  </w14:solidFill>
                </w14:textFill>
              </w:rPr>
              <w:t>。</w:t>
            </w:r>
            <w:r>
              <w:rPr>
                <w:rFonts w:hint="default" w:ascii="Times New Roman" w:hAnsi="Times New Roman" w:eastAsia="宋体" w:cs="Times New Roman"/>
                <w:b w:val="0"/>
                <w:bCs/>
                <w:color w:val="000000" w:themeColor="text1"/>
                <w:lang w:val="en-US" w:eastAsia="zh-CN"/>
                <w14:textFill>
                  <w14:solidFill>
                    <w14:schemeClr w14:val="tx1"/>
                  </w14:solidFill>
                </w14:textFill>
              </w:rPr>
              <w:t>昼间65dB（A）、夜间55dB（A）</w:t>
            </w:r>
          </w:p>
        </w:tc>
      </w:tr>
      <w:tr w14:paraId="773A5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8" w:hRule="atLeast"/>
        </w:trPr>
        <w:tc>
          <w:tcPr>
            <w:tcW w:w="457" w:type="dxa"/>
            <w:vAlign w:val="center"/>
          </w:tcPr>
          <w:p w14:paraId="2A0588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电磁辐射</w:t>
            </w:r>
          </w:p>
        </w:tc>
        <w:tc>
          <w:tcPr>
            <w:tcW w:w="8032" w:type="dxa"/>
            <w:gridSpan w:val="4"/>
            <w:vAlign w:val="center"/>
          </w:tcPr>
          <w:p w14:paraId="1717CECB">
            <w:pPr>
              <w:pStyle w:val="15"/>
              <w:keepNext w:val="0"/>
              <w:keepLines w:val="0"/>
              <w:suppressLineNumbers w:val="0"/>
              <w:spacing w:before="0" w:beforeAutospacing="0" w:afterAutospacing="0"/>
              <w:ind w:left="0" w:leftChars="0" w:right="0"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w:t>
            </w:r>
          </w:p>
        </w:tc>
      </w:tr>
      <w:tr w14:paraId="35E5D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457" w:type="dxa"/>
            <w:vAlign w:val="center"/>
          </w:tcPr>
          <w:p w14:paraId="03C207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固体废物</w:t>
            </w:r>
          </w:p>
        </w:tc>
        <w:tc>
          <w:tcPr>
            <w:tcW w:w="8032" w:type="dxa"/>
            <w:gridSpan w:val="4"/>
            <w:vAlign w:val="center"/>
          </w:tcPr>
          <w:p w14:paraId="2A2D0294">
            <w:pPr>
              <w:pStyle w:val="46"/>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本项目产生的废离子交换树脂由厂家更换回收，即产即处理，不在厂区暂存。废机油暂存于厂区内现有危险废物贮存库，委托有资质单位进行处置</w:t>
            </w:r>
            <w:r>
              <w:rPr>
                <w:rFonts w:hint="eastAsia" w:cs="Times New Roman"/>
                <w:b w:val="0"/>
                <w:color w:val="000000" w:themeColor="text1"/>
                <w:kern w:val="2"/>
                <w:sz w:val="24"/>
                <w:szCs w:val="24"/>
                <w:lang w:val="en-US" w:eastAsia="zh-CN" w:bidi="ar-SA"/>
                <w14:textFill>
                  <w14:solidFill>
                    <w14:schemeClr w14:val="tx1"/>
                  </w14:solidFill>
                </w14:textFill>
              </w:rPr>
              <w:t>。</w:t>
            </w:r>
          </w:p>
        </w:tc>
      </w:tr>
      <w:tr w14:paraId="00173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8" w:hRule="atLeast"/>
        </w:trPr>
        <w:tc>
          <w:tcPr>
            <w:tcW w:w="457" w:type="dxa"/>
            <w:vAlign w:val="center"/>
          </w:tcPr>
          <w:p w14:paraId="46DEC0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土壤及地下水污染防治措施</w:t>
            </w:r>
          </w:p>
        </w:tc>
        <w:tc>
          <w:tcPr>
            <w:tcW w:w="8032" w:type="dxa"/>
            <w:gridSpan w:val="4"/>
            <w:vAlign w:val="center"/>
          </w:tcPr>
          <w:p w14:paraId="31D004E6">
            <w:pPr>
              <w:pStyle w:val="25"/>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现有危险废物贮存库已按照《危险废物贮存污染控制标准》（GB18597-2023）中的要求进行防渗处理，基本从入渗途径阻断了危险废物泄漏对地下水、土壤的影响。在认真采取以上措施的基础上，一旦发生溢出与渗漏事故，渗漏物质将由于防渗层的保护作用，积聚在地面上，不会对地下水及土壤造成影响</w:t>
            </w:r>
            <w:r>
              <w:rPr>
                <w:rFonts w:hint="eastAsia" w:cs="Times New Roman"/>
                <w:color w:val="000000" w:themeColor="text1"/>
                <w:lang w:val="en-US" w:eastAsia="zh-CN"/>
                <w14:textFill>
                  <w14:solidFill>
                    <w14:schemeClr w14:val="tx1"/>
                  </w14:solidFill>
                </w14:textFill>
              </w:rPr>
              <w:t>。</w:t>
            </w:r>
          </w:p>
        </w:tc>
      </w:tr>
      <w:tr w14:paraId="2EAC2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457" w:type="dxa"/>
            <w:vAlign w:val="center"/>
          </w:tcPr>
          <w:p w14:paraId="3AAE20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生态保护措施</w:t>
            </w:r>
          </w:p>
        </w:tc>
        <w:tc>
          <w:tcPr>
            <w:tcW w:w="8032" w:type="dxa"/>
            <w:gridSpan w:val="4"/>
            <w:vAlign w:val="center"/>
          </w:tcPr>
          <w:p w14:paraId="056EE8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w:t>
            </w:r>
          </w:p>
        </w:tc>
      </w:tr>
      <w:tr w14:paraId="2F2BD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05CDAE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pacing w:val="-8"/>
                <w:szCs w:val="21"/>
                <w14:textFill>
                  <w14:solidFill>
                    <w14:schemeClr w14:val="tx1"/>
                  </w14:solidFill>
                </w14:textFill>
              </w:rPr>
            </w:pPr>
            <w:r>
              <w:rPr>
                <w:rFonts w:hint="default" w:ascii="Times New Roman" w:hAnsi="Times New Roman" w:eastAsia="宋体" w:cs="Times New Roman"/>
                <w:color w:val="000000" w:themeColor="text1"/>
                <w:spacing w:val="-8"/>
                <w:szCs w:val="21"/>
                <w14:textFill>
                  <w14:solidFill>
                    <w14:schemeClr w14:val="tx1"/>
                  </w14:solidFill>
                </w14:textFill>
              </w:rPr>
              <w:t>环境风险</w:t>
            </w:r>
          </w:p>
          <w:p w14:paraId="7BB9D2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pacing w:val="-8"/>
                <w:sz w:val="21"/>
                <w:szCs w:val="21"/>
                <w14:textFill>
                  <w14:solidFill>
                    <w14:schemeClr w14:val="tx1"/>
                  </w14:solidFill>
                </w14:textFill>
              </w:rPr>
            </w:pPr>
            <w:r>
              <w:rPr>
                <w:rFonts w:hint="default" w:ascii="Times New Roman" w:hAnsi="Times New Roman" w:eastAsia="宋体" w:cs="Times New Roman"/>
                <w:color w:val="000000" w:themeColor="text1"/>
                <w:spacing w:val="-8"/>
                <w:szCs w:val="21"/>
                <w14:textFill>
                  <w14:solidFill>
                    <w14:schemeClr w14:val="tx1"/>
                  </w14:solidFill>
                </w14:textFill>
              </w:rPr>
              <w:t>防范措施</w:t>
            </w:r>
          </w:p>
        </w:tc>
        <w:tc>
          <w:tcPr>
            <w:tcW w:w="8032" w:type="dxa"/>
            <w:gridSpan w:val="4"/>
            <w:vAlign w:val="center"/>
          </w:tcPr>
          <w:p w14:paraId="71FE0D2A">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发生事故后（火灾或爆炸），应立即组织现场人员进行自救和互救，同时立即按照预案规定事故电话通知顺序通知各位领导和有关单位，通知受威胁地点的人员撤离，通知救援人员前往营救，重特大事故要立即向上级单位报告事故情况。对人员营救要利用专业工具，接近人员位置尽量用手或软东西清理，以防伤人，设置警戒，同时拨打</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120</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急救电话，请求救援。应急救援指挥部立即投入工作，派遣救护小分队进行灾情侦察、人员救治，进行灾害的</w:t>
            </w:r>
            <w:r>
              <w:rPr>
                <w:rFonts w:hint="eastAsia" w:cs="Times New Roman"/>
                <w:color w:val="000000" w:themeColor="text1"/>
                <w:lang w:val="en-US" w:eastAsia="zh-CN"/>
                <w14:textFill>
                  <w14:solidFill>
                    <w14:schemeClr w14:val="tx1"/>
                  </w14:solidFill>
                </w14:textFill>
              </w:rPr>
              <w:t>初步</w:t>
            </w:r>
            <w:r>
              <w:rPr>
                <w:rFonts w:hint="default" w:ascii="Times New Roman" w:hAnsi="Times New Roman" w:eastAsia="宋体" w:cs="Times New Roman"/>
                <w:color w:val="000000" w:themeColor="text1"/>
                <w:lang w:val="en-US" w:eastAsia="zh-CN"/>
                <w14:textFill>
                  <w14:solidFill>
                    <w14:schemeClr w14:val="tx1"/>
                  </w14:solidFill>
                </w14:textFill>
              </w:rPr>
              <w:t>评估，根据灾情制定救援方案，救援队现场抢险救灾直至灾情消除，恢复正常生产。</w:t>
            </w:r>
          </w:p>
        </w:tc>
      </w:tr>
      <w:tr w14:paraId="6C8B70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457" w:type="dxa"/>
            <w:vAlign w:val="center"/>
          </w:tcPr>
          <w:p w14:paraId="26EADE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pacing w:val="-8"/>
                <w:szCs w:val="21"/>
                <w14:textFill>
                  <w14:solidFill>
                    <w14:schemeClr w14:val="tx1"/>
                  </w14:solidFill>
                </w14:textFill>
              </w:rPr>
            </w:pPr>
            <w:r>
              <w:rPr>
                <w:rFonts w:hint="default" w:ascii="Times New Roman" w:hAnsi="Times New Roman" w:eastAsia="宋体" w:cs="Times New Roman"/>
                <w:color w:val="000000" w:themeColor="text1"/>
                <w:spacing w:val="-8"/>
                <w:szCs w:val="21"/>
                <w14:textFill>
                  <w14:solidFill>
                    <w14:schemeClr w14:val="tx1"/>
                  </w14:solidFill>
                </w14:textFill>
              </w:rPr>
              <w:t>其他环境</w:t>
            </w:r>
          </w:p>
          <w:p w14:paraId="29194F3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pacing w:val="-8"/>
                <w:sz w:val="21"/>
                <w:szCs w:val="21"/>
                <w14:textFill>
                  <w14:solidFill>
                    <w14:schemeClr w14:val="tx1"/>
                  </w14:solidFill>
                </w14:textFill>
              </w:rPr>
            </w:pPr>
            <w:r>
              <w:rPr>
                <w:rFonts w:hint="default" w:ascii="Times New Roman" w:hAnsi="Times New Roman" w:eastAsia="宋体" w:cs="Times New Roman"/>
                <w:color w:val="000000" w:themeColor="text1"/>
                <w:spacing w:val="-8"/>
                <w:szCs w:val="21"/>
                <w14:textFill>
                  <w14:solidFill>
                    <w14:schemeClr w14:val="tx1"/>
                  </w14:solidFill>
                </w14:textFill>
              </w:rPr>
              <w:t>管理要求</w:t>
            </w:r>
          </w:p>
        </w:tc>
        <w:tc>
          <w:tcPr>
            <w:tcW w:w="8032" w:type="dxa"/>
            <w:gridSpan w:val="4"/>
            <w:vAlign w:val="top"/>
          </w:tcPr>
          <w:p w14:paraId="3144CC77">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1 </w:t>
            </w:r>
            <w:r>
              <w:rPr>
                <w:rFonts w:hint="default" w:ascii="Times New Roman" w:hAnsi="Times New Roman" w:eastAsia="宋体" w:cs="Times New Roman"/>
                <w:b/>
                <w:bCs/>
                <w:color w:val="000000" w:themeColor="text1"/>
                <w:lang w:val="en-US" w:eastAsia="zh-CN"/>
                <w14:textFill>
                  <w14:solidFill>
                    <w14:schemeClr w14:val="tx1"/>
                  </w14:solidFill>
                </w14:textFill>
              </w:rPr>
              <w:t>污染物排放口管理要求</w:t>
            </w:r>
          </w:p>
          <w:p w14:paraId="468DB6A8">
            <w:pPr>
              <w:pStyle w:val="6"/>
              <w:suppressLineNumbers w:val="0"/>
              <w:bidi w:val="0"/>
              <w:spacing w:before="0" w:beforeAutospacing="0" w:after="0" w:afterAutospacing="0"/>
              <w:ind w:left="0" w:right="0" w:firstLine="480" w:firstLineChars="200"/>
              <w:jc w:val="both"/>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24"/>
                <w:szCs w:val="24"/>
                <w:lang w:val="en-US" w:eastAsia="zh-CN"/>
                <w14:textFill>
                  <w14:solidFill>
                    <w14:schemeClr w14:val="tx1"/>
                  </w14:solidFill>
                </w14:textFill>
              </w:rPr>
              <w:t>本项目共设置1个废气排放口，1根排气筒</w:t>
            </w:r>
            <w:r>
              <w:rPr>
                <w:rFonts w:hint="default" w:ascii="Times New Roman" w:hAnsi="Times New Roman" w:eastAsia="宋体" w:cs="Times New Roman"/>
                <w:b w:val="0"/>
                <w:bCs/>
                <w:color w:val="000000" w:themeColor="text1"/>
                <w:spacing w:val="0"/>
                <w:sz w:val="24"/>
                <w:szCs w:val="24"/>
                <w:highlight w:val="none"/>
                <w:lang w:val="en-US" w:eastAsia="zh-CN"/>
                <w14:textFill>
                  <w14:solidFill>
                    <w14:schemeClr w14:val="tx1"/>
                  </w14:solidFill>
                </w14:textFill>
              </w:rPr>
              <w:t>高度为22m</w:t>
            </w:r>
            <w:r>
              <w:rPr>
                <w:rFonts w:hint="default" w:ascii="Times New Roman" w:hAnsi="Times New Roman" w:eastAsia="宋体" w:cs="Times New Roman"/>
                <w:b w:val="0"/>
                <w:bCs/>
                <w:color w:val="000000" w:themeColor="text1"/>
                <w:spacing w:val="0"/>
                <w:sz w:val="24"/>
                <w:szCs w:val="24"/>
                <w:lang w:val="en-US" w:eastAsia="zh-CN"/>
                <w14:textFill>
                  <w14:solidFill>
                    <w14:schemeClr w14:val="tx1"/>
                  </w14:solidFill>
                </w14:textFill>
              </w:rPr>
              <w:t>。</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执行《环境图形标准排污口（源）》（GB15563.1-1995）、《危险废物识别标志设置技术规范》（HJ1276-2022）、《环境保护图形标志－固体废物贮存（处置）场》（GB15562.2-1995）及其2023年修改单要求，具体详见下图。标志牌应设在与之功能相应的醒目处，并保持清晰、完整。</w:t>
            </w:r>
          </w:p>
          <w:p w14:paraId="5B15AF04">
            <w:pPr>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p>
          <w:p w14:paraId="1EAF0786">
            <w:pPr>
              <w:pStyle w:val="1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color w:val="000000" w:themeColor="text1"/>
                <w:sz w:val="21"/>
                <w:szCs w:val="21"/>
                <w:lang w:val="en-US" w:eastAsia="zh-CN"/>
                <w14:textFill>
                  <w14:solidFill>
                    <w14:schemeClr w14:val="tx1"/>
                  </w14:solidFill>
                </w14:textFill>
              </w:rPr>
            </w:pPr>
          </w:p>
          <w:p w14:paraId="62D362EE">
            <w:pPr>
              <w:pStyle w:val="1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color w:val="000000" w:themeColor="text1"/>
                <w:sz w:val="21"/>
                <w:szCs w:val="21"/>
                <w:lang w:val="en-US" w:eastAsia="zh-CN"/>
                <w14:textFill>
                  <w14:solidFill>
                    <w14:schemeClr w14:val="tx1"/>
                  </w14:solidFill>
                </w14:textFill>
              </w:rPr>
            </w:pPr>
          </w:p>
          <w:p w14:paraId="3A4E50FB">
            <w:pPr>
              <w:pStyle w:val="1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color w:val="000000" w:themeColor="text1"/>
                <w:sz w:val="21"/>
                <w:szCs w:val="21"/>
                <w:lang w:val="en-US" w:eastAsia="zh-CN"/>
                <w14:textFill>
                  <w14:solidFill>
                    <w14:schemeClr w14:val="tx1"/>
                  </w14:solidFill>
                </w14:textFill>
              </w:rPr>
            </w:pPr>
          </w:p>
          <w:p w14:paraId="064AB46C">
            <w:pPr>
              <w:pStyle w:val="1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排放口标识</w:t>
            </w:r>
            <w:r>
              <w:rPr>
                <w:rFonts w:hint="eastAsia" w:ascii="Times New Roman" w:hAnsi="Times New Roman" w:cs="Times New Roman"/>
                <w:color w:val="000000" w:themeColor="text1"/>
                <w:sz w:val="21"/>
                <w:szCs w:val="21"/>
                <w:lang w:val="en-US" w:eastAsia="zh-CN"/>
                <w14:textFill>
                  <w14:solidFill>
                    <w14:schemeClr w14:val="tx1"/>
                  </w14:solidFill>
                </w14:textFill>
              </w:rPr>
              <w:t>一览表</w:t>
            </w:r>
          </w:p>
          <w:tbl>
            <w:tblPr>
              <w:tblStyle w:val="30"/>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351"/>
              <w:gridCol w:w="1435"/>
              <w:gridCol w:w="1296"/>
              <w:gridCol w:w="1266"/>
              <w:gridCol w:w="1272"/>
            </w:tblGrid>
            <w:tr w14:paraId="4E92A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bottom w:val="single" w:color="auto" w:sz="12" w:space="0"/>
                    <w:tl2br w:val="single" w:color="auto" w:sz="12" w:space="0"/>
                  </w:tcBorders>
                  <w:vAlign w:val="center"/>
                </w:tcPr>
                <w:p w14:paraId="0869B9C4">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cs="Times New Roman"/>
                      <w:b/>
                      <w:bCs w:val="0"/>
                      <w:color w:val="000000" w:themeColor="text1"/>
                      <w:sz w:val="21"/>
                      <w:szCs w:val="21"/>
                      <w:vertAlign w:val="baseline"/>
                      <w:lang w:val="en-US" w:eastAsia="zh-CN"/>
                      <w14:textFill>
                        <w14:solidFill>
                          <w14:schemeClr w14:val="tx1"/>
                        </w14:solidFill>
                      </w14:textFill>
                    </w:rPr>
                    <w:t xml:space="preserve">    部位</w:t>
                  </w:r>
                </w:p>
                <w:p w14:paraId="2A2DF2D5">
                  <w:pPr>
                    <w:keepNext w:val="0"/>
                    <w:keepLines w:val="0"/>
                    <w:suppressLineNumbers w:val="0"/>
                    <w:bidi w:val="0"/>
                    <w:spacing w:before="0" w:beforeAutospacing="0" w:after="0" w:afterAutospacing="0"/>
                    <w:ind w:left="0" w:right="0"/>
                    <w:jc w:val="left"/>
                    <w:rPr>
                      <w:rFonts w:hint="default" w:ascii="Times New Roman" w:hAnsi="Times New Roman" w:eastAsia="宋体" w:cstheme="minorBidi"/>
                      <w:b/>
                      <w:bCs w:val="0"/>
                      <w:kern w:val="2"/>
                      <w:sz w:val="21"/>
                      <w:szCs w:val="21"/>
                      <w:lang w:val="en-US" w:eastAsia="zh-CN" w:bidi="ar-SA"/>
                    </w:rPr>
                  </w:pPr>
                  <w:r>
                    <w:rPr>
                      <w:rFonts w:hint="eastAsia" w:cstheme="minorBidi"/>
                      <w:b/>
                      <w:bCs w:val="0"/>
                      <w:kern w:val="2"/>
                      <w:sz w:val="21"/>
                      <w:szCs w:val="21"/>
                      <w:lang w:val="en-US" w:eastAsia="zh-CN" w:bidi="ar-SA"/>
                    </w:rPr>
                    <w:t>项目</w:t>
                  </w:r>
                </w:p>
              </w:tc>
              <w:tc>
                <w:tcPr>
                  <w:tcW w:w="864" w:type="pct"/>
                  <w:tcBorders>
                    <w:bottom w:val="single" w:color="auto" w:sz="12" w:space="0"/>
                  </w:tcBorders>
                  <w:vAlign w:val="center"/>
                </w:tcPr>
                <w:p w14:paraId="1A788BC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cs="Times New Roman"/>
                      <w:b/>
                      <w:bCs w:val="0"/>
                      <w:color w:val="000000" w:themeColor="text1"/>
                      <w:sz w:val="21"/>
                      <w:szCs w:val="21"/>
                      <w:vertAlign w:val="baseline"/>
                      <w:lang w:val="en-US" w:eastAsia="zh-CN"/>
                      <w14:textFill>
                        <w14:solidFill>
                          <w14:schemeClr w14:val="tx1"/>
                        </w14:solidFill>
                      </w14:textFill>
                    </w:rPr>
                    <w:t>污水排放口</w:t>
                  </w:r>
                </w:p>
              </w:tc>
              <w:tc>
                <w:tcPr>
                  <w:tcW w:w="918" w:type="pct"/>
                  <w:tcBorders>
                    <w:bottom w:val="single" w:color="auto" w:sz="12" w:space="0"/>
                  </w:tcBorders>
                  <w:vAlign w:val="center"/>
                </w:tcPr>
                <w:p w14:paraId="21A2167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cs="Times New Roman"/>
                      <w:b/>
                      <w:bCs w:val="0"/>
                      <w:color w:val="000000" w:themeColor="text1"/>
                      <w:sz w:val="21"/>
                      <w:szCs w:val="21"/>
                      <w:vertAlign w:val="baseline"/>
                      <w:lang w:val="en-US" w:eastAsia="zh-CN"/>
                      <w14:textFill>
                        <w14:solidFill>
                          <w14:schemeClr w14:val="tx1"/>
                        </w14:solidFill>
                      </w14:textFill>
                    </w:rPr>
                    <w:t>噪声排放源</w:t>
                  </w:r>
                </w:p>
              </w:tc>
              <w:tc>
                <w:tcPr>
                  <w:tcW w:w="829" w:type="pct"/>
                  <w:tcBorders>
                    <w:bottom w:val="single" w:color="auto" w:sz="12" w:space="0"/>
                  </w:tcBorders>
                  <w:vAlign w:val="center"/>
                </w:tcPr>
                <w:p w14:paraId="410BDFE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cs="Times New Roman"/>
                      <w:b/>
                      <w:bCs w:val="0"/>
                      <w:color w:val="000000" w:themeColor="text1"/>
                      <w:sz w:val="21"/>
                      <w:szCs w:val="21"/>
                      <w:vertAlign w:val="baseline"/>
                      <w:lang w:val="en-US" w:eastAsia="zh-CN"/>
                      <w14:textFill>
                        <w14:solidFill>
                          <w14:schemeClr w14:val="tx1"/>
                        </w14:solidFill>
                      </w14:textFill>
                    </w:rPr>
                    <w:t>废气排放口</w:t>
                  </w:r>
                </w:p>
              </w:tc>
              <w:tc>
                <w:tcPr>
                  <w:tcW w:w="810" w:type="pct"/>
                  <w:tcBorders>
                    <w:bottom w:val="single" w:color="auto" w:sz="12" w:space="0"/>
                  </w:tcBorders>
                  <w:vAlign w:val="center"/>
                </w:tcPr>
                <w:p w14:paraId="18DCF572">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cs="Times New Roman"/>
                      <w:b/>
                      <w:bCs w:val="0"/>
                      <w:color w:val="000000" w:themeColor="text1"/>
                      <w:sz w:val="21"/>
                      <w:szCs w:val="21"/>
                      <w:vertAlign w:val="baseline"/>
                      <w:lang w:val="en-US" w:eastAsia="zh-CN"/>
                      <w14:textFill>
                        <w14:solidFill>
                          <w14:schemeClr w14:val="tx1"/>
                        </w14:solidFill>
                      </w14:textFill>
                    </w:rPr>
                    <w:t>一般固体废物</w:t>
                  </w:r>
                </w:p>
              </w:tc>
              <w:tc>
                <w:tcPr>
                  <w:tcW w:w="814" w:type="pct"/>
                  <w:tcBorders>
                    <w:bottom w:val="single" w:color="auto" w:sz="12" w:space="0"/>
                  </w:tcBorders>
                  <w:vAlign w:val="center"/>
                </w:tcPr>
                <w:p w14:paraId="2A4E1D8D">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cs="Times New Roman"/>
                      <w:b/>
                      <w:bCs w:val="0"/>
                      <w:color w:val="000000" w:themeColor="text1"/>
                      <w:sz w:val="21"/>
                      <w:szCs w:val="21"/>
                      <w:vertAlign w:val="baseline"/>
                      <w:lang w:val="en-US" w:eastAsia="zh-CN"/>
                      <w14:textFill>
                        <w14:solidFill>
                          <w14:schemeClr w14:val="tx1"/>
                        </w14:solidFill>
                      </w14:textFill>
                    </w:rPr>
                    <w:t>危险废物</w:t>
                  </w:r>
                </w:p>
              </w:tc>
            </w:tr>
            <w:tr w14:paraId="34FA4B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op w:val="single" w:color="auto" w:sz="12" w:space="0"/>
                    <w:bottom w:val="single" w:color="auto" w:sz="8" w:space="0"/>
                  </w:tcBorders>
                  <w:vAlign w:val="center"/>
                </w:tcPr>
                <w:p w14:paraId="56AF022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图形符号</w:t>
                  </w:r>
                </w:p>
              </w:tc>
              <w:tc>
                <w:tcPr>
                  <w:tcW w:w="864" w:type="pct"/>
                  <w:tcBorders>
                    <w:top w:val="single" w:color="auto" w:sz="12" w:space="0"/>
                    <w:tl2br w:val="nil"/>
                    <w:tr2bl w:val="nil"/>
                  </w:tcBorders>
                  <w:vAlign w:val="center"/>
                </w:tcPr>
                <w:p w14:paraId="70CA3E97">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drawing>
                      <wp:inline distT="0" distB="0" distL="114300" distR="114300">
                        <wp:extent cx="676275" cy="653415"/>
                        <wp:effectExtent l="0" t="0" r="9525" b="13335"/>
                        <wp:docPr id="20" name="图片 20" descr="QQ_176818525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_1768185259038"/>
                                <pic:cNvPicPr>
                                  <a:picLocks noChangeAspect="1"/>
                                </pic:cNvPicPr>
                              </pic:nvPicPr>
                              <pic:blipFill>
                                <a:blip r:embed="rId22"/>
                                <a:stretch>
                                  <a:fillRect/>
                                </a:stretch>
                              </pic:blipFill>
                              <pic:spPr>
                                <a:xfrm>
                                  <a:off x="0" y="0"/>
                                  <a:ext cx="676275" cy="653415"/>
                                </a:xfrm>
                                <a:prstGeom prst="rect">
                                  <a:avLst/>
                                </a:prstGeom>
                              </pic:spPr>
                            </pic:pic>
                          </a:graphicData>
                        </a:graphic>
                      </wp:inline>
                    </w:drawing>
                  </w:r>
                </w:p>
              </w:tc>
              <w:tc>
                <w:tcPr>
                  <w:tcW w:w="918" w:type="pct"/>
                  <w:tcBorders>
                    <w:top w:val="single" w:color="auto" w:sz="12" w:space="0"/>
                    <w:tl2br w:val="nil"/>
                    <w:tr2bl w:val="nil"/>
                  </w:tcBorders>
                  <w:vAlign w:val="center"/>
                </w:tcPr>
                <w:p w14:paraId="1ABF5AE0">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drawing>
                      <wp:inline distT="0" distB="0" distL="114300" distR="114300">
                        <wp:extent cx="637540" cy="640080"/>
                        <wp:effectExtent l="0" t="0" r="10160" b="7620"/>
                        <wp:docPr id="33" name="图片 33" descr="QQ_176818538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QQ_1768185380214"/>
                                <pic:cNvPicPr>
                                  <a:picLocks noChangeAspect="1"/>
                                </pic:cNvPicPr>
                              </pic:nvPicPr>
                              <pic:blipFill>
                                <a:blip r:embed="rId23"/>
                                <a:stretch>
                                  <a:fillRect/>
                                </a:stretch>
                              </pic:blipFill>
                              <pic:spPr>
                                <a:xfrm>
                                  <a:off x="0" y="0"/>
                                  <a:ext cx="637540" cy="640080"/>
                                </a:xfrm>
                                <a:prstGeom prst="rect">
                                  <a:avLst/>
                                </a:prstGeom>
                              </pic:spPr>
                            </pic:pic>
                          </a:graphicData>
                        </a:graphic>
                      </wp:inline>
                    </w:drawing>
                  </w:r>
                </w:p>
              </w:tc>
              <w:tc>
                <w:tcPr>
                  <w:tcW w:w="829" w:type="pct"/>
                  <w:tcBorders>
                    <w:top w:val="single" w:color="auto" w:sz="12" w:space="0"/>
                    <w:tl2br w:val="nil"/>
                    <w:tr2bl w:val="nil"/>
                  </w:tcBorders>
                  <w:vAlign w:val="center"/>
                </w:tcPr>
                <w:p w14:paraId="0C976B08">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drawing>
                      <wp:inline distT="0" distB="0" distL="114300" distR="114300">
                        <wp:extent cx="673100" cy="692785"/>
                        <wp:effectExtent l="0" t="0" r="12700" b="12065"/>
                        <wp:docPr id="38" name="图片 38" descr="QQ_176818545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QQ_1768185452301"/>
                                <pic:cNvPicPr>
                                  <a:picLocks noChangeAspect="1"/>
                                </pic:cNvPicPr>
                              </pic:nvPicPr>
                              <pic:blipFill>
                                <a:blip r:embed="rId24"/>
                                <a:stretch>
                                  <a:fillRect/>
                                </a:stretch>
                              </pic:blipFill>
                              <pic:spPr>
                                <a:xfrm>
                                  <a:off x="0" y="0"/>
                                  <a:ext cx="673100" cy="692785"/>
                                </a:xfrm>
                                <a:prstGeom prst="rect">
                                  <a:avLst/>
                                </a:prstGeom>
                              </pic:spPr>
                            </pic:pic>
                          </a:graphicData>
                        </a:graphic>
                      </wp:inline>
                    </w:drawing>
                  </w:r>
                </w:p>
              </w:tc>
              <w:tc>
                <w:tcPr>
                  <w:tcW w:w="810" w:type="pct"/>
                  <w:tcBorders>
                    <w:top w:val="single" w:color="auto" w:sz="12" w:space="0"/>
                    <w:tl2br w:val="nil"/>
                    <w:tr2bl w:val="nil"/>
                  </w:tcBorders>
                  <w:vAlign w:val="center"/>
                </w:tcPr>
                <w:p w14:paraId="79B85C03">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drawing>
                      <wp:inline distT="0" distB="0" distL="114300" distR="114300">
                        <wp:extent cx="660400" cy="645795"/>
                        <wp:effectExtent l="0" t="0" r="6350" b="1905"/>
                        <wp:docPr id="39" name="图片 39" descr="QQ_176818560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QQ_1768185604367"/>
                                <pic:cNvPicPr>
                                  <a:picLocks noChangeAspect="1"/>
                                </pic:cNvPicPr>
                              </pic:nvPicPr>
                              <pic:blipFill>
                                <a:blip r:embed="rId25"/>
                                <a:stretch>
                                  <a:fillRect/>
                                </a:stretch>
                              </pic:blipFill>
                              <pic:spPr>
                                <a:xfrm>
                                  <a:off x="0" y="0"/>
                                  <a:ext cx="660400" cy="645795"/>
                                </a:xfrm>
                                <a:prstGeom prst="rect">
                                  <a:avLst/>
                                </a:prstGeom>
                              </pic:spPr>
                            </pic:pic>
                          </a:graphicData>
                        </a:graphic>
                      </wp:inline>
                    </w:drawing>
                  </w:r>
                </w:p>
              </w:tc>
              <w:tc>
                <w:tcPr>
                  <w:tcW w:w="814" w:type="pct"/>
                  <w:tcBorders>
                    <w:top w:val="single" w:color="auto" w:sz="12" w:space="0"/>
                    <w:tl2br w:val="nil"/>
                    <w:tr2bl w:val="nil"/>
                  </w:tcBorders>
                  <w:vAlign w:val="center"/>
                </w:tcPr>
                <w:p w14:paraId="795AC40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eastAsia="zh-CN"/>
                      <w14:textFill>
                        <w14:solidFill>
                          <w14:schemeClr w14:val="tx1"/>
                        </w14:solidFill>
                      </w14:textFill>
                    </w:rPr>
                    <w:drawing>
                      <wp:inline distT="0" distB="0" distL="114300" distR="114300">
                        <wp:extent cx="666750" cy="590550"/>
                        <wp:effectExtent l="0" t="0" r="0" b="0"/>
                        <wp:docPr id="40" name="图片 40" descr="QQ_176818570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QQ_1768185703907"/>
                                <pic:cNvPicPr>
                                  <a:picLocks noChangeAspect="1"/>
                                </pic:cNvPicPr>
                              </pic:nvPicPr>
                              <pic:blipFill>
                                <a:blip r:embed="rId26"/>
                                <a:stretch>
                                  <a:fillRect/>
                                </a:stretch>
                              </pic:blipFill>
                              <pic:spPr>
                                <a:xfrm>
                                  <a:off x="0" y="0"/>
                                  <a:ext cx="666750" cy="590550"/>
                                </a:xfrm>
                                <a:prstGeom prst="rect">
                                  <a:avLst/>
                                </a:prstGeom>
                              </pic:spPr>
                            </pic:pic>
                          </a:graphicData>
                        </a:graphic>
                      </wp:inline>
                    </w:drawing>
                  </w:r>
                </w:p>
              </w:tc>
            </w:tr>
            <w:tr w14:paraId="7BA5B3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op w:val="single" w:color="auto" w:sz="8" w:space="0"/>
                  </w:tcBorders>
                  <w:vAlign w:val="center"/>
                </w:tcPr>
                <w:p w14:paraId="2F58CFA1">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形状</w:t>
                  </w:r>
                </w:p>
              </w:tc>
              <w:tc>
                <w:tcPr>
                  <w:tcW w:w="864" w:type="pct"/>
                  <w:tcBorders>
                    <w:tl2br w:val="nil"/>
                    <w:tr2bl w:val="nil"/>
                  </w:tcBorders>
                  <w:vAlign w:val="center"/>
                </w:tcPr>
                <w:p w14:paraId="08665FE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正方形边框</w:t>
                  </w:r>
                </w:p>
              </w:tc>
              <w:tc>
                <w:tcPr>
                  <w:tcW w:w="918" w:type="pct"/>
                  <w:tcBorders>
                    <w:tl2br w:val="nil"/>
                    <w:tr2bl w:val="nil"/>
                  </w:tcBorders>
                  <w:vAlign w:val="center"/>
                </w:tcPr>
                <w:p w14:paraId="1DA3233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正方形边框</w:t>
                  </w:r>
                </w:p>
              </w:tc>
              <w:tc>
                <w:tcPr>
                  <w:tcW w:w="829" w:type="pct"/>
                  <w:tcBorders>
                    <w:tl2br w:val="nil"/>
                    <w:tr2bl w:val="nil"/>
                  </w:tcBorders>
                  <w:vAlign w:val="center"/>
                </w:tcPr>
                <w:p w14:paraId="571262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正方形边框</w:t>
                  </w:r>
                </w:p>
              </w:tc>
              <w:tc>
                <w:tcPr>
                  <w:tcW w:w="810" w:type="pct"/>
                  <w:tcBorders>
                    <w:tl2br w:val="nil"/>
                    <w:tr2bl w:val="nil"/>
                  </w:tcBorders>
                  <w:vAlign w:val="center"/>
                </w:tcPr>
                <w:p w14:paraId="198577F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三角形边框</w:t>
                  </w:r>
                </w:p>
              </w:tc>
              <w:tc>
                <w:tcPr>
                  <w:tcW w:w="814" w:type="pct"/>
                  <w:tcBorders>
                    <w:tl2br w:val="nil"/>
                    <w:tr2bl w:val="nil"/>
                  </w:tcBorders>
                  <w:vAlign w:val="center"/>
                </w:tcPr>
                <w:p w14:paraId="65BF831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三角形边框</w:t>
                  </w:r>
                </w:p>
              </w:tc>
            </w:tr>
            <w:tr w14:paraId="0D53D7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4F62E9F3">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背景颜色</w:t>
                  </w:r>
                </w:p>
              </w:tc>
              <w:tc>
                <w:tcPr>
                  <w:tcW w:w="864" w:type="pct"/>
                  <w:tcBorders>
                    <w:tl2br w:val="nil"/>
                    <w:tr2bl w:val="nil"/>
                  </w:tcBorders>
                  <w:vAlign w:val="center"/>
                </w:tcPr>
                <w:p w14:paraId="0D664B98">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绿色</w:t>
                  </w:r>
                </w:p>
              </w:tc>
              <w:tc>
                <w:tcPr>
                  <w:tcW w:w="918" w:type="pct"/>
                  <w:tcBorders>
                    <w:tl2br w:val="nil"/>
                    <w:tr2bl w:val="nil"/>
                  </w:tcBorders>
                  <w:vAlign w:val="center"/>
                </w:tcPr>
                <w:p w14:paraId="6DAC9EEA">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绿色</w:t>
                  </w:r>
                </w:p>
              </w:tc>
              <w:tc>
                <w:tcPr>
                  <w:tcW w:w="829" w:type="pct"/>
                  <w:tcBorders>
                    <w:tl2br w:val="nil"/>
                    <w:tr2bl w:val="nil"/>
                  </w:tcBorders>
                  <w:vAlign w:val="center"/>
                </w:tcPr>
                <w:p w14:paraId="1676623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绿色</w:t>
                  </w:r>
                </w:p>
              </w:tc>
              <w:tc>
                <w:tcPr>
                  <w:tcW w:w="810" w:type="pct"/>
                  <w:tcBorders>
                    <w:tl2br w:val="nil"/>
                    <w:tr2bl w:val="nil"/>
                  </w:tcBorders>
                  <w:vAlign w:val="center"/>
                </w:tcPr>
                <w:p w14:paraId="6FB40039">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黄色</w:t>
                  </w:r>
                </w:p>
              </w:tc>
              <w:tc>
                <w:tcPr>
                  <w:tcW w:w="814" w:type="pct"/>
                  <w:tcBorders>
                    <w:tl2br w:val="nil"/>
                    <w:tr2bl w:val="nil"/>
                  </w:tcBorders>
                  <w:vAlign w:val="center"/>
                </w:tcPr>
                <w:p w14:paraId="0D7D0E0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黄色</w:t>
                  </w:r>
                </w:p>
              </w:tc>
            </w:tr>
            <w:tr w14:paraId="4CEB99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334D062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图形颜色</w:t>
                  </w:r>
                </w:p>
              </w:tc>
              <w:tc>
                <w:tcPr>
                  <w:tcW w:w="864" w:type="pct"/>
                  <w:tcBorders>
                    <w:tl2br w:val="nil"/>
                    <w:tr2bl w:val="nil"/>
                  </w:tcBorders>
                  <w:vAlign w:val="center"/>
                </w:tcPr>
                <w:p w14:paraId="48ADC151">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白色</w:t>
                  </w:r>
                </w:p>
              </w:tc>
              <w:tc>
                <w:tcPr>
                  <w:tcW w:w="918" w:type="pct"/>
                  <w:tcBorders>
                    <w:tl2br w:val="nil"/>
                    <w:tr2bl w:val="nil"/>
                  </w:tcBorders>
                  <w:vAlign w:val="center"/>
                </w:tcPr>
                <w:p w14:paraId="49677BC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白色</w:t>
                  </w:r>
                </w:p>
              </w:tc>
              <w:tc>
                <w:tcPr>
                  <w:tcW w:w="829" w:type="pct"/>
                  <w:tcBorders>
                    <w:tl2br w:val="nil"/>
                    <w:tr2bl w:val="nil"/>
                  </w:tcBorders>
                  <w:vAlign w:val="center"/>
                </w:tcPr>
                <w:p w14:paraId="5AE11DBB">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白色</w:t>
                  </w:r>
                </w:p>
              </w:tc>
              <w:tc>
                <w:tcPr>
                  <w:tcW w:w="810" w:type="pct"/>
                  <w:tcBorders>
                    <w:tl2br w:val="nil"/>
                    <w:tr2bl w:val="nil"/>
                  </w:tcBorders>
                  <w:vAlign w:val="center"/>
                </w:tcPr>
                <w:p w14:paraId="22527FDA">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黑色</w:t>
                  </w:r>
                </w:p>
              </w:tc>
              <w:tc>
                <w:tcPr>
                  <w:tcW w:w="814" w:type="pct"/>
                  <w:tcBorders>
                    <w:tl2br w:val="nil"/>
                    <w:tr2bl w:val="nil"/>
                  </w:tcBorders>
                  <w:vAlign w:val="center"/>
                </w:tcPr>
                <w:p w14:paraId="775BC9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黑色</w:t>
                  </w:r>
                </w:p>
              </w:tc>
            </w:tr>
          </w:tbl>
          <w:p w14:paraId="05446D83">
            <w:pPr>
              <w:pStyle w:val="6"/>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2 </w:t>
            </w:r>
            <w:r>
              <w:rPr>
                <w:rFonts w:hint="default" w:ascii="Times New Roman" w:hAnsi="Times New Roman" w:eastAsia="宋体" w:cs="Times New Roman"/>
                <w:color w:val="000000" w:themeColor="text1"/>
                <w14:textFill>
                  <w14:solidFill>
                    <w14:schemeClr w14:val="tx1"/>
                  </w14:solidFill>
                </w14:textFill>
              </w:rPr>
              <w:t>排污许可信息填报要求</w:t>
            </w:r>
          </w:p>
          <w:p w14:paraId="6BCA3839">
            <w:pPr>
              <w:pStyle w:val="25"/>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根据《排污许可管理条例》（中华人民共和国国务院令 第736号</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第二条</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依照法律规定实行排污许可管理的企业事业单位和其他生产经营者（以</w:t>
            </w:r>
            <w:r>
              <w:rPr>
                <w:rFonts w:hint="eastAsia" w:cs="Times New Roman"/>
                <w:color w:val="000000" w:themeColor="text1"/>
                <w:lang w:val="en-US" w:eastAsia="zh-CN"/>
                <w14:textFill>
                  <w14:solidFill>
                    <w14:schemeClr w14:val="tx1"/>
                  </w14:solidFill>
                </w14:textFill>
              </w:rPr>
              <w:t>下简</w:t>
            </w:r>
            <w:r>
              <w:rPr>
                <w:rFonts w:hint="default" w:ascii="Times New Roman" w:hAnsi="Times New Roman" w:eastAsia="宋体" w:cs="Times New Roman"/>
                <w:color w:val="000000" w:themeColor="text1"/>
                <w:lang w:val="en-US" w:eastAsia="zh-CN"/>
                <w14:textFill>
                  <w14:solidFill>
                    <w14:schemeClr w14:val="tx1"/>
                  </w14:solidFill>
                </w14:textFill>
              </w:rPr>
              <w:t>称排污单位），应当依照本条例规定申请取得排污许可证；未取得排污许可证的，不得排放污染物。参考《固定污染源排污许可分类管理名录（2019年版）》，本项目属于</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三十九、电力、热力生产和供应业</w:t>
            </w:r>
            <w:r>
              <w:rPr>
                <w:rFonts w:hint="eastAsia"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，本项目为出力4</w:t>
            </w:r>
            <w:r>
              <w:rPr>
                <w:rFonts w:hint="eastAsia" w:ascii="Times New Roman" w:hAnsi="Times New Roman" w:eastAsia="宋体" w:cs="Times New Roman"/>
                <w:color w:val="000000" w:themeColor="text1"/>
                <w:lang w:val="en-US" w:eastAsia="zh-CN"/>
                <w14:textFill>
                  <w14:solidFill>
                    <w14:schemeClr w14:val="tx1"/>
                  </w14:solidFill>
                </w14:textFill>
              </w:rPr>
              <w:t>t/h</w:t>
            </w:r>
            <w:r>
              <w:rPr>
                <w:rFonts w:hint="default" w:ascii="Times New Roman" w:hAnsi="Times New Roman" w:eastAsia="宋体" w:cs="Times New Roman"/>
                <w:color w:val="000000" w:themeColor="text1"/>
                <w:lang w:val="en-US" w:eastAsia="zh-CN"/>
                <w14:textFill>
                  <w14:solidFill>
                    <w14:schemeClr w14:val="tx1"/>
                  </w14:solidFill>
                </w14:textFill>
              </w:rPr>
              <w:t>的锅炉，因此为简化管理</w:t>
            </w:r>
            <w:r>
              <w:rPr>
                <w:rFonts w:hint="eastAsia" w:cs="Times New Roman"/>
                <w:color w:val="000000" w:themeColor="text1"/>
                <w:lang w:val="en-US" w:eastAsia="zh-CN"/>
                <w14:textFill>
                  <w14:solidFill>
                    <w14:schemeClr w14:val="tx1"/>
                  </w14:solidFill>
                </w14:textFill>
              </w:rPr>
              <w:t>，建设单位应在启动生产设施之前将本项目变更到现有项目排污许可中。</w:t>
            </w:r>
          </w:p>
          <w:p w14:paraId="30C0AE70">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 xml:space="preserve">3 </w:t>
            </w:r>
            <w:r>
              <w:rPr>
                <w:rFonts w:hint="default" w:ascii="Times New Roman" w:hAnsi="Times New Roman" w:eastAsia="宋体" w:cs="Times New Roman"/>
                <w:b/>
                <w:bCs/>
                <w:color w:val="000000" w:themeColor="text1"/>
                <w14:textFill>
                  <w14:solidFill>
                    <w14:schemeClr w14:val="tx1"/>
                  </w14:solidFill>
                </w14:textFill>
              </w:rPr>
              <w:t>竣工环境保护验收</w:t>
            </w:r>
          </w:p>
          <w:p w14:paraId="3FE1FD53">
            <w:pPr>
              <w:pStyle w:val="25"/>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根据《建设项目环境保护管理条例》</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2017年版</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有关规定，建设单位应当按照国务院生态环境主管部门规定的标准和程序</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对配套建设的环境保护设施进行自主验收，编制验收报告，验收小组应由建设单位、环保设施设计单位、施工单位、环评机构等共同组成，对环保治理设施进行竣工验收，并在运营期间检查各项环保治理设施的运转情况和治理效果</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含对排污口污染物浓度的监测</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，切实做好</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三同时</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w:t>
            </w:r>
          </w:p>
          <w:p w14:paraId="18F7D5F3">
            <w:pPr>
              <w:pStyle w:val="1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表</w:t>
            </w: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lang w:val="en-US" w:eastAsia="zh-CN"/>
                <w14:textFill>
                  <w14:solidFill>
                    <w14:schemeClr w14:val="tx1"/>
                  </w14:solidFill>
                </w14:textFill>
              </w:rPr>
              <w:t>建设项目环境保护</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三同时</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验收一览表</w:t>
            </w:r>
          </w:p>
          <w:tbl>
            <w:tblPr>
              <w:tblStyle w:val="29"/>
              <w:tblW w:w="4996"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75"/>
              <w:gridCol w:w="2149"/>
              <w:gridCol w:w="2695"/>
              <w:gridCol w:w="2491"/>
            </w:tblGrid>
            <w:tr w14:paraId="7A9AF199">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0" w:hRule="atLeast"/>
                <w:jc w:val="center"/>
              </w:trPr>
              <w:tc>
                <w:tcPr>
                  <w:tcW w:w="304" w:type="pct"/>
                  <w:tcBorders>
                    <w:top w:val="single" w:color="auto" w:sz="12" w:space="0"/>
                    <w:left w:val="nil"/>
                    <w:bottom w:val="single" w:color="auto" w:sz="12" w:space="0"/>
                    <w:right w:val="single" w:color="auto" w:sz="4" w:space="0"/>
                  </w:tcBorders>
                  <w:shd w:val="clear" w:color="auto" w:fill="auto"/>
                  <w:vAlign w:val="center"/>
                </w:tcPr>
                <w:p w14:paraId="34381190">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类别</w:t>
                  </w:r>
                </w:p>
              </w:tc>
              <w:tc>
                <w:tcPr>
                  <w:tcW w:w="1375" w:type="pct"/>
                  <w:tcBorders>
                    <w:top w:val="single" w:color="auto" w:sz="12" w:space="0"/>
                    <w:left w:val="single" w:color="auto" w:sz="4" w:space="0"/>
                    <w:bottom w:val="single" w:color="auto" w:sz="12" w:space="0"/>
                    <w:right w:val="single" w:color="auto" w:sz="4" w:space="0"/>
                  </w:tcBorders>
                  <w:shd w:val="clear" w:color="auto" w:fill="auto"/>
                  <w:vAlign w:val="center"/>
                </w:tcPr>
                <w:p w14:paraId="7D7E4237">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污染物</w:t>
                  </w:r>
                </w:p>
              </w:tc>
              <w:tc>
                <w:tcPr>
                  <w:tcW w:w="1725" w:type="pct"/>
                  <w:tcBorders>
                    <w:top w:val="single" w:color="auto" w:sz="12" w:space="0"/>
                    <w:left w:val="single" w:color="auto" w:sz="4" w:space="0"/>
                    <w:bottom w:val="single" w:color="auto" w:sz="12" w:space="0"/>
                    <w:right w:val="single" w:color="auto" w:sz="4" w:space="0"/>
                  </w:tcBorders>
                  <w:shd w:val="clear" w:color="auto" w:fill="auto"/>
                  <w:vAlign w:val="center"/>
                </w:tcPr>
                <w:p w14:paraId="17BA6CE4">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环保措施</w:t>
                  </w:r>
                </w:p>
              </w:tc>
              <w:tc>
                <w:tcPr>
                  <w:tcW w:w="1594" w:type="pct"/>
                  <w:tcBorders>
                    <w:top w:val="single" w:color="auto" w:sz="12" w:space="0"/>
                    <w:left w:val="single" w:color="auto" w:sz="4" w:space="0"/>
                    <w:bottom w:val="single" w:color="auto" w:sz="12" w:space="0"/>
                    <w:right w:val="nil"/>
                  </w:tcBorders>
                  <w:shd w:val="clear" w:color="auto" w:fill="auto"/>
                  <w:vAlign w:val="center"/>
                </w:tcPr>
                <w:p w14:paraId="2BCF9077">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bCs/>
                      <w:color w:val="000000"/>
                      <w:kern w:val="0"/>
                      <w:sz w:val="21"/>
                      <w:szCs w:val="21"/>
                    </w:rPr>
                  </w:pPr>
                  <w:r>
                    <w:rPr>
                      <w:rFonts w:hint="eastAsia" w:ascii="宋体" w:hAnsi="宋体" w:eastAsia="宋体" w:cs="宋体"/>
                      <w:b/>
                      <w:bCs/>
                      <w:color w:val="000000"/>
                      <w:kern w:val="0"/>
                      <w:sz w:val="21"/>
                      <w:szCs w:val="21"/>
                      <w:lang w:val="en-US" w:eastAsia="zh-CN" w:bidi="ar"/>
                    </w:rPr>
                    <w:t>验收标准</w:t>
                  </w:r>
                </w:p>
              </w:tc>
            </w:tr>
            <w:tr w14:paraId="78BB269C">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0" w:hRule="atLeast"/>
                <w:jc w:val="center"/>
              </w:trPr>
              <w:tc>
                <w:tcPr>
                  <w:tcW w:w="304" w:type="pct"/>
                  <w:tcBorders>
                    <w:top w:val="nil"/>
                    <w:left w:val="nil"/>
                    <w:bottom w:val="single" w:color="auto" w:sz="4" w:space="0"/>
                    <w:right w:val="single" w:color="auto" w:sz="4" w:space="0"/>
                  </w:tcBorders>
                  <w:shd w:val="clear" w:color="auto" w:fill="auto"/>
                  <w:vAlign w:val="center"/>
                </w:tcPr>
                <w:p w14:paraId="220FACDF">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rPr>
                  </w:pPr>
                  <w:r>
                    <w:rPr>
                      <w:rFonts w:hint="eastAsia" w:ascii="宋体" w:hAnsi="宋体" w:eastAsia="宋体" w:cs="宋体"/>
                      <w:b w:val="0"/>
                      <w:bCs/>
                      <w:color w:val="000000"/>
                      <w:kern w:val="0"/>
                      <w:sz w:val="21"/>
                      <w:szCs w:val="21"/>
                      <w:lang w:val="en-US" w:eastAsia="zh-CN" w:bidi="ar"/>
                    </w:rPr>
                    <w:t>废气</w:t>
                  </w:r>
                </w:p>
              </w:tc>
              <w:tc>
                <w:tcPr>
                  <w:tcW w:w="1375" w:type="pct"/>
                  <w:tcBorders>
                    <w:top w:val="single" w:color="auto" w:sz="12" w:space="0"/>
                    <w:left w:val="single" w:color="auto" w:sz="4" w:space="0"/>
                    <w:bottom w:val="single" w:color="auto" w:sz="4" w:space="0"/>
                    <w:right w:val="single" w:color="auto" w:sz="4" w:space="0"/>
                  </w:tcBorders>
                  <w:shd w:val="clear" w:color="auto" w:fill="auto"/>
                  <w:vAlign w:val="center"/>
                </w:tcPr>
                <w:p w14:paraId="1F988775">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lang w:val="en-US"/>
                    </w:rPr>
                  </w:pPr>
                  <w:r>
                    <w:rPr>
                      <w:rFonts w:hint="eastAsia" w:ascii="宋体" w:hAnsi="宋体" w:eastAsia="宋体" w:cs="宋体"/>
                      <w:b w:val="0"/>
                      <w:bCs/>
                      <w:color w:val="000000"/>
                      <w:kern w:val="0"/>
                      <w:sz w:val="21"/>
                      <w:szCs w:val="21"/>
                      <w:lang w:val="en-US" w:eastAsia="zh-CN" w:bidi="ar"/>
                    </w:rPr>
                    <w:t>燃气锅炉废气</w:t>
                  </w:r>
                </w:p>
              </w:tc>
              <w:tc>
                <w:tcPr>
                  <w:tcW w:w="1725" w:type="pct"/>
                  <w:tcBorders>
                    <w:top w:val="single" w:color="auto" w:sz="12" w:space="0"/>
                    <w:left w:val="single" w:color="auto" w:sz="4" w:space="0"/>
                    <w:bottom w:val="single" w:color="auto" w:sz="4" w:space="0"/>
                    <w:right w:val="single" w:color="auto" w:sz="4" w:space="0"/>
                  </w:tcBorders>
                  <w:shd w:val="clear" w:color="auto" w:fill="auto"/>
                  <w:vAlign w:val="center"/>
                </w:tcPr>
                <w:p w14:paraId="07293AB4">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低氮燃烧</w:t>
                  </w:r>
                  <w:r>
                    <w:rPr>
                      <w:rFonts w:hint="default" w:ascii="宋体" w:hAnsi="宋体" w:eastAsia="宋体" w:cs="宋体"/>
                      <w:b w:val="0"/>
                      <w:bCs/>
                      <w:color w:val="000000"/>
                      <w:kern w:val="0"/>
                      <w:sz w:val="21"/>
                      <w:szCs w:val="21"/>
                      <w:lang w:val="en-US" w:eastAsia="zh-CN" w:bidi="ar"/>
                    </w:rPr>
                    <w:t>+</w:t>
                  </w:r>
                  <w:r>
                    <w:rPr>
                      <w:rFonts w:hint="eastAsia" w:ascii="宋体" w:hAnsi="宋体" w:cs="宋体"/>
                      <w:b w:val="0"/>
                      <w:bCs/>
                      <w:color w:val="000000"/>
                      <w:kern w:val="0"/>
                      <w:sz w:val="21"/>
                      <w:szCs w:val="21"/>
                      <w:lang w:val="en-US" w:eastAsia="zh-CN" w:bidi="ar"/>
                    </w:rPr>
                    <w:t>烟气再循环+22</w:t>
                  </w:r>
                  <w:r>
                    <w:rPr>
                      <w:rFonts w:hint="eastAsia" w:ascii="宋体" w:hAnsi="宋体" w:eastAsia="宋体" w:cs="宋体"/>
                      <w:b w:val="0"/>
                      <w:bCs/>
                      <w:color w:val="000000"/>
                      <w:kern w:val="0"/>
                      <w:sz w:val="21"/>
                      <w:szCs w:val="21"/>
                      <w:lang w:val="en-US" w:eastAsia="zh-CN" w:bidi="ar"/>
                    </w:rPr>
                    <w:t>米高排气筒排放（</w:t>
                  </w:r>
                  <w:r>
                    <w:rPr>
                      <w:rFonts w:hint="default" w:ascii="宋体" w:hAnsi="宋体" w:eastAsia="宋体" w:cs="宋体"/>
                      <w:b w:val="0"/>
                      <w:bCs/>
                      <w:color w:val="000000"/>
                      <w:kern w:val="0"/>
                      <w:sz w:val="21"/>
                      <w:szCs w:val="21"/>
                      <w:lang w:val="en-US" w:eastAsia="zh-CN" w:bidi="ar"/>
                    </w:rPr>
                    <w:t>DA0</w:t>
                  </w:r>
                  <w:r>
                    <w:rPr>
                      <w:rFonts w:hint="eastAsia" w:ascii="宋体" w:hAnsi="宋体" w:cs="宋体"/>
                      <w:b w:val="0"/>
                      <w:bCs/>
                      <w:color w:val="000000"/>
                      <w:kern w:val="0"/>
                      <w:sz w:val="21"/>
                      <w:szCs w:val="21"/>
                      <w:lang w:val="en-US" w:eastAsia="zh-CN" w:bidi="ar"/>
                    </w:rPr>
                    <w:t>14</w:t>
                  </w:r>
                  <w:r>
                    <w:rPr>
                      <w:rFonts w:hint="eastAsia" w:ascii="宋体" w:hAnsi="宋体" w:eastAsia="宋体" w:cs="宋体"/>
                      <w:b w:val="0"/>
                      <w:bCs/>
                      <w:color w:val="000000"/>
                      <w:kern w:val="0"/>
                      <w:sz w:val="21"/>
                      <w:szCs w:val="21"/>
                      <w:lang w:val="en-US" w:eastAsia="zh-CN" w:bidi="ar"/>
                    </w:rPr>
                    <w:t>）</w:t>
                  </w:r>
                </w:p>
              </w:tc>
              <w:tc>
                <w:tcPr>
                  <w:tcW w:w="1594" w:type="pct"/>
                  <w:tcBorders>
                    <w:top w:val="single" w:color="auto" w:sz="12" w:space="0"/>
                    <w:left w:val="single" w:color="auto" w:sz="4" w:space="0"/>
                    <w:bottom w:val="single" w:color="auto" w:sz="4" w:space="0"/>
                    <w:right w:val="nil"/>
                  </w:tcBorders>
                  <w:shd w:val="clear" w:color="auto" w:fill="auto"/>
                  <w:vAlign w:val="center"/>
                </w:tcPr>
                <w:p w14:paraId="73CB24C0">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auto"/>
                      <w:kern w:val="2"/>
                      <w:sz w:val="21"/>
                      <w:szCs w:val="21"/>
                      <w:lang w:val="en-US" w:eastAsia="zh-CN" w:bidi="ar-SA"/>
                    </w:rPr>
                    <w:t>颗粒物、二氧化硫、林格曼黑度执行《锅炉大气污染物排放标准》（GB 13271-2014）表3大气污染物特别排放限值：颗粒物：20mg/m</w:t>
                  </w:r>
                  <w:r>
                    <w:rPr>
                      <w:rFonts w:hint="default" w:ascii="Times New Roman" w:hAnsi="Times New Roman" w:eastAsia="宋体" w:cs="Times New Roman"/>
                      <w:b w:val="0"/>
                      <w:bCs/>
                      <w:color w:val="auto"/>
                      <w:kern w:val="2"/>
                      <w:sz w:val="21"/>
                      <w:szCs w:val="21"/>
                      <w:vertAlign w:val="superscript"/>
                      <w:lang w:val="en-US" w:eastAsia="zh-CN" w:bidi="ar-SA"/>
                    </w:rPr>
                    <w:t>3</w:t>
                  </w:r>
                  <w:r>
                    <w:rPr>
                      <w:rFonts w:hint="default" w:ascii="Times New Roman" w:hAnsi="Times New Roman" w:eastAsia="宋体" w:cs="Times New Roman"/>
                      <w:b w:val="0"/>
                      <w:bCs/>
                      <w:color w:val="auto"/>
                      <w:kern w:val="2"/>
                      <w:sz w:val="21"/>
                      <w:szCs w:val="21"/>
                      <w:lang w:val="en-US" w:eastAsia="zh-CN" w:bidi="ar-SA"/>
                    </w:rPr>
                    <w:t>；SO</w:t>
                  </w:r>
                  <w:r>
                    <w:rPr>
                      <w:rFonts w:hint="default" w:ascii="Times New Roman" w:hAnsi="Times New Roman" w:eastAsia="宋体" w:cs="Times New Roman"/>
                      <w:b w:val="0"/>
                      <w:bCs/>
                      <w:color w:val="auto"/>
                      <w:kern w:val="2"/>
                      <w:sz w:val="21"/>
                      <w:szCs w:val="21"/>
                      <w:vertAlign w:val="subscript"/>
                      <w:lang w:val="en-US" w:eastAsia="zh-CN" w:bidi="ar-SA"/>
                    </w:rPr>
                    <w:t>2:</w:t>
                  </w:r>
                  <w:r>
                    <w:rPr>
                      <w:rFonts w:hint="default" w:ascii="Times New Roman" w:hAnsi="Times New Roman" w:eastAsia="宋体" w:cs="Times New Roman"/>
                      <w:b w:val="0"/>
                      <w:bCs/>
                      <w:color w:val="auto"/>
                      <w:kern w:val="2"/>
                      <w:sz w:val="21"/>
                      <w:szCs w:val="21"/>
                      <w:lang w:val="en-US" w:eastAsia="zh-CN" w:bidi="ar-SA"/>
                    </w:rPr>
                    <w:t>50mg/m</w:t>
                  </w:r>
                  <w:r>
                    <w:rPr>
                      <w:rFonts w:hint="eastAsia" w:cs="Times New Roman"/>
                      <w:b w:val="0"/>
                      <w:bCs/>
                      <w:color w:val="auto"/>
                      <w:kern w:val="2"/>
                      <w:sz w:val="21"/>
                      <w:szCs w:val="21"/>
                      <w:vertAlign w:val="superscript"/>
                      <w:lang w:val="en-US" w:eastAsia="zh-CN" w:bidi="ar-SA"/>
                    </w:rPr>
                    <w:t>3</w:t>
                  </w:r>
                  <w:r>
                    <w:rPr>
                      <w:rFonts w:hint="eastAsia"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林格曼黑度≤1，氮氧化物执行《关于开展自治区2022年度夏秋季大气污染防治</w:t>
                  </w:r>
                  <w:r>
                    <w:rPr>
                      <w:rFonts w:hint="eastAsia" w:ascii="Times New Roman" w:hAnsi="Times New Roman" w:eastAsia="宋体"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冬病夏治</w:t>
                  </w:r>
                  <w:r>
                    <w:rPr>
                      <w:rFonts w:hint="eastAsia" w:ascii="Times New Roman" w:hAnsi="Times New Roman" w:eastAsia="宋体"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工作的通知》（新环大气函〔2022〕483号）的要求：NOx：50mg/m</w:t>
                  </w:r>
                  <w:r>
                    <w:rPr>
                      <w:rFonts w:hint="default" w:ascii="Times New Roman" w:hAnsi="Times New Roman" w:eastAsia="宋体" w:cs="Times New Roman"/>
                      <w:b w:val="0"/>
                      <w:bCs/>
                      <w:color w:val="auto"/>
                      <w:kern w:val="2"/>
                      <w:sz w:val="21"/>
                      <w:szCs w:val="21"/>
                      <w:vertAlign w:val="superscript"/>
                      <w:lang w:val="en-US" w:eastAsia="zh-CN" w:bidi="ar-SA"/>
                    </w:rPr>
                    <w:t>3</w:t>
                  </w:r>
                </w:p>
              </w:tc>
            </w:tr>
            <w:tr w14:paraId="7DB3E23B">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0" w:hRule="atLeast"/>
                <w:jc w:val="center"/>
              </w:trPr>
              <w:tc>
                <w:tcPr>
                  <w:tcW w:w="304" w:type="pct"/>
                  <w:tcBorders>
                    <w:top w:val="single" w:color="auto" w:sz="4" w:space="0"/>
                    <w:left w:val="nil"/>
                    <w:bottom w:val="single" w:color="auto" w:sz="4" w:space="0"/>
                    <w:right w:val="single" w:color="auto" w:sz="4" w:space="0"/>
                  </w:tcBorders>
                  <w:shd w:val="clear" w:color="auto" w:fill="auto"/>
                  <w:vAlign w:val="center"/>
                </w:tcPr>
                <w:p w14:paraId="6F55803A">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废水</w:t>
                  </w:r>
                </w:p>
              </w:tc>
              <w:tc>
                <w:tcPr>
                  <w:tcW w:w="1375" w:type="pct"/>
                  <w:tcBorders>
                    <w:top w:val="single" w:color="auto" w:sz="4" w:space="0"/>
                    <w:left w:val="single" w:color="auto" w:sz="4" w:space="0"/>
                    <w:bottom w:val="single" w:color="auto" w:sz="4" w:space="0"/>
                    <w:right w:val="single" w:color="auto" w:sz="4" w:space="0"/>
                  </w:tcBorders>
                  <w:shd w:val="clear" w:color="auto" w:fill="auto"/>
                  <w:vAlign w:val="center"/>
                </w:tcPr>
                <w:p w14:paraId="0BCFDA9C">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锅炉废水</w:t>
                  </w:r>
                </w:p>
              </w:tc>
              <w:tc>
                <w:tcPr>
                  <w:tcW w:w="1725" w:type="pct"/>
                  <w:tcBorders>
                    <w:top w:val="single" w:color="auto" w:sz="4" w:space="0"/>
                    <w:left w:val="single" w:color="auto" w:sz="4" w:space="0"/>
                    <w:bottom w:val="single" w:color="auto" w:sz="4" w:space="0"/>
                    <w:right w:val="single" w:color="auto" w:sz="4" w:space="0"/>
                  </w:tcBorders>
                  <w:shd w:val="clear" w:color="auto" w:fill="auto"/>
                  <w:vAlign w:val="center"/>
                </w:tcPr>
                <w:p w14:paraId="678321E6">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rPr>
                    <w:t>锅炉排污水排入循环水池收集后回用生产车间，冷凝水循环管网回流</w:t>
                  </w:r>
                </w:p>
              </w:tc>
              <w:tc>
                <w:tcPr>
                  <w:tcW w:w="1594" w:type="pct"/>
                  <w:tcBorders>
                    <w:top w:val="single" w:color="auto" w:sz="4" w:space="0"/>
                    <w:left w:val="single" w:color="auto" w:sz="4" w:space="0"/>
                    <w:bottom w:val="single" w:color="auto" w:sz="4" w:space="0"/>
                    <w:right w:val="nil"/>
                  </w:tcBorders>
                  <w:shd w:val="clear" w:color="auto" w:fill="auto"/>
                  <w:vAlign w:val="center"/>
                </w:tcPr>
                <w:p w14:paraId="54BC1770">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bidi="ar"/>
                    </w:rPr>
                    <w:t>/</w:t>
                  </w:r>
                </w:p>
              </w:tc>
            </w:tr>
            <w:tr w14:paraId="0D54D70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04" w:type="pct"/>
                  <w:tcBorders>
                    <w:top w:val="single" w:color="auto" w:sz="4" w:space="0"/>
                    <w:left w:val="nil"/>
                    <w:bottom w:val="single" w:color="auto" w:sz="4" w:space="0"/>
                    <w:right w:val="single" w:color="auto" w:sz="4" w:space="0"/>
                  </w:tcBorders>
                  <w:shd w:val="clear" w:color="auto" w:fill="auto"/>
                  <w:vAlign w:val="center"/>
                </w:tcPr>
                <w:p w14:paraId="4C5F2A72">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噪声</w:t>
                  </w:r>
                </w:p>
              </w:tc>
              <w:tc>
                <w:tcPr>
                  <w:tcW w:w="1375" w:type="pct"/>
                  <w:tcBorders>
                    <w:top w:val="single" w:color="auto" w:sz="4" w:space="0"/>
                    <w:left w:val="single" w:color="auto" w:sz="4" w:space="0"/>
                    <w:bottom w:val="single" w:color="auto" w:sz="4" w:space="0"/>
                    <w:right w:val="single" w:color="auto" w:sz="4" w:space="0"/>
                  </w:tcBorders>
                  <w:shd w:val="clear" w:color="auto" w:fill="auto"/>
                  <w:vAlign w:val="center"/>
                </w:tcPr>
                <w:p w14:paraId="64C3197C">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噪声</w:t>
                  </w:r>
                </w:p>
              </w:tc>
              <w:tc>
                <w:tcPr>
                  <w:tcW w:w="1725" w:type="pct"/>
                  <w:tcBorders>
                    <w:top w:val="single" w:color="auto" w:sz="4" w:space="0"/>
                    <w:left w:val="single" w:color="auto" w:sz="4" w:space="0"/>
                    <w:bottom w:val="single" w:color="auto" w:sz="4" w:space="0"/>
                    <w:right w:val="single" w:color="auto" w:sz="4" w:space="0"/>
                  </w:tcBorders>
                  <w:shd w:val="clear" w:color="auto" w:fill="auto"/>
                  <w:vAlign w:val="center"/>
                </w:tcPr>
                <w:p w14:paraId="502D4046">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安装减振基础、减振垫、消声器等</w:t>
                  </w:r>
                </w:p>
              </w:tc>
              <w:tc>
                <w:tcPr>
                  <w:tcW w:w="1594" w:type="pct"/>
                  <w:tcBorders>
                    <w:top w:val="single" w:color="auto" w:sz="4" w:space="0"/>
                    <w:left w:val="single" w:color="auto" w:sz="4" w:space="0"/>
                    <w:bottom w:val="single" w:color="auto" w:sz="4" w:space="0"/>
                    <w:right w:val="nil"/>
                  </w:tcBorders>
                  <w:shd w:val="clear" w:color="auto" w:fill="auto"/>
                  <w:vAlign w:val="center"/>
                </w:tcPr>
                <w:p w14:paraId="7CF86748">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《工业企业厂界环境噪声排放标准》（</w:t>
                  </w:r>
                  <w:r>
                    <w:rPr>
                      <w:rFonts w:hint="default" w:ascii="Times New Roman" w:hAnsi="Times New Roman" w:eastAsia="宋体" w:cs="Times New Roman"/>
                      <w:b w:val="0"/>
                      <w:bCs/>
                      <w:color w:val="000000"/>
                      <w:kern w:val="0"/>
                      <w:sz w:val="21"/>
                      <w:szCs w:val="21"/>
                      <w:lang w:val="en-US" w:eastAsia="zh-CN" w:bidi="ar"/>
                    </w:rPr>
                    <w:t>GB12348-2008</w:t>
                  </w:r>
                  <w:r>
                    <w:rPr>
                      <w:rFonts w:hint="eastAsia" w:ascii="宋体" w:hAnsi="宋体" w:eastAsia="宋体" w:cs="宋体"/>
                      <w:b w:val="0"/>
                      <w:bCs/>
                      <w:color w:val="000000"/>
                      <w:kern w:val="0"/>
                      <w:sz w:val="21"/>
                      <w:szCs w:val="21"/>
                      <w:lang w:val="en-US" w:eastAsia="zh-CN" w:bidi="ar"/>
                    </w:rPr>
                    <w:t>）中</w:t>
                  </w:r>
                  <w:r>
                    <w:rPr>
                      <w:rFonts w:hint="eastAsia" w:ascii="Times New Roman" w:hAnsi="Times New Roman" w:eastAsia="宋体" w:cs="Times New Roman"/>
                      <w:b w:val="0"/>
                      <w:bCs/>
                      <w:color w:val="000000"/>
                      <w:kern w:val="0"/>
                      <w:sz w:val="21"/>
                      <w:szCs w:val="21"/>
                      <w:lang w:val="en-US" w:eastAsia="zh-CN" w:bidi="ar"/>
                    </w:rPr>
                    <w:t>3</w:t>
                  </w:r>
                  <w:r>
                    <w:rPr>
                      <w:rFonts w:hint="eastAsia" w:ascii="宋体" w:hAnsi="宋体" w:eastAsia="宋体" w:cs="宋体"/>
                      <w:b w:val="0"/>
                      <w:bCs/>
                      <w:color w:val="000000"/>
                      <w:kern w:val="0"/>
                      <w:sz w:val="21"/>
                      <w:szCs w:val="21"/>
                      <w:lang w:val="en-US" w:eastAsia="zh-CN" w:bidi="ar"/>
                    </w:rPr>
                    <w:t>类标准</w:t>
                  </w:r>
                </w:p>
              </w:tc>
            </w:tr>
            <w:tr w14:paraId="346594A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0" w:hRule="atLeast"/>
                <w:jc w:val="center"/>
              </w:trPr>
              <w:tc>
                <w:tcPr>
                  <w:tcW w:w="304" w:type="pct"/>
                  <w:vMerge w:val="restart"/>
                  <w:tcBorders>
                    <w:top w:val="single" w:color="auto" w:sz="4" w:space="0"/>
                    <w:left w:val="nil"/>
                    <w:bottom w:val="single" w:color="auto" w:sz="4" w:space="0"/>
                    <w:right w:val="single" w:color="auto" w:sz="4" w:space="0"/>
                  </w:tcBorders>
                  <w:shd w:val="clear" w:color="auto" w:fill="auto"/>
                  <w:vAlign w:val="center"/>
                </w:tcPr>
                <w:p w14:paraId="54D8F117">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固废</w:t>
                  </w:r>
                </w:p>
              </w:tc>
              <w:tc>
                <w:tcPr>
                  <w:tcW w:w="1375" w:type="pct"/>
                  <w:tcBorders>
                    <w:top w:val="single" w:color="auto" w:sz="4" w:space="0"/>
                    <w:left w:val="single" w:color="auto" w:sz="4" w:space="0"/>
                    <w:bottom w:val="single" w:color="auto" w:sz="4" w:space="0"/>
                    <w:right w:val="single" w:color="auto" w:sz="4" w:space="0"/>
                  </w:tcBorders>
                  <w:shd w:val="clear" w:color="auto" w:fill="auto"/>
                  <w:vAlign w:val="center"/>
                </w:tcPr>
                <w:p w14:paraId="5E6486C7">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一般生产固废</w:t>
                  </w:r>
                </w:p>
              </w:tc>
              <w:tc>
                <w:tcPr>
                  <w:tcW w:w="1725" w:type="pct"/>
                  <w:tcBorders>
                    <w:top w:val="single" w:color="auto" w:sz="4" w:space="0"/>
                    <w:left w:val="single" w:color="auto" w:sz="4" w:space="0"/>
                    <w:bottom w:val="single" w:color="auto" w:sz="4" w:space="0"/>
                    <w:right w:val="single" w:color="auto" w:sz="4" w:space="0"/>
                  </w:tcBorders>
                  <w:shd w:val="clear" w:color="auto" w:fill="auto"/>
                  <w:vAlign w:val="center"/>
                </w:tcPr>
                <w:p w14:paraId="37B3FAB0">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rPr>
                    <w:t>本项目产生的废离子交换树脂由厂家更换回收，即产即处理，不在厂区暂存。</w:t>
                  </w:r>
                </w:p>
              </w:tc>
              <w:tc>
                <w:tcPr>
                  <w:tcW w:w="1594" w:type="pct"/>
                  <w:tcBorders>
                    <w:top w:val="single" w:color="auto" w:sz="4" w:space="0"/>
                    <w:left w:val="single" w:color="auto" w:sz="4" w:space="0"/>
                    <w:bottom w:val="single" w:color="auto" w:sz="4" w:space="0"/>
                    <w:right w:val="nil"/>
                  </w:tcBorders>
                  <w:shd w:val="clear" w:color="auto" w:fill="auto"/>
                  <w:vAlign w:val="center"/>
                </w:tcPr>
                <w:p w14:paraId="1ABD222C">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rPr>
                    <w:t>一般固废处理执行《一般工业固体废物贮存和填埋污染控制标准》（GB18599-20</w:t>
                  </w:r>
                  <w:r>
                    <w:rPr>
                      <w:rFonts w:hint="eastAsia" w:ascii="Times New Roman" w:hAnsi="Times New Roman" w:eastAsia="宋体" w:cs="Times New Roman"/>
                      <w:b w:val="0"/>
                      <w:bCs/>
                      <w:color w:val="000000"/>
                      <w:kern w:val="0"/>
                      <w:sz w:val="21"/>
                      <w:szCs w:val="21"/>
                      <w:lang w:val="en-US" w:eastAsia="zh-CN"/>
                    </w:rPr>
                    <w:t>20</w:t>
                  </w:r>
                  <w:r>
                    <w:rPr>
                      <w:rFonts w:hint="default" w:ascii="Times New Roman" w:hAnsi="Times New Roman" w:eastAsia="宋体" w:cs="Times New Roman"/>
                      <w:b w:val="0"/>
                      <w:bCs/>
                      <w:color w:val="000000"/>
                      <w:kern w:val="0"/>
                      <w:sz w:val="21"/>
                      <w:szCs w:val="21"/>
                      <w:lang w:val="en-US" w:eastAsia="zh-CN"/>
                    </w:rPr>
                    <w:t>）</w:t>
                  </w:r>
                </w:p>
              </w:tc>
            </w:tr>
            <w:tr w14:paraId="5E5822F4">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04" w:type="pct"/>
                  <w:vMerge w:val="continue"/>
                  <w:tcBorders>
                    <w:top w:val="single" w:color="auto" w:sz="4" w:space="0"/>
                    <w:left w:val="nil"/>
                    <w:bottom w:val="single" w:color="auto" w:sz="4" w:space="0"/>
                    <w:right w:val="single" w:color="auto" w:sz="4" w:space="0"/>
                  </w:tcBorders>
                  <w:shd w:val="clear" w:color="auto" w:fill="auto"/>
                  <w:vAlign w:val="center"/>
                </w:tcPr>
                <w:p w14:paraId="52A7B8FE">
                  <w:pPr>
                    <w:keepNext w:val="0"/>
                    <w:keepLines w:val="0"/>
                    <w:suppressLineNumbers w:val="0"/>
                    <w:spacing w:before="0" w:beforeAutospacing="0" w:after="0" w:afterAutospacing="0"/>
                    <w:ind w:left="0" w:right="0"/>
                    <w:rPr>
                      <w:rFonts w:hint="default" w:ascii="Times New Roman" w:hAnsi="Times New Roman" w:cs="Times New Roman"/>
                      <w:b w:val="0"/>
                      <w:bCs/>
                      <w:sz w:val="21"/>
                      <w:szCs w:val="21"/>
                    </w:rPr>
                  </w:pPr>
                </w:p>
              </w:tc>
              <w:tc>
                <w:tcPr>
                  <w:tcW w:w="1375" w:type="pct"/>
                  <w:tcBorders>
                    <w:top w:val="single" w:color="auto" w:sz="4" w:space="0"/>
                    <w:left w:val="single" w:color="auto" w:sz="4" w:space="0"/>
                    <w:bottom w:val="single" w:color="auto" w:sz="4" w:space="0"/>
                    <w:right w:val="single" w:color="auto" w:sz="4" w:space="0"/>
                  </w:tcBorders>
                  <w:shd w:val="clear" w:color="auto" w:fill="auto"/>
                  <w:vAlign w:val="center"/>
                </w:tcPr>
                <w:p w14:paraId="35C1B9A1">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eastAsia" w:ascii="宋体" w:hAnsi="宋体" w:eastAsia="宋体" w:cs="宋体"/>
                      <w:b w:val="0"/>
                      <w:bCs/>
                      <w:color w:val="000000"/>
                      <w:kern w:val="0"/>
                      <w:sz w:val="21"/>
                      <w:szCs w:val="21"/>
                      <w:lang w:val="en-US" w:eastAsia="zh-CN" w:bidi="ar"/>
                    </w:rPr>
                    <w:t>危险废物</w:t>
                  </w:r>
                </w:p>
              </w:tc>
              <w:tc>
                <w:tcPr>
                  <w:tcW w:w="1725" w:type="pct"/>
                  <w:tcBorders>
                    <w:top w:val="single" w:color="auto" w:sz="4" w:space="0"/>
                    <w:left w:val="single" w:color="auto" w:sz="4" w:space="0"/>
                    <w:bottom w:val="single" w:color="auto" w:sz="4" w:space="0"/>
                    <w:right w:val="single" w:color="auto" w:sz="4" w:space="0"/>
                  </w:tcBorders>
                  <w:shd w:val="clear" w:color="auto" w:fill="auto"/>
                  <w:vAlign w:val="center"/>
                </w:tcPr>
                <w:p w14:paraId="2161B099">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rPr>
                    <w:t>废机油暂存于厂区内现有危险废物贮存库，委托有资质单位进行处置。</w:t>
                  </w:r>
                </w:p>
              </w:tc>
              <w:tc>
                <w:tcPr>
                  <w:tcW w:w="1594" w:type="pct"/>
                  <w:tcBorders>
                    <w:top w:val="single" w:color="auto" w:sz="4" w:space="0"/>
                    <w:left w:val="single" w:color="auto" w:sz="4" w:space="0"/>
                    <w:bottom w:val="single" w:color="auto" w:sz="4" w:space="0"/>
                    <w:right w:val="nil"/>
                  </w:tcBorders>
                  <w:shd w:val="clear" w:color="auto" w:fill="auto"/>
                  <w:vAlign w:val="center"/>
                </w:tcPr>
                <w:p w14:paraId="1656C12D">
                  <w:pPr>
                    <w:pStyle w:val="26"/>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1" w:after="0" w:afterAutospacing="1" w:line="240" w:lineRule="auto"/>
                    <w:ind w:left="24" w:leftChars="10" w:right="24" w:rightChars="10" w:firstLine="0" w:firstLineChars="0"/>
                    <w:jc w:val="center"/>
                    <w:rPr>
                      <w:rFonts w:hint="default" w:ascii="Times New Roman" w:hAnsi="Times New Roman" w:eastAsia="宋体" w:cs="Times New Roman"/>
                      <w:b w:val="0"/>
                      <w:bCs/>
                      <w:color w:val="000000"/>
                      <w:kern w:val="0"/>
                      <w:sz w:val="21"/>
                      <w:szCs w:val="21"/>
                    </w:rPr>
                  </w:pPr>
                  <w:r>
                    <w:rPr>
                      <w:rFonts w:hint="default" w:ascii="Times New Roman" w:hAnsi="Times New Roman" w:eastAsia="宋体" w:cs="Times New Roman"/>
                      <w:b w:val="0"/>
                      <w:bCs/>
                      <w:color w:val="000000"/>
                      <w:kern w:val="0"/>
                      <w:sz w:val="21"/>
                      <w:szCs w:val="21"/>
                      <w:lang w:val="en-US" w:eastAsia="zh-CN"/>
                    </w:rPr>
                    <w:t>《危险废物贮存污染控制标准》（GB18597-2023）</w:t>
                  </w:r>
                </w:p>
              </w:tc>
            </w:tr>
          </w:tbl>
          <w:p w14:paraId="5CBAFD07">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286F4856">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649CBB41">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6FC247B2">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41CE6DEE">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17DC406B">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6D732D62">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693EE782">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43FD9CA7">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0BE3B1E7">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4CD16E3E">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7AA7D3AC">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77F9E28B">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2467AE9D">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3892842D">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58022662">
            <w:pPr>
              <w:pStyle w:val="25"/>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000000" w:themeColor="text1"/>
                <w14:textFill>
                  <w14:solidFill>
                    <w14:schemeClr w14:val="tx1"/>
                  </w14:solidFill>
                </w14:textFill>
              </w:rPr>
            </w:pPr>
          </w:p>
        </w:tc>
      </w:tr>
    </w:tbl>
    <w:p w14:paraId="2C07DADE">
      <w:pPr>
        <w:jc w:val="both"/>
        <w:rPr>
          <w:rFonts w:hint="default" w:ascii="Times New Roman" w:hAnsi="Times New Roman" w:eastAsia="宋体"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748D398">
      <w:pPr>
        <w:pStyle w:val="4"/>
        <w:numPr>
          <w:ilvl w:val="0"/>
          <w:numId w:val="0"/>
        </w:numPr>
        <w:jc w:val="center"/>
        <w:rPr>
          <w:rFonts w:hint="default" w:ascii="Times New Roman" w:hAnsi="Times New Roman" w:eastAsia="宋体" w:cs="Times New Roman"/>
          <w:b/>
          <w:bCs w:val="0"/>
        </w:rPr>
      </w:pPr>
      <w:r>
        <w:rPr>
          <w:rFonts w:hint="default" w:ascii="Times New Roman" w:hAnsi="Times New Roman" w:eastAsia="宋体" w:cs="Times New Roman"/>
          <w:b/>
          <w:bCs w:val="0"/>
          <w:kern w:val="44"/>
          <w:sz w:val="30"/>
          <w:szCs w:val="24"/>
          <w:lang w:val="en-US" w:eastAsia="zh-CN" w:bidi="ar-SA"/>
        </w:rPr>
        <w:t>六、</w:t>
      </w:r>
      <w:r>
        <w:rPr>
          <w:rFonts w:hint="default" w:ascii="Times New Roman" w:hAnsi="Times New Roman" w:eastAsia="宋体" w:cs="Times New Roman"/>
          <w:b/>
          <w:bCs w:val="0"/>
        </w:rPr>
        <w:t>结论</w:t>
      </w:r>
    </w:p>
    <w:tbl>
      <w:tblPr>
        <w:tblStyle w:val="30"/>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511C58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823" w:hRule="atLeast"/>
        </w:trPr>
        <w:tc>
          <w:tcPr>
            <w:tcW w:w="8522" w:type="dxa"/>
            <w:tcBorders>
              <w:tl2br w:val="nil"/>
              <w:tr2bl w:val="nil"/>
            </w:tcBorders>
          </w:tcPr>
          <w:p w14:paraId="73AE474C">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lang w:eastAsia="zh-CN"/>
              </w:rPr>
            </w:pPr>
            <w:r>
              <w:rPr>
                <w:rFonts w:hint="eastAsia" w:cs="Times New Roman"/>
                <w:lang w:val="en-US" w:eastAsia="zh-CN"/>
              </w:rPr>
              <w:t>本项目</w:t>
            </w:r>
            <w:r>
              <w:rPr>
                <w:rFonts w:hint="default" w:ascii="Times New Roman" w:hAnsi="Times New Roman" w:eastAsia="宋体" w:cs="Times New Roman"/>
              </w:rPr>
              <w:t>符合国家产业政策和当地发展规划。项目在建设和运营过程中，通过采取有效的环保措施，能够实现污染物达标排放，对周围环境影响较小。从环境保护的角度来看，本项目的建设是可行的</w:t>
            </w:r>
            <w:r>
              <w:rPr>
                <w:rFonts w:hint="default" w:ascii="Times New Roman" w:hAnsi="Times New Roman" w:eastAsia="宋体" w:cs="Times New Roman"/>
                <w:lang w:eastAsia="zh-CN"/>
              </w:rPr>
              <w:t>。</w:t>
            </w:r>
          </w:p>
          <w:p w14:paraId="76022FEA">
            <w:pPr>
              <w:pStyle w:val="25"/>
              <w:keepNext w:val="0"/>
              <w:keepLines w:val="0"/>
              <w:suppressLineNumbers w:val="0"/>
              <w:spacing w:before="0" w:beforeAutospacing="0" w:after="0" w:afterAutospacing="0"/>
              <w:ind w:left="0" w:right="0" w:firstLine="480"/>
              <w:jc w:val="both"/>
              <w:rPr>
                <w:rFonts w:hint="default" w:ascii="Times New Roman" w:hAnsi="Times New Roman" w:eastAsia="宋体" w:cs="Times New Roman"/>
              </w:rPr>
            </w:pPr>
            <w:r>
              <w:rPr>
                <w:rFonts w:hint="default" w:ascii="Times New Roman" w:hAnsi="Times New Roman" w:eastAsia="宋体" w:cs="Times New Roman"/>
              </w:rPr>
              <w:t>本项目符合国家产业发展政策，项目周围外环境简单，无重大外环境制约因素，项目选址合理。项目施工期、营运期和服务期满阶段产生的</w:t>
            </w:r>
            <w:r>
              <w:rPr>
                <w:rFonts w:hint="eastAsia" w:ascii="Times New Roman" w:hAnsi="Times New Roman" w:eastAsia="宋体" w:cs="Times New Roman"/>
                <w:lang w:eastAsia="zh-CN"/>
              </w:rPr>
              <w:t>污染物</w:t>
            </w:r>
            <w:r>
              <w:rPr>
                <w:rFonts w:hint="default" w:ascii="Times New Roman" w:hAnsi="Times New Roman" w:eastAsia="宋体" w:cs="Times New Roman"/>
              </w:rPr>
              <w:t>按本报告表中提出的措施及方案进行治理、控制，并加强内部管理</w:t>
            </w:r>
            <w:r>
              <w:rPr>
                <w:rFonts w:hint="default" w:ascii="Times New Roman" w:hAnsi="Times New Roman" w:eastAsia="宋体" w:cs="Times New Roman"/>
                <w:lang w:eastAsia="zh-CN"/>
              </w:rPr>
              <w:t>，在</w:t>
            </w:r>
            <w:r>
              <w:rPr>
                <w:rFonts w:hint="default" w:ascii="Times New Roman" w:hAnsi="Times New Roman" w:eastAsia="宋体" w:cs="Times New Roman"/>
              </w:rPr>
              <w:t>实现环保</w:t>
            </w:r>
            <w:r>
              <w:rPr>
                <w:rFonts w:hint="default" w:ascii="Times New Roman" w:hAnsi="Times New Roman" w:eastAsia="宋体" w:cs="Times New Roman"/>
                <w:lang w:eastAsia="zh-CN"/>
              </w:rPr>
              <w:t>设施</w:t>
            </w:r>
            <w:r>
              <w:rPr>
                <w:rFonts w:hint="default" w:ascii="Times New Roman" w:hAnsi="Times New Roman" w:eastAsia="宋体" w:cs="Times New Roman"/>
              </w:rPr>
              <w:t>稳定运行的前提下，可以实现污染物达标排放，项目对周围环境不会产生影响。因此，从环境保护、发展经济的角度来看，本项目建设是可行的。</w:t>
            </w:r>
          </w:p>
          <w:p w14:paraId="67F1BC8A">
            <w:pPr>
              <w:keepNext w:val="0"/>
              <w:keepLines w:val="0"/>
              <w:suppressLineNumbers w:val="0"/>
              <w:spacing w:before="0" w:beforeAutospacing="0" w:after="0" w:afterAutospacing="0"/>
              <w:ind w:left="0" w:right="0"/>
              <w:jc w:val="both"/>
              <w:rPr>
                <w:rFonts w:hint="default" w:ascii="Times New Roman" w:hAnsi="Times New Roman" w:eastAsia="宋体" w:cs="Times New Roman"/>
              </w:rPr>
            </w:pPr>
          </w:p>
          <w:p w14:paraId="6F0658BB">
            <w:pPr>
              <w:pStyle w:val="15"/>
              <w:keepNext w:val="0"/>
              <w:keepLines w:val="0"/>
              <w:suppressLineNumbers w:val="0"/>
              <w:spacing w:before="0" w:beforeAutospacing="0" w:afterAutospacing="0"/>
              <w:ind w:left="482" w:right="0"/>
              <w:jc w:val="both"/>
              <w:rPr>
                <w:rFonts w:hint="default" w:ascii="Times New Roman" w:hAnsi="Times New Roman" w:eastAsia="宋体" w:cs="Times New Roman"/>
              </w:rPr>
            </w:pPr>
          </w:p>
          <w:p w14:paraId="381BE34E">
            <w:pPr>
              <w:pStyle w:val="12"/>
              <w:keepNext w:val="0"/>
              <w:keepLines w:val="0"/>
              <w:suppressLineNumbers w:val="0"/>
              <w:spacing w:beforeAutospacing="0" w:afterAutospacing="0"/>
              <w:ind w:left="0"/>
              <w:jc w:val="both"/>
              <w:rPr>
                <w:rFonts w:hint="default" w:ascii="Times New Roman" w:hAnsi="Times New Roman" w:eastAsia="宋体" w:cs="Times New Roman"/>
              </w:rPr>
            </w:pPr>
          </w:p>
          <w:p w14:paraId="38699178">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718D313A">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249D5CEE">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293F695D">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5B48C37D">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793518D3">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4F2A07B5">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087FE19B">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15E3B01D">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p w14:paraId="7A18E750">
            <w:pPr>
              <w:pStyle w:val="13"/>
              <w:keepNext w:val="0"/>
              <w:keepLines w:val="0"/>
              <w:suppressLineNumbers w:val="0"/>
              <w:spacing w:before="0" w:beforeAutospacing="0" w:afterAutospacing="0"/>
              <w:ind w:left="0" w:right="0"/>
              <w:jc w:val="both"/>
              <w:rPr>
                <w:rFonts w:hint="default" w:ascii="Times New Roman" w:hAnsi="Times New Roman" w:eastAsia="宋体" w:cs="Times New Roman"/>
              </w:rPr>
            </w:pPr>
          </w:p>
        </w:tc>
      </w:tr>
    </w:tbl>
    <w:p w14:paraId="5F70AD9A">
      <w:pPr>
        <w:jc w:val="both"/>
        <w:rPr>
          <w:rFonts w:hint="default" w:ascii="Times New Roman" w:hAnsi="Times New Roman" w:eastAsia="宋体"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F2A6BF4">
      <w:pPr>
        <w:rPr>
          <w:rFonts w:hint="default" w:ascii="Times New Roman" w:hAnsi="Times New Roman" w:eastAsia="宋体" w:cs="Times New Roman"/>
          <w:sz w:val="38"/>
          <w:szCs w:val="38"/>
        </w:rPr>
      </w:pPr>
      <w:r>
        <w:rPr>
          <w:rFonts w:hint="default" w:ascii="Times New Roman" w:hAnsi="Times New Roman" w:eastAsia="宋体" w:cs="Times New Roman"/>
          <w:sz w:val="38"/>
          <w:szCs w:val="38"/>
        </w:rPr>
        <w:t>附表</w:t>
      </w:r>
    </w:p>
    <w:p w14:paraId="106AD086">
      <w:pPr>
        <w:jc w:val="center"/>
        <w:rPr>
          <w:rFonts w:hint="default" w:ascii="Times New Roman" w:hAnsi="Times New Roman" w:eastAsia="宋体" w:cs="Times New Roman"/>
          <w:sz w:val="38"/>
          <w:szCs w:val="38"/>
        </w:rPr>
      </w:pPr>
      <w:r>
        <w:rPr>
          <w:rFonts w:hint="default" w:ascii="Times New Roman" w:hAnsi="Times New Roman" w:eastAsia="宋体" w:cs="Times New Roman"/>
          <w:sz w:val="38"/>
          <w:szCs w:val="38"/>
        </w:rPr>
        <w:t>建设项目污染物排放量汇总表</w:t>
      </w:r>
    </w:p>
    <w:tbl>
      <w:tblPr>
        <w:tblStyle w:val="29"/>
        <w:tblW w:w="456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703"/>
        <w:gridCol w:w="542"/>
        <w:gridCol w:w="1560"/>
        <w:gridCol w:w="988"/>
        <w:gridCol w:w="1487"/>
        <w:gridCol w:w="1483"/>
        <w:gridCol w:w="1365"/>
        <w:gridCol w:w="1709"/>
        <w:gridCol w:w="1276"/>
      </w:tblGrid>
      <w:tr w14:paraId="4C3434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422" w:type="pct"/>
            <w:tcBorders>
              <w:tl2br w:val="single" w:color="auto" w:sz="4" w:space="0"/>
            </w:tcBorders>
            <w:tcMar>
              <w:left w:w="28" w:type="dxa"/>
              <w:right w:w="28" w:type="dxa"/>
            </w:tcMar>
            <w:vAlign w:val="center"/>
          </w:tcPr>
          <w:p w14:paraId="15CF024E">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firstLine="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项目</w:t>
            </w:r>
          </w:p>
          <w:p w14:paraId="7518DD77">
            <w:pPr>
              <w:pStyle w:val="5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both"/>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分类</w:t>
            </w:r>
          </w:p>
        </w:tc>
        <w:tc>
          <w:tcPr>
            <w:tcW w:w="512" w:type="pct"/>
            <w:gridSpan w:val="2"/>
            <w:tcMar>
              <w:left w:w="28" w:type="dxa"/>
              <w:right w:w="28" w:type="dxa"/>
            </w:tcMar>
            <w:vAlign w:val="center"/>
          </w:tcPr>
          <w:p w14:paraId="5F706BB5">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污染物名称</w:t>
            </w:r>
          </w:p>
        </w:tc>
        <w:tc>
          <w:tcPr>
            <w:tcW w:w="642" w:type="pct"/>
            <w:tcMar>
              <w:left w:w="28" w:type="dxa"/>
              <w:right w:w="28" w:type="dxa"/>
            </w:tcMar>
            <w:vAlign w:val="center"/>
          </w:tcPr>
          <w:p w14:paraId="1FFA1029">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现有工程排放量（固体废物产生量）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1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snapToGrid w:val="0"/>
                <w:color w:val="auto"/>
                <w:spacing w:val="-6"/>
                <w:kern w:val="21"/>
                <w:sz w:val="21"/>
                <w:szCs w:val="21"/>
              </w:rPr>
              <w:t>①</w:t>
            </w:r>
            <w:r>
              <w:rPr>
                <w:rFonts w:hint="default" w:ascii="Times New Roman" w:hAnsi="Times New Roman" w:eastAsia="宋体" w:cs="Times New Roman"/>
                <w:snapToGrid w:val="0"/>
                <w:color w:val="auto"/>
                <w:spacing w:val="-6"/>
                <w:kern w:val="21"/>
                <w:sz w:val="21"/>
                <w:szCs w:val="21"/>
              </w:rPr>
              <w:fldChar w:fldCharType="end"/>
            </w:r>
          </w:p>
        </w:tc>
        <w:tc>
          <w:tcPr>
            <w:tcW w:w="406" w:type="pct"/>
            <w:tcMar>
              <w:left w:w="28" w:type="dxa"/>
              <w:right w:w="28" w:type="dxa"/>
            </w:tcMar>
            <w:vAlign w:val="center"/>
          </w:tcPr>
          <w:p w14:paraId="2DB954CC">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现有工程许可排放量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2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snapToGrid w:val="0"/>
                <w:color w:val="auto"/>
                <w:spacing w:val="-6"/>
                <w:kern w:val="21"/>
                <w:sz w:val="21"/>
                <w:szCs w:val="21"/>
              </w:rPr>
              <w:t>②</w:t>
            </w:r>
            <w:r>
              <w:rPr>
                <w:rFonts w:hint="default" w:ascii="Times New Roman" w:hAnsi="Times New Roman" w:eastAsia="宋体" w:cs="Times New Roman"/>
                <w:snapToGrid w:val="0"/>
                <w:color w:val="auto"/>
                <w:spacing w:val="-6"/>
                <w:kern w:val="21"/>
                <w:sz w:val="21"/>
                <w:szCs w:val="21"/>
              </w:rPr>
              <w:fldChar w:fldCharType="end"/>
            </w:r>
          </w:p>
        </w:tc>
        <w:tc>
          <w:tcPr>
            <w:tcW w:w="612" w:type="pct"/>
            <w:tcMar>
              <w:left w:w="28" w:type="dxa"/>
              <w:right w:w="28" w:type="dxa"/>
            </w:tcMar>
            <w:vAlign w:val="center"/>
          </w:tcPr>
          <w:p w14:paraId="2476B915">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在建工程排放量（固体废物产生量）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3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③</w:t>
            </w:r>
            <w:r>
              <w:rPr>
                <w:rFonts w:hint="default" w:ascii="Times New Roman" w:hAnsi="Times New Roman" w:eastAsia="宋体" w:cs="Times New Roman"/>
                <w:snapToGrid w:val="0"/>
                <w:color w:val="auto"/>
                <w:spacing w:val="-6"/>
                <w:kern w:val="21"/>
                <w:sz w:val="21"/>
                <w:szCs w:val="21"/>
              </w:rPr>
              <w:fldChar w:fldCharType="end"/>
            </w:r>
          </w:p>
        </w:tc>
        <w:tc>
          <w:tcPr>
            <w:tcW w:w="610" w:type="pct"/>
            <w:tcMar>
              <w:left w:w="28" w:type="dxa"/>
              <w:right w:w="28" w:type="dxa"/>
            </w:tcMar>
            <w:vAlign w:val="center"/>
          </w:tcPr>
          <w:p w14:paraId="205E2AFD">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本项目排放量（固体废物产生量）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4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④</w:t>
            </w:r>
            <w:r>
              <w:rPr>
                <w:rFonts w:hint="default" w:ascii="Times New Roman" w:hAnsi="Times New Roman" w:eastAsia="宋体" w:cs="Times New Roman"/>
                <w:snapToGrid w:val="0"/>
                <w:color w:val="auto"/>
                <w:spacing w:val="-6"/>
                <w:kern w:val="21"/>
                <w:sz w:val="21"/>
                <w:szCs w:val="21"/>
              </w:rPr>
              <w:fldChar w:fldCharType="end"/>
            </w:r>
          </w:p>
        </w:tc>
        <w:tc>
          <w:tcPr>
            <w:tcW w:w="562" w:type="pct"/>
            <w:tcMar>
              <w:left w:w="28" w:type="dxa"/>
              <w:right w:w="28" w:type="dxa"/>
            </w:tcMar>
            <w:vAlign w:val="center"/>
          </w:tcPr>
          <w:p w14:paraId="50908EE0">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以新带老削减量（新建项目不填）</w:t>
            </w:r>
            <w:r>
              <w:rPr>
                <w:rFonts w:hint="default" w:ascii="Times New Roman" w:hAnsi="Times New Roman" w:eastAsia="宋体" w:cs="Times New Roman"/>
                <w:snapToGrid w:val="0"/>
                <w:color w:val="auto"/>
                <w:spacing w:val="-16"/>
                <w:kern w:val="21"/>
                <w:sz w:val="21"/>
                <w:szCs w:val="21"/>
              </w:rPr>
              <w:fldChar w:fldCharType="begin"/>
            </w:r>
            <w:r>
              <w:rPr>
                <w:rFonts w:hint="default" w:ascii="Times New Roman" w:hAnsi="Times New Roman" w:eastAsia="宋体" w:cs="Times New Roman"/>
                <w:snapToGrid w:val="0"/>
                <w:color w:val="auto"/>
                <w:spacing w:val="-16"/>
                <w:kern w:val="21"/>
                <w:sz w:val="21"/>
                <w:szCs w:val="21"/>
              </w:rPr>
              <w:instrText xml:space="preserve"> = 5 \* GB3 \* MERGEFORMAT </w:instrText>
            </w:r>
            <w:r>
              <w:rPr>
                <w:rFonts w:hint="default" w:ascii="Times New Roman" w:hAnsi="Times New Roman" w:eastAsia="宋体" w:cs="Times New Roman"/>
                <w:snapToGrid w:val="0"/>
                <w:color w:val="auto"/>
                <w:spacing w:val="-16"/>
                <w:kern w:val="21"/>
                <w:sz w:val="21"/>
                <w:szCs w:val="21"/>
              </w:rPr>
              <w:fldChar w:fldCharType="separate"/>
            </w:r>
            <w:r>
              <w:rPr>
                <w:rFonts w:hint="default" w:ascii="Times New Roman" w:hAnsi="Times New Roman" w:eastAsia="宋体" w:cs="Times New Roman"/>
                <w:color w:val="auto"/>
                <w:kern w:val="2"/>
                <w:sz w:val="21"/>
                <w:szCs w:val="21"/>
              </w:rPr>
              <w:t>⑤</w:t>
            </w:r>
            <w:r>
              <w:rPr>
                <w:rFonts w:hint="default" w:ascii="Times New Roman" w:hAnsi="Times New Roman" w:eastAsia="宋体" w:cs="Times New Roman"/>
                <w:snapToGrid w:val="0"/>
                <w:color w:val="auto"/>
                <w:spacing w:val="-16"/>
                <w:kern w:val="21"/>
                <w:sz w:val="21"/>
                <w:szCs w:val="21"/>
              </w:rPr>
              <w:fldChar w:fldCharType="end"/>
            </w:r>
          </w:p>
        </w:tc>
        <w:tc>
          <w:tcPr>
            <w:tcW w:w="703" w:type="pct"/>
            <w:tcMar>
              <w:left w:w="28" w:type="dxa"/>
              <w:right w:w="28" w:type="dxa"/>
            </w:tcMar>
            <w:vAlign w:val="center"/>
          </w:tcPr>
          <w:p w14:paraId="25023410">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16"/>
                <w:kern w:val="21"/>
                <w:sz w:val="21"/>
                <w:szCs w:val="21"/>
              </w:rPr>
            </w:pPr>
            <w:r>
              <w:rPr>
                <w:rFonts w:hint="default" w:ascii="Times New Roman" w:hAnsi="Times New Roman" w:eastAsia="宋体" w:cs="Times New Roman"/>
                <w:snapToGrid w:val="0"/>
                <w:color w:val="auto"/>
                <w:spacing w:val="-16"/>
                <w:kern w:val="21"/>
                <w:sz w:val="21"/>
                <w:szCs w:val="21"/>
              </w:rPr>
              <w:t>本项目建成后全厂排放量（固体废物产生量）</w:t>
            </w:r>
            <w:r>
              <w:rPr>
                <w:rFonts w:hint="default" w:ascii="Times New Roman" w:hAnsi="Times New Roman" w:eastAsia="宋体" w:cs="Times New Roman"/>
                <w:snapToGrid w:val="0"/>
                <w:color w:val="auto"/>
                <w:spacing w:val="-16"/>
                <w:kern w:val="21"/>
                <w:sz w:val="21"/>
                <w:szCs w:val="21"/>
              </w:rPr>
              <w:fldChar w:fldCharType="begin"/>
            </w:r>
            <w:r>
              <w:rPr>
                <w:rFonts w:hint="default" w:ascii="Times New Roman" w:hAnsi="Times New Roman" w:eastAsia="宋体" w:cs="Times New Roman"/>
                <w:snapToGrid w:val="0"/>
                <w:color w:val="auto"/>
                <w:spacing w:val="-16"/>
                <w:kern w:val="21"/>
                <w:sz w:val="21"/>
                <w:szCs w:val="21"/>
              </w:rPr>
              <w:instrText xml:space="preserve"> = 6 \* GB3 \* MERGEFORMAT </w:instrText>
            </w:r>
            <w:r>
              <w:rPr>
                <w:rFonts w:hint="default" w:ascii="Times New Roman" w:hAnsi="Times New Roman" w:eastAsia="宋体" w:cs="Times New Roman"/>
                <w:snapToGrid w:val="0"/>
                <w:color w:val="auto"/>
                <w:spacing w:val="-16"/>
                <w:kern w:val="21"/>
                <w:sz w:val="21"/>
                <w:szCs w:val="21"/>
              </w:rPr>
              <w:fldChar w:fldCharType="separate"/>
            </w:r>
            <w:r>
              <w:rPr>
                <w:rFonts w:hint="default" w:ascii="Times New Roman" w:hAnsi="Times New Roman" w:eastAsia="宋体" w:cs="Times New Roman"/>
                <w:color w:val="auto"/>
                <w:kern w:val="2"/>
                <w:sz w:val="21"/>
                <w:szCs w:val="21"/>
              </w:rPr>
              <w:t>⑥</w:t>
            </w:r>
            <w:r>
              <w:rPr>
                <w:rFonts w:hint="default" w:ascii="Times New Roman" w:hAnsi="Times New Roman" w:eastAsia="宋体" w:cs="Times New Roman"/>
                <w:snapToGrid w:val="0"/>
                <w:color w:val="auto"/>
                <w:spacing w:val="-16"/>
                <w:kern w:val="21"/>
                <w:sz w:val="21"/>
                <w:szCs w:val="21"/>
              </w:rPr>
              <w:fldChar w:fldCharType="end"/>
            </w:r>
          </w:p>
        </w:tc>
        <w:tc>
          <w:tcPr>
            <w:tcW w:w="525" w:type="pct"/>
            <w:tcMar>
              <w:left w:w="28" w:type="dxa"/>
              <w:right w:w="28" w:type="dxa"/>
            </w:tcMar>
            <w:vAlign w:val="center"/>
          </w:tcPr>
          <w:p w14:paraId="09351567">
            <w:pPr>
              <w:pStyle w:val="5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spacing w:val="-6"/>
                <w:kern w:val="21"/>
                <w:sz w:val="21"/>
                <w:szCs w:val="21"/>
              </w:rPr>
            </w:pPr>
            <w:r>
              <w:rPr>
                <w:rFonts w:hint="default" w:ascii="Times New Roman" w:hAnsi="Times New Roman" w:eastAsia="宋体" w:cs="Times New Roman"/>
                <w:snapToGrid w:val="0"/>
                <w:color w:val="auto"/>
                <w:spacing w:val="-6"/>
                <w:kern w:val="21"/>
                <w:sz w:val="21"/>
                <w:szCs w:val="21"/>
              </w:rPr>
              <w:t>变化量</w:t>
            </w:r>
            <w:r>
              <w:rPr>
                <w:rFonts w:hint="default" w:ascii="Times New Roman" w:hAnsi="Times New Roman" w:eastAsia="宋体" w:cs="Times New Roman"/>
                <w:snapToGrid w:val="0"/>
                <w:color w:val="auto"/>
                <w:spacing w:val="-6"/>
                <w:kern w:val="21"/>
                <w:sz w:val="21"/>
                <w:szCs w:val="21"/>
              </w:rPr>
              <w:fldChar w:fldCharType="begin"/>
            </w:r>
            <w:r>
              <w:rPr>
                <w:rFonts w:hint="default" w:ascii="Times New Roman" w:hAnsi="Times New Roman" w:eastAsia="宋体" w:cs="Times New Roman"/>
                <w:snapToGrid w:val="0"/>
                <w:color w:val="auto"/>
                <w:spacing w:val="-6"/>
                <w:kern w:val="21"/>
                <w:sz w:val="21"/>
                <w:szCs w:val="21"/>
              </w:rPr>
              <w:instrText xml:space="preserve"> = 7 \* GB3 \* MERGEFORMAT </w:instrText>
            </w:r>
            <w:r>
              <w:rPr>
                <w:rFonts w:hint="default" w:ascii="Times New Roman" w:hAnsi="Times New Roman" w:eastAsia="宋体" w:cs="Times New Roman"/>
                <w:snapToGrid w:val="0"/>
                <w:color w:val="auto"/>
                <w:spacing w:val="-6"/>
                <w:kern w:val="21"/>
                <w:sz w:val="21"/>
                <w:szCs w:val="21"/>
              </w:rPr>
              <w:fldChar w:fldCharType="separate"/>
            </w:r>
            <w:r>
              <w:rPr>
                <w:rFonts w:hint="default" w:ascii="Times New Roman" w:hAnsi="Times New Roman" w:eastAsia="宋体" w:cs="Times New Roman"/>
                <w:color w:val="auto"/>
                <w:kern w:val="2"/>
                <w:sz w:val="21"/>
                <w:szCs w:val="21"/>
              </w:rPr>
              <w:t>⑦</w:t>
            </w:r>
            <w:r>
              <w:rPr>
                <w:rFonts w:hint="default" w:ascii="Times New Roman" w:hAnsi="Times New Roman" w:eastAsia="宋体" w:cs="Times New Roman"/>
                <w:snapToGrid w:val="0"/>
                <w:color w:val="auto"/>
                <w:spacing w:val="-6"/>
                <w:kern w:val="21"/>
                <w:sz w:val="21"/>
                <w:szCs w:val="21"/>
              </w:rPr>
              <w:fldChar w:fldCharType="end"/>
            </w:r>
          </w:p>
        </w:tc>
      </w:tr>
      <w:tr w14:paraId="4180A6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22" w:type="pct"/>
            <w:vMerge w:val="restart"/>
            <w:vAlign w:val="center"/>
          </w:tcPr>
          <w:p w14:paraId="64E08145">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废气</w:t>
            </w:r>
          </w:p>
        </w:tc>
        <w:tc>
          <w:tcPr>
            <w:tcW w:w="512" w:type="pct"/>
            <w:gridSpan w:val="2"/>
            <w:vAlign w:val="center"/>
          </w:tcPr>
          <w:p w14:paraId="21FF87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颗粒物</w:t>
            </w:r>
          </w:p>
        </w:tc>
        <w:tc>
          <w:tcPr>
            <w:tcW w:w="642" w:type="pct"/>
            <w:vAlign w:val="center"/>
          </w:tcPr>
          <w:p w14:paraId="6DE8D5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15</w:t>
            </w:r>
            <w:r>
              <w:rPr>
                <w:rFonts w:hint="default" w:ascii="Times New Roman" w:hAnsi="Times New Roman" w:eastAsia="宋体" w:cs="Times New Roman"/>
                <w:b w:val="0"/>
                <w:bCs/>
                <w:color w:val="auto"/>
                <w:kern w:val="2"/>
                <w:sz w:val="21"/>
                <w:szCs w:val="21"/>
                <w:lang w:val="en-US" w:eastAsia="zh-CN" w:bidi="ar-SA"/>
              </w:rPr>
              <w:t>t/a</w:t>
            </w:r>
          </w:p>
        </w:tc>
        <w:tc>
          <w:tcPr>
            <w:tcW w:w="406" w:type="pct"/>
            <w:vAlign w:val="center"/>
          </w:tcPr>
          <w:p w14:paraId="53DA3E9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635BA735">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color w:val="auto"/>
                <w:kern w:val="2"/>
                <w:sz w:val="21"/>
                <w:szCs w:val="21"/>
                <w:lang w:val="en-US" w:eastAsia="zh-CN" w:bidi="ar-SA"/>
              </w:rPr>
              <w:t>0</w:t>
            </w:r>
          </w:p>
        </w:tc>
        <w:tc>
          <w:tcPr>
            <w:tcW w:w="610" w:type="pct"/>
            <w:vAlign w:val="center"/>
          </w:tcPr>
          <w:p w14:paraId="7EE65A50">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0.108</w:t>
            </w:r>
            <w:r>
              <w:rPr>
                <w:rFonts w:hint="default" w:ascii="Times New Roman" w:hAnsi="Times New Roman" w:eastAsia="宋体" w:cs="Times New Roman"/>
                <w:b w:val="0"/>
                <w:bCs/>
                <w:color w:val="auto"/>
                <w:kern w:val="2"/>
                <w:sz w:val="21"/>
                <w:szCs w:val="21"/>
                <w:lang w:val="en-US" w:eastAsia="zh-CN" w:bidi="ar-SA"/>
              </w:rPr>
              <w:t>t/a</w:t>
            </w:r>
          </w:p>
        </w:tc>
        <w:tc>
          <w:tcPr>
            <w:tcW w:w="562" w:type="pct"/>
            <w:vAlign w:val="center"/>
          </w:tcPr>
          <w:p w14:paraId="281449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0.160</w:t>
            </w:r>
            <w:r>
              <w:rPr>
                <w:rFonts w:hint="default" w:ascii="Times New Roman" w:hAnsi="Times New Roman" w:eastAsia="宋体" w:cs="Times New Roman"/>
                <w:b w:val="0"/>
                <w:bCs/>
                <w:color w:val="auto"/>
                <w:kern w:val="2"/>
                <w:sz w:val="21"/>
                <w:szCs w:val="21"/>
                <w:lang w:val="en-US" w:eastAsia="zh-CN" w:bidi="ar-SA"/>
              </w:rPr>
              <w:t>t/a</w:t>
            </w:r>
          </w:p>
        </w:tc>
        <w:tc>
          <w:tcPr>
            <w:tcW w:w="703" w:type="pct"/>
            <w:shd w:val="clear" w:color="auto" w:fill="auto"/>
            <w:vAlign w:val="center"/>
          </w:tcPr>
          <w:p w14:paraId="3384EB31">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14.948</w:t>
            </w:r>
            <w:r>
              <w:rPr>
                <w:rFonts w:hint="default" w:ascii="Times New Roman" w:hAnsi="Times New Roman" w:eastAsia="宋体" w:cs="Times New Roman"/>
                <w:b w:val="0"/>
                <w:bCs/>
                <w:color w:val="auto"/>
                <w:kern w:val="2"/>
                <w:sz w:val="21"/>
                <w:szCs w:val="21"/>
                <w:lang w:val="en-US" w:eastAsia="zh-CN" w:bidi="ar-SA"/>
              </w:rPr>
              <w:t>t/a</w:t>
            </w:r>
          </w:p>
        </w:tc>
        <w:tc>
          <w:tcPr>
            <w:tcW w:w="525" w:type="pct"/>
            <w:shd w:val="clear" w:color="auto" w:fill="auto"/>
            <w:vAlign w:val="center"/>
          </w:tcPr>
          <w:p w14:paraId="6457439B">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-0.052</w:t>
            </w:r>
            <w:r>
              <w:rPr>
                <w:rFonts w:hint="default" w:ascii="Times New Roman" w:hAnsi="Times New Roman" w:eastAsia="宋体" w:cs="Times New Roman"/>
                <w:b w:val="0"/>
                <w:bCs/>
                <w:color w:val="auto"/>
                <w:kern w:val="2"/>
                <w:sz w:val="21"/>
                <w:szCs w:val="21"/>
                <w:lang w:val="en-US" w:eastAsia="zh-CN" w:bidi="ar-SA"/>
              </w:rPr>
              <w:t>t/a</w:t>
            </w:r>
          </w:p>
        </w:tc>
      </w:tr>
      <w:tr w14:paraId="4501C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22" w:type="pct"/>
            <w:vMerge w:val="continue"/>
            <w:vAlign w:val="center"/>
          </w:tcPr>
          <w:p w14:paraId="26FB80BE">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p>
        </w:tc>
        <w:tc>
          <w:tcPr>
            <w:tcW w:w="512" w:type="pct"/>
            <w:gridSpan w:val="2"/>
            <w:vAlign w:val="center"/>
          </w:tcPr>
          <w:p w14:paraId="38F96C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SO</w:t>
            </w:r>
            <w:r>
              <w:rPr>
                <w:rFonts w:hint="default" w:ascii="Times New Roman" w:hAnsi="Times New Roman" w:eastAsia="宋体" w:cs="Times New Roman"/>
                <w:b w:val="0"/>
                <w:bCs/>
                <w:color w:val="auto"/>
                <w:sz w:val="21"/>
                <w:szCs w:val="21"/>
                <w:vertAlign w:val="subscript"/>
                <w:lang w:val="en-US" w:eastAsia="zh-CN"/>
              </w:rPr>
              <w:t>2</w:t>
            </w:r>
          </w:p>
        </w:tc>
        <w:tc>
          <w:tcPr>
            <w:tcW w:w="642" w:type="pct"/>
            <w:vAlign w:val="center"/>
          </w:tcPr>
          <w:p w14:paraId="7B3069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14.6</w:t>
            </w:r>
            <w:r>
              <w:rPr>
                <w:rFonts w:hint="default" w:ascii="Times New Roman" w:hAnsi="Times New Roman" w:eastAsia="宋体" w:cs="Times New Roman"/>
                <w:b w:val="0"/>
                <w:bCs/>
                <w:color w:val="auto"/>
                <w:kern w:val="2"/>
                <w:sz w:val="21"/>
                <w:szCs w:val="21"/>
                <w:lang w:val="en-US" w:eastAsia="zh-CN" w:bidi="ar-SA"/>
              </w:rPr>
              <w:t>t/a</w:t>
            </w:r>
          </w:p>
        </w:tc>
        <w:tc>
          <w:tcPr>
            <w:tcW w:w="406" w:type="pct"/>
            <w:vAlign w:val="center"/>
          </w:tcPr>
          <w:p w14:paraId="19384BD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2AF7ADB9">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color w:val="auto"/>
                <w:kern w:val="2"/>
                <w:sz w:val="21"/>
                <w:szCs w:val="21"/>
                <w:lang w:val="en-US" w:eastAsia="zh-CN" w:bidi="ar-SA"/>
              </w:rPr>
              <w:t>0</w:t>
            </w:r>
          </w:p>
        </w:tc>
        <w:tc>
          <w:tcPr>
            <w:tcW w:w="610" w:type="pct"/>
            <w:vAlign w:val="center"/>
          </w:tcPr>
          <w:p w14:paraId="64E638C4">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0.00</w:t>
            </w:r>
            <w:r>
              <w:rPr>
                <w:rFonts w:hint="eastAsia" w:cs="Times New Roman"/>
                <w:b w:val="0"/>
                <w:bCs/>
                <w:color w:val="auto"/>
                <w:kern w:val="2"/>
                <w:sz w:val="21"/>
                <w:szCs w:val="21"/>
                <w:lang w:val="en-US" w:eastAsia="zh-CN" w:bidi="ar-SA"/>
              </w:rPr>
              <w:t>2</w:t>
            </w:r>
            <w:r>
              <w:rPr>
                <w:rFonts w:hint="default" w:ascii="Times New Roman" w:hAnsi="Times New Roman" w:eastAsia="宋体" w:cs="Times New Roman"/>
                <w:b w:val="0"/>
                <w:bCs/>
                <w:color w:val="auto"/>
                <w:kern w:val="2"/>
                <w:sz w:val="21"/>
                <w:szCs w:val="21"/>
                <w:lang w:val="en-US" w:eastAsia="zh-CN" w:bidi="ar-SA"/>
              </w:rPr>
              <w:t>t/a</w:t>
            </w:r>
          </w:p>
        </w:tc>
        <w:tc>
          <w:tcPr>
            <w:tcW w:w="562" w:type="pct"/>
            <w:vAlign w:val="center"/>
          </w:tcPr>
          <w:p w14:paraId="0212B3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1.20</w:t>
            </w:r>
            <w:r>
              <w:rPr>
                <w:rFonts w:hint="default" w:ascii="Times New Roman" w:hAnsi="Times New Roman" w:eastAsia="宋体" w:cs="Times New Roman"/>
                <w:b w:val="0"/>
                <w:bCs/>
                <w:color w:val="auto"/>
                <w:kern w:val="2"/>
                <w:sz w:val="21"/>
                <w:szCs w:val="21"/>
                <w:lang w:val="en-US" w:eastAsia="zh-CN" w:bidi="ar-SA"/>
              </w:rPr>
              <w:t>t/a</w:t>
            </w:r>
          </w:p>
        </w:tc>
        <w:tc>
          <w:tcPr>
            <w:tcW w:w="703" w:type="pct"/>
            <w:shd w:val="clear" w:color="auto" w:fill="auto"/>
            <w:vAlign w:val="center"/>
          </w:tcPr>
          <w:p w14:paraId="077156CC">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13.402</w:t>
            </w:r>
            <w:r>
              <w:rPr>
                <w:rFonts w:hint="default" w:ascii="Times New Roman" w:hAnsi="Times New Roman" w:eastAsia="宋体" w:cs="Times New Roman"/>
                <w:b w:val="0"/>
                <w:bCs/>
                <w:color w:val="auto"/>
                <w:kern w:val="2"/>
                <w:sz w:val="21"/>
                <w:szCs w:val="21"/>
                <w:lang w:val="en-US" w:eastAsia="zh-CN" w:bidi="ar-SA"/>
              </w:rPr>
              <w:t>t/a</w:t>
            </w:r>
          </w:p>
        </w:tc>
        <w:tc>
          <w:tcPr>
            <w:tcW w:w="525" w:type="pct"/>
            <w:shd w:val="clear" w:color="auto" w:fill="auto"/>
            <w:vAlign w:val="center"/>
          </w:tcPr>
          <w:p w14:paraId="584F2857">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-1.198</w:t>
            </w:r>
            <w:r>
              <w:rPr>
                <w:rFonts w:hint="default" w:ascii="Times New Roman" w:hAnsi="Times New Roman" w:eastAsia="宋体" w:cs="Times New Roman"/>
                <w:b w:val="0"/>
                <w:bCs/>
                <w:color w:val="auto"/>
                <w:kern w:val="2"/>
                <w:sz w:val="21"/>
                <w:szCs w:val="21"/>
                <w:lang w:val="en-US" w:eastAsia="zh-CN" w:bidi="ar-SA"/>
              </w:rPr>
              <w:t>t/a</w:t>
            </w:r>
          </w:p>
        </w:tc>
      </w:tr>
      <w:tr w14:paraId="0F83C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22" w:type="pct"/>
            <w:vMerge w:val="continue"/>
            <w:vAlign w:val="center"/>
          </w:tcPr>
          <w:p w14:paraId="1F894015">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p>
        </w:tc>
        <w:tc>
          <w:tcPr>
            <w:tcW w:w="512" w:type="pct"/>
            <w:gridSpan w:val="2"/>
            <w:vAlign w:val="center"/>
          </w:tcPr>
          <w:p w14:paraId="5D1D2F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NOx</w:t>
            </w:r>
          </w:p>
        </w:tc>
        <w:tc>
          <w:tcPr>
            <w:tcW w:w="642" w:type="pct"/>
            <w:vAlign w:val="center"/>
          </w:tcPr>
          <w:p w14:paraId="0A42EB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9.72</w:t>
            </w:r>
            <w:r>
              <w:rPr>
                <w:rFonts w:hint="default" w:ascii="Times New Roman" w:hAnsi="Times New Roman" w:eastAsia="宋体" w:cs="Times New Roman"/>
                <w:b w:val="0"/>
                <w:bCs/>
                <w:color w:val="auto"/>
                <w:kern w:val="2"/>
                <w:sz w:val="21"/>
                <w:szCs w:val="21"/>
                <w:lang w:val="en-US" w:eastAsia="zh-CN" w:bidi="ar-SA"/>
              </w:rPr>
              <w:t>t/a</w:t>
            </w:r>
          </w:p>
        </w:tc>
        <w:tc>
          <w:tcPr>
            <w:tcW w:w="406" w:type="pct"/>
            <w:vAlign w:val="center"/>
          </w:tcPr>
          <w:p w14:paraId="1CB8018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14F58D72">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color w:val="auto"/>
                <w:kern w:val="2"/>
                <w:sz w:val="21"/>
                <w:szCs w:val="21"/>
                <w:lang w:val="en-US" w:eastAsia="zh-CN" w:bidi="ar-SA"/>
              </w:rPr>
              <w:t>0</w:t>
            </w:r>
          </w:p>
        </w:tc>
        <w:tc>
          <w:tcPr>
            <w:tcW w:w="610" w:type="pct"/>
            <w:vAlign w:val="center"/>
          </w:tcPr>
          <w:p w14:paraId="28AF74EC">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0.</w:t>
            </w:r>
            <w:r>
              <w:rPr>
                <w:rFonts w:hint="eastAsia" w:cs="Times New Roman"/>
                <w:b w:val="0"/>
                <w:bCs/>
                <w:color w:val="auto"/>
                <w:kern w:val="2"/>
                <w:sz w:val="21"/>
                <w:szCs w:val="21"/>
                <w:lang w:val="en-US" w:eastAsia="zh-CN" w:bidi="ar-SA"/>
              </w:rPr>
              <w:t>233</w:t>
            </w:r>
            <w:r>
              <w:rPr>
                <w:rFonts w:hint="default" w:ascii="Times New Roman" w:hAnsi="Times New Roman" w:eastAsia="宋体" w:cs="Times New Roman"/>
                <w:b w:val="0"/>
                <w:bCs/>
                <w:color w:val="auto"/>
                <w:kern w:val="2"/>
                <w:sz w:val="21"/>
                <w:szCs w:val="21"/>
                <w:lang w:val="en-US" w:eastAsia="zh-CN" w:bidi="ar-SA"/>
              </w:rPr>
              <w:t>t/a</w:t>
            </w:r>
          </w:p>
        </w:tc>
        <w:tc>
          <w:tcPr>
            <w:tcW w:w="562" w:type="pct"/>
            <w:vAlign w:val="center"/>
          </w:tcPr>
          <w:p w14:paraId="205AC9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1.74</w:t>
            </w:r>
            <w:r>
              <w:rPr>
                <w:rFonts w:hint="default" w:ascii="Times New Roman" w:hAnsi="Times New Roman" w:eastAsia="宋体" w:cs="Times New Roman"/>
                <w:b w:val="0"/>
                <w:bCs/>
                <w:color w:val="auto"/>
                <w:kern w:val="2"/>
                <w:sz w:val="21"/>
                <w:szCs w:val="21"/>
                <w:lang w:val="en-US" w:eastAsia="zh-CN" w:bidi="ar-SA"/>
              </w:rPr>
              <w:t>t/a</w:t>
            </w:r>
          </w:p>
        </w:tc>
        <w:tc>
          <w:tcPr>
            <w:tcW w:w="703" w:type="pct"/>
            <w:shd w:val="clear" w:color="auto" w:fill="auto"/>
            <w:vAlign w:val="center"/>
          </w:tcPr>
          <w:p w14:paraId="25748DF4">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8.213</w:t>
            </w:r>
            <w:r>
              <w:rPr>
                <w:rFonts w:hint="default" w:ascii="Times New Roman" w:hAnsi="Times New Roman" w:eastAsia="宋体" w:cs="Times New Roman"/>
                <w:b w:val="0"/>
                <w:bCs/>
                <w:color w:val="auto"/>
                <w:kern w:val="2"/>
                <w:sz w:val="21"/>
                <w:szCs w:val="21"/>
                <w:lang w:val="en-US" w:eastAsia="zh-CN" w:bidi="ar-SA"/>
              </w:rPr>
              <w:t>t/a</w:t>
            </w:r>
          </w:p>
        </w:tc>
        <w:tc>
          <w:tcPr>
            <w:tcW w:w="525" w:type="pct"/>
            <w:shd w:val="clear" w:color="auto" w:fill="auto"/>
            <w:vAlign w:val="center"/>
          </w:tcPr>
          <w:p w14:paraId="2B737501">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-1.507</w:t>
            </w:r>
            <w:r>
              <w:rPr>
                <w:rFonts w:hint="default" w:ascii="Times New Roman" w:hAnsi="Times New Roman" w:eastAsia="宋体" w:cs="Times New Roman"/>
                <w:b w:val="0"/>
                <w:bCs/>
                <w:color w:val="auto"/>
                <w:kern w:val="2"/>
                <w:sz w:val="21"/>
                <w:szCs w:val="21"/>
                <w:lang w:val="en-US" w:eastAsia="zh-CN" w:bidi="ar-SA"/>
              </w:rPr>
              <w:t>t/a</w:t>
            </w:r>
          </w:p>
        </w:tc>
      </w:tr>
      <w:tr w14:paraId="0169E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22" w:type="pct"/>
            <w:vMerge w:val="continue"/>
            <w:vAlign w:val="center"/>
          </w:tcPr>
          <w:p w14:paraId="02DE74F2">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p>
        </w:tc>
        <w:tc>
          <w:tcPr>
            <w:tcW w:w="512" w:type="pct"/>
            <w:gridSpan w:val="2"/>
            <w:vAlign w:val="center"/>
          </w:tcPr>
          <w:p w14:paraId="61F5FF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VOC</w:t>
            </w:r>
            <w:r>
              <w:rPr>
                <w:rFonts w:hint="eastAsia" w:cs="Times New Roman"/>
                <w:b w:val="0"/>
                <w:bCs/>
                <w:color w:val="auto"/>
                <w:sz w:val="21"/>
                <w:szCs w:val="21"/>
                <w:vertAlign w:val="subscript"/>
                <w:lang w:val="en-US" w:eastAsia="zh-CN"/>
              </w:rPr>
              <w:t>S</w:t>
            </w:r>
          </w:p>
        </w:tc>
        <w:tc>
          <w:tcPr>
            <w:tcW w:w="642" w:type="pct"/>
            <w:vAlign w:val="center"/>
          </w:tcPr>
          <w:p w14:paraId="5E64E1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0.00892</w:t>
            </w:r>
            <w:r>
              <w:rPr>
                <w:rFonts w:hint="default" w:ascii="Times New Roman" w:hAnsi="Times New Roman" w:eastAsia="宋体" w:cs="Times New Roman"/>
                <w:b w:val="0"/>
                <w:bCs/>
                <w:color w:val="auto"/>
                <w:kern w:val="2"/>
                <w:sz w:val="21"/>
                <w:szCs w:val="21"/>
                <w:lang w:val="en-US" w:eastAsia="zh-CN" w:bidi="ar-SA"/>
              </w:rPr>
              <w:t>t/a</w:t>
            </w:r>
          </w:p>
        </w:tc>
        <w:tc>
          <w:tcPr>
            <w:tcW w:w="406" w:type="pct"/>
            <w:vAlign w:val="center"/>
          </w:tcPr>
          <w:p w14:paraId="49137E2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612" w:type="pct"/>
            <w:vAlign w:val="center"/>
          </w:tcPr>
          <w:p w14:paraId="38A56D5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610" w:type="pct"/>
            <w:vAlign w:val="center"/>
          </w:tcPr>
          <w:p w14:paraId="29A03BCA">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w:t>
            </w:r>
          </w:p>
        </w:tc>
        <w:tc>
          <w:tcPr>
            <w:tcW w:w="562" w:type="pct"/>
            <w:vAlign w:val="center"/>
          </w:tcPr>
          <w:p w14:paraId="4AE6D7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703" w:type="pct"/>
            <w:shd w:val="clear" w:color="auto" w:fill="auto"/>
            <w:vAlign w:val="center"/>
          </w:tcPr>
          <w:p w14:paraId="6DB75FF3">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w:t>
            </w:r>
          </w:p>
        </w:tc>
        <w:tc>
          <w:tcPr>
            <w:tcW w:w="525" w:type="pct"/>
            <w:shd w:val="clear" w:color="auto" w:fill="auto"/>
            <w:vAlign w:val="center"/>
          </w:tcPr>
          <w:p w14:paraId="2AA93611">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w:t>
            </w:r>
          </w:p>
        </w:tc>
      </w:tr>
      <w:tr w14:paraId="5DEF6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22" w:type="pct"/>
            <w:vMerge w:val="restart"/>
            <w:vAlign w:val="center"/>
          </w:tcPr>
          <w:p w14:paraId="5F45C3F8">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rPr>
              <w:t>废</w:t>
            </w:r>
            <w:r>
              <w:rPr>
                <w:rFonts w:hint="default" w:ascii="Times New Roman" w:hAnsi="Times New Roman" w:eastAsia="宋体" w:cs="Times New Roman"/>
                <w:b w:val="0"/>
                <w:bCs/>
                <w:snapToGrid w:val="0"/>
                <w:color w:val="auto"/>
                <w:kern w:val="21"/>
                <w:sz w:val="21"/>
                <w:szCs w:val="21"/>
                <w:lang w:val="en-US" w:eastAsia="zh-CN"/>
              </w:rPr>
              <w:t>水</w:t>
            </w:r>
          </w:p>
        </w:tc>
        <w:tc>
          <w:tcPr>
            <w:tcW w:w="289" w:type="pct"/>
            <w:vAlign w:val="center"/>
          </w:tcPr>
          <w:p w14:paraId="3E3FF8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生产废水</w:t>
            </w:r>
          </w:p>
        </w:tc>
        <w:tc>
          <w:tcPr>
            <w:tcW w:w="223" w:type="pct"/>
            <w:vMerge w:val="restart"/>
            <w:vAlign w:val="center"/>
          </w:tcPr>
          <w:p w14:paraId="760392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废水量</w:t>
            </w:r>
          </w:p>
        </w:tc>
        <w:tc>
          <w:tcPr>
            <w:tcW w:w="642" w:type="pct"/>
            <w:vAlign w:val="center"/>
          </w:tcPr>
          <w:p w14:paraId="607980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snapToGrid w:val="0"/>
                <w:color w:val="auto"/>
                <w:kern w:val="21"/>
                <w:sz w:val="21"/>
                <w:szCs w:val="21"/>
                <w:lang w:val="en-US" w:eastAsia="zh-CN"/>
              </w:rPr>
              <w:t>0</w:t>
            </w:r>
          </w:p>
        </w:tc>
        <w:tc>
          <w:tcPr>
            <w:tcW w:w="406" w:type="pct"/>
            <w:vAlign w:val="center"/>
          </w:tcPr>
          <w:p w14:paraId="3C1F889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411EEC9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r>
              <w:rPr>
                <w:rFonts w:hint="default" w:ascii="Times New Roman" w:hAnsi="Times New Roman" w:eastAsia="宋体" w:cs="Times New Roman"/>
                <w:b w:val="0"/>
                <w:bCs/>
                <w:snapToGrid w:val="0"/>
                <w:color w:val="auto"/>
                <w:kern w:val="21"/>
                <w:sz w:val="21"/>
                <w:szCs w:val="21"/>
                <w:lang w:val="en-US" w:eastAsia="zh-CN"/>
              </w:rPr>
              <w:t>0</w:t>
            </w:r>
          </w:p>
        </w:tc>
        <w:tc>
          <w:tcPr>
            <w:tcW w:w="610" w:type="pct"/>
            <w:vAlign w:val="center"/>
          </w:tcPr>
          <w:p w14:paraId="31B68609">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562" w:type="pct"/>
            <w:vAlign w:val="center"/>
          </w:tcPr>
          <w:p w14:paraId="3C858C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703" w:type="pct"/>
            <w:vAlign w:val="center"/>
          </w:tcPr>
          <w:p w14:paraId="1D4376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0</w:t>
            </w:r>
          </w:p>
        </w:tc>
        <w:tc>
          <w:tcPr>
            <w:tcW w:w="525" w:type="pct"/>
            <w:vAlign w:val="center"/>
          </w:tcPr>
          <w:p w14:paraId="1E3C4E69">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w:t>
            </w:r>
          </w:p>
        </w:tc>
      </w:tr>
      <w:tr w14:paraId="4C457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22" w:type="pct"/>
            <w:vMerge w:val="continue"/>
            <w:vAlign w:val="center"/>
          </w:tcPr>
          <w:p w14:paraId="05870253">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p>
        </w:tc>
        <w:tc>
          <w:tcPr>
            <w:tcW w:w="289" w:type="pct"/>
            <w:vAlign w:val="center"/>
          </w:tcPr>
          <w:p w14:paraId="4D1EBC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eastAsia" w:cs="Times New Roman"/>
                <w:b w:val="0"/>
                <w:bCs/>
                <w:color w:val="auto"/>
                <w:sz w:val="21"/>
                <w:szCs w:val="21"/>
                <w:lang w:val="en-US" w:eastAsia="zh-CN"/>
              </w:rPr>
              <w:t>生活污水</w:t>
            </w:r>
          </w:p>
        </w:tc>
        <w:tc>
          <w:tcPr>
            <w:tcW w:w="223" w:type="pct"/>
            <w:vMerge w:val="continue"/>
            <w:vAlign w:val="center"/>
          </w:tcPr>
          <w:p w14:paraId="33ED74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b w:val="0"/>
                <w:bCs/>
                <w:color w:val="auto"/>
                <w:sz w:val="21"/>
                <w:szCs w:val="21"/>
                <w:lang w:val="en-US" w:eastAsia="zh-CN"/>
              </w:rPr>
            </w:pPr>
          </w:p>
        </w:tc>
        <w:tc>
          <w:tcPr>
            <w:tcW w:w="642" w:type="pct"/>
            <w:vAlign w:val="center"/>
          </w:tcPr>
          <w:p w14:paraId="235345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snapToGrid w:val="0"/>
                <w:color w:val="auto"/>
                <w:kern w:val="21"/>
                <w:sz w:val="21"/>
                <w:szCs w:val="21"/>
                <w:lang w:val="en-US" w:eastAsia="zh-CN"/>
              </w:rPr>
              <w:t>0</w:t>
            </w:r>
          </w:p>
        </w:tc>
        <w:tc>
          <w:tcPr>
            <w:tcW w:w="406" w:type="pct"/>
            <w:vAlign w:val="center"/>
          </w:tcPr>
          <w:p w14:paraId="2C8206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73D1BE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r>
              <w:rPr>
                <w:rFonts w:hint="default" w:ascii="Times New Roman" w:hAnsi="Times New Roman" w:eastAsia="宋体" w:cs="Times New Roman"/>
                <w:b w:val="0"/>
                <w:bCs/>
                <w:snapToGrid w:val="0"/>
                <w:color w:val="auto"/>
                <w:kern w:val="21"/>
                <w:sz w:val="21"/>
                <w:szCs w:val="21"/>
                <w:lang w:val="en-US" w:eastAsia="zh-CN"/>
              </w:rPr>
              <w:t>0</w:t>
            </w:r>
          </w:p>
        </w:tc>
        <w:tc>
          <w:tcPr>
            <w:tcW w:w="610" w:type="pct"/>
            <w:vAlign w:val="center"/>
          </w:tcPr>
          <w:p w14:paraId="43F9D920">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w:t>
            </w:r>
          </w:p>
        </w:tc>
        <w:tc>
          <w:tcPr>
            <w:tcW w:w="562" w:type="pct"/>
            <w:vAlign w:val="center"/>
          </w:tcPr>
          <w:p w14:paraId="213063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703" w:type="pct"/>
            <w:vAlign w:val="center"/>
          </w:tcPr>
          <w:p w14:paraId="32FE26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eastAsia" w:cs="Times New Roman"/>
                <w:b w:val="0"/>
                <w:bCs/>
                <w:snapToGrid w:val="0"/>
                <w:color w:val="auto"/>
                <w:kern w:val="21"/>
                <w:sz w:val="21"/>
                <w:szCs w:val="21"/>
                <w:lang w:val="en-US" w:eastAsia="zh-CN"/>
              </w:rPr>
              <w:t>0</w:t>
            </w:r>
          </w:p>
        </w:tc>
        <w:tc>
          <w:tcPr>
            <w:tcW w:w="525" w:type="pct"/>
            <w:vAlign w:val="center"/>
          </w:tcPr>
          <w:p w14:paraId="776813AC">
            <w:pPr>
              <w:pStyle w:val="39"/>
              <w:keepNext w:val="0"/>
              <w:keepLines w:val="0"/>
              <w:widowControl/>
              <w:suppressLineNumbers w:val="0"/>
              <w:bidi w:val="0"/>
              <w:spacing w:before="0" w:beforeAutospacing="0" w:after="0" w:afterAutospacing="0"/>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w:t>
            </w:r>
          </w:p>
        </w:tc>
      </w:tr>
      <w:tr w14:paraId="70964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2" w:type="pct"/>
            <w:vMerge w:val="restart"/>
            <w:vAlign w:val="center"/>
          </w:tcPr>
          <w:p w14:paraId="07BBEE86">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r>
              <w:rPr>
                <w:rFonts w:hint="default" w:ascii="Times New Roman" w:hAnsi="Times New Roman" w:eastAsia="宋体" w:cs="Times New Roman"/>
                <w:b w:val="0"/>
                <w:bCs/>
                <w:snapToGrid w:val="0"/>
                <w:color w:val="auto"/>
                <w:kern w:val="21"/>
                <w:sz w:val="21"/>
                <w:szCs w:val="21"/>
              </w:rPr>
              <w:t>一般工业固体废物</w:t>
            </w:r>
          </w:p>
        </w:tc>
        <w:tc>
          <w:tcPr>
            <w:tcW w:w="512" w:type="pct"/>
            <w:gridSpan w:val="2"/>
            <w:vAlign w:val="center"/>
          </w:tcPr>
          <w:p w14:paraId="4E3B7258">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生活垃圾</w:t>
            </w:r>
          </w:p>
        </w:tc>
        <w:tc>
          <w:tcPr>
            <w:tcW w:w="642" w:type="pct"/>
            <w:vAlign w:val="center"/>
          </w:tcPr>
          <w:p w14:paraId="3C7019E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66</w:t>
            </w:r>
            <w:r>
              <w:rPr>
                <w:rFonts w:hint="default" w:ascii="Times New Roman" w:hAnsi="Times New Roman" w:eastAsia="宋体" w:cs="Times New Roman"/>
                <w:b w:val="0"/>
                <w:bCs/>
                <w:color w:val="auto"/>
                <w:sz w:val="21"/>
                <w:szCs w:val="21"/>
                <w:lang w:val="en-US" w:eastAsia="zh-CN"/>
              </w:rPr>
              <w:t>t/a</w:t>
            </w:r>
          </w:p>
        </w:tc>
        <w:tc>
          <w:tcPr>
            <w:tcW w:w="406" w:type="pct"/>
            <w:vAlign w:val="center"/>
          </w:tcPr>
          <w:p w14:paraId="54331C5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zh-CN" w:eastAsia="zh-CN" w:bidi="zh-CN"/>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0BDAB8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610" w:type="pct"/>
            <w:vAlign w:val="center"/>
          </w:tcPr>
          <w:p w14:paraId="6F79D6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snapToGrid w:val="0"/>
                <w:color w:val="auto"/>
                <w:kern w:val="21"/>
                <w:sz w:val="21"/>
                <w:szCs w:val="21"/>
                <w:lang w:val="en-US" w:eastAsia="zh-CN"/>
              </w:rPr>
              <w:t>0</w:t>
            </w:r>
          </w:p>
        </w:tc>
        <w:tc>
          <w:tcPr>
            <w:tcW w:w="562" w:type="pct"/>
            <w:vAlign w:val="center"/>
          </w:tcPr>
          <w:p w14:paraId="6582FA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703" w:type="pct"/>
            <w:vAlign w:val="center"/>
          </w:tcPr>
          <w:p w14:paraId="2ABAC3C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66</w:t>
            </w:r>
            <w:r>
              <w:rPr>
                <w:rFonts w:hint="default" w:ascii="Times New Roman" w:hAnsi="Times New Roman" w:eastAsia="宋体" w:cs="Times New Roman"/>
                <w:b w:val="0"/>
                <w:bCs/>
                <w:color w:val="auto"/>
                <w:sz w:val="21"/>
                <w:szCs w:val="21"/>
                <w:lang w:val="en-US" w:eastAsia="zh-CN"/>
              </w:rPr>
              <w:t>t/a</w:t>
            </w:r>
          </w:p>
        </w:tc>
        <w:tc>
          <w:tcPr>
            <w:tcW w:w="525" w:type="pct"/>
            <w:vAlign w:val="center"/>
          </w:tcPr>
          <w:p w14:paraId="5B2868DF">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eastAsia="宋体" w:cs="Times New Roman"/>
                <w:b w:val="0"/>
                <w:bCs/>
                <w:color w:val="auto"/>
                <w:kern w:val="2"/>
                <w:sz w:val="21"/>
                <w:szCs w:val="21"/>
                <w:lang w:val="en-US" w:eastAsia="zh-CN" w:bidi="ar-SA"/>
              </w:rPr>
              <w:t>0</w:t>
            </w:r>
          </w:p>
        </w:tc>
      </w:tr>
      <w:tr w14:paraId="6B0EF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22" w:type="pct"/>
            <w:vMerge w:val="continue"/>
            <w:vAlign w:val="center"/>
          </w:tcPr>
          <w:p w14:paraId="60D0FA76">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rPr>
            </w:pPr>
          </w:p>
        </w:tc>
        <w:tc>
          <w:tcPr>
            <w:tcW w:w="512" w:type="pct"/>
            <w:gridSpan w:val="2"/>
            <w:vAlign w:val="center"/>
          </w:tcPr>
          <w:p w14:paraId="5658C887">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2"/>
                <w:sz w:val="21"/>
                <w:szCs w:val="21"/>
                <w:lang w:val="en-US" w:eastAsia="zh-CN" w:bidi="ar-SA"/>
              </w:rPr>
              <w:t>废离子交换树脂</w:t>
            </w:r>
          </w:p>
        </w:tc>
        <w:tc>
          <w:tcPr>
            <w:tcW w:w="642" w:type="pct"/>
            <w:vAlign w:val="center"/>
          </w:tcPr>
          <w:p w14:paraId="71B199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406" w:type="pct"/>
            <w:vAlign w:val="center"/>
          </w:tcPr>
          <w:p w14:paraId="70A1905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612" w:type="pct"/>
            <w:vAlign w:val="center"/>
          </w:tcPr>
          <w:p w14:paraId="1F9CDF0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bidi="ar-SA"/>
              </w:rPr>
            </w:pPr>
            <w:r>
              <w:rPr>
                <w:rFonts w:hint="default" w:ascii="Times New Roman" w:hAnsi="Times New Roman" w:eastAsia="宋体" w:cs="Times New Roman"/>
                <w:b w:val="0"/>
                <w:bCs/>
                <w:snapToGrid w:val="0"/>
                <w:color w:val="auto"/>
                <w:kern w:val="21"/>
                <w:sz w:val="21"/>
                <w:szCs w:val="21"/>
                <w:lang w:val="en-US" w:eastAsia="zh-CN"/>
              </w:rPr>
              <w:t>0</w:t>
            </w:r>
          </w:p>
        </w:tc>
        <w:tc>
          <w:tcPr>
            <w:tcW w:w="610" w:type="pct"/>
            <w:vAlign w:val="center"/>
          </w:tcPr>
          <w:p w14:paraId="4A2E8E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0.05t/a</w:t>
            </w:r>
          </w:p>
        </w:tc>
        <w:tc>
          <w:tcPr>
            <w:tcW w:w="562" w:type="pct"/>
            <w:vAlign w:val="center"/>
          </w:tcPr>
          <w:p w14:paraId="656905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0</w:t>
            </w:r>
          </w:p>
        </w:tc>
        <w:tc>
          <w:tcPr>
            <w:tcW w:w="703" w:type="pct"/>
            <w:vAlign w:val="center"/>
          </w:tcPr>
          <w:p w14:paraId="6FE406E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snapToGrid w:val="0"/>
                <w:color w:val="auto"/>
                <w:kern w:val="21"/>
                <w:sz w:val="21"/>
                <w:szCs w:val="21"/>
                <w:lang w:val="en-US" w:eastAsia="zh-CN"/>
              </w:rPr>
              <w:t>0.05t/a</w:t>
            </w:r>
          </w:p>
        </w:tc>
        <w:tc>
          <w:tcPr>
            <w:tcW w:w="525" w:type="pct"/>
            <w:vAlign w:val="center"/>
          </w:tcPr>
          <w:p w14:paraId="7DB82502">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default" w:ascii="Times New Roman" w:hAnsi="Times New Roman" w:eastAsia="宋体" w:cs="Times New Roman"/>
                <w:b w:val="0"/>
                <w:bCs/>
                <w:color w:val="auto"/>
                <w:kern w:val="2"/>
                <w:sz w:val="21"/>
                <w:szCs w:val="21"/>
                <w:lang w:val="en-US" w:eastAsia="zh-CN" w:bidi="ar-SA"/>
              </w:rPr>
              <w:t>+</w:t>
            </w:r>
            <w:r>
              <w:rPr>
                <w:rFonts w:hint="default" w:ascii="Times New Roman" w:hAnsi="Times New Roman" w:eastAsia="宋体" w:cs="Times New Roman"/>
                <w:b w:val="0"/>
                <w:bCs/>
                <w:snapToGrid w:val="0"/>
                <w:color w:val="auto"/>
                <w:kern w:val="21"/>
                <w:sz w:val="21"/>
                <w:szCs w:val="21"/>
                <w:lang w:val="en-US" w:eastAsia="zh-CN"/>
              </w:rPr>
              <w:t>0.05t/a</w:t>
            </w:r>
          </w:p>
        </w:tc>
      </w:tr>
      <w:tr w14:paraId="2210B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22" w:type="pct"/>
            <w:vAlign w:val="center"/>
          </w:tcPr>
          <w:p w14:paraId="21BB602C">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宋体" w:cs="Times New Roman"/>
                <w:b w:val="0"/>
                <w:bCs/>
                <w:snapToGrid w:val="0"/>
                <w:color w:val="auto"/>
                <w:kern w:val="21"/>
                <w:sz w:val="21"/>
                <w:szCs w:val="21"/>
                <w:lang w:val="en-US" w:eastAsia="zh-CN"/>
              </w:rPr>
            </w:pPr>
            <w:r>
              <w:rPr>
                <w:rFonts w:hint="eastAsia" w:ascii="Times New Roman" w:eastAsia="宋体" w:cs="Times New Roman"/>
                <w:b w:val="0"/>
                <w:bCs/>
                <w:snapToGrid w:val="0"/>
                <w:color w:val="auto"/>
                <w:kern w:val="21"/>
                <w:sz w:val="21"/>
                <w:szCs w:val="21"/>
                <w:lang w:val="en-US" w:eastAsia="zh-CN"/>
              </w:rPr>
              <w:t>危险废物</w:t>
            </w:r>
          </w:p>
        </w:tc>
        <w:tc>
          <w:tcPr>
            <w:tcW w:w="512" w:type="pct"/>
            <w:gridSpan w:val="2"/>
            <w:vAlign w:val="center"/>
          </w:tcPr>
          <w:p w14:paraId="32B95CE2">
            <w:pPr>
              <w:pStyle w:val="3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废机油</w:t>
            </w:r>
          </w:p>
        </w:tc>
        <w:tc>
          <w:tcPr>
            <w:tcW w:w="642" w:type="pct"/>
            <w:vAlign w:val="center"/>
          </w:tcPr>
          <w:p w14:paraId="526384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6</w:t>
            </w:r>
            <w:r>
              <w:rPr>
                <w:rFonts w:hint="default" w:ascii="Times New Roman" w:hAnsi="Times New Roman" w:eastAsia="宋体" w:cs="Times New Roman"/>
                <w:b w:val="0"/>
                <w:bCs/>
                <w:color w:val="auto"/>
                <w:sz w:val="21"/>
                <w:szCs w:val="21"/>
                <w:lang w:val="en-US" w:eastAsia="zh-CN"/>
              </w:rPr>
              <w:t>t/a</w:t>
            </w:r>
          </w:p>
        </w:tc>
        <w:tc>
          <w:tcPr>
            <w:tcW w:w="406" w:type="pct"/>
            <w:vAlign w:val="center"/>
          </w:tcPr>
          <w:p w14:paraId="4C3234F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612" w:type="pct"/>
            <w:vAlign w:val="center"/>
          </w:tcPr>
          <w:p w14:paraId="56C5718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w:t>
            </w:r>
          </w:p>
        </w:tc>
        <w:tc>
          <w:tcPr>
            <w:tcW w:w="610" w:type="pct"/>
            <w:vAlign w:val="center"/>
          </w:tcPr>
          <w:p w14:paraId="06D536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0.05</w:t>
            </w:r>
            <w:r>
              <w:rPr>
                <w:rFonts w:hint="default" w:ascii="Times New Roman" w:hAnsi="Times New Roman" w:eastAsia="宋体" w:cs="Times New Roman"/>
                <w:b w:val="0"/>
                <w:bCs/>
                <w:snapToGrid w:val="0"/>
                <w:color w:val="auto"/>
                <w:kern w:val="21"/>
                <w:sz w:val="21"/>
                <w:szCs w:val="21"/>
                <w:lang w:val="en-US" w:eastAsia="zh-CN"/>
              </w:rPr>
              <w:t>t/a</w:t>
            </w:r>
          </w:p>
        </w:tc>
        <w:tc>
          <w:tcPr>
            <w:tcW w:w="562" w:type="pct"/>
            <w:vAlign w:val="center"/>
          </w:tcPr>
          <w:p w14:paraId="4A5BDC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1.0</w:t>
            </w:r>
            <w:r>
              <w:rPr>
                <w:rFonts w:hint="default" w:ascii="Times New Roman" w:hAnsi="Times New Roman" w:eastAsia="宋体" w:cs="Times New Roman"/>
                <w:b w:val="0"/>
                <w:bCs/>
                <w:snapToGrid w:val="0"/>
                <w:color w:val="auto"/>
                <w:kern w:val="21"/>
                <w:sz w:val="21"/>
                <w:szCs w:val="21"/>
                <w:lang w:val="en-US" w:eastAsia="zh-CN"/>
              </w:rPr>
              <w:t>t/a</w:t>
            </w:r>
          </w:p>
        </w:tc>
        <w:tc>
          <w:tcPr>
            <w:tcW w:w="703" w:type="pct"/>
            <w:vAlign w:val="center"/>
          </w:tcPr>
          <w:p w14:paraId="6970FF53">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snapToGrid w:val="0"/>
                <w:color w:val="auto"/>
                <w:kern w:val="21"/>
                <w:sz w:val="21"/>
                <w:szCs w:val="21"/>
                <w:lang w:val="en-US" w:eastAsia="zh-CN"/>
              </w:rPr>
            </w:pPr>
            <w:r>
              <w:rPr>
                <w:rFonts w:hint="eastAsia" w:cs="Times New Roman"/>
                <w:b w:val="0"/>
                <w:bCs/>
                <w:snapToGrid w:val="0"/>
                <w:color w:val="auto"/>
                <w:kern w:val="21"/>
                <w:sz w:val="21"/>
                <w:szCs w:val="21"/>
                <w:lang w:val="en-US" w:eastAsia="zh-CN"/>
              </w:rPr>
              <w:t>5.05</w:t>
            </w:r>
            <w:r>
              <w:rPr>
                <w:rFonts w:hint="default" w:ascii="Times New Roman" w:hAnsi="Times New Roman" w:eastAsia="宋体" w:cs="Times New Roman"/>
                <w:b w:val="0"/>
                <w:bCs/>
                <w:snapToGrid w:val="0"/>
                <w:color w:val="auto"/>
                <w:kern w:val="21"/>
                <w:sz w:val="21"/>
                <w:szCs w:val="21"/>
                <w:lang w:val="en-US" w:eastAsia="zh-CN"/>
              </w:rPr>
              <w:t>t/a</w:t>
            </w:r>
          </w:p>
        </w:tc>
        <w:tc>
          <w:tcPr>
            <w:tcW w:w="525" w:type="pct"/>
            <w:vAlign w:val="center"/>
          </w:tcPr>
          <w:p w14:paraId="42490890">
            <w:pPr>
              <w:pStyle w:val="53"/>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eastAsia="宋体" w:cs="Times New Roman"/>
                <w:b w:val="0"/>
                <w:bCs/>
                <w:color w:val="auto"/>
                <w:kern w:val="2"/>
                <w:sz w:val="21"/>
                <w:szCs w:val="21"/>
                <w:lang w:val="en-US" w:eastAsia="zh-CN" w:bidi="ar-SA"/>
              </w:rPr>
              <w:t>-0.95</w:t>
            </w:r>
            <w:r>
              <w:rPr>
                <w:rFonts w:hint="default" w:ascii="Times New Roman" w:hAnsi="Times New Roman" w:eastAsia="宋体" w:cs="Times New Roman"/>
                <w:b w:val="0"/>
                <w:bCs/>
                <w:snapToGrid w:val="0"/>
                <w:color w:val="auto"/>
                <w:kern w:val="21"/>
                <w:sz w:val="21"/>
                <w:szCs w:val="21"/>
                <w:lang w:val="en-US" w:eastAsia="zh-CN"/>
              </w:rPr>
              <w:t>t/a</w:t>
            </w:r>
          </w:p>
        </w:tc>
      </w:tr>
    </w:tbl>
    <w:p w14:paraId="67A421E3">
      <w:pPr>
        <w:pStyle w:val="53"/>
        <w:spacing w:before="249" w:beforeLines="80" w:after="31"/>
        <w:jc w:val="left"/>
        <w:rPr>
          <w:rFonts w:hint="default" w:ascii="Times New Roman" w:hAnsi="Times New Roman" w:eastAsia="宋体" w:cs="Times New Roman"/>
          <w:b w:val="0"/>
          <w:bCs/>
          <w:snapToGrid w:val="0"/>
          <w:spacing w:val="-6"/>
          <w:kern w:val="21"/>
          <w:szCs w:val="21"/>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 w:val="0"/>
          <w:bCs/>
          <w:snapToGrid w:val="0"/>
          <w:kern w:val="21"/>
          <w:szCs w:val="21"/>
        </w:rPr>
        <w:t>注：</w:t>
      </w:r>
      <w:r>
        <w:rPr>
          <w:rFonts w:hint="default" w:ascii="Times New Roman" w:hAnsi="Times New Roman" w:eastAsia="宋体" w:cs="Times New Roman"/>
          <w:b w:val="0"/>
          <w:bCs/>
          <w:snapToGrid w:val="0"/>
          <w:spacing w:val="-16"/>
          <w:kern w:val="21"/>
          <w:szCs w:val="21"/>
        </w:rPr>
        <w:fldChar w:fldCharType="begin"/>
      </w:r>
      <w:r>
        <w:rPr>
          <w:rFonts w:hint="default" w:ascii="Times New Roman" w:hAnsi="Times New Roman" w:eastAsia="宋体" w:cs="Times New Roman"/>
          <w:b w:val="0"/>
          <w:bCs/>
          <w:snapToGrid w:val="0"/>
          <w:spacing w:val="-16"/>
          <w:kern w:val="21"/>
          <w:szCs w:val="21"/>
        </w:rPr>
        <w:instrText xml:space="preserve"> = 6 \* GB3 \* MERGEFORMAT </w:instrText>
      </w:r>
      <w:r>
        <w:rPr>
          <w:rFonts w:hint="default" w:ascii="Times New Roman" w:hAnsi="Times New Roman" w:eastAsia="宋体" w:cs="Times New Roman"/>
          <w:b w:val="0"/>
          <w:bCs/>
          <w:snapToGrid w:val="0"/>
          <w:spacing w:val="-16"/>
          <w:kern w:val="21"/>
          <w:szCs w:val="21"/>
        </w:rPr>
        <w:fldChar w:fldCharType="separate"/>
      </w:r>
      <w:r>
        <w:rPr>
          <w:rFonts w:hint="default" w:ascii="Times New Roman" w:hAnsi="Times New Roman" w:eastAsia="宋体" w:cs="Times New Roman"/>
          <w:b w:val="0"/>
          <w:bCs/>
          <w:szCs w:val="21"/>
        </w:rPr>
        <w:t>⑥</w:t>
      </w:r>
      <w:r>
        <w:rPr>
          <w:rFonts w:hint="default" w:ascii="Times New Roman" w:hAnsi="Times New Roman" w:eastAsia="宋体" w:cs="Times New Roman"/>
          <w:b w:val="0"/>
          <w:bCs/>
          <w:snapToGrid w:val="0"/>
          <w:spacing w:val="-16"/>
          <w:kern w:val="21"/>
          <w:szCs w:val="21"/>
        </w:rPr>
        <w:fldChar w:fldCharType="end"/>
      </w:r>
      <w:r>
        <w:rPr>
          <w:rFonts w:hint="default" w:ascii="Times New Roman" w:hAnsi="Times New Roman" w:eastAsia="宋体" w:cs="Times New Roman"/>
          <w:b w:val="0"/>
          <w:bCs/>
          <w:snapToGrid w:val="0"/>
          <w:spacing w:val="-16"/>
          <w:kern w:val="21"/>
          <w:szCs w:val="21"/>
        </w:rPr>
        <w:t>=</w:t>
      </w:r>
      <w:r>
        <w:rPr>
          <w:rFonts w:hint="default" w:ascii="Times New Roman" w:hAnsi="Times New Roman" w:eastAsia="宋体" w:cs="Times New Roman"/>
          <w:b w:val="0"/>
          <w:bCs/>
          <w:snapToGrid w:val="0"/>
          <w:spacing w:val="-6"/>
          <w:kern w:val="21"/>
          <w:szCs w:val="21"/>
        </w:rPr>
        <w:fldChar w:fldCharType="begin"/>
      </w:r>
      <w:r>
        <w:rPr>
          <w:rFonts w:hint="default" w:ascii="Times New Roman" w:hAnsi="Times New Roman" w:eastAsia="宋体" w:cs="Times New Roman"/>
          <w:b w:val="0"/>
          <w:bCs/>
          <w:snapToGrid w:val="0"/>
          <w:spacing w:val="-6"/>
          <w:kern w:val="21"/>
          <w:szCs w:val="21"/>
        </w:rPr>
        <w:instrText xml:space="preserve"> = 1 \* GB3 \* MERGEFORMAT </w:instrText>
      </w:r>
      <w:r>
        <w:rPr>
          <w:rFonts w:hint="default" w:ascii="Times New Roman" w:hAnsi="Times New Roman" w:eastAsia="宋体" w:cs="Times New Roman"/>
          <w:b w:val="0"/>
          <w:bCs/>
          <w:snapToGrid w:val="0"/>
          <w:spacing w:val="-6"/>
          <w:kern w:val="21"/>
          <w:szCs w:val="21"/>
        </w:rPr>
        <w:fldChar w:fldCharType="separate"/>
      </w:r>
      <w:r>
        <w:rPr>
          <w:rFonts w:hint="default" w:ascii="Times New Roman" w:hAnsi="Times New Roman" w:eastAsia="宋体" w:cs="Times New Roman"/>
          <w:b w:val="0"/>
          <w:bCs/>
          <w:szCs w:val="21"/>
        </w:rPr>
        <w:t>①</w:t>
      </w:r>
      <w:r>
        <w:rPr>
          <w:rFonts w:hint="default" w:ascii="Times New Roman" w:hAnsi="Times New Roman" w:eastAsia="宋体" w:cs="Times New Roman"/>
          <w:b w:val="0"/>
          <w:bCs/>
          <w:snapToGrid w:val="0"/>
          <w:spacing w:val="-6"/>
          <w:kern w:val="21"/>
          <w:szCs w:val="21"/>
        </w:rPr>
        <w:fldChar w:fldCharType="end"/>
      </w:r>
      <w:r>
        <w:rPr>
          <w:rFonts w:hint="default" w:ascii="Times New Roman" w:hAnsi="Times New Roman" w:eastAsia="宋体" w:cs="Times New Roman"/>
          <w:b w:val="0"/>
          <w:bCs/>
          <w:snapToGrid w:val="0"/>
          <w:spacing w:val="-6"/>
          <w:kern w:val="21"/>
          <w:szCs w:val="21"/>
        </w:rPr>
        <w:t>+</w:t>
      </w:r>
      <w:r>
        <w:rPr>
          <w:rFonts w:hint="default" w:ascii="Times New Roman" w:hAnsi="Times New Roman" w:eastAsia="宋体" w:cs="Times New Roman"/>
          <w:b w:val="0"/>
          <w:bCs/>
          <w:snapToGrid w:val="0"/>
          <w:spacing w:val="-6"/>
          <w:kern w:val="21"/>
          <w:szCs w:val="21"/>
        </w:rPr>
        <w:fldChar w:fldCharType="begin"/>
      </w:r>
      <w:r>
        <w:rPr>
          <w:rFonts w:hint="default" w:ascii="Times New Roman" w:hAnsi="Times New Roman" w:eastAsia="宋体" w:cs="Times New Roman"/>
          <w:b w:val="0"/>
          <w:bCs/>
          <w:snapToGrid w:val="0"/>
          <w:spacing w:val="-6"/>
          <w:kern w:val="21"/>
          <w:szCs w:val="21"/>
        </w:rPr>
        <w:instrText xml:space="preserve"> = 3 \* GB3 \* MERGEFORMAT </w:instrText>
      </w:r>
      <w:r>
        <w:rPr>
          <w:rFonts w:hint="default" w:ascii="Times New Roman" w:hAnsi="Times New Roman" w:eastAsia="宋体" w:cs="Times New Roman"/>
          <w:b w:val="0"/>
          <w:bCs/>
          <w:snapToGrid w:val="0"/>
          <w:spacing w:val="-6"/>
          <w:kern w:val="21"/>
          <w:szCs w:val="21"/>
        </w:rPr>
        <w:fldChar w:fldCharType="separate"/>
      </w:r>
      <w:r>
        <w:rPr>
          <w:rFonts w:hint="default" w:ascii="Times New Roman" w:hAnsi="Times New Roman" w:eastAsia="宋体" w:cs="Times New Roman"/>
          <w:b w:val="0"/>
          <w:bCs/>
          <w:szCs w:val="21"/>
        </w:rPr>
        <w:t>③</w:t>
      </w:r>
      <w:r>
        <w:rPr>
          <w:rFonts w:hint="default" w:ascii="Times New Roman" w:hAnsi="Times New Roman" w:eastAsia="宋体" w:cs="Times New Roman"/>
          <w:b w:val="0"/>
          <w:bCs/>
          <w:snapToGrid w:val="0"/>
          <w:spacing w:val="-6"/>
          <w:kern w:val="21"/>
          <w:szCs w:val="21"/>
        </w:rPr>
        <w:fldChar w:fldCharType="end"/>
      </w:r>
      <w:r>
        <w:rPr>
          <w:rFonts w:hint="default" w:ascii="Times New Roman" w:hAnsi="Times New Roman" w:eastAsia="宋体" w:cs="Times New Roman"/>
          <w:b w:val="0"/>
          <w:bCs/>
          <w:snapToGrid w:val="0"/>
          <w:spacing w:val="-6"/>
          <w:kern w:val="21"/>
          <w:szCs w:val="21"/>
        </w:rPr>
        <w:t>+</w:t>
      </w:r>
      <w:r>
        <w:rPr>
          <w:rFonts w:hint="default" w:ascii="Times New Roman" w:hAnsi="Times New Roman" w:eastAsia="宋体" w:cs="Times New Roman"/>
          <w:b w:val="0"/>
          <w:bCs/>
          <w:snapToGrid w:val="0"/>
          <w:spacing w:val="-6"/>
          <w:kern w:val="21"/>
          <w:szCs w:val="21"/>
        </w:rPr>
        <w:fldChar w:fldCharType="begin"/>
      </w:r>
      <w:r>
        <w:rPr>
          <w:rFonts w:hint="default" w:ascii="Times New Roman" w:hAnsi="Times New Roman" w:eastAsia="宋体" w:cs="Times New Roman"/>
          <w:b w:val="0"/>
          <w:bCs/>
          <w:snapToGrid w:val="0"/>
          <w:spacing w:val="-6"/>
          <w:kern w:val="21"/>
          <w:szCs w:val="21"/>
        </w:rPr>
        <w:instrText xml:space="preserve"> = 4 \* GB3 \* MERGEFORMAT </w:instrText>
      </w:r>
      <w:r>
        <w:rPr>
          <w:rFonts w:hint="default" w:ascii="Times New Roman" w:hAnsi="Times New Roman" w:eastAsia="宋体" w:cs="Times New Roman"/>
          <w:b w:val="0"/>
          <w:bCs/>
          <w:snapToGrid w:val="0"/>
          <w:spacing w:val="-6"/>
          <w:kern w:val="21"/>
          <w:szCs w:val="21"/>
        </w:rPr>
        <w:fldChar w:fldCharType="separate"/>
      </w:r>
      <w:r>
        <w:rPr>
          <w:rFonts w:hint="default" w:ascii="Times New Roman" w:hAnsi="Times New Roman" w:eastAsia="宋体" w:cs="Times New Roman"/>
          <w:b w:val="0"/>
          <w:bCs/>
          <w:szCs w:val="21"/>
        </w:rPr>
        <w:t>④</w:t>
      </w:r>
      <w:r>
        <w:rPr>
          <w:rFonts w:hint="default" w:ascii="Times New Roman" w:hAnsi="Times New Roman" w:eastAsia="宋体" w:cs="Times New Roman"/>
          <w:b w:val="0"/>
          <w:bCs/>
          <w:snapToGrid w:val="0"/>
          <w:spacing w:val="-6"/>
          <w:kern w:val="21"/>
          <w:szCs w:val="21"/>
        </w:rPr>
        <w:fldChar w:fldCharType="end"/>
      </w:r>
      <w:r>
        <w:rPr>
          <w:rFonts w:hint="default" w:ascii="Times New Roman" w:hAnsi="Times New Roman" w:eastAsia="宋体" w:cs="Times New Roman"/>
          <w:b w:val="0"/>
          <w:bCs/>
          <w:snapToGrid w:val="0"/>
          <w:spacing w:val="-6"/>
          <w:kern w:val="21"/>
          <w:szCs w:val="21"/>
        </w:rPr>
        <w:t>-</w:t>
      </w:r>
      <w:r>
        <w:rPr>
          <w:rFonts w:hint="default" w:ascii="Times New Roman" w:hAnsi="Times New Roman" w:eastAsia="宋体" w:cs="Times New Roman"/>
          <w:b w:val="0"/>
          <w:bCs/>
          <w:snapToGrid w:val="0"/>
          <w:spacing w:val="-16"/>
          <w:kern w:val="21"/>
          <w:szCs w:val="21"/>
        </w:rPr>
        <w:fldChar w:fldCharType="begin"/>
      </w:r>
      <w:r>
        <w:rPr>
          <w:rFonts w:hint="default" w:ascii="Times New Roman" w:hAnsi="Times New Roman" w:eastAsia="宋体" w:cs="Times New Roman"/>
          <w:b w:val="0"/>
          <w:bCs/>
          <w:snapToGrid w:val="0"/>
          <w:spacing w:val="-16"/>
          <w:kern w:val="21"/>
          <w:szCs w:val="21"/>
        </w:rPr>
        <w:instrText xml:space="preserve"> = 5 \* GB3 \* MERGEFORMAT </w:instrText>
      </w:r>
      <w:r>
        <w:rPr>
          <w:rFonts w:hint="default" w:ascii="Times New Roman" w:hAnsi="Times New Roman" w:eastAsia="宋体" w:cs="Times New Roman"/>
          <w:b w:val="0"/>
          <w:bCs/>
          <w:snapToGrid w:val="0"/>
          <w:spacing w:val="-16"/>
          <w:kern w:val="21"/>
          <w:szCs w:val="21"/>
        </w:rPr>
        <w:fldChar w:fldCharType="separate"/>
      </w:r>
      <w:r>
        <w:rPr>
          <w:rFonts w:hint="default" w:ascii="Times New Roman" w:hAnsi="Times New Roman" w:eastAsia="宋体" w:cs="Times New Roman"/>
          <w:b w:val="0"/>
          <w:bCs/>
          <w:szCs w:val="21"/>
        </w:rPr>
        <w:t>⑤</w:t>
      </w:r>
      <w:r>
        <w:rPr>
          <w:rFonts w:hint="default" w:ascii="Times New Roman" w:hAnsi="Times New Roman" w:eastAsia="宋体" w:cs="Times New Roman"/>
          <w:b w:val="0"/>
          <w:bCs/>
          <w:snapToGrid w:val="0"/>
          <w:spacing w:val="-16"/>
          <w:kern w:val="21"/>
          <w:szCs w:val="21"/>
        </w:rPr>
        <w:fldChar w:fldCharType="end"/>
      </w:r>
      <w:r>
        <w:rPr>
          <w:rFonts w:hint="default" w:ascii="Times New Roman" w:hAnsi="Times New Roman" w:eastAsia="宋体" w:cs="Times New Roman"/>
          <w:b w:val="0"/>
          <w:bCs/>
          <w:snapToGrid w:val="0"/>
          <w:spacing w:val="-16"/>
          <w:kern w:val="21"/>
          <w:szCs w:val="21"/>
        </w:rPr>
        <w:t>；</w:t>
      </w:r>
      <w:r>
        <w:rPr>
          <w:rFonts w:hint="default" w:ascii="Times New Roman" w:hAnsi="Times New Roman" w:eastAsia="宋体" w:cs="Times New Roman"/>
          <w:b w:val="0"/>
          <w:bCs/>
          <w:snapToGrid w:val="0"/>
          <w:spacing w:val="-6"/>
          <w:kern w:val="21"/>
          <w:szCs w:val="21"/>
        </w:rPr>
        <w:fldChar w:fldCharType="begin"/>
      </w:r>
      <w:r>
        <w:rPr>
          <w:rFonts w:hint="default" w:ascii="Times New Roman" w:hAnsi="Times New Roman" w:eastAsia="宋体" w:cs="Times New Roman"/>
          <w:b w:val="0"/>
          <w:bCs/>
          <w:snapToGrid w:val="0"/>
          <w:spacing w:val="-6"/>
          <w:kern w:val="21"/>
          <w:szCs w:val="21"/>
        </w:rPr>
        <w:instrText xml:space="preserve"> = 7 \* GB3 \* MERGEFORMAT </w:instrText>
      </w:r>
      <w:r>
        <w:rPr>
          <w:rFonts w:hint="default" w:ascii="Times New Roman" w:hAnsi="Times New Roman" w:eastAsia="宋体" w:cs="Times New Roman"/>
          <w:b w:val="0"/>
          <w:bCs/>
          <w:snapToGrid w:val="0"/>
          <w:spacing w:val="-6"/>
          <w:kern w:val="21"/>
          <w:szCs w:val="21"/>
        </w:rPr>
        <w:fldChar w:fldCharType="separate"/>
      </w:r>
      <w:r>
        <w:rPr>
          <w:rFonts w:hint="default" w:ascii="Times New Roman" w:hAnsi="Times New Roman" w:eastAsia="宋体" w:cs="Times New Roman"/>
          <w:b w:val="0"/>
          <w:bCs/>
          <w:szCs w:val="21"/>
        </w:rPr>
        <w:t>⑦</w:t>
      </w:r>
      <w:r>
        <w:rPr>
          <w:rFonts w:hint="default" w:ascii="Times New Roman" w:hAnsi="Times New Roman" w:eastAsia="宋体" w:cs="Times New Roman"/>
          <w:b w:val="0"/>
          <w:bCs/>
          <w:snapToGrid w:val="0"/>
          <w:spacing w:val="-6"/>
          <w:kern w:val="21"/>
          <w:szCs w:val="21"/>
        </w:rPr>
        <w:fldChar w:fldCharType="end"/>
      </w:r>
      <w:r>
        <w:rPr>
          <w:rFonts w:hint="default" w:ascii="Times New Roman" w:hAnsi="Times New Roman" w:eastAsia="宋体" w:cs="Times New Roman"/>
          <w:b w:val="0"/>
          <w:bCs/>
          <w:snapToGrid w:val="0"/>
          <w:spacing w:val="-6"/>
          <w:kern w:val="21"/>
          <w:szCs w:val="21"/>
        </w:rPr>
        <w:t>=</w:t>
      </w:r>
      <w:r>
        <w:rPr>
          <w:rFonts w:hint="default" w:ascii="Times New Roman" w:hAnsi="Times New Roman" w:eastAsia="宋体" w:cs="Times New Roman"/>
          <w:b w:val="0"/>
          <w:bCs/>
          <w:snapToGrid w:val="0"/>
          <w:spacing w:val="-16"/>
          <w:kern w:val="21"/>
          <w:szCs w:val="21"/>
        </w:rPr>
        <w:fldChar w:fldCharType="begin"/>
      </w:r>
      <w:r>
        <w:rPr>
          <w:rFonts w:hint="default" w:ascii="Times New Roman" w:hAnsi="Times New Roman" w:eastAsia="宋体" w:cs="Times New Roman"/>
          <w:b w:val="0"/>
          <w:bCs/>
          <w:snapToGrid w:val="0"/>
          <w:spacing w:val="-16"/>
          <w:kern w:val="21"/>
          <w:szCs w:val="21"/>
        </w:rPr>
        <w:instrText xml:space="preserve"> = 6 \* GB3 \* MERGEFORMAT </w:instrText>
      </w:r>
      <w:r>
        <w:rPr>
          <w:rFonts w:hint="default" w:ascii="Times New Roman" w:hAnsi="Times New Roman" w:eastAsia="宋体" w:cs="Times New Roman"/>
          <w:b w:val="0"/>
          <w:bCs/>
          <w:snapToGrid w:val="0"/>
          <w:spacing w:val="-16"/>
          <w:kern w:val="21"/>
          <w:szCs w:val="21"/>
        </w:rPr>
        <w:fldChar w:fldCharType="separate"/>
      </w:r>
      <w:r>
        <w:rPr>
          <w:rFonts w:hint="default" w:ascii="Times New Roman" w:hAnsi="Times New Roman" w:eastAsia="宋体" w:cs="Times New Roman"/>
          <w:b w:val="0"/>
          <w:bCs/>
          <w:szCs w:val="21"/>
        </w:rPr>
        <w:t>⑥</w:t>
      </w:r>
      <w:r>
        <w:rPr>
          <w:rFonts w:hint="default" w:ascii="Times New Roman" w:hAnsi="Times New Roman" w:eastAsia="宋体" w:cs="Times New Roman"/>
          <w:b w:val="0"/>
          <w:bCs/>
          <w:snapToGrid w:val="0"/>
          <w:spacing w:val="-16"/>
          <w:kern w:val="21"/>
          <w:szCs w:val="21"/>
        </w:rPr>
        <w:fldChar w:fldCharType="end"/>
      </w:r>
      <w:r>
        <w:rPr>
          <w:rFonts w:hint="default" w:ascii="Times New Roman" w:hAnsi="Times New Roman" w:eastAsia="宋体" w:cs="Times New Roman"/>
          <w:b w:val="0"/>
          <w:bCs/>
          <w:snapToGrid w:val="0"/>
          <w:spacing w:val="-16"/>
          <w:kern w:val="21"/>
          <w:szCs w:val="21"/>
        </w:rPr>
        <w:t>-</w:t>
      </w:r>
      <w:r>
        <w:rPr>
          <w:rFonts w:hint="default" w:ascii="Times New Roman" w:hAnsi="Times New Roman" w:eastAsia="宋体" w:cs="Times New Roman"/>
          <w:b w:val="0"/>
          <w:bCs/>
          <w:snapToGrid w:val="0"/>
          <w:spacing w:val="-6"/>
          <w:kern w:val="21"/>
          <w:szCs w:val="21"/>
        </w:rPr>
        <w:fldChar w:fldCharType="begin"/>
      </w:r>
      <w:r>
        <w:rPr>
          <w:rFonts w:hint="default" w:ascii="Times New Roman" w:hAnsi="Times New Roman" w:eastAsia="宋体" w:cs="Times New Roman"/>
          <w:b w:val="0"/>
          <w:bCs/>
          <w:snapToGrid w:val="0"/>
          <w:spacing w:val="-6"/>
          <w:kern w:val="21"/>
          <w:szCs w:val="21"/>
        </w:rPr>
        <w:instrText xml:space="preserve"> = 1 \* GB3 \* MERGEFORMAT </w:instrText>
      </w:r>
      <w:r>
        <w:rPr>
          <w:rFonts w:hint="default" w:ascii="Times New Roman" w:hAnsi="Times New Roman" w:eastAsia="宋体" w:cs="Times New Roman"/>
          <w:b w:val="0"/>
          <w:bCs/>
          <w:snapToGrid w:val="0"/>
          <w:spacing w:val="-6"/>
          <w:kern w:val="21"/>
          <w:szCs w:val="21"/>
        </w:rPr>
        <w:fldChar w:fldCharType="separate"/>
      </w:r>
      <w:r>
        <w:rPr>
          <w:rFonts w:hint="default" w:ascii="Times New Roman" w:hAnsi="Times New Roman" w:eastAsia="宋体" w:cs="Times New Roman"/>
          <w:b w:val="0"/>
          <w:bCs/>
          <w:szCs w:val="21"/>
        </w:rPr>
        <w:t>①</w:t>
      </w:r>
      <w:r>
        <w:rPr>
          <w:rFonts w:hint="default" w:ascii="Times New Roman" w:hAnsi="Times New Roman" w:eastAsia="宋体" w:cs="Times New Roman"/>
          <w:b w:val="0"/>
          <w:bCs/>
          <w:snapToGrid w:val="0"/>
          <w:spacing w:val="-6"/>
          <w:kern w:val="21"/>
          <w:szCs w:val="21"/>
        </w:rPr>
        <w:fldChar w:fldCharType="end"/>
      </w:r>
    </w:p>
    <w:p w14:paraId="74F609E1">
      <w:pPr>
        <w:spacing w:line="360" w:lineRule="auto"/>
        <w:rPr>
          <w:rFonts w:hint="default" w:ascii="Times New Roman" w:hAnsi="Times New Roman" w:eastAsia="宋体" w:cs="Times New Roman"/>
          <w:bCs/>
          <w:sz w:val="28"/>
          <w:szCs w:val="36"/>
        </w:rPr>
      </w:pPr>
      <w:r>
        <w:rPr>
          <w:rFonts w:hint="default" w:ascii="Times New Roman" w:hAnsi="Times New Roman" w:eastAsia="宋体" w:cs="Times New Roman"/>
          <w:bCs/>
          <w:sz w:val="28"/>
          <w:szCs w:val="36"/>
        </w:rPr>
        <w:t>附图：</w:t>
      </w:r>
    </w:p>
    <w:p w14:paraId="02A5F806">
      <w:pPr>
        <w:spacing w:line="360" w:lineRule="auto"/>
        <w:ind w:firstLine="480" w:firstLineChars="200"/>
        <w:rPr>
          <w:rFonts w:hint="default" w:ascii="Times New Roman" w:hAnsi="Times New Roman" w:eastAsia="宋体" w:cs="Times New Roman"/>
          <w:b w:val="0"/>
          <w:bCs/>
          <w:szCs w:val="32"/>
        </w:rPr>
      </w:pPr>
      <w:r>
        <w:rPr>
          <w:rFonts w:hint="default" w:ascii="Times New Roman" w:hAnsi="Times New Roman" w:eastAsia="宋体" w:cs="Times New Roman"/>
          <w:b w:val="0"/>
          <w:bCs/>
          <w:szCs w:val="32"/>
        </w:rPr>
        <w:t>附图1：</w:t>
      </w:r>
      <w:r>
        <w:rPr>
          <w:rFonts w:hint="eastAsia" w:cs="Times New Roman"/>
          <w:b w:val="0"/>
          <w:bCs/>
          <w:szCs w:val="32"/>
          <w:lang w:val="en-US" w:eastAsia="zh-CN"/>
        </w:rPr>
        <w:t>园区规划区范围图</w:t>
      </w:r>
    </w:p>
    <w:p w14:paraId="6990F91E">
      <w:pPr>
        <w:spacing w:line="360" w:lineRule="auto"/>
        <w:ind w:firstLine="480" w:firstLineChars="200"/>
        <w:rPr>
          <w:rFonts w:hint="eastAsia" w:cs="Times New Roman"/>
          <w:b w:val="0"/>
          <w:bCs/>
          <w:szCs w:val="32"/>
          <w:lang w:val="en-US" w:eastAsia="zh-CN"/>
        </w:rPr>
      </w:pPr>
      <w:r>
        <w:rPr>
          <w:rFonts w:hint="eastAsia" w:cs="Times New Roman"/>
          <w:b w:val="0"/>
          <w:bCs/>
          <w:szCs w:val="32"/>
          <w:lang w:val="en-US" w:eastAsia="zh-CN"/>
        </w:rPr>
        <w:t>附图2：</w:t>
      </w:r>
      <w:r>
        <w:rPr>
          <w:rFonts w:hint="default" w:ascii="Times New Roman" w:hAnsi="Times New Roman" w:eastAsia="宋体" w:cs="Times New Roman"/>
          <w:b w:val="0"/>
          <w:bCs/>
          <w:szCs w:val="32"/>
          <w:lang w:val="en-US" w:eastAsia="zh-CN"/>
        </w:rPr>
        <w:t>阜东区产业布局规划图</w:t>
      </w:r>
    </w:p>
    <w:p w14:paraId="36CFF35C">
      <w:pPr>
        <w:spacing w:line="360" w:lineRule="auto"/>
        <w:ind w:firstLine="480" w:firstLineChars="200"/>
        <w:rPr>
          <w:rFonts w:hint="default"/>
        </w:rPr>
      </w:pPr>
      <w:r>
        <w:rPr>
          <w:rFonts w:hint="default" w:ascii="Times New Roman" w:hAnsi="Times New Roman" w:eastAsia="宋体" w:cs="Times New Roman"/>
          <w:b w:val="0"/>
          <w:bCs/>
          <w:szCs w:val="32"/>
        </w:rPr>
        <w:t>附图</w:t>
      </w:r>
      <w:r>
        <w:rPr>
          <w:rFonts w:hint="eastAsia" w:cs="Times New Roman"/>
          <w:b w:val="0"/>
          <w:bCs/>
          <w:szCs w:val="32"/>
          <w:lang w:val="en-US" w:eastAsia="zh-CN"/>
        </w:rPr>
        <w:t>3</w:t>
      </w:r>
      <w:r>
        <w:rPr>
          <w:rFonts w:hint="default" w:ascii="Times New Roman" w:hAnsi="Times New Roman" w:eastAsia="宋体" w:cs="Times New Roman"/>
          <w:b w:val="0"/>
          <w:bCs/>
          <w:szCs w:val="32"/>
        </w:rPr>
        <w:t>：</w:t>
      </w:r>
      <w:r>
        <w:rPr>
          <w:rFonts w:hint="default" w:ascii="Times New Roman" w:hAnsi="Times New Roman" w:eastAsia="宋体" w:cs="Times New Roman"/>
          <w:b w:val="0"/>
          <w:bCs/>
          <w:szCs w:val="32"/>
          <w:lang w:val="en-US" w:eastAsia="zh-CN"/>
        </w:rPr>
        <w:t>昌吉回族自治州环境管控单元分类图</w:t>
      </w:r>
    </w:p>
    <w:p w14:paraId="47C79A92">
      <w:pPr>
        <w:spacing w:line="360" w:lineRule="auto"/>
        <w:ind w:firstLine="480" w:firstLineChars="200"/>
        <w:rPr>
          <w:rFonts w:hint="default" w:ascii="Times New Roman" w:hAnsi="Times New Roman" w:eastAsia="宋体" w:cs="Times New Roman"/>
          <w:b w:val="0"/>
          <w:bCs/>
          <w:szCs w:val="32"/>
        </w:rPr>
      </w:pPr>
      <w:r>
        <w:rPr>
          <w:rFonts w:hint="default" w:ascii="Times New Roman" w:hAnsi="Times New Roman" w:eastAsia="宋体" w:cs="Times New Roman"/>
          <w:b w:val="0"/>
          <w:bCs/>
          <w:szCs w:val="32"/>
        </w:rPr>
        <w:t>附图</w:t>
      </w:r>
      <w:r>
        <w:rPr>
          <w:rFonts w:hint="eastAsia" w:cs="Times New Roman"/>
          <w:b w:val="0"/>
          <w:bCs/>
          <w:szCs w:val="32"/>
          <w:lang w:val="en-US" w:eastAsia="zh-CN"/>
        </w:rPr>
        <w:t>4</w:t>
      </w:r>
      <w:r>
        <w:rPr>
          <w:rFonts w:hint="default" w:ascii="Times New Roman" w:hAnsi="Times New Roman" w:eastAsia="宋体" w:cs="Times New Roman"/>
          <w:b w:val="0"/>
          <w:bCs/>
          <w:szCs w:val="32"/>
        </w:rPr>
        <w:t>：</w:t>
      </w:r>
      <w:r>
        <w:rPr>
          <w:rFonts w:hint="eastAsia" w:cs="Times New Roman"/>
          <w:b w:val="0"/>
          <w:bCs/>
          <w:szCs w:val="32"/>
          <w:lang w:val="en-US" w:eastAsia="zh-CN"/>
        </w:rPr>
        <w:t>地理位置图</w:t>
      </w:r>
    </w:p>
    <w:p w14:paraId="138AE424">
      <w:pPr>
        <w:spacing w:line="360" w:lineRule="auto"/>
        <w:ind w:firstLine="480" w:firstLineChars="200"/>
        <w:rPr>
          <w:rFonts w:hint="default" w:ascii="Times New Roman" w:hAnsi="Times New Roman" w:eastAsia="宋体" w:cs="Times New Roman"/>
          <w:b w:val="0"/>
          <w:bCs/>
          <w:szCs w:val="32"/>
        </w:rPr>
      </w:pPr>
      <w:r>
        <w:rPr>
          <w:rFonts w:hint="default" w:ascii="Times New Roman" w:hAnsi="Times New Roman" w:eastAsia="宋体" w:cs="Times New Roman"/>
          <w:b w:val="0"/>
          <w:bCs/>
          <w:szCs w:val="32"/>
        </w:rPr>
        <w:t>附图</w:t>
      </w:r>
      <w:r>
        <w:rPr>
          <w:rFonts w:hint="eastAsia" w:cs="Times New Roman"/>
          <w:b w:val="0"/>
          <w:bCs/>
          <w:szCs w:val="32"/>
          <w:lang w:val="en-US" w:eastAsia="zh-CN"/>
        </w:rPr>
        <w:t>5</w:t>
      </w:r>
      <w:r>
        <w:rPr>
          <w:rFonts w:hint="default" w:ascii="Times New Roman" w:hAnsi="Times New Roman" w:eastAsia="宋体" w:cs="Times New Roman"/>
          <w:b w:val="0"/>
          <w:bCs/>
          <w:szCs w:val="32"/>
        </w:rPr>
        <w:t>：</w:t>
      </w:r>
      <w:r>
        <w:rPr>
          <w:rFonts w:hint="eastAsia" w:cs="Times New Roman"/>
          <w:b w:val="0"/>
          <w:bCs/>
          <w:szCs w:val="32"/>
          <w:lang w:val="en-US" w:eastAsia="zh-CN"/>
        </w:rPr>
        <w:t>项目</w:t>
      </w:r>
      <w:r>
        <w:rPr>
          <w:rFonts w:hint="default" w:ascii="Times New Roman" w:hAnsi="Times New Roman" w:eastAsia="宋体" w:cs="Times New Roman"/>
          <w:b w:val="0"/>
          <w:bCs/>
          <w:szCs w:val="32"/>
          <w:lang w:val="en-US" w:eastAsia="zh-CN"/>
        </w:rPr>
        <w:t>周边关系图</w:t>
      </w:r>
    </w:p>
    <w:p w14:paraId="537F497D">
      <w:pPr>
        <w:pStyle w:val="15"/>
        <w:spacing w:after="0" w:line="360" w:lineRule="auto"/>
        <w:ind w:left="0" w:leftChars="0" w:firstLine="480" w:firstLineChars="200"/>
        <w:rPr>
          <w:rFonts w:hint="default" w:ascii="Times New Roman" w:hAnsi="Times New Roman" w:eastAsia="宋体" w:cs="Times New Roman"/>
          <w:b w:val="0"/>
          <w:bCs/>
          <w:sz w:val="24"/>
          <w:szCs w:val="32"/>
        </w:rPr>
      </w:pPr>
      <w:r>
        <w:rPr>
          <w:rFonts w:hint="default" w:ascii="Times New Roman" w:hAnsi="Times New Roman" w:eastAsia="宋体" w:cs="Times New Roman"/>
          <w:b w:val="0"/>
          <w:bCs/>
          <w:sz w:val="24"/>
          <w:szCs w:val="32"/>
        </w:rPr>
        <w:t>附图</w:t>
      </w:r>
      <w:r>
        <w:rPr>
          <w:rFonts w:hint="eastAsia" w:ascii="Times New Roman" w:hAnsi="Times New Roman" w:cs="Times New Roman"/>
          <w:b w:val="0"/>
          <w:bCs/>
          <w:sz w:val="24"/>
          <w:szCs w:val="32"/>
          <w:lang w:val="en-US" w:eastAsia="zh-CN"/>
        </w:rPr>
        <w:t>6</w:t>
      </w:r>
      <w:r>
        <w:rPr>
          <w:rFonts w:hint="default" w:ascii="Times New Roman" w:hAnsi="Times New Roman" w:eastAsia="宋体" w:cs="Times New Roman"/>
          <w:b w:val="0"/>
          <w:bCs/>
          <w:sz w:val="24"/>
          <w:szCs w:val="32"/>
        </w:rPr>
        <w:t>：</w:t>
      </w:r>
      <w:r>
        <w:rPr>
          <w:rFonts w:hint="eastAsia" w:ascii="Times New Roman" w:hAnsi="Times New Roman" w:cs="Times New Roman"/>
          <w:b w:val="0"/>
          <w:bCs/>
          <w:sz w:val="24"/>
          <w:szCs w:val="32"/>
          <w:lang w:val="en-US" w:eastAsia="zh-CN"/>
        </w:rPr>
        <w:t>锅炉房</w:t>
      </w:r>
      <w:r>
        <w:rPr>
          <w:rFonts w:hint="default" w:ascii="Times New Roman" w:hAnsi="Times New Roman" w:eastAsia="宋体" w:cs="Times New Roman"/>
          <w:b w:val="0"/>
          <w:bCs/>
          <w:sz w:val="24"/>
          <w:szCs w:val="32"/>
          <w:lang w:val="en-US" w:eastAsia="zh-CN"/>
        </w:rPr>
        <w:t>平面布置图</w:t>
      </w:r>
    </w:p>
    <w:p w14:paraId="65E453C1">
      <w:pPr>
        <w:pStyle w:val="12"/>
        <w:ind w:firstLine="361" w:firstLineChars="200"/>
        <w:rPr>
          <w:rFonts w:hint="default" w:ascii="Times New Roman" w:hAnsi="Times New Roman" w:eastAsia="宋体" w:cs="Times New Roman"/>
          <w:lang w:val="en-US" w:eastAsia="zh-CN"/>
        </w:rPr>
      </w:pPr>
    </w:p>
    <w:p w14:paraId="4506292A">
      <w:pPr>
        <w:rPr>
          <w:rFonts w:hint="default" w:ascii="Times New Roman" w:hAnsi="Times New Roman" w:eastAsia="宋体" w:cs="Times New Roman"/>
        </w:rPr>
      </w:pPr>
    </w:p>
    <w:p w14:paraId="307A4376">
      <w:pPr>
        <w:pStyle w:val="25"/>
        <w:ind w:firstLine="0" w:firstLineChars="0"/>
        <w:rPr>
          <w:rFonts w:hint="default" w:ascii="Times New Roman" w:hAnsi="Times New Roman" w:eastAsia="宋体" w:cs="Times New Roman"/>
          <w:b/>
          <w:bCs/>
          <w:sz w:val="28"/>
          <w:szCs w:val="36"/>
        </w:rPr>
      </w:pPr>
      <w:r>
        <w:rPr>
          <w:rFonts w:hint="default" w:ascii="Times New Roman" w:hAnsi="Times New Roman" w:eastAsia="宋体" w:cs="Times New Roman"/>
          <w:color w:val="000000" w:themeColor="text1"/>
          <w:sz w:val="21"/>
          <w14:textFill>
            <w14:solidFill>
              <w14:schemeClr w14:val="tx1"/>
            </w14:solidFill>
          </w14:textFill>
        </w:rPr>
        <w:drawing>
          <wp:anchor distT="0" distB="0" distL="114300" distR="114300" simplePos="0" relativeHeight="251670528" behindDoc="0" locked="0" layoutInCell="1" allowOverlap="1">
            <wp:simplePos x="0" y="0"/>
            <wp:positionH relativeFrom="column">
              <wp:posOffset>7836535</wp:posOffset>
            </wp:positionH>
            <wp:positionV relativeFrom="paragraph">
              <wp:posOffset>-2246630</wp:posOffset>
            </wp:positionV>
            <wp:extent cx="579755" cy="449580"/>
            <wp:effectExtent l="0" t="0" r="10795" b="7620"/>
            <wp:wrapNone/>
            <wp:docPr id="30" name="图片 1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4" descr="4"/>
                    <pic:cNvPicPr>
                      <a:picLocks noChangeAspect="1"/>
                    </pic:cNvPicPr>
                  </pic:nvPicPr>
                  <pic:blipFill>
                    <a:blip r:embed="rId27"/>
                    <a:stretch>
                      <a:fillRect/>
                    </a:stretch>
                  </pic:blipFill>
                  <pic:spPr>
                    <a:xfrm>
                      <a:off x="0" y="0"/>
                      <a:ext cx="579755" cy="449580"/>
                    </a:xfrm>
                    <a:prstGeom prst="rect">
                      <a:avLst/>
                    </a:prstGeom>
                    <a:noFill/>
                    <a:ln>
                      <a:noFill/>
                    </a:ln>
                  </pic:spPr>
                </pic:pic>
              </a:graphicData>
            </a:graphic>
          </wp:anchor>
        </w:drawing>
      </w:r>
    </w:p>
    <w:p w14:paraId="629B565B">
      <w:pPr>
        <w:pStyle w:val="25"/>
        <w:ind w:firstLine="0" w:firstLineChars="0"/>
        <w:rPr>
          <w:rFonts w:hint="default" w:ascii="Times New Roman" w:hAnsi="Times New Roman" w:eastAsia="宋体" w:cs="Times New Roman"/>
          <w:b/>
          <w:bCs/>
          <w:sz w:val="28"/>
          <w:szCs w:val="36"/>
        </w:rPr>
      </w:pPr>
    </w:p>
    <w:p w14:paraId="6DE4ECEC">
      <w:pPr>
        <w:pStyle w:val="25"/>
        <w:ind w:firstLine="0" w:firstLineChars="0"/>
        <w:rPr>
          <w:rFonts w:hint="default" w:ascii="Times New Roman" w:hAnsi="Times New Roman" w:eastAsia="宋体" w:cs="Times New Roman"/>
          <w:b/>
          <w:bCs/>
          <w:sz w:val="28"/>
          <w:szCs w:val="36"/>
        </w:rPr>
      </w:pPr>
      <w:r>
        <w:rPr>
          <w:rFonts w:hint="default" w:ascii="Times New Roman" w:hAnsi="Times New Roman" w:eastAsia="宋体" w:cs="Times New Roman"/>
          <w:b/>
          <w:bCs/>
          <w:sz w:val="28"/>
          <w:szCs w:val="36"/>
        </w:rPr>
        <w:t>附件：</w:t>
      </w:r>
    </w:p>
    <w:p w14:paraId="6B021DFA">
      <w:pPr>
        <w:spacing w:line="360" w:lineRule="auto"/>
        <w:ind w:firstLine="480" w:firstLineChars="200"/>
        <w:rPr>
          <w:rFonts w:hint="default" w:ascii="Times New Roman" w:hAnsi="Times New Roman" w:eastAsia="宋体" w:cs="Times New Roman"/>
          <w:b w:val="0"/>
          <w:bCs/>
          <w:color w:val="auto"/>
          <w:szCs w:val="32"/>
        </w:rPr>
      </w:pPr>
      <w:r>
        <w:rPr>
          <w:rFonts w:hint="default" w:ascii="Times New Roman" w:hAnsi="Times New Roman" w:eastAsia="宋体" w:cs="Times New Roman"/>
          <w:b w:val="0"/>
          <w:bCs/>
          <w:color w:val="auto"/>
          <w:szCs w:val="32"/>
        </w:rPr>
        <w:t>附件1：委托书</w:t>
      </w:r>
    </w:p>
    <w:p w14:paraId="2A1A53BB">
      <w:pPr>
        <w:spacing w:line="360" w:lineRule="auto"/>
        <w:ind w:firstLine="480" w:firstLineChars="200"/>
        <w:rPr>
          <w:rFonts w:hint="default" w:ascii="Times New Roman" w:hAnsi="Times New Roman" w:eastAsia="宋体" w:cs="Times New Roman"/>
          <w:b w:val="0"/>
          <w:bCs/>
          <w:color w:val="auto"/>
          <w:szCs w:val="32"/>
          <w:lang w:val="en-US" w:eastAsia="zh-CN"/>
        </w:rPr>
      </w:pPr>
      <w:r>
        <w:rPr>
          <w:rFonts w:hint="default" w:ascii="Times New Roman" w:hAnsi="Times New Roman" w:eastAsia="宋体" w:cs="Times New Roman"/>
          <w:b w:val="0"/>
          <w:bCs/>
          <w:color w:val="auto"/>
          <w:szCs w:val="32"/>
        </w:rPr>
        <w:t>附件2：</w:t>
      </w:r>
      <w:r>
        <w:rPr>
          <w:rFonts w:hint="default" w:ascii="Times New Roman" w:hAnsi="Times New Roman" w:eastAsia="宋体" w:cs="Times New Roman"/>
          <w:b w:val="0"/>
          <w:bCs/>
          <w:color w:val="auto"/>
          <w:szCs w:val="32"/>
          <w:lang w:val="en-US" w:eastAsia="zh-CN"/>
        </w:rPr>
        <w:t>天然气成分检测报告</w:t>
      </w:r>
    </w:p>
    <w:p w14:paraId="4D9B2B6E">
      <w:pPr>
        <w:spacing w:line="360" w:lineRule="auto"/>
        <w:ind w:firstLine="480" w:firstLineChars="200"/>
        <w:rPr>
          <w:rFonts w:hint="default" w:ascii="Times New Roman" w:hAnsi="Times New Roman" w:eastAsia="宋体" w:cs="Times New Roman"/>
          <w:b w:val="0"/>
          <w:bCs/>
          <w:color w:val="auto"/>
          <w:szCs w:val="32"/>
          <w:lang w:val="en-US" w:eastAsia="zh-CN"/>
        </w:rPr>
      </w:pPr>
      <w:r>
        <w:rPr>
          <w:rFonts w:hint="default" w:ascii="Times New Roman" w:hAnsi="Times New Roman" w:eastAsia="宋体" w:cs="Times New Roman"/>
          <w:b w:val="0"/>
          <w:bCs/>
          <w:color w:val="auto"/>
          <w:szCs w:val="32"/>
          <w:lang w:val="en-US" w:eastAsia="zh-CN"/>
        </w:rPr>
        <w:t>附件3：建设项目承诺备案通知书</w:t>
      </w:r>
    </w:p>
    <w:p w14:paraId="3B69D449">
      <w:pPr>
        <w:spacing w:line="360" w:lineRule="auto"/>
        <w:ind w:firstLine="480" w:firstLineChars="200"/>
        <w:rPr>
          <w:rFonts w:hint="default" w:ascii="Times New Roman" w:hAnsi="Times New Roman" w:eastAsia="宋体" w:cs="Times New Roman"/>
          <w:b w:val="0"/>
          <w:bCs/>
          <w:color w:val="auto"/>
          <w:szCs w:val="32"/>
          <w:lang w:val="en-US" w:eastAsia="zh-CN"/>
        </w:rPr>
      </w:pPr>
      <w:r>
        <w:rPr>
          <w:rFonts w:hint="eastAsia" w:ascii="Times New Roman" w:hAnsi="Times New Roman" w:eastAsia="宋体" w:cs="Times New Roman"/>
          <w:b w:val="0"/>
          <w:bCs/>
          <w:color w:val="auto"/>
          <w:szCs w:val="32"/>
          <w:lang w:val="en-US" w:eastAsia="zh-CN"/>
        </w:rPr>
        <w:t>附件4：现有项目环评批复</w:t>
      </w:r>
    </w:p>
    <w:p w14:paraId="3EF101FE">
      <w:pPr>
        <w:spacing w:line="360" w:lineRule="auto"/>
        <w:ind w:firstLine="480" w:firstLineChars="200"/>
        <w:rPr>
          <w:rFonts w:hint="default" w:ascii="Times New Roman" w:hAnsi="Times New Roman" w:eastAsia="宋体" w:cs="Times New Roman"/>
          <w:b w:val="0"/>
          <w:bCs/>
          <w:color w:val="auto"/>
          <w:szCs w:val="32"/>
          <w:lang w:val="en-US" w:eastAsia="zh-CN"/>
        </w:rPr>
      </w:pPr>
      <w:r>
        <w:rPr>
          <w:rFonts w:hint="default" w:ascii="Times New Roman" w:hAnsi="Times New Roman" w:eastAsia="宋体" w:cs="Times New Roman"/>
          <w:b w:val="0"/>
          <w:bCs/>
          <w:color w:val="auto"/>
          <w:szCs w:val="32"/>
          <w:lang w:val="en-US" w:eastAsia="zh-CN"/>
        </w:rPr>
        <w:t>附件5：现有项目验收意见</w:t>
      </w:r>
    </w:p>
    <w:p w14:paraId="6A48B3CE">
      <w:pPr>
        <w:spacing w:line="360" w:lineRule="auto"/>
        <w:ind w:firstLine="480" w:firstLineChars="200"/>
        <w:rPr>
          <w:rFonts w:hint="default" w:ascii="Times New Roman" w:hAnsi="Times New Roman" w:eastAsia="宋体" w:cs="Times New Roman"/>
          <w:b w:val="0"/>
          <w:bCs/>
          <w:color w:val="auto"/>
          <w:szCs w:val="32"/>
          <w:lang w:val="en-US" w:eastAsia="zh-CN"/>
        </w:rPr>
      </w:pPr>
      <w:r>
        <w:rPr>
          <w:rFonts w:hint="default" w:ascii="Times New Roman" w:hAnsi="Times New Roman" w:eastAsia="宋体" w:cs="Times New Roman"/>
          <w:b w:val="0"/>
          <w:bCs/>
          <w:color w:val="auto"/>
          <w:szCs w:val="32"/>
          <w:lang w:val="en-US" w:eastAsia="zh-CN"/>
        </w:rPr>
        <w:t>附件6：突发环境事件应急预案备案表</w:t>
      </w:r>
    </w:p>
    <w:p w14:paraId="5C517914">
      <w:pPr>
        <w:spacing w:line="360" w:lineRule="auto"/>
        <w:ind w:firstLine="480" w:firstLineChars="200"/>
        <w:rPr>
          <w:rFonts w:hint="eastAsia" w:ascii="Times New Roman" w:hAnsi="Times New Roman" w:eastAsia="宋体" w:cs="Times New Roman"/>
          <w:b w:val="0"/>
          <w:bCs/>
          <w:color w:val="auto"/>
          <w:szCs w:val="32"/>
          <w:lang w:val="en-US" w:eastAsia="zh-CN"/>
        </w:rPr>
      </w:pPr>
      <w:r>
        <w:rPr>
          <w:rFonts w:hint="eastAsia" w:ascii="Times New Roman" w:hAnsi="Times New Roman" w:eastAsia="宋体" w:cs="Times New Roman"/>
          <w:b w:val="0"/>
          <w:bCs/>
          <w:color w:val="auto"/>
          <w:szCs w:val="32"/>
          <w:lang w:val="en-US" w:eastAsia="zh-CN"/>
        </w:rPr>
        <w:t>附件7：责令改正违法行为决定书</w:t>
      </w:r>
    </w:p>
    <w:p w14:paraId="0C3C2949">
      <w:pPr>
        <w:pStyle w:val="2"/>
        <w:rPr>
          <w:rFonts w:hint="default" w:ascii="Times New Roman" w:hAnsi="Times New Roman" w:eastAsia="宋体" w:cs="Times New Roman"/>
          <w:b w:val="0"/>
          <w:bCs/>
          <w:color w:val="auto"/>
          <w:szCs w:val="32"/>
          <w:lang w:val="en-US" w:eastAsia="zh-CN"/>
        </w:rPr>
      </w:pPr>
      <w:r>
        <w:rPr>
          <w:rFonts w:hint="eastAsia" w:ascii="Times New Roman" w:hAnsi="Times New Roman" w:cs="Times New Roman"/>
          <w:b w:val="0"/>
          <w:bCs/>
          <w:color w:val="auto"/>
          <w:szCs w:val="32"/>
          <w:lang w:val="en-US" w:eastAsia="zh-CN"/>
        </w:rPr>
        <w:t>附件8：环评</w:t>
      </w:r>
    </w:p>
    <w:p w14:paraId="235C94CB">
      <w:pPr>
        <w:pStyle w:val="3"/>
        <w:rPr>
          <w:rFonts w:hint="default"/>
          <w:lang w:val="en-US" w:eastAsia="zh-CN"/>
        </w:rPr>
        <w:sectPr>
          <w:footerReference r:id="rId5" w:type="default"/>
          <w:pgSz w:w="11906" w:h="16838"/>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414EA0">
      <w:pPr>
        <w:jc w:val="center"/>
        <w:rPr>
          <w:rFonts w:ascii="宋体" w:hAnsi="宋体" w:eastAsia="宋体" w:cs="宋体"/>
          <w:sz w:val="24"/>
          <w:szCs w:val="24"/>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2153920</wp:posOffset>
                </wp:positionH>
                <wp:positionV relativeFrom="paragraph">
                  <wp:posOffset>1031240</wp:posOffset>
                </wp:positionV>
                <wp:extent cx="717550" cy="320675"/>
                <wp:effectExtent l="4445" t="5080" r="20955" b="1045845"/>
                <wp:wrapNone/>
                <wp:docPr id="62" name="圆角矩形标注 62"/>
                <wp:cNvGraphicFramePr/>
                <a:graphic xmlns:a="http://schemas.openxmlformats.org/drawingml/2006/main">
                  <a:graphicData uri="http://schemas.microsoft.com/office/word/2010/wordprocessingShape">
                    <wps:wsp>
                      <wps:cNvSpPr/>
                      <wps:spPr>
                        <a:xfrm>
                          <a:off x="0" y="0"/>
                          <a:ext cx="717550" cy="320675"/>
                        </a:xfrm>
                        <a:prstGeom prst="wedgeRoundRectCallout">
                          <a:avLst>
                            <a:gd name="adj1" fmla="val -42777"/>
                            <a:gd name="adj2" fmla="val 361485"/>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F749150">
                            <w:pPr>
                              <w:rPr>
                                <w:rFonts w:hint="eastAsia" w:eastAsia="宋体"/>
                                <w:b/>
                                <w:bCs/>
                                <w:sz w:val="24"/>
                                <w:szCs w:val="24"/>
                                <w:lang w:val="en-US" w:eastAsia="zh-CN"/>
                              </w:rPr>
                            </w:pPr>
                            <w:r>
                              <w:rPr>
                                <w:rFonts w:hint="eastAsia"/>
                                <w:sz w:val="22"/>
                                <w:szCs w:val="22"/>
                                <w:lang w:val="en-US" w:eastAsia="zh-CN"/>
                              </w:rPr>
                              <w:t>项目区</w:t>
                            </w:r>
                          </w:p>
                        </w:txbxContent>
                      </wps:txbx>
                      <wps:bodyPr upright="1"/>
                    </wps:wsp>
                  </a:graphicData>
                </a:graphic>
              </wp:anchor>
            </w:drawing>
          </mc:Choice>
          <mc:Fallback>
            <w:pict>
              <v:shape id="_x0000_s1026" o:spid="_x0000_s1026" o:spt="62" type="#_x0000_t62" style="position:absolute;left:0pt;margin-left:169.6pt;margin-top:81.2pt;height:25.25pt;width:56.5pt;z-index:251685888;mso-width-relative:page;mso-height-relative:page;" fillcolor="#FFFFFF" filled="t" stroked="t" coordsize="21600,21600" o:gfxdata="UEsDBAoAAAAAAIdO4kAAAAAAAAAAAAAAAAAEAAAAZHJzL1BLAwQUAAAACACHTuJAVAmJ/NoAAAAL&#10;AQAADwAAAGRycy9kb3ducmV2LnhtbE2Py07DMBBF90j8gzVI7Kgdt1RNiFOhCoTEioYKys6N3SQi&#10;Hke2+/p7hhUsZ+7VmTPl8uwGdrQh9h4VZBMBzGLjTY+tgs37890CWEwajR48WgUXG2FZXV+VujD+&#10;hGt7rFPLCIKx0Aq6lMaC89h01uk48aNFyvY+OJ1oDC03QZ8I7gYuhZhzp3ukC50e7aqzzXd9cAqm&#10;q8vj65P5etnG/ONzu34TddgLpW5vMvEALNlz+ivDrz6pQ0VOO39AE9lAjGkuqUrBXM6AUWN2L2mz&#10;UyAzmQOvSv7/h+oHUEsDBBQAAAAIAIdO4kC90pbKVwIAAL4EAAAOAAAAZHJzL2Uyb0RvYy54bWyt&#10;VMty0zAU3TPDP2i0bxw7jVMycbpoCBsGOi18gGLJthi9RlJi5wdgz5oZGDbAmjWf08JncKWYJC0s&#10;usAL+8q6Ojrn3CvNzjsp0IZZx7UqcDoYYsRUqSlXdYFfv1qenGHkPFGUCK1YgbfM4fP540ez1kxZ&#10;phstKLMIQJSbtqbAjfdmmiSubJgkbqANUzBZaSuJh6GtE2pJC+hSJNlwmCetttRYXTLn4O9iN4l7&#10;RPsQQF1VvGQLXa4lU36HapkgHiS5hhuH55FtVbHSv6wqxzwSBQalPr5hE4hX4Z3MZ2RaW2IaXvYU&#10;yEMo3NMkCVew6R5qQTxBa8v/gpK8tNrpyg9KLZOdkOgIqEiH97y5bohhUQtY7czedPf/YMsXm0uL&#10;OC1wnmGkiISK33x4++vL+58fv938+Hz76d3t968IJsGp1rgpLLg2l7YfOQiD7K6yMnxBEOqiu9u9&#10;u6zzqISfk3QyHoPvJUyNsmE+GQfM5LDYWOefMS1RCArcMlqzK71W9ArKeEGE0GsfTSab585Ht2lP&#10;mdA3KUaVFFC8DRHo5DSbTCZ9dY+SQOMhaZSnp2eRBNTtKGl0nJTmeR6BgGi/L0R/qAYSTgtOl1yI&#10;OLD16kJYBCQKvIxPr/JOmlCoLfCTcTYGPwicogq6F0JpoBJO1VHmnRXuGHgYn38BB2IL4podgYiw&#10;c0Fyz2zs9oYR+lRR5LcGiq3gkONARjKKkWBwJ4QoZnrCxUMywRChoJShP3YdESLfrbq+TVaabqHN&#10;1sbyuoHSppF6SIK2jj3QH8Fwbo7HEfRw7c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QJifza&#10;AAAACwEAAA8AAAAAAAAAAQAgAAAAIgAAAGRycy9kb3ducmV2LnhtbFBLAQIUABQAAAAIAIdO4kC9&#10;0pbKVwIAAL4EAAAOAAAAAAAAAAEAIAAAACkBAABkcnMvZTJvRG9jLnhtbFBLBQYAAAAABgAGAFkB&#10;AADyBQAAAAA=&#10;" adj="1560,88881,14400">
                <v:fill on="t" focussize="0,0"/>
                <v:stroke color="#000000" joinstyle="miter"/>
                <v:imagedata o:title=""/>
                <o:lock v:ext="edit" aspectratio="f"/>
                <v:textbox>
                  <w:txbxContent>
                    <w:p w14:paraId="0F749150">
                      <w:pPr>
                        <w:rPr>
                          <w:rFonts w:hint="eastAsia" w:eastAsia="宋体"/>
                          <w:b/>
                          <w:bCs/>
                          <w:sz w:val="24"/>
                          <w:szCs w:val="24"/>
                          <w:lang w:val="en-US" w:eastAsia="zh-CN"/>
                        </w:rPr>
                      </w:pPr>
                      <w:r>
                        <w:rPr>
                          <w:rFonts w:hint="eastAsia"/>
                          <w:sz w:val="22"/>
                          <w:szCs w:val="22"/>
                          <w:lang w:val="en-US" w:eastAsia="zh-CN"/>
                        </w:rPr>
                        <w:t>项目区</w:t>
                      </w:r>
                    </w:p>
                  </w:txbxContent>
                </v:textbox>
              </v:shape>
            </w:pict>
          </mc:Fallback>
        </mc:AlternateContent>
      </w:r>
      <w:r>
        <w:rPr>
          <w:rFonts w:ascii="宋体" w:hAnsi="宋体" w:eastAsia="宋体" w:cs="宋体"/>
          <w:sz w:val="24"/>
          <w:szCs w:val="24"/>
        </w:rPr>
        <w:drawing>
          <wp:inline distT="0" distB="0" distL="114300" distR="114300">
            <wp:extent cx="8394065" cy="5266690"/>
            <wp:effectExtent l="0" t="0" r="6985" b="10160"/>
            <wp:docPr id="3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IMG_256"/>
                    <pic:cNvPicPr>
                      <a:picLocks noChangeAspect="1"/>
                    </pic:cNvPicPr>
                  </pic:nvPicPr>
                  <pic:blipFill>
                    <a:blip r:embed="rId28"/>
                    <a:stretch>
                      <a:fillRect/>
                    </a:stretch>
                  </pic:blipFill>
                  <pic:spPr>
                    <a:xfrm>
                      <a:off x="0" y="0"/>
                      <a:ext cx="8394065" cy="5266690"/>
                    </a:xfrm>
                    <a:prstGeom prst="rect">
                      <a:avLst/>
                    </a:prstGeom>
                    <a:noFill/>
                    <a:ln w="9525">
                      <a:noFill/>
                    </a:ln>
                  </pic:spPr>
                </pic:pic>
              </a:graphicData>
            </a:graphic>
          </wp:inline>
        </w:drawing>
      </w:r>
      <w:r>
        <w:rPr>
          <w:rFonts w:hint="default" w:ascii="Times New Roman" w:hAnsi="Times New Roman" w:eastAsia="宋体" w:cs="Times New Roman"/>
          <w:sz w:val="24"/>
          <w:szCs w:val="24"/>
          <w:lang w:val="en-US" w:eastAsia="zh-CN"/>
        </w:rPr>
        <w:t>附图</w:t>
      </w:r>
      <w:r>
        <w:rPr>
          <w:rFonts w:hint="eastAsia" w:cs="Times New Roman"/>
          <w:sz w:val="24"/>
          <w:szCs w:val="24"/>
          <w:lang w:val="en-US" w:eastAsia="zh-CN"/>
        </w:rPr>
        <w:t>1</w:t>
      </w:r>
      <w:r>
        <w:rPr>
          <w:rFonts w:hint="default" w:ascii="Times New Roman" w:hAnsi="Times New Roman" w:eastAsia="宋体" w:cs="Times New Roman"/>
          <w:sz w:val="24"/>
          <w:szCs w:val="24"/>
          <w:lang w:val="en-US" w:eastAsia="zh-CN"/>
        </w:rPr>
        <w:t>：园区规划区范围图</w:t>
      </w:r>
    </w:p>
    <w:p w14:paraId="0674F18D">
      <w:pPr>
        <w:pStyle w:val="18"/>
        <w:ind w:left="0" w:leftChars="0" w:firstLine="0" w:firstLineChars="0"/>
        <w:jc w:val="center"/>
        <w:rPr>
          <w:rFonts w:hint="default" w:ascii="Times New Roman" w:hAnsi="Times New Roman" w:eastAsia="宋体" w:cs="Times New Roman"/>
          <w:sz w:val="24"/>
          <w:szCs w:val="24"/>
          <w:lang w:val="en-US"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宋体" w:hAnsi="宋体" w:eastAsia="宋体" w:cs="宋体"/>
          <w:sz w:val="24"/>
          <w:szCs w:val="24"/>
        </w:rPr>
        <w:drawing>
          <wp:inline distT="0" distB="0" distL="114300" distR="114300">
            <wp:extent cx="8258175" cy="5286375"/>
            <wp:effectExtent l="0" t="0" r="9525" b="9525"/>
            <wp:docPr id="2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6"/>
                    <pic:cNvPicPr>
                      <a:picLocks noChangeAspect="1"/>
                    </pic:cNvPicPr>
                  </pic:nvPicPr>
                  <pic:blipFill>
                    <a:blip r:embed="rId29"/>
                    <a:stretch>
                      <a:fillRect/>
                    </a:stretch>
                  </pic:blipFill>
                  <pic:spPr>
                    <a:xfrm>
                      <a:off x="0" y="0"/>
                      <a:ext cx="8258175" cy="5286375"/>
                    </a:xfrm>
                    <a:prstGeom prst="rect">
                      <a:avLst/>
                    </a:prstGeom>
                    <a:noFill/>
                    <a:ln w="9525">
                      <a:noFill/>
                    </a:ln>
                  </pic:spPr>
                </pic:pic>
              </a:graphicData>
            </a:graphic>
          </wp:inline>
        </w:drawing>
      </w:r>
      <w:r>
        <w:rPr>
          <w:rFonts w:hint="default" w:ascii="Times New Roman" w:hAnsi="Times New Roman" w:eastAsia="宋体" w:cs="Times New Roman"/>
          <w:sz w:val="24"/>
          <w:szCs w:val="24"/>
          <w:lang w:val="en-US" w:eastAsia="zh-CN"/>
        </w:rPr>
        <w:t>附图</w:t>
      </w:r>
      <w:r>
        <w:rPr>
          <w:rFonts w:hint="eastAsia" w:cs="Times New Roman"/>
          <w:sz w:val="24"/>
          <w:szCs w:val="24"/>
          <w:lang w:val="en-US" w:eastAsia="zh-CN"/>
        </w:rPr>
        <w:t>2</w:t>
      </w:r>
      <w:r>
        <w:rPr>
          <w:rFonts w:hint="default" w:ascii="Times New Roman" w:hAnsi="Times New Roman" w:eastAsia="宋体" w:cs="Times New Roman"/>
          <w:sz w:val="24"/>
          <w:szCs w:val="24"/>
          <w:lang w:val="en-US" w:eastAsia="zh-CN"/>
        </w:rPr>
        <w:t>：阜东区产业布局规划图</w:t>
      </w:r>
    </w:p>
    <w:p w14:paraId="6EADCAB0">
      <w:pPr>
        <w:pStyle w:val="18"/>
        <w:ind w:left="0" w:leftChars="0" w:firstLine="0" w:firstLineChars="0"/>
        <w:jc w:val="center"/>
        <w:rPr>
          <w:rFonts w:hint="default" w:ascii="Times New Roman" w:hAnsi="Times New Roman" w:eastAsia="宋体" w:cs="Times New Roman"/>
          <w:lang w:val="en-US"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000000" w:themeColor="text1"/>
          <w:sz w:val="28"/>
          <w:szCs w:val="28"/>
          <w14:textFill>
            <w14:solidFill>
              <w14:schemeClr w14:val="tx1"/>
            </w14:solidFill>
          </w14:textFill>
        </w:rPr>
        <w:drawing>
          <wp:inline distT="0" distB="0" distL="114300" distR="114300">
            <wp:extent cx="8435340" cy="4737735"/>
            <wp:effectExtent l="0" t="0" r="3810"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0"/>
                    <a:srcRect l="1164" t="1788" r="1392" b="1793"/>
                    <a:stretch>
                      <a:fillRect/>
                    </a:stretch>
                  </pic:blipFill>
                  <pic:spPr>
                    <a:xfrm>
                      <a:off x="0" y="0"/>
                      <a:ext cx="8435340" cy="4737735"/>
                    </a:xfrm>
                    <a:prstGeom prst="rect">
                      <a:avLst/>
                    </a:prstGeom>
                    <a:noFill/>
                    <a:ln>
                      <a:noFill/>
                    </a:ln>
                  </pic:spPr>
                </pic:pic>
              </a:graphicData>
            </a:graphic>
          </wp:inline>
        </w:drawing>
      </w: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3338830</wp:posOffset>
                </wp:positionH>
                <wp:positionV relativeFrom="paragraph">
                  <wp:posOffset>1798955</wp:posOffset>
                </wp:positionV>
                <wp:extent cx="693420" cy="328295"/>
                <wp:effectExtent l="280035" t="4445" r="17145" b="581660"/>
                <wp:wrapNone/>
                <wp:docPr id="10" name="圆角矩形标注 10"/>
                <wp:cNvGraphicFramePr/>
                <a:graphic xmlns:a="http://schemas.openxmlformats.org/drawingml/2006/main">
                  <a:graphicData uri="http://schemas.microsoft.com/office/word/2010/wordprocessingShape">
                    <wps:wsp>
                      <wps:cNvSpPr/>
                      <wps:spPr>
                        <a:xfrm>
                          <a:off x="0" y="0"/>
                          <a:ext cx="693420" cy="328295"/>
                        </a:xfrm>
                        <a:prstGeom prst="wedgeRoundRectCallout">
                          <a:avLst>
                            <a:gd name="adj1" fmla="val -86721"/>
                            <a:gd name="adj2" fmla="val 21441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067BCD0">
                            <w:pPr>
                              <w:rPr>
                                <w:rFonts w:hint="eastAsia" w:eastAsia="宋体"/>
                                <w:b/>
                                <w:bCs/>
                                <w:sz w:val="24"/>
                                <w:szCs w:val="24"/>
                                <w:lang w:val="en-US" w:eastAsia="zh-CN"/>
                              </w:rPr>
                            </w:pPr>
                            <w:r>
                              <w:rPr>
                                <w:rFonts w:hint="eastAsia"/>
                                <w:b/>
                                <w:bCs/>
                                <w:sz w:val="24"/>
                                <w:szCs w:val="24"/>
                                <w:lang w:val="en-US" w:eastAsia="zh-CN"/>
                              </w:rPr>
                              <w:t>项目区</w:t>
                            </w:r>
                          </w:p>
                        </w:txbxContent>
                      </wps:txbx>
                      <wps:bodyPr upright="1"/>
                    </wps:wsp>
                  </a:graphicData>
                </a:graphic>
              </wp:anchor>
            </w:drawing>
          </mc:Choice>
          <mc:Fallback>
            <w:pict>
              <v:shape id="_x0000_s1026" o:spid="_x0000_s1026" o:spt="62" type="#_x0000_t62" style="position:absolute;left:0pt;margin-left:262.9pt;margin-top:141.65pt;height:25.85pt;width:54.6pt;z-index:251661312;mso-width-relative:page;mso-height-relative:page;" fillcolor="#FFFFFF" filled="t" stroked="t" coordsize="21600,21600" o:gfxdata="UEsDBAoAAAAAAIdO4kAAAAAAAAAAAAAAAAAEAAAAZHJzL1BLAwQUAAAACACHTuJAizPqANkAAAAL&#10;AQAADwAAAGRycy9kb3ducmV2LnhtbE2PzU7DMBCE70i8g7VI3KjdRClViFMJpHKBA7TlvomXOCJe&#10;h9j9oU+Pe4LbrGY0+021OrlBHGgKvWcN85kCQdx603OnYbdd3y1BhIhscPBMGn4owKq+vqqwNP7I&#10;73TYxE6kEg4larAxjqWUobXkMMz8SJy8Tz85jOmcOmkmPKZyN8hMqYV02HP6YHGkJ0vt12bvNHSv&#10;b44+Hncvaz7b8/b5u+lR3Wt9ezNXDyAineJfGC74CR3qxNT4PZsgBg1FViT0qCFb5jmIlFjkRVrX&#10;aMgvQtaV/L+h/gVQSwMEFAAAAAgAh07iQFCdqpdUAgAAvgQAAA4AAABkcnMvZTJvRG9jLnhtbK1U&#10;y3LTMBTdM8M/aLRvHDuPJpk4XTSEDQOdFj5AsWRbjF4jKbHzA7BnzQwdNsCaNZ/TwmdwLZvULSy6&#10;wAv7yro6OufcKy3PainQnlnHtUpxPBhixFSmKVdFit+83pzMMHKeKEqEVizFB+bw2erpk2VlFizR&#10;pRaUWQQgyi0qk+LSe7OIIpeVTBI30IYpmMy1lcTD0BYRtaQCdCmiZDicRpW21FidMefg77qdxB2i&#10;fQygznOesbXOdpIp36JaJogHSa7kxuFVYJvnLPOv8twxj0SKQakPb9gE4m3zjlZLsigsMSXPOgrk&#10;MRQeaJKEK9j0CLUmnqCd5X9BSZ5Z7XTuB5mWUSskOAIq4uEDb65KYljQAlY7czTd/T/Y7OX+wiJO&#10;oRPAEkUkVPzm47tfXz78/PTt5sfn2+v3t9+/IpgEpyrjFrDgylzYbuQgbGTXuZXNFwShOrh7OLrL&#10;ao8y+Dmdj8YJbJLB1CiZJfNJgxndLTbW+edMS9QEKa4YLdil3il6CWU8J0LonQ8mk/0L54PbtKNM&#10;6NsYo1wKKN6eCHQym54mcVfdXlLST0ri8bgVBnXrJY36SfF0Oj3tiHb7AuU/VBsSTgtON1yIMLDF&#10;9lxYBCRSvAlPt/hemlCoSvF8kkzADwKnKIfuhVAaqIRTRZB5b4XrAw/D8y/ghtiauLIlEBBaFyT3&#10;zIZuLxmhzxRF/mCg2AoOOW7ISEYxEgzuhCYKmZ5w8ZhMMEQoKGXTH21HNJGvt3XXJltND9BmO2N5&#10;UUJpQ2VCOrR16IHuCDbnpj8OoHfXzu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zPqANkAAAAL&#10;AQAADwAAAAAAAAABACAAAAAiAAAAZHJzL2Rvd25yZXYueG1sUEsBAhQAFAAAAAgAh07iQFCdqpdU&#10;AgAAvgQAAA4AAAAAAAAAAQAgAAAAKAEAAGRycy9lMm9Eb2MueG1sUEsFBgAAAAAGAAYAWQEAAO4F&#10;AAAAAA==&#10;" adj="-7932,57113,14400">
                <v:fill on="t" focussize="0,0"/>
                <v:stroke color="#000000" joinstyle="miter"/>
                <v:imagedata o:title=""/>
                <o:lock v:ext="edit" aspectratio="f"/>
                <v:textbox>
                  <w:txbxContent>
                    <w:p w14:paraId="0067BCD0">
                      <w:pPr>
                        <w:rPr>
                          <w:rFonts w:hint="eastAsia" w:eastAsia="宋体"/>
                          <w:b/>
                          <w:bCs/>
                          <w:sz w:val="24"/>
                          <w:szCs w:val="24"/>
                          <w:lang w:val="en-US" w:eastAsia="zh-CN"/>
                        </w:rPr>
                      </w:pPr>
                      <w:r>
                        <w:rPr>
                          <w:rFonts w:hint="eastAsia"/>
                          <w:b/>
                          <w:bCs/>
                          <w:sz w:val="24"/>
                          <w:szCs w:val="24"/>
                          <w:lang w:val="en-US" w:eastAsia="zh-CN"/>
                        </w:rPr>
                        <w:t>项目区</w:t>
                      </w:r>
                    </w:p>
                  </w:txbxContent>
                </v:textbox>
              </v:shape>
            </w:pict>
          </mc:Fallback>
        </mc:AlternateContent>
      </w: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5119370</wp:posOffset>
                </wp:positionV>
                <wp:extent cx="8835390" cy="37719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35390" cy="377190"/>
                        </a:xfrm>
                        <a:prstGeom prst="rect">
                          <a:avLst/>
                        </a:prstGeom>
                        <a:noFill/>
                        <a:ln>
                          <a:noFill/>
                        </a:ln>
                      </wps:spPr>
                      <wps:txbx>
                        <w:txbxContent>
                          <w:p w14:paraId="214B4DFE">
                            <w:pPr>
                              <w:jc w:val="center"/>
                            </w:pPr>
                            <w:r>
                              <w:rPr>
                                <w:rFonts w:hint="eastAsia" w:ascii="Times New Roman" w:hAnsi="Times New Roman" w:eastAsia="宋体" w:cs="Times New Roman"/>
                                <w:b/>
                                <w:bCs/>
                                <w:sz w:val="24"/>
                                <w:szCs w:val="24"/>
                                <w:lang w:val="en-US" w:eastAsia="zh-CN"/>
                              </w:rPr>
                              <w:t>附图</w:t>
                            </w:r>
                            <w:r>
                              <w:rPr>
                                <w:rFonts w:hint="eastAsia" w:cs="Times New Roman"/>
                                <w:b/>
                                <w:bCs/>
                                <w:sz w:val="24"/>
                                <w:szCs w:val="24"/>
                                <w:lang w:val="en-US" w:eastAsia="zh-CN"/>
                              </w:rPr>
                              <w:t>3</w:t>
                            </w:r>
                            <w:r>
                              <w:rPr>
                                <w:rFonts w:hint="eastAsia" w:ascii="Times New Roman" w:hAnsi="Times New Roman" w:eastAsia="宋体" w:cs="Times New Roman"/>
                                <w:b/>
                                <w:bCs/>
                                <w:sz w:val="24"/>
                                <w:szCs w:val="24"/>
                                <w:lang w:val="en-US" w:eastAsia="zh-CN"/>
                              </w:rPr>
                              <w:t xml:space="preserve">  </w:t>
                            </w:r>
                            <w:r>
                              <w:rPr>
                                <w:rFonts w:hint="eastAsia"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昌吉回族自治州环境管控单元分类图</w:t>
                            </w:r>
                          </w:p>
                        </w:txbxContent>
                      </wps:txbx>
                      <wps:bodyPr upright="1"/>
                    </wps:wsp>
                  </a:graphicData>
                </a:graphic>
              </wp:anchor>
            </w:drawing>
          </mc:Choice>
          <mc:Fallback>
            <w:pict>
              <v:shape id="_x0000_s1026" o:spid="_x0000_s1026" o:spt="202" type="#_x0000_t202" style="position:absolute;left:0pt;margin-left:-0.15pt;margin-top:403.1pt;height:29.7pt;width:695.7pt;z-index:251660288;mso-width-relative:page;mso-height-relative:page;" filled="f" stroked="f" coordsize="21600,21600" o:gfxdata="UEsDBAoAAAAAAIdO4kAAAAAAAAAAAAAAAAAEAAAAZHJzL1BLAwQUAAAACACHTuJALxuYvdcAAAAK&#10;AQAADwAAAGRycy9kb3ducmV2LnhtbE2PS2/CMBCE75X6H6ytxA3s8IggjcOhVa+g0ofU2xIvSdR4&#10;HcWGhH+PObXH2RnNfJtvR9uKC/W+cawhmSkQxKUzDVcaPj/epmsQPiAbbB2Thit52BaPDzlmxg38&#10;TpdDqEQsYZ+hhjqELpPSlzVZ9DPXEUfv5HqLIcq+kqbHIZbbVs6VSqXFhuNCjR291FT+Hs5Ww9fu&#10;9PO9VPvq1a66wY1Kst1IrSdPiXoGEWgMf2G440d0KCLT0Z3ZeNFqmC5iUMNapXMQd3+xSRIQx3hK&#10;VynIIpf/XyhuUEsDBBQAAAAIAIdO4kD2Lw0prQEAAE4DAAAOAAAAZHJzL2Uyb0RvYy54bWytU0Fu&#10;2zAQvBfoHwjea9oxkriC5QCFkVyKtECaB9AUZREguQSXtuQPtD/oqZfe+y6/o0vKcdr0kkMv1HJ3&#10;NTszKy1vBmfZXkc04Gs+m0w5015BY/y25o9fbt8tOMMkfSMteF3zg0Z+s3r7ZtmHSl9AB7bRkRGI&#10;x6oPNe9SCpUQqDrtJE4gaE/FFqKTia5xK5ooe0J3VlxMp1eih9iECEojUnY9FvkJMb4GENrWKL0G&#10;tXPapxE1aisTScLOBOSrwrZttUqf2hZ1YrbmpDSVk4ZQvMmnWC1ltY0ydEadKMjXUHihyUnjaegZ&#10;ai2TZLto/oFyRkVAaNNEgROjkOIIqZhNX3jz0MmgixayGsPZdPx/sOp+/zky09Sc1u6lo4Ufv387&#10;/vh1/PmVLbI9fcCKuh4C9aXhAwz00TzlkZJZ9dBGl5+kh1GdzD2czdVDYoqSi8X8cv6eSopq8+vr&#10;GcUEL57fDhHTnQbHclDzSMsrnsr9R0xj61NLHubh1lhbFmj9XwnCzBmRqY8Uc5SGzXDSs4HmQHJ2&#10;IZptR6OKoNJONhdOp08i7/HPewF9/g1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vG5i91wAA&#10;AAoBAAAPAAAAAAAAAAEAIAAAACIAAABkcnMvZG93bnJldi54bWxQSwECFAAUAAAACACHTuJA9i8N&#10;Ka0BAABOAwAADgAAAAAAAAABACAAAAAmAQAAZHJzL2Uyb0RvYy54bWxQSwUGAAAAAAYABgBZAQAA&#10;RQUAAAAA&#10;">
                <v:fill on="f" focussize="0,0"/>
                <v:stroke on="f"/>
                <v:imagedata o:title=""/>
                <o:lock v:ext="edit" aspectratio="f"/>
                <v:textbox>
                  <w:txbxContent>
                    <w:p w14:paraId="214B4DFE">
                      <w:pPr>
                        <w:jc w:val="center"/>
                      </w:pPr>
                      <w:r>
                        <w:rPr>
                          <w:rFonts w:hint="eastAsia" w:ascii="Times New Roman" w:hAnsi="Times New Roman" w:eastAsia="宋体" w:cs="Times New Roman"/>
                          <w:b/>
                          <w:bCs/>
                          <w:sz w:val="24"/>
                          <w:szCs w:val="24"/>
                          <w:lang w:val="en-US" w:eastAsia="zh-CN"/>
                        </w:rPr>
                        <w:t>附图</w:t>
                      </w:r>
                      <w:r>
                        <w:rPr>
                          <w:rFonts w:hint="eastAsia" w:cs="Times New Roman"/>
                          <w:b/>
                          <w:bCs/>
                          <w:sz w:val="24"/>
                          <w:szCs w:val="24"/>
                          <w:lang w:val="en-US" w:eastAsia="zh-CN"/>
                        </w:rPr>
                        <w:t>3</w:t>
                      </w:r>
                      <w:r>
                        <w:rPr>
                          <w:rFonts w:hint="eastAsia" w:ascii="Times New Roman" w:hAnsi="Times New Roman" w:eastAsia="宋体" w:cs="Times New Roman"/>
                          <w:b/>
                          <w:bCs/>
                          <w:sz w:val="24"/>
                          <w:szCs w:val="24"/>
                          <w:lang w:val="en-US" w:eastAsia="zh-CN"/>
                        </w:rPr>
                        <w:t xml:space="preserve">  </w:t>
                      </w:r>
                      <w:r>
                        <w:rPr>
                          <w:rFonts w:hint="eastAsia"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昌吉回族自治州环境管控单元分类图</w:t>
                      </w:r>
                    </w:p>
                  </w:txbxContent>
                </v:textbox>
              </v:shape>
            </w:pict>
          </mc:Fallback>
        </mc:AlternateContent>
      </w:r>
    </w:p>
    <w:p w14:paraId="2907B9D4">
      <w:pPr>
        <w:pStyle w:val="18"/>
        <w:ind w:left="0" w:leftChars="0" w:firstLine="0" w:firstLineChars="0"/>
        <w:rPr>
          <w:rFonts w:hint="default" w:ascii="Times New Roman" w:hAnsi="Times New Roman" w:eastAsia="宋体" w:cs="Times New Roman"/>
          <w:lang w:val="en-US" w:eastAsia="zh-CN"/>
        </w:rPr>
        <w:sectPr>
          <w:pgSz w:w="11906" w:h="16838"/>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000000" w:themeColor="text1"/>
          <w:sz w:val="21"/>
          <w14:textFill>
            <w14:solidFill>
              <w14:schemeClr w14:val="tx1"/>
            </w14:solidFill>
          </w14:textFill>
        </w:rPr>
        <w:drawing>
          <wp:anchor distT="0" distB="0" distL="114300" distR="114300" simplePos="0" relativeHeight="251671552" behindDoc="0" locked="0" layoutInCell="1" allowOverlap="1">
            <wp:simplePos x="0" y="0"/>
            <wp:positionH relativeFrom="column">
              <wp:posOffset>4966335</wp:posOffset>
            </wp:positionH>
            <wp:positionV relativeFrom="paragraph">
              <wp:posOffset>177800</wp:posOffset>
            </wp:positionV>
            <wp:extent cx="579755" cy="449580"/>
            <wp:effectExtent l="0" t="0" r="10795" b="7620"/>
            <wp:wrapNone/>
            <wp:docPr id="37" name="图片 1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44" descr="4"/>
                    <pic:cNvPicPr>
                      <a:picLocks noChangeAspect="1"/>
                    </pic:cNvPicPr>
                  </pic:nvPicPr>
                  <pic:blipFill>
                    <a:blip r:embed="rId27"/>
                    <a:stretch>
                      <a:fillRect/>
                    </a:stretch>
                  </pic:blipFill>
                  <pic:spPr>
                    <a:xfrm>
                      <a:off x="0" y="0"/>
                      <a:ext cx="579755" cy="449580"/>
                    </a:xfrm>
                    <a:prstGeom prst="rect">
                      <a:avLst/>
                    </a:prstGeom>
                    <a:noFill/>
                    <a:ln>
                      <a:noFill/>
                    </a:ln>
                  </pic:spPr>
                </pic:pic>
              </a:graphicData>
            </a:graphic>
          </wp:anchor>
        </w:drawing>
      </w:r>
      <w:r>
        <w:rPr>
          <w:rFonts w:hint="default" w:ascii="Times New Roman" w:hAnsi="Times New Roman" w:eastAsia="宋体" w:cs="Times New Roman"/>
          <w:color w:val="000000" w:themeColor="text1"/>
          <w:sz w:val="28"/>
          <w14:textFill>
            <w14:solidFill>
              <w14:schemeClr w14:val="tx1"/>
            </w14:solidFill>
          </w14:textFill>
        </w:rPr>
        <w:drawing>
          <wp:inline distT="0" distB="0" distL="114300" distR="114300">
            <wp:extent cx="5583555" cy="7955280"/>
            <wp:effectExtent l="0" t="0" r="17145" b="7620"/>
            <wp:docPr id="22" name="图片 22" descr="地理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地理位置图"/>
                    <pic:cNvPicPr>
                      <a:picLocks noChangeAspect="1"/>
                    </pic:cNvPicPr>
                  </pic:nvPicPr>
                  <pic:blipFill>
                    <a:blip r:embed="rId31"/>
                    <a:stretch>
                      <a:fillRect/>
                    </a:stretch>
                  </pic:blipFill>
                  <pic:spPr>
                    <a:xfrm>
                      <a:off x="0" y="0"/>
                      <a:ext cx="5583555" cy="7955280"/>
                    </a:xfrm>
                    <a:prstGeom prst="rect">
                      <a:avLst/>
                    </a:prstGeom>
                  </pic:spPr>
                </pic:pic>
              </a:graphicData>
            </a:graphic>
          </wp:inline>
        </w:drawing>
      </w: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2941320</wp:posOffset>
                </wp:positionH>
                <wp:positionV relativeFrom="paragraph">
                  <wp:posOffset>4840605</wp:posOffset>
                </wp:positionV>
                <wp:extent cx="693420" cy="328295"/>
                <wp:effectExtent l="280035" t="4445" r="17145" b="581660"/>
                <wp:wrapNone/>
                <wp:docPr id="16" name="圆角矩形标注 16"/>
                <wp:cNvGraphicFramePr/>
                <a:graphic xmlns:a="http://schemas.openxmlformats.org/drawingml/2006/main">
                  <a:graphicData uri="http://schemas.microsoft.com/office/word/2010/wordprocessingShape">
                    <wps:wsp>
                      <wps:cNvSpPr/>
                      <wps:spPr>
                        <a:xfrm>
                          <a:off x="0" y="0"/>
                          <a:ext cx="693420" cy="328295"/>
                        </a:xfrm>
                        <a:prstGeom prst="wedgeRoundRectCallout">
                          <a:avLst>
                            <a:gd name="adj1" fmla="val -86721"/>
                            <a:gd name="adj2" fmla="val 21441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76A29E0E">
                            <w:pPr>
                              <w:rPr>
                                <w:rFonts w:hint="eastAsia" w:eastAsia="宋体"/>
                                <w:b/>
                                <w:bCs/>
                                <w:sz w:val="24"/>
                                <w:szCs w:val="24"/>
                                <w:lang w:val="en-US" w:eastAsia="zh-CN"/>
                              </w:rPr>
                            </w:pPr>
                            <w:r>
                              <w:rPr>
                                <w:rFonts w:hint="eastAsia"/>
                                <w:b/>
                                <w:bCs/>
                                <w:sz w:val="24"/>
                                <w:szCs w:val="24"/>
                                <w:lang w:val="en-US" w:eastAsia="zh-CN"/>
                              </w:rPr>
                              <w:t>项目区</w:t>
                            </w:r>
                          </w:p>
                        </w:txbxContent>
                      </wps:txbx>
                      <wps:bodyPr upright="1"/>
                    </wps:wsp>
                  </a:graphicData>
                </a:graphic>
              </wp:anchor>
            </w:drawing>
          </mc:Choice>
          <mc:Fallback>
            <w:pict>
              <v:shape id="_x0000_s1026" o:spid="_x0000_s1026" o:spt="62" type="#_x0000_t62" style="position:absolute;left:0pt;margin-left:231.6pt;margin-top:381.15pt;height:25.85pt;width:54.6pt;z-index:251662336;mso-width-relative:page;mso-height-relative:page;" fillcolor="#FFFFFF" filled="t" stroked="t" coordsize="21600,21600" o:gfxdata="UEsDBAoAAAAAAIdO4kAAAAAAAAAAAAAAAAAEAAAAZHJzL1BLAwQUAAAACACHTuJAbMh84toAAAAL&#10;AQAADwAAAGRycy9kb3ducmV2LnhtbE2Py07DMBBF90j8gzVI7KidNCRViFMJpLKBBbRl78TTOGo8&#10;DrH7oF+PWZXl6B7de6Zanu3Ajjj53pGEZCaAIbVO99RJ2G5WDwtgPijSanCEEn7Qw7K+valUqd2J&#10;PvG4Dh2LJeRLJcGEMJac+9agVX7mRqSY7dxkVYjn1HE9qVMstwNPhci5VT3FBaNGfDHY7tcHK6F7&#10;/7D49bx9W9HFXDav302vRCHl/V0inoAFPIcrDH/6UR3q6NS4A2nPBglZPk8jKqHI0zmwSDwWaQas&#10;kbBIMgG8rvj/H+pfUEsDBBQAAAAIAIdO4kCdPrMsVAIAAL4EAAAOAAAAZHJzL2Uyb0RvYy54bWyt&#10;VMty0zAU3TPDP2i0bxw7iZtk4nTREDYMdFr4AMWSbTF6jaTEyQ/AnjUzMGyANWs+p4XP4Fp2U7ew&#10;6AIv7Cvr6ujcc4+0ONtLgXbMOq5VhuPBECOmck25KjP85vX6ZIqR80RRIrRiGT4wh8+WT58sajNn&#10;ia60oMwiAFFuXpsMV96beRS5vGKSuIE2TMFkoa0kHoa2jKglNaBLESXDYRrV2lJjdc6cg7+rdhJ3&#10;iPYxgLooeM5WOt9KpnyLapkgHkpyFTcOLwPbomC5f1UUjnkkMgyV+vCGTSDeNO9ouSDz0hJT8byj&#10;QB5D4UFNknAFmx6hVsQTtLX8LyjJc6udLvwg1zJqCwmKQBXx8IE2VxUxLNQCUjtzFN39P9j85e7C&#10;Ik7BCSlGikjo+PXHd7+/fvj16fv1zy83n9/f/PiGYBKUqo2bw4Irc2G7kYOwKXtfWNl8oSC0D+oe&#10;juqyvUc5/Exno3ECuucwNUqmyWzSYEZ3i411/jnTEjVBhmtGS3apt4peQhvPiRB664PIZPfC+aA2&#10;7SgT+jbGqJACmrcjAp1M09Mk7rrbS0r6SUk8Hse3FugljfpJcZqmpx3Rbl+gfEu1IeG04HTNhQgD&#10;W27OhUVAIsPr8HSL76UJheoMzybJBPQgcIoKcC+E0kAnnCpDmfdWuD7wMDz/Am6IrYirWgIBoVVB&#10;cs9scHvFCH2mKPIHA81WcMhxQ0YyipFgcCc0Ucj0hIvHZIIgQkErG3+0jmgiv9/sO5tsND2AzbbG&#10;8rKC1obOhHSwdfBAdwSbc9MfB9C7a2f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zIfOLaAAAA&#10;CwEAAA8AAAAAAAAAAQAgAAAAIgAAAGRycy9kb3ducmV2LnhtbFBLAQIUABQAAAAIAIdO4kCdPrMs&#10;VAIAAL4EAAAOAAAAAAAAAAEAIAAAACkBAABkcnMvZTJvRG9jLnhtbFBLBQYAAAAABgAGAFkBAADv&#10;BQAAAAA=&#10;" adj="-7932,57113,14400">
                <v:fill on="t" focussize="0,0"/>
                <v:stroke color="#000000" joinstyle="miter"/>
                <v:imagedata o:title=""/>
                <o:lock v:ext="edit" aspectratio="f"/>
                <v:textbox>
                  <w:txbxContent>
                    <w:p w14:paraId="76A29E0E">
                      <w:pPr>
                        <w:rPr>
                          <w:rFonts w:hint="eastAsia" w:eastAsia="宋体"/>
                          <w:b/>
                          <w:bCs/>
                          <w:sz w:val="24"/>
                          <w:szCs w:val="24"/>
                          <w:lang w:val="en-US" w:eastAsia="zh-CN"/>
                        </w:rPr>
                      </w:pPr>
                      <w:r>
                        <w:rPr>
                          <w:rFonts w:hint="eastAsia"/>
                          <w:b/>
                          <w:bCs/>
                          <w:sz w:val="24"/>
                          <w:szCs w:val="24"/>
                          <w:lang w:val="en-US" w:eastAsia="zh-CN"/>
                        </w:rPr>
                        <w:t>项目区</w:t>
                      </w:r>
                    </w:p>
                  </w:txbxContent>
                </v:textbox>
              </v:shape>
            </w:pict>
          </mc:Fallback>
        </mc:AlternateContent>
      </w: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-18415</wp:posOffset>
                </wp:positionH>
                <wp:positionV relativeFrom="paragraph">
                  <wp:posOffset>8047990</wp:posOffset>
                </wp:positionV>
                <wp:extent cx="5735955" cy="45593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5735955" cy="455930"/>
                        </a:xfrm>
                        <a:prstGeom prst="rect">
                          <a:avLst/>
                        </a:prstGeom>
                        <a:noFill/>
                        <a:ln>
                          <a:noFill/>
                        </a:ln>
                      </wps:spPr>
                      <wps:txbx>
                        <w:txbxContent>
                          <w:p w14:paraId="0FA2DD60">
                            <w:pPr>
                              <w:jc w:val="center"/>
                              <w:rPr>
                                <w:color w:val="000000" w:themeColor="text1"/>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附图</w:t>
                            </w:r>
                            <w:r>
                              <w:rPr>
                                <w:rFonts w:hint="eastAsia" w:cs="Times New Roman"/>
                                <w:b/>
                                <w:bCs/>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eastAsia"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地理位置图</w:t>
                            </w:r>
                          </w:p>
                        </w:txbxContent>
                      </wps:txbx>
                      <wps:bodyPr upright="1"/>
                    </wps:wsp>
                  </a:graphicData>
                </a:graphic>
              </wp:anchor>
            </w:drawing>
          </mc:Choice>
          <mc:Fallback>
            <w:pict>
              <v:shape id="_x0000_s1026" o:spid="_x0000_s1026" o:spt="202" type="#_x0000_t202" style="position:absolute;left:0pt;margin-left:-1.45pt;margin-top:633.7pt;height:35.9pt;width:451.65pt;z-index:251663360;mso-width-relative:page;mso-height-relative:page;" filled="f" stroked="f" coordsize="21600,21600" o:gfxdata="UEsDBAoAAAAAAIdO4kAAAAAAAAAAAAAAAAAEAAAAZHJzL1BLAwQUAAAACACHTuJAIpdbpNkAAAAM&#10;AQAADwAAAGRycy9kb3ducmV2LnhtbE2PQW/CMAyF75P2HyIj7QYJhbG1a8ph065DYxsSt9CYtqJx&#10;qibQ7t/PnMbNfu/p+XO+Hl0rLtiHxpOG+UyBQCq9bajS8P31Pn0GEaIha1pPqOEXA6yL+7vcZNYP&#10;9ImXbawEl1DIjIY6xi6TMpQ1OhNmvkNi7+h7ZyKvfSVtbwYud61MlFpJZxriC7Xp8LXG8rQ9Ow0/&#10;H8f9bqk21Zt77AY/KkkulVo/TObqBUTEMf6H4YrP6FAw08GfyQbRapgmKSdZT1ZPSxCcSJXi4cDS&#10;YpEmIItc3j5R/AFQSwMEFAAAAAgAh07iQMofXqSvAQAAUAMAAA4AAABkcnMvZTJvRG9jLnhtbK1T&#10;S27bMBDdF+gdCO5rOk7UJoLlAIWRbIq2QNoD0BRlESA5BIe25Au0N+iqm+57Lp+jQ9pxfpssuqHI&#10;mac3896Q8+vRWbbVEQ34hp9Nppxpr6A1ft3w799u3l1yhkn6VlrwuuE7jfx68fbNfAi1nkEPttWR&#10;EYnHeggN71MKtRCoeu0kTiBoT8kOopOJjnEt2igHYndWzKbT92KA2IYISiNSdHlI8iNjfA0hdJ1R&#10;eglq47RPB9aorUwkCXsTkC9Kt12nVfrSdagTsw0npamsVIT2q7yKxVzW6yhDb9SxBfmaFp5pctJ4&#10;KnqiWsok2SaaF1TOqAgIXZoocOIgpDhCKs6mz7y562XQRQtZjeFkOv4/WvV5+zUy09JNmHHmpaOJ&#10;73/93P/+u//zg1GMDBoC1oS7C4RM40cYCXwfRwpm3WMXXf6SIkZ5snd3slePiSkKVh/Oq6uq4kxR&#10;7qKqrs6L/+Lh7xAx3WpwLG8aHml8xVW5/YSJOiHoPSQX83BjrC0jtP5JgIA5InLrhxbzLo2r8ahn&#10;Be2O5GxCNOueShVBBU5Gl0LHS5En+fhcSB8ewuI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pdb&#10;pNkAAAAMAQAADwAAAAAAAAABACAAAAAiAAAAZHJzL2Rvd25yZXYueG1sUEsBAhQAFAAAAAgAh07i&#10;QMofXqSvAQAAUAMAAA4AAAAAAAAAAQAgAAAAKAEAAGRycy9lMm9Eb2MueG1sUEsFBgAAAAAGAAYA&#10;WQEAAEkFAAAAAA==&#10;">
                <v:fill on="f" focussize="0,0"/>
                <v:stroke on="f"/>
                <v:imagedata o:title=""/>
                <o:lock v:ext="edit" aspectratio="f"/>
                <v:textbox>
                  <w:txbxContent>
                    <w:p w14:paraId="0FA2DD60">
                      <w:pPr>
                        <w:jc w:val="center"/>
                        <w:rPr>
                          <w:color w:val="000000" w:themeColor="text1"/>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附图</w:t>
                      </w:r>
                      <w:r>
                        <w:rPr>
                          <w:rFonts w:hint="eastAsia" w:cs="Times New Roman"/>
                          <w:b/>
                          <w:bCs/>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eastAsia"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地理位置图</w:t>
                      </w:r>
                    </w:p>
                  </w:txbxContent>
                </v:textbox>
              </v:shape>
            </w:pict>
          </mc:Fallback>
        </mc:AlternateContent>
      </w:r>
    </w:p>
    <w:p w14:paraId="39BC5410">
      <w:pPr>
        <w:jc w:val="center"/>
        <w:rPr>
          <w:rFonts w:hint="default" w:ascii="Times New Roman" w:hAnsi="Times New Roman" w:eastAsia="宋体" w:cs="Times New Roman"/>
          <w:sz w:val="24"/>
          <w:szCs w:val="24"/>
        </w:rPr>
      </w:pPr>
      <w:r>
        <w:rPr>
          <w:sz w:val="21"/>
        </w:rPr>
        <mc:AlternateContent>
          <mc:Choice Requires="wps">
            <w:drawing>
              <wp:anchor distT="0" distB="0" distL="114300" distR="114300" simplePos="0" relativeHeight="251684864" behindDoc="0" locked="0" layoutInCell="1" allowOverlap="1">
                <wp:simplePos x="0" y="0"/>
                <wp:positionH relativeFrom="column">
                  <wp:posOffset>1524000</wp:posOffset>
                </wp:positionH>
                <wp:positionV relativeFrom="paragraph">
                  <wp:posOffset>2360295</wp:posOffset>
                </wp:positionV>
                <wp:extent cx="713105" cy="342900"/>
                <wp:effectExtent l="9525" t="9525" r="20320" b="9525"/>
                <wp:wrapNone/>
                <wp:docPr id="67" name="文本框 67"/>
                <wp:cNvGraphicFramePr/>
                <a:graphic xmlns:a="http://schemas.openxmlformats.org/drawingml/2006/main">
                  <a:graphicData uri="http://schemas.microsoft.com/office/word/2010/wordprocessingShape">
                    <wps:wsp>
                      <wps:cNvSpPr txBox="1"/>
                      <wps:spPr>
                        <a:xfrm>
                          <a:off x="3018155" y="3388995"/>
                          <a:ext cx="713105" cy="342900"/>
                        </a:xfrm>
                        <a:prstGeom prst="rect">
                          <a:avLst/>
                        </a:prstGeom>
                        <a:noFill/>
                        <a:ln w="19050">
                          <a:solidFill>
                            <a:srgbClr val="92D050"/>
                          </a:solidFill>
                        </a:ln>
                      </wps:spPr>
                      <wps:style>
                        <a:lnRef idx="0">
                          <a:schemeClr val="accent1"/>
                        </a:lnRef>
                        <a:fillRef idx="0">
                          <a:schemeClr val="accent1"/>
                        </a:fillRef>
                        <a:effectRef idx="0">
                          <a:schemeClr val="accent1"/>
                        </a:effectRef>
                        <a:fontRef idx="minor">
                          <a:schemeClr val="dk1"/>
                        </a:fontRef>
                      </wps:style>
                      <wps:txbx>
                        <w:txbxContent>
                          <w:p w14:paraId="36613E35">
                            <w:pPr>
                              <w:rPr>
                                <w:rFonts w:hint="eastAsia" w:eastAsia="宋体"/>
                                <w:color w:val="FFFF00"/>
                                <w:lang w:val="en-US" w:eastAsia="zh-CN"/>
                              </w:rPr>
                            </w:pPr>
                            <w:r>
                              <w:rPr>
                                <w:rFonts w:hint="eastAsia"/>
                                <w:color w:val="FFFF00"/>
                                <w:lang w:val="en-US" w:eastAsia="zh-CN"/>
                              </w:rPr>
                              <w:t>调压撬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pt;margin-top:185.85pt;height:27pt;width:56.15pt;z-index:251684864;mso-width-relative:page;mso-height-relative:page;" filled="f" stroked="t" coordsize="21600,21600" o:gfxdata="UEsDBAoAAAAAAIdO4kAAAAAAAAAAAAAAAAAEAAAAZHJzL1BLAwQUAAAACACHTuJAySW22dwAAAAL&#10;AQAADwAAAGRycy9kb3ducmV2LnhtbE2PQUvDQBSE74L/YXmCN7ubpDUa81KkoCBFqLWgx232mQSz&#10;b2N229R/73rS4zDDzDfl8mR7caTRd44RkpkCQVw703GDsHt9uLoB4YNmo3vHhPBNHpbV+VmpC+Mm&#10;fqHjNjQilrAvNEIbwlBI6euWrPYzNxBH78ONVocox0aaUU+x3PYyVepaWt1xXGj1QKuW6s/twSI8&#10;3d6TWU+b9fPma1o9vg0qJO87xMuLRN2BCHQKf2H4xY/oUEWmvTuw8aJHSOcqfgkIWZ7kIGIiW6QZ&#10;iD3CPF3kIKtS/v9Q/QBQSwMEFAAAAAgAh07iQCTcy6xfAgAAnQQAAA4AAABkcnMvZTJvRG9jLnht&#10;bK1UzW4TMRC+I/EOlu90d/PTJlE3VUhUhFTRSgVxdrzerCXbY2wnu+UB4A04ceHOc+U5GHuTNioc&#10;euDijD1fvpn5ZmYvrzqtyE44L8GUtDjLKRGGQyXNpqSfPl6/mVDiAzMVU2BESR+Ep1fz168uWzsT&#10;A2hAVcIRJDF+1tqSNiHYWZZ53gjN/BlYYdBZg9Ms4NVtssqxFtm1ygZ5fp614CrrgAvv8XXVO+mB&#10;0b2EEOpacrECvtXChJ7VCcUCluQbaT2dp2zrWvBwW9deBKJKipWGdGIQtNfxzOaXbLZxzDaSH1Jg&#10;L0nhWU2aSYNBH6lWLDCydfIvKi25Aw91OOOgs76QpAhWUeTPtLlvmBWpFpTa20fR/f+j5R92d47I&#10;qqTnF5QYprHj+x/f9z9/7399I/iGArXWzxB3bxEZurfQ4dgc3z0+xrq72un4ixUR9A/zYlKMx5Q8&#10;oD2cTKbTcS+16ALhCLgohkWOfh4Bo8E0T63Inois8+GdAE2iUVKHnUwCs92ND5gUQo+QGNfAtVQq&#10;dVMZ0mKG03ycp394ULKK3ojzbrNeKkd2DAdiOlhFUM92AkNuZTBELLwvMFqhW3cHNdZQPaAYDvp5&#10;8pZfS0zzhvlwxxwOEI4Xrli4xaNWgOnAwaKkAff1X+8Rj31FLyUtDmRJ/Zctc4IS9d5gx6fFaBQn&#10;OF1G44sBXtypZ33qMVu9BCyxwGW2PJkRH9TRrB3oz7iJixgVXcxwjF3ScDSXoV8T3GQuFosEwpm1&#10;LNyYe8sjdS/8YhuglqknUaZem4N6OLWpVYcNi2txek+op6/K/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JJbbZ3AAAAAsBAAAPAAAAAAAAAAEAIAAAACIAAABkcnMvZG93bnJldi54bWxQSwECFAAU&#10;AAAACACHTuJAJNzLrF8CAACdBAAADgAAAAAAAAABACAAAAArAQAAZHJzL2Uyb0RvYy54bWxQSwUG&#10;AAAAAAYABgBZAQAA/AUAAAAA&#10;">
                <v:fill on="f" focussize="0,0"/>
                <v:stroke weight="1.5pt" color="#92D050 [3204]" joinstyle="round"/>
                <v:imagedata o:title=""/>
                <o:lock v:ext="edit" aspectratio="f"/>
                <v:textbox>
                  <w:txbxContent>
                    <w:p w14:paraId="36613E35">
                      <w:pPr>
                        <w:rPr>
                          <w:rFonts w:hint="eastAsia" w:eastAsia="宋体"/>
                          <w:color w:val="FFFF00"/>
                          <w:lang w:val="en-US" w:eastAsia="zh-CN"/>
                        </w:rPr>
                      </w:pPr>
                      <w:r>
                        <w:rPr>
                          <w:rFonts w:hint="eastAsia"/>
                          <w:color w:val="FFFF00"/>
                          <w:lang w:val="en-US" w:eastAsia="zh-CN"/>
                        </w:rPr>
                        <w:t>调压撬</w:t>
                      </w:r>
                    </w:p>
                  </w:txbxContent>
                </v:textbox>
              </v:shape>
            </w:pict>
          </mc:Fallback>
        </mc:AlternateContent>
      </w:r>
      <w:r>
        <w:rPr>
          <w:rFonts w:hint="default" w:ascii="Times New Roman" w:hAnsi="Times New Roman" w:eastAsia="宋体" w:cs="Times New Roman"/>
          <w:color w:val="000000" w:themeColor="text1"/>
          <w:sz w:val="21"/>
          <w14:textFill>
            <w14:solidFill>
              <w14:schemeClr w14:val="tx1"/>
            </w14:solidFill>
          </w14:textFill>
        </w:rPr>
        <w:drawing>
          <wp:anchor distT="0" distB="0" distL="114300" distR="114300" simplePos="0" relativeHeight="251665408" behindDoc="0" locked="0" layoutInCell="1" allowOverlap="1">
            <wp:simplePos x="0" y="0"/>
            <wp:positionH relativeFrom="column">
              <wp:posOffset>7736205</wp:posOffset>
            </wp:positionH>
            <wp:positionV relativeFrom="paragraph">
              <wp:posOffset>92710</wp:posOffset>
            </wp:positionV>
            <wp:extent cx="579755" cy="449580"/>
            <wp:effectExtent l="0" t="0" r="10795" b="7620"/>
            <wp:wrapNone/>
            <wp:docPr id="13" name="图片 1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4" descr="4"/>
                    <pic:cNvPicPr>
                      <a:picLocks noChangeAspect="1"/>
                    </pic:cNvPicPr>
                  </pic:nvPicPr>
                  <pic:blipFill>
                    <a:blip r:embed="rId27"/>
                    <a:stretch>
                      <a:fillRect/>
                    </a:stretch>
                  </pic:blipFill>
                  <pic:spPr>
                    <a:xfrm>
                      <a:off x="0" y="0"/>
                      <a:ext cx="579755" cy="449580"/>
                    </a:xfrm>
                    <a:prstGeom prst="rect">
                      <a:avLst/>
                    </a:prstGeom>
                    <a:noFill/>
                    <a:ln>
                      <a:noFill/>
                    </a:ln>
                  </pic:spPr>
                </pic:pic>
              </a:graphicData>
            </a:graphic>
          </wp:anchor>
        </w:drawing>
      </w:r>
      <w:r>
        <w:rPr>
          <w:sz w:val="28"/>
        </w:rPr>
        <mc:AlternateContent>
          <mc:Choice Requires="wps">
            <w:drawing>
              <wp:anchor distT="0" distB="0" distL="114300" distR="114300" simplePos="0" relativeHeight="251683840" behindDoc="0" locked="0" layoutInCell="1" allowOverlap="1">
                <wp:simplePos x="0" y="0"/>
                <wp:positionH relativeFrom="column">
                  <wp:posOffset>4856480</wp:posOffset>
                </wp:positionH>
                <wp:positionV relativeFrom="paragraph">
                  <wp:posOffset>4697095</wp:posOffset>
                </wp:positionV>
                <wp:extent cx="960120" cy="281940"/>
                <wp:effectExtent l="0" t="0" r="0" b="0"/>
                <wp:wrapNone/>
                <wp:docPr id="66" name="文本框 66"/>
                <wp:cNvGraphicFramePr/>
                <a:graphic xmlns:a="http://schemas.openxmlformats.org/drawingml/2006/main">
                  <a:graphicData uri="http://schemas.microsoft.com/office/word/2010/wordprocessingShape">
                    <wps:wsp>
                      <wps:cNvSpPr txBox="1"/>
                      <wps:spPr>
                        <a:xfrm>
                          <a:off x="6219190" y="5756910"/>
                          <a:ext cx="960120" cy="281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74F08">
                            <w:pPr>
                              <w:rPr>
                                <w:rFonts w:hint="eastAsia" w:eastAsia="宋体"/>
                                <w:color w:val="FF0000"/>
                                <w:sz w:val="18"/>
                                <w:szCs w:val="18"/>
                                <w:lang w:val="en-US" w:eastAsia="zh-CN"/>
                              </w:rPr>
                            </w:pPr>
                            <w:r>
                              <w:rPr>
                                <w:rFonts w:hint="eastAsia"/>
                                <w:color w:val="FF0000"/>
                                <w:sz w:val="18"/>
                                <w:szCs w:val="18"/>
                                <w:lang w:val="en-US" w:eastAsia="zh-CN"/>
                              </w:rPr>
                              <w:t>危废暂存间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4pt;margin-top:369.85pt;height:22.2pt;width:75.6pt;z-index:251683840;mso-width-relative:page;mso-height-relative:page;" filled="f" stroked="f" coordsize="21600,21600" o:gfxdata="UEsDBAoAAAAAAIdO4kAAAAAAAAAAAAAAAAAEAAAAZHJzL1BLAwQUAAAACACHTuJAkGQzIt0AAAAL&#10;AQAADwAAAGRycy9kb3ducmV2LnhtbE2PzU7DMBCE70i8g7VI3KiTUtI0jVOhSBUSooeWXrhtYjeJ&#10;Gq9D7P7A07Oc4La7M5r9Jl9dbS/OZvSdIwXxJAJhqHa6o0bB/n39kILwAUlj78go+DIeVsXtTY6Z&#10;dhfamvMuNIJDyGeooA1hyKT0dWss+okbDLF2cKPFwOvYSD3ihcNtL6dRlEiLHfGHFgdTtqY+7k5W&#10;wWu53uC2mtr0uy9f3g7Pw+f+40mp+7s4WoII5hr+zPCLz+hQMFPlTqS96BXMkxmjBx4eF3MQ7FjE&#10;Cber+JLOYpBFLv93KH4AUEsDBBQAAAAIAIdO4kB1jRSuSAIAAHMEAAAOAAAAZHJzL2Uyb0RvYy54&#10;bWytVM1u2zAMvg/YOwi6r46zJG2COkXWoMOAYi3QDTsrslwb0N8kJXb2ANsb9LTL7nuuPsc+yU5b&#10;dDv0sItMkRTJ7yPp07NOSbITzjdGFzQ/GlEiNDdlo28L+vnTxZsTSnxgumTSaFHQvfD0bPn61Wlr&#10;F2JsaiNL4QiCaL9obUHrEOwiyzyvhWL+yFihYayMUyzg6m6z0rEW0ZXMxqPRLGuNK60zXHgP7bo3&#10;0iGie0lAU1UNF2vDt0ro0Ed1QrIASL5urKfLVG1VCR6uqsqLQGRBgTSkE0kgb+KZLU/Z4tYxWzd8&#10;KIG9pIRnmBRrNJI+hFqzwMjWNX+FUg13xpsqHHGjsh5IYgQo8tEzbm5qZkXCAqq9fSDd/7+w/OPu&#10;2pGmLOhsRolmCh2/v/tx//P3/a/vBDoQ1Fq/gN+NhWfo3pkOY3PQeygj7q5yKn6BiMA+G+fzfA6S&#10;9wWdHk9n83ygWnSBcDjMZ6N8DDuHw/gkn0+SPXsMZJ0P74VRJAoFdehkIpjtLn1AUXA9uMS82lw0&#10;UqZuSk1aVPB2OkoPHix4ITUeRjh92VEK3aYbMG5MuQdEZ/op8ZZfNEh+yXy4Zg5jgXqxOOEKRyUN&#10;kphBoqQ27tu/9NEf3YKVkhZjVlD/dcucoER+0OjjPJ8AOgnpMpkeR07cU8vmqUVv1bnBJOdYUcuT&#10;GP2DPIiVM+oL9msVs8LENEfugoaDeB764cd+crFaJSdMomXhUt9YHkP3dK62wVRNYjrS1HMzsIdZ&#10;TA0Y9iYO+9N78nr8Vy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BkMyLdAAAACwEAAA8AAAAA&#10;AAAAAQAgAAAAIgAAAGRycy9kb3ducmV2LnhtbFBLAQIUABQAAAAIAIdO4kB1jRSuSAIAAHMEAAAO&#10;AAAAAAAAAAEAIAAAACwBAABkcnMvZTJvRG9jLnhtbFBLBQYAAAAABgAGAFkBAADmBQAAAAA=&#10;">
                <v:fill on="f" focussize="0,0"/>
                <v:stroke on="f" weight="0.5pt"/>
                <v:imagedata o:title=""/>
                <o:lock v:ext="edit" aspectratio="f"/>
                <v:textbox>
                  <w:txbxContent>
                    <w:p w14:paraId="3CB74F08">
                      <w:pPr>
                        <w:rPr>
                          <w:rFonts w:hint="eastAsia" w:eastAsia="宋体"/>
                          <w:color w:val="FF0000"/>
                          <w:sz w:val="18"/>
                          <w:szCs w:val="18"/>
                          <w:lang w:val="en-US" w:eastAsia="zh-CN"/>
                        </w:rPr>
                      </w:pPr>
                      <w:r>
                        <w:rPr>
                          <w:rFonts w:hint="eastAsia"/>
                          <w:color w:val="FF0000"/>
                          <w:sz w:val="18"/>
                          <w:szCs w:val="18"/>
                          <w:lang w:val="en-US" w:eastAsia="zh-CN"/>
                        </w:rPr>
                        <w:t>危废暂存间</w:t>
                      </w:r>
                    </w:p>
                  </w:txbxContent>
                </v:textbox>
              </v:shape>
            </w:pict>
          </mc:Fallback>
        </mc:AlternateContent>
      </w:r>
      <w:r>
        <w:rPr>
          <w:sz w:val="28"/>
        </w:rPr>
        <mc:AlternateContent>
          <mc:Choice Requires="wps">
            <w:drawing>
              <wp:anchor distT="0" distB="0" distL="114300" distR="114300" simplePos="0" relativeHeight="251682816" behindDoc="0" locked="0" layoutInCell="1" allowOverlap="1">
                <wp:simplePos x="0" y="0"/>
                <wp:positionH relativeFrom="column">
                  <wp:posOffset>3662045</wp:posOffset>
                </wp:positionH>
                <wp:positionV relativeFrom="paragraph">
                  <wp:posOffset>4161790</wp:posOffset>
                </wp:positionV>
                <wp:extent cx="513080" cy="348615"/>
                <wp:effectExtent l="0" t="0" r="0" b="0"/>
                <wp:wrapNone/>
                <wp:docPr id="65" name="文本框 65"/>
                <wp:cNvGraphicFramePr/>
                <a:graphic xmlns:a="http://schemas.openxmlformats.org/drawingml/2006/main">
                  <a:graphicData uri="http://schemas.microsoft.com/office/word/2010/wordprocessingShape">
                    <wps:wsp>
                      <wps:cNvSpPr txBox="1"/>
                      <wps:spPr>
                        <a:xfrm>
                          <a:off x="4805045" y="5163820"/>
                          <a:ext cx="513080" cy="348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1F34F">
                            <w:pPr>
                              <w:rPr>
                                <w:rFonts w:hint="eastAsia" w:eastAsia="宋体"/>
                                <w:color w:val="FFFF00"/>
                                <w:sz w:val="16"/>
                                <w:szCs w:val="16"/>
                                <w:lang w:val="en-US" w:eastAsia="zh-CN"/>
                              </w:rPr>
                            </w:pPr>
                            <w:r>
                              <w:rPr>
                                <w:rFonts w:hint="eastAsia"/>
                                <w:color w:val="FFFF00"/>
                                <w:sz w:val="16"/>
                                <w:szCs w:val="16"/>
                                <w:lang w:val="en-US" w:eastAsia="zh-CN"/>
                              </w:rPr>
                              <w:t>变压站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35pt;margin-top:327.7pt;height:27.45pt;width:40.4pt;z-index:251682816;mso-width-relative:page;mso-height-relative:page;" filled="f" stroked="f" coordsize="21600,21600" o:gfxdata="UEsDBAoAAAAAAIdO4kAAAAAAAAAAAAAAAAAEAAAAZHJzL1BLAwQUAAAACACHTuJAnKC+y9wAAAAL&#10;AQAADwAAAGRycy9kb3ducmV2LnhtbE2Py07DMBBF90j8gzWV2FE7BSdViFOhSBUSgkVLN+wmsZtE&#10;jcchdh/w9ZhVWY7u0b1nitXFDuxkJt87UpDMBTBDjdM9tQp2H+v7JTAfkDQOjoyCb+NhVd7eFJhr&#10;d6aNOW1Dy2IJ+RwVdCGMOee+6YxFP3ejoZjt3WQxxHNquZ7wHMvtwBdCpNxiT3Ghw9FUnWkO26NV&#10;8Fqt33FTL+zyZ6he3vbP49fuUyp1N0vEE7BgLuEKw59+VIcyOtXuSNqzQYHM0iyiClIpH4FFIpWZ&#10;BFYryBLxALws+P8fyl9QSwMEFAAAAAgAh07iQKB1JApIAgAAcwQAAA4AAABkcnMvZTJvRG9jLnht&#10;bK1UzW7UMBC+I/EOlu80SfeHZdVstbQqQlrRSgVx9jpOE8l/2N4mywPAG3Diwp3n6nPw2cm2VeHQ&#10;Axdn7Bl/M98345yc9kqSW+F8a3RJi6OcEqG5qVp9U9JPHy9eLSjxgemKSaNFSffC09PVyxcnnV2K&#10;Y9MYWQlHAKL9srMlbUKwyyzzvBGK+SNjhYazNk6xgK27ySrHOqArmR3n+TzrjKusM1x4j9PzwUlH&#10;RPccQFPXLRfnhu+U0GFAdUKyAEq+aa2nq1RtXQseLuvai0BkScE0pBVJYG/jmq1O2PLGMdu0fCyB&#10;PaeEJ5wUazWS3kOds8DIzrV/QamWO+NNHY64UdlAJCkCFkX+RJvrhlmRuEBqb+9F9/8Pln+4vXKk&#10;rUo6n1GimULH7358v/v5++7XN4IzCNRZv0TctUVk6N+aHmNzOPc4jLz72qn4BSMC/3SRz/IpEPcl&#10;nRXzyeJ4lFr0gXAEzIpJvkATOAIm08W8SJmyByDrfHgnjCLRKKlDJ5PA7HbjA4pC6CEk5tXmopUy&#10;dVNq0oHOZJanC/ce3JAaFyOdoexohX7bjxy3ptqDojPDlHjLL1ok3zAfrpjDWKBePJxwiaWWBknM&#10;aFHSGPf1X+cxHt2Cl5IOY1ZS/2XHnKBEvtfo45tiOo1zmTbT2WvoRNxjz/axR+/UmcEkF3iilicz&#10;xgd5MGtn1Ge8r3XMChfTHLlLGg7mWRiGH++Ti/U6BWESLQsbfW15hB7kXO+CqdukdJRp0GZUD7OY&#10;GjC+mzjsj/cp6uFfsf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C+y9wAAAALAQAADwAAAAAA&#10;AAABACAAAAAiAAAAZHJzL2Rvd25yZXYueG1sUEsBAhQAFAAAAAgAh07iQKB1JApIAgAAcwQAAA4A&#10;AAAAAAAAAQAgAAAAKwEAAGRycy9lMm9Eb2MueG1sUEsFBgAAAAAGAAYAWQEAAOUFAAAAAA==&#10;">
                <v:fill on="f" focussize="0,0"/>
                <v:stroke on="f" weight="0.5pt"/>
                <v:imagedata o:title=""/>
                <o:lock v:ext="edit" aspectratio="f"/>
                <v:textbox>
                  <w:txbxContent>
                    <w:p w14:paraId="4921F34F">
                      <w:pPr>
                        <w:rPr>
                          <w:rFonts w:hint="eastAsia" w:eastAsia="宋体"/>
                          <w:color w:val="FFFF00"/>
                          <w:sz w:val="16"/>
                          <w:szCs w:val="16"/>
                          <w:lang w:val="en-US" w:eastAsia="zh-CN"/>
                        </w:rPr>
                      </w:pPr>
                      <w:r>
                        <w:rPr>
                          <w:rFonts w:hint="eastAsia"/>
                          <w:color w:val="FFFF00"/>
                          <w:sz w:val="16"/>
                          <w:szCs w:val="16"/>
                          <w:lang w:val="en-US" w:eastAsia="zh-CN"/>
                        </w:rPr>
                        <w:t>变压站</w:t>
                      </w:r>
                    </w:p>
                  </w:txbxContent>
                </v:textbox>
              </v:shape>
            </w:pict>
          </mc:Fallback>
        </mc:AlternateContent>
      </w:r>
      <w:r>
        <w:rPr>
          <w:sz w:val="28"/>
        </w:rPr>
        <mc:AlternateContent>
          <mc:Choice Requires="wps">
            <w:drawing>
              <wp:anchor distT="0" distB="0" distL="114300" distR="114300" simplePos="0" relativeHeight="251681792" behindDoc="0" locked="0" layoutInCell="1" allowOverlap="1">
                <wp:simplePos x="0" y="0"/>
                <wp:positionH relativeFrom="column">
                  <wp:posOffset>6049010</wp:posOffset>
                </wp:positionH>
                <wp:positionV relativeFrom="paragraph">
                  <wp:posOffset>2571115</wp:posOffset>
                </wp:positionV>
                <wp:extent cx="1384300" cy="559435"/>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384300" cy="559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226AE">
                            <w:pPr>
                              <w:rPr>
                                <w:rFonts w:hint="default" w:eastAsia="宋体"/>
                                <w:b/>
                                <w:bCs w:val="0"/>
                                <w:color w:val="FFFF00"/>
                                <w:sz w:val="44"/>
                                <w:szCs w:val="44"/>
                                <w:lang w:val="en-US" w:eastAsia="zh-CN"/>
                              </w:rPr>
                            </w:pPr>
                            <w:r>
                              <w:rPr>
                                <w:rFonts w:hint="eastAsia"/>
                                <w:b/>
                                <w:bCs w:val="0"/>
                                <w:color w:val="FFFF00"/>
                                <w:sz w:val="44"/>
                                <w:szCs w:val="44"/>
                                <w:lang w:val="en-US" w:eastAsia="zh-CN"/>
                              </w:rPr>
                              <w:t>成品库房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6.3pt;margin-top:202.45pt;height:44.05pt;width:109pt;z-index:251681792;mso-width-relative:page;mso-height-relative:page;" filled="f" stroked="f" coordsize="21600,21600" o:gfxdata="UEsDBAoAAAAAAIdO4kAAAAAAAAAAAAAAAAAEAAAAZHJzL1BLAwQUAAAACACHTuJAKuFgN9wAAAAM&#10;AQAADwAAAGRycy9kb3ducmV2LnhtbE2Py07DMBBF90j8gzVI7Kid0FdCnApFqpAQLFq66c6J3STC&#10;HofYfcDXM13Bcu4c3TlTrC7OspMZQ+9RQjIRwAw2XvfYSth9rB+WwEJUqJX1aCR8mwCr8vamULn2&#10;Z9yY0za2jEow5EpCF+OQcx6azjgVJn4wSLuDH52KNI4t16M6U7mzPBVizp3qkS50ajBVZ5rP7dFJ&#10;eK3W72pTp275Y6uXt8Pz8LXbz6S8v0vEE7BoLvEPhqs+qUNJTrU/og7MSshm6ZxQCVMxzYBdiWQh&#10;KKopyh4F8LLg/58ofwFQSwMEFAAAAAgAh07iQE+2L3Y8AgAAaAQAAA4AAABkcnMvZTJvRG9jLnht&#10;bK1UwU4bMRC9V+o/WL6XTUhCIWKDUhBVJVSQaNWz4/WyK9ke13bYpR/Q/gGnXnrvd/EdffYmAdEe&#10;OPTiHXvGb/zezOzxSW80u1U+tGRLPt4bcaaspKq1NyX//On8zSFnIQpbCU1WlfxOBX6yeP3quHNz&#10;tU8N6Up5BhAb5p0reROjmxdFkI0yIuyRUxbOmrwREVt/U1RedEA3utgfjQ6KjnzlPEkVAk7PBiff&#10;IPqXAFJdt1KdkVwbZeOA6pUWEZRC07rAF/m1da1kvKzroCLTJQfTmFckgb1Ka7E4FvMbL1zTys0T&#10;xEue8IyTEa1F0h3UmYiCrX37F5RppadAddyTZIqBSFYELMajZ9pcN8KpzAVSB7cTPfw/WPnx9sqz&#10;tir5wZQzKwwq/nD/4+Hn74df3xnOIFDnwhxx1w6RsX9HPdpmex5wmHj3tTfpC0YMfsh7t5NX9ZHJ&#10;dGlyOJ2M4JLwzWZH08kswRSPt50P8b0iw5JRco/yZVXF7UWIQ+g2JCWzdN5qnUuoLevAYTIb5Qs7&#10;D8C1RY7EYXhrsmK/6jfEVlTdgZenoTWCk+ctkl+IEK+ERy/gvZiWeIml1oQktLE4a8h/+9d5ikeJ&#10;4OWsQ2+VPHxdC6840x8sinc0nk4BG/NmOnu7j41/6lk99di1OSW07xhz6WQ2U3zUW7P2ZL5gqJYp&#10;K1zCSuQuedyap3HoeAylVMtlDkL7OREv7LWTCXqQc7mOVLdZ6STToM1GPTRgrtVmWFKHP93nqMcf&#10;xO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uFgN9wAAAAMAQAADwAAAAAAAAABACAAAAAiAAAA&#10;ZHJzL2Rvd25yZXYueG1sUEsBAhQAFAAAAAgAh07iQE+2L3Y8AgAAaAQAAA4AAAAAAAAAAQAgAAAA&#10;KwEAAGRycy9lMm9Eb2MueG1sUEsFBgAAAAAGAAYAWQEAANkFAAAAAA==&#10;">
                <v:fill on="f" focussize="0,0"/>
                <v:stroke on="f" weight="0.5pt"/>
                <v:imagedata o:title=""/>
                <o:lock v:ext="edit" aspectratio="f"/>
                <v:textbox>
                  <w:txbxContent>
                    <w:p w14:paraId="081226AE">
                      <w:pPr>
                        <w:rPr>
                          <w:rFonts w:hint="default" w:eastAsia="宋体"/>
                          <w:b/>
                          <w:bCs w:val="0"/>
                          <w:color w:val="FFFF00"/>
                          <w:sz w:val="44"/>
                          <w:szCs w:val="44"/>
                          <w:lang w:val="en-US" w:eastAsia="zh-CN"/>
                        </w:rPr>
                      </w:pPr>
                      <w:r>
                        <w:rPr>
                          <w:rFonts w:hint="eastAsia"/>
                          <w:b/>
                          <w:bCs w:val="0"/>
                          <w:color w:val="FFFF00"/>
                          <w:sz w:val="44"/>
                          <w:szCs w:val="44"/>
                          <w:lang w:val="en-US" w:eastAsia="zh-CN"/>
                        </w:rPr>
                        <w:t>成品库房</w:t>
                      </w:r>
                    </w:p>
                  </w:txbxContent>
                </v:textbox>
              </v:shape>
            </w:pict>
          </mc:Fallback>
        </mc:AlternateContent>
      </w:r>
      <w:r>
        <w:rPr>
          <w:sz w:val="28"/>
        </w:rPr>
        <mc:AlternateContent>
          <mc:Choice Requires="wps">
            <w:drawing>
              <wp:anchor distT="0" distB="0" distL="114300" distR="114300" simplePos="0" relativeHeight="251680768" behindDoc="0" locked="0" layoutInCell="1" allowOverlap="1">
                <wp:simplePos x="0" y="0"/>
                <wp:positionH relativeFrom="column">
                  <wp:posOffset>2694940</wp:posOffset>
                </wp:positionH>
                <wp:positionV relativeFrom="paragraph">
                  <wp:posOffset>2345690</wp:posOffset>
                </wp:positionV>
                <wp:extent cx="857250" cy="288290"/>
                <wp:effectExtent l="0" t="0" r="0" b="0"/>
                <wp:wrapNone/>
                <wp:docPr id="63" name="文本框 63"/>
                <wp:cNvGraphicFramePr/>
                <a:graphic xmlns:a="http://schemas.openxmlformats.org/drawingml/2006/main">
                  <a:graphicData uri="http://schemas.microsoft.com/office/word/2010/wordprocessingShape">
                    <wps:wsp>
                      <wps:cNvSpPr txBox="1"/>
                      <wps:spPr>
                        <a:xfrm>
                          <a:off x="3837940" y="3303270"/>
                          <a:ext cx="857250" cy="2882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B94DF">
                            <w:pPr>
                              <w:rPr>
                                <w:rFonts w:hint="default" w:eastAsia="宋体"/>
                                <w:b/>
                                <w:bCs w:val="0"/>
                                <w:color w:val="FFFF00"/>
                                <w:sz w:val="22"/>
                                <w:szCs w:val="22"/>
                                <w:lang w:val="en-US" w:eastAsia="zh-CN"/>
                              </w:rPr>
                            </w:pPr>
                            <w:r>
                              <w:rPr>
                                <w:rFonts w:hint="eastAsia"/>
                                <w:b/>
                                <w:bCs w:val="0"/>
                                <w:color w:val="FFFF00"/>
                                <w:sz w:val="22"/>
                                <w:szCs w:val="22"/>
                                <w:lang w:val="en-US" w:eastAsia="zh-CN"/>
                              </w:rPr>
                              <w:t>成品库房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2pt;margin-top:184.7pt;height:22.7pt;width:67.5pt;z-index:251680768;mso-width-relative:page;mso-height-relative:page;" filled="f" stroked="f" coordsize="21600,21600" o:gfxdata="UEsDBAoAAAAAAIdO4kAAAAAAAAAAAAAAAAAEAAAAZHJzL1BLAwQUAAAACACHTuJAgqz1bdsAAAAL&#10;AQAADwAAAGRycy9kb3ducmV2LnhtbE2PzU7DMBCE70i8g7VI3KiTkFQhxKlQpAoJwaGlF25OvE0i&#10;4nWI3R94erYnuM1qPs3OlKuzHcURZz84UhAvIhBIrTMDdQp27+u7HIQPmoweHaGCb/Swqq6vSl0Y&#10;d6INHrehExxCvtAK+hCmQkrf9mi1X7gJib29m60OfM6dNLM+cbgdZRJFS2n1QPyh1xPWPbaf24NV&#10;8FKv3/SmSWz+M9bPr/un6Wv3kSl1exNHjyACnsMfDJf6XB0q7tS4AxkvRgVpkqaMKrhfPrBgIssu&#10;omErTnOQVSn/b6h+AVBLAwQUAAAACACHTuJAG+lhO0MCAABzBAAADgAAAGRycy9lMm9Eb2MueG1s&#10;rVRLbtswEN0X6B0I7hv5l8QxLAduAhcFgiZAWnRNU5QlgL+StKX0AO0Nsuqm+54r5+gjJSdu2kUW&#10;3dBDzujNvDcznp+3SpKdcL42OqfDowElQnNT1HqT008fV2+mlPjAdMGk0SKnd8LT88XrV/PGzsTI&#10;VEYWwhGAaD9rbE6rEOwsyzyvhGL+yFih4SyNUyzg6jZZ4VgDdCWz0WBwkjXGFdYZLrzH62XnpD2i&#10;ewmgKcuai0vDt0ro0KE6IVkAJV/V1tNFqrYsBQ/XZelFIDKnYBrSiSSw1/HMFnM22zhmq5r3JbCX&#10;lPCMk2K1RtJHqEsWGNm6+i8oVXNnvCnDETcq64gkRcBiOHimzW3FrEhcILW3j6L7/wfLP+xuHKmL&#10;nJ6MKdFMoeMP998ffvx6+PmN4A0CNdbPEHdrERnat6bF2OzfPR4j77Z0Kv6CEYF/PB2fnk0g8h3s&#10;8WA8Ou2lFm0gHAHT49PRMfwcAaPpdHSW/NkTkHU+vBNGkWjk1KGTSWC2u/IBRSF0HxLzarOqpUzd&#10;lJo0kQ7g//DgC6nxYaTTlR2t0K7bnuPaFHeg6Ew3Jd7yVY3kV8yHG+YwFqgXixOucZTSIInpLUoq&#10;477+6z3Go1vwUtJgzHLqv2yZE5TI9xp9PBtOokwhXSYQBRd36FkfevRWXRhM8hArankyY3yQe7N0&#10;Rn3Gfi1jVriY5sid07A3L0I3/NhPLpbLFIRJtCxc6VvLI3Qn2nIbTFknpaNMnTa9epjF1IB+b+Kw&#10;H95T1NN/xe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qz1bdsAAAALAQAADwAAAAAAAAABACAA&#10;AAAiAAAAZHJzL2Rvd25yZXYueG1sUEsBAhQAFAAAAAgAh07iQBvpYTtDAgAAcwQAAA4AAAAAAAAA&#10;AQAgAAAAKgEAAGRycy9lMm9Eb2MueG1sUEsFBgAAAAAGAAYAWQEAAN8FAAAAAA==&#10;">
                <v:fill on="f" focussize="0,0"/>
                <v:stroke on="f" weight="0.5pt"/>
                <v:imagedata o:title=""/>
                <o:lock v:ext="edit" aspectratio="f"/>
                <v:textbox>
                  <w:txbxContent>
                    <w:p w14:paraId="209B94DF">
                      <w:pPr>
                        <w:rPr>
                          <w:rFonts w:hint="default" w:eastAsia="宋体"/>
                          <w:b/>
                          <w:bCs w:val="0"/>
                          <w:color w:val="FFFF00"/>
                          <w:sz w:val="22"/>
                          <w:szCs w:val="22"/>
                          <w:lang w:val="en-US" w:eastAsia="zh-CN"/>
                        </w:rPr>
                      </w:pPr>
                      <w:r>
                        <w:rPr>
                          <w:rFonts w:hint="eastAsia"/>
                          <w:b/>
                          <w:bCs w:val="0"/>
                          <w:color w:val="FFFF00"/>
                          <w:sz w:val="22"/>
                          <w:szCs w:val="22"/>
                          <w:lang w:val="en-US" w:eastAsia="zh-CN"/>
                        </w:rPr>
                        <w:t>成品库房</w:t>
                      </w:r>
                    </w:p>
                  </w:txbxContent>
                </v:textbox>
              </v:shape>
            </w:pict>
          </mc:Fallback>
        </mc:AlternateContent>
      </w: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2573655</wp:posOffset>
                </wp:positionH>
                <wp:positionV relativeFrom="paragraph">
                  <wp:posOffset>2966720</wp:posOffset>
                </wp:positionV>
                <wp:extent cx="1066165" cy="320675"/>
                <wp:effectExtent l="4445" t="5080" r="320040" b="112395"/>
                <wp:wrapNone/>
                <wp:docPr id="23" name="圆角矩形标注 23"/>
                <wp:cNvGraphicFramePr/>
                <a:graphic xmlns:a="http://schemas.openxmlformats.org/drawingml/2006/main">
                  <a:graphicData uri="http://schemas.microsoft.com/office/word/2010/wordprocessingShape">
                    <wps:wsp>
                      <wps:cNvSpPr/>
                      <wps:spPr>
                        <a:xfrm>
                          <a:off x="0" y="0"/>
                          <a:ext cx="1066165" cy="320675"/>
                        </a:xfrm>
                        <a:prstGeom prst="wedgeRoundRectCallout">
                          <a:avLst>
                            <a:gd name="adj1" fmla="val 76265"/>
                            <a:gd name="adj2" fmla="val 81089"/>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51C348EB">
                            <w:pPr>
                              <w:rPr>
                                <w:rFonts w:hint="default" w:eastAsia="宋体"/>
                                <w:lang w:val="en-US" w:eastAsia="zh-CN"/>
                              </w:rPr>
                            </w:pPr>
                            <w:r>
                              <w:rPr>
                                <w:rFonts w:hint="eastAsia"/>
                                <w:sz w:val="22"/>
                                <w:szCs w:val="22"/>
                                <w:lang w:val="en-US" w:eastAsia="zh-CN"/>
                              </w:rPr>
                              <w:t>4t/h蒸汽锅炉</w:t>
                            </w:r>
                          </w:p>
                          <w:p w14:paraId="379F289A">
                            <w:pPr>
                              <w:rPr>
                                <w:rFonts w:hint="eastAsia" w:eastAsia="宋体"/>
                                <w:b/>
                                <w:bCs/>
                                <w:sz w:val="24"/>
                                <w:szCs w:val="24"/>
                                <w:lang w:val="en-US" w:eastAsia="zh-CN"/>
                              </w:rPr>
                            </w:pPr>
                          </w:p>
                        </w:txbxContent>
                      </wps:txbx>
                      <wps:bodyPr upright="1"/>
                    </wps:wsp>
                  </a:graphicData>
                </a:graphic>
              </wp:anchor>
            </w:drawing>
          </mc:Choice>
          <mc:Fallback>
            <w:pict>
              <v:shape id="_x0000_s1026" o:spid="_x0000_s1026" o:spt="62" type="#_x0000_t62" style="position:absolute;left:0pt;margin-left:202.65pt;margin-top:233.6pt;height:25.25pt;width:83.95pt;z-index:251669504;mso-width-relative:page;mso-height-relative:page;" fillcolor="#FFFFFF" filled="t" stroked="t" coordsize="21600,21600" o:gfxdata="UEsDBAoAAAAAAIdO4kAAAAAAAAAAAAAAAAAEAAAAZHJzL1BLAwQUAAAACACHTuJAIy5lLdYAAAAL&#10;AQAADwAAAGRycy9kb3ducmV2LnhtbE2Py07DMBBF90j8gzVI7KiTvozSOF2A2CLRhL0Tu3bUeJzG&#10;blP4eoYV7O5ojs7cKfc3P7CrmWIfUEK+yIAZ7ILu0Upo6renZ2AxKdRqCGgkfJkI++r+rlSFDjN+&#10;mOshWUYSjIWS4FIaC85j54xXcRFGg7Q7hsmrRONkuZ7UTHI/8GWWbblXPdIFp0bz4kx3Olw8Wb6b&#10;dcrPzdnauf2s3akWr++1lI8PebYDlswt/cHwW5+qQ0Wd2nBBHdkgYZ1tVoRS2IolMCI2YkWhpZAL&#10;Abwq+f8fqh9QSwMEFAAAAAgAh07iQIMBxihSAgAAvQQAAA4AAABkcnMvZTJvRG9jLnhtbK1Uy3LT&#10;MBTdM8M/aLSnfnTitJk4XTSUDQOdFj5AsWRbjF4jKXHyA7BnzQxMN8CaNZ/TwmdwJZskbVlkgRf2&#10;lXV1dM65V5qeraVAK2Yd16rE2VGKEVOVplw1JX775uLZCUbOE0WJ0IqVeMMcPps9fTLtzITlutWC&#10;MosARLlJZ0rcem8mSeKqlknijrRhCiZrbSXxMLRNQi3pAF2KJE/TIum0pcbqijkHf+f9JB4Q7SGA&#10;uq55xea6WkqmfI9qmSAeJLmWG4dnkW1ds8q/rmvHPBIlBqU+vmETiBfhncymZNJYYlpeDRTIIRQe&#10;aJKEK9h0CzUnnqCl5Y+gJK+sdrr2R5WWSS8kOgIqsvSBN9ctMSxqAaud2Zru/h9s9Wp1aRGnJc6P&#10;MVJEQsVvP73//fXjr8/fb3/e3H35cPfjG4JJcKozbgILrs2lHUYOwiB7XVsZviAIraO7m627bO1R&#10;BT+ztCiyYoRRBXPHeVqMRwE02a021vkXTEsUghJ3jDbsSi8VvYI6nhMh9NJHl8nqpfPRbjpwJvRd&#10;hlEtBVRvRQQaFzls1Vd3LyffzznJ0pPTxzngww4nK4piPNAcdgXCf4kGCk4LTi+4EHFgm8W5sAgo&#10;lPgiPsPie2lCoa7Ep6M8uEHgENXQvBBKA4Vwqoki761w+8BpfP4FHIjNiWt7AhGhFyi5Zzba0TJC&#10;nyuK/MZArRWccRzISEYxEgyuhBDFTE+4OCQTDBEKChnao2+IEPn1Yg0wIVxouoEuWxrLmxYKm0Xq&#10;YQa6OnbAcALDsdkfR9DdrTP7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MuZS3WAAAACwEAAA8A&#10;AAAAAAAAAQAgAAAAIgAAAGRycy9kb3ducmV2LnhtbFBLAQIUABQAAAAIAIdO4kCDAcYoUgIAAL0E&#10;AAAOAAAAAAAAAAEAIAAAACUBAABkcnMvZTJvRG9jLnhtbFBLBQYAAAAABgAGAFkBAADpBQAAAAA=&#10;" adj="27273,28315,14400">
                <v:fill on="t" focussize="0,0"/>
                <v:stroke color="#000000" joinstyle="miter"/>
                <v:imagedata o:title=""/>
                <o:lock v:ext="edit" aspectratio="f"/>
                <v:textbox>
                  <w:txbxContent>
                    <w:p w14:paraId="51C348EB">
                      <w:pPr>
                        <w:rPr>
                          <w:rFonts w:hint="default" w:eastAsia="宋体"/>
                          <w:lang w:val="en-US" w:eastAsia="zh-CN"/>
                        </w:rPr>
                      </w:pPr>
                      <w:r>
                        <w:rPr>
                          <w:rFonts w:hint="eastAsia"/>
                          <w:sz w:val="22"/>
                          <w:szCs w:val="22"/>
                          <w:lang w:val="en-US" w:eastAsia="zh-CN"/>
                        </w:rPr>
                        <w:t>4t/h蒸汽锅炉</w:t>
                      </w:r>
                    </w:p>
                    <w:p w14:paraId="379F289A">
                      <w:pPr>
                        <w:rPr>
                          <w:rFonts w:hint="eastAsia" w:eastAsia="宋体"/>
                          <w:b/>
                          <w:bCs/>
                          <w:sz w:val="24"/>
                          <w:szCs w:val="24"/>
                          <w:lang w:val="en-US" w:eastAsia="zh-CN"/>
                        </w:rPr>
                      </w:pPr>
                    </w:p>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column">
                  <wp:posOffset>1332230</wp:posOffset>
                </wp:positionH>
                <wp:positionV relativeFrom="paragraph">
                  <wp:posOffset>3187065</wp:posOffset>
                </wp:positionV>
                <wp:extent cx="1267460" cy="459740"/>
                <wp:effectExtent l="0" t="0" r="0" b="0"/>
                <wp:wrapNone/>
                <wp:docPr id="61" name="文本框 61"/>
                <wp:cNvGraphicFramePr/>
                <a:graphic xmlns:a="http://schemas.openxmlformats.org/drawingml/2006/main">
                  <a:graphicData uri="http://schemas.microsoft.com/office/word/2010/wordprocessingShape">
                    <wps:wsp>
                      <wps:cNvSpPr txBox="1"/>
                      <wps:spPr>
                        <a:xfrm>
                          <a:off x="2475230" y="4101465"/>
                          <a:ext cx="1267460" cy="459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A7D4A">
                            <w:pPr>
                              <w:rPr>
                                <w:rFonts w:hint="eastAsia" w:eastAsia="宋体"/>
                                <w:color w:val="FFFF00"/>
                                <w:sz w:val="40"/>
                                <w:szCs w:val="40"/>
                                <w:lang w:val="en-US" w:eastAsia="zh-CN"/>
                              </w:rPr>
                            </w:pPr>
                            <w:r>
                              <w:rPr>
                                <w:rFonts w:hint="eastAsia"/>
                                <w:color w:val="FFFF00"/>
                                <w:sz w:val="40"/>
                                <w:szCs w:val="40"/>
                                <w:lang w:val="en-US" w:eastAsia="zh-CN"/>
                              </w:rPr>
                              <w:t>铸管车间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9pt;margin-top:250.95pt;height:36.2pt;width:99.8pt;z-index:251679744;mso-width-relative:page;mso-height-relative:page;" filled="f" stroked="f" coordsize="21600,21600" o:gfxdata="UEsDBAoAAAAAAIdO4kAAAAAAAAAAAAAAAAAEAAAAZHJzL1BLAwQUAAAACACHTuJA42EnIdwAAAAL&#10;AQAADwAAAGRycy9kb3ducmV2LnhtbE2PS0/DMBCE70j8B2uRuFE7IYUmjVOhSBUSgkNLL9w2sZtE&#10;9SPE7gN+PcsJjjs7mvmmXF2sYSc9hcE7CclMANOu9WpwnYTd+/puASxEdAqNd1rClw6wqq6vSiyU&#10;P7uNPm1jxyjEhQIl9DGOBeeh7bXFMPOjdvTb+8lipHPquJrwTOHW8FSIB25xcNTQ46jrXreH7dFK&#10;eKnXb7hpUrv4NvXz6/5p/Nx9zKW8vUnEEljUl/hnhl98QoeKmBp/dCowIyEVOaFHCXOR5MDIkYk8&#10;A9aQ8pjdA69K/n9D9QNQSwMEFAAAAAgAh07iQAP/+ipIAgAAdAQAAA4AAABkcnMvZTJvRG9jLnht&#10;bK1US27bMBDdF+gdCO4b2Y5sN0bkwE2QokDQBHCLrmmKigTwV5K25B6gvUFW3XTfc/kcfaRsJ0i7&#10;yKIbasgZvpn3Zqjzi05JshHON0YXdHgyoERobspG3xf086frN28p8YHpkkmjRUG3wtOL+etX562d&#10;iZGpjSyFIwDRftbagtYh2FmWeV4LxfyJsULDWRmnWMDW3WelYy3QlcxGg8Eka40rrTNceI/Tq95J&#10;94juJYCmqhourgxfK6FDj+qEZAGUfN1YT+ep2qoSPNxWlReByIKCaUgrksBexTWbn7PZvWO2bvi+&#10;BPaSEp5xUqzRSHqEumKBkbVr/oJSDXfGmyqccKOynkhSBCyGg2faLGtmReICqb09iu7/Hyz/uLlz&#10;pCkLOhlSoplCx3cPP3Y/f+9+fSc4g0Ct9TPELS0iQ/fOdBibw7nHYeTdVU7FLxgR+Ef5dDw6hcjb&#10;gubDwTCfjHupRRcIjwCjyTSfIIDHiPHZNE+9yB6RrPPhvTCKRKOgDq1MCrPNjQ+oCqGHkJhYm+tG&#10;ytROqUkLPqfjQbpw9OCG1LgY+fR1Ryt0q25PcmXKLTg604+Jt/y6QfIb5sMdc5gL1IuXE26xVNIg&#10;idlblNTGffvXeYxHu+ClpMWcFdR/XTMnKJEfNBp5NsxBnYS0ycfTETbuqWf11KPX6tJglNErVJfM&#10;GB/kwaycUV/wwBYxK1xMc+QuaDiYl6GffjxQLhaLFIRRtCzc6KXlEbqXc7EOpmqS0lGmXpu9ehjG&#10;1ID9w4nT/nSfoh5/Fv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42EnIdwAAAALAQAADwAAAAAA&#10;AAABACAAAAAiAAAAZHJzL2Rvd25yZXYueG1sUEsBAhQAFAAAAAgAh07iQAP/+ipIAgAAdAQAAA4A&#10;AAAAAAAAAQAgAAAAKwEAAGRycy9lMm9Eb2MueG1sUEsFBgAAAAAGAAYAWQEAAOUFAAAAAA==&#10;">
                <v:fill on="f" focussize="0,0"/>
                <v:stroke on="f" weight="0.5pt"/>
                <v:imagedata o:title=""/>
                <o:lock v:ext="edit" aspectratio="f"/>
                <v:textbox>
                  <w:txbxContent>
                    <w:p w14:paraId="572A7D4A">
                      <w:pPr>
                        <w:rPr>
                          <w:rFonts w:hint="eastAsia" w:eastAsia="宋体"/>
                          <w:color w:val="FFFF00"/>
                          <w:sz w:val="40"/>
                          <w:szCs w:val="40"/>
                          <w:lang w:val="en-US" w:eastAsia="zh-CN"/>
                        </w:rPr>
                      </w:pPr>
                      <w:r>
                        <w:rPr>
                          <w:rFonts w:hint="eastAsia"/>
                          <w:color w:val="FFFF00"/>
                          <w:sz w:val="40"/>
                          <w:szCs w:val="40"/>
                          <w:lang w:val="en-US" w:eastAsia="zh-CN"/>
                        </w:rPr>
                        <w:t>铸管车间</w:t>
                      </w:r>
                    </w:p>
                  </w:txbxContent>
                </v:textbox>
              </v:shape>
            </w:pict>
          </mc:Fallback>
        </mc:AlternateContent>
      </w:r>
      <w:r>
        <w:rPr>
          <w:sz w:val="28"/>
        </w:rPr>
        <mc:AlternateContent>
          <mc:Choice Requires="wps">
            <w:drawing>
              <wp:anchor distT="0" distB="0" distL="114300" distR="114300" simplePos="0" relativeHeight="251678720" behindDoc="0" locked="0" layoutInCell="1" allowOverlap="1">
                <wp:simplePos x="0" y="0"/>
                <wp:positionH relativeFrom="column">
                  <wp:posOffset>3793490</wp:posOffset>
                </wp:positionH>
                <wp:positionV relativeFrom="paragraph">
                  <wp:posOffset>3215640</wp:posOffset>
                </wp:positionV>
                <wp:extent cx="389255" cy="250190"/>
                <wp:effectExtent l="9525" t="9525" r="20320" b="26035"/>
                <wp:wrapNone/>
                <wp:docPr id="60" name="矩形 60"/>
                <wp:cNvGraphicFramePr/>
                <a:graphic xmlns:a="http://schemas.openxmlformats.org/drawingml/2006/main">
                  <a:graphicData uri="http://schemas.microsoft.com/office/word/2010/wordprocessingShape">
                    <wps:wsp>
                      <wps:cNvSpPr/>
                      <wps:spPr>
                        <a:xfrm>
                          <a:off x="5003165" y="4218940"/>
                          <a:ext cx="389255" cy="250190"/>
                        </a:xfrm>
                        <a:prstGeom prst="rect">
                          <a:avLst/>
                        </a:prstGeom>
                        <a:noFill/>
                        <a:ln w="190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8.7pt;margin-top:253.2pt;height:19.7pt;width:30.65pt;z-index:251678720;v-text-anchor:middle;mso-width-relative:page;mso-height-relative:page;" filled="f" stroked="t" coordsize="21600,21600" o:gfxdata="UEsDBAoAAAAAAIdO4kAAAAAAAAAAAAAAAAAEAAAAZHJzL1BLAwQUAAAACACHTuJATxOCHNkAAAAL&#10;AQAADwAAAGRycy9kb3ducmV2LnhtbE2PwU7DMBBE70j8g7VI3Khd1KQhxKkEEhJVhQSlH+DESxIR&#10;ryPbaQtfz3KC2+zOaPZttTm7URwxxMGThuVCgUBqvR2o03B4f7opQMRkyJrRE2r4wgib+vKiMqX1&#10;J3rD4z51gksolkZDn9JUShnbHp2JCz8hsffhgzOJx9BJG8yJy90ob5XKpTMD8YXeTPjYY/u5n52G&#10;GV+/k7VeHrbGPuzCc7MdXnZaX18t1T2IhOf0F4ZffEaHmpkaP5ONYtSQ3a1XHGWhchacyLNiDaLh&#10;zSorQNaV/P9D/QNQSwMEFAAAAAgAh07iQBh2OKh4AgAA2AQAAA4AAABkcnMvZTJvRG9jLnhtbK1U&#10;S27bMBDdF+gdCO4bSY6d2kbkwIjhokDQBkiLrmmKsgjwV5L+pJcp0F0P0eMUvUYfKeXTtIssqoU0&#10;5IzezLx55PnFUSuyFz5Ia2panZSUCMNtI822ph8/rF9NKQmRmYYpa0RNb0WgF4uXL84Pbi5GtrOq&#10;EZ4AxIT5wdW0i9HNiyLwTmgWTqwTBs7Wes0iln5bNJ4dgK5VMSrLs+JgfeO85SIE7K56Jx0Q/XMA&#10;bdtKLlaW77QwsUf1QrGIlkInXaCLXG3bCh7ft20QkaiaotOY30gCe5PexeKczbeeuU7yoQT2nBKe&#10;9KSZNEh6D7VikZGdl39Bacm9DbaNJ9zqom8kM4IuqvIJNzcdcyL3AqqDuyc9/D9Y/m5/7YlsanoG&#10;SgzTmPivr99//vhGsAF2Di7MEXTjrv2wCjBTq8fW6/RFE+RY00lZnlZnE0puazoeVdPZeGBXHCPh&#10;CDidzkYT+DkCRpOymmV/8QDkfIhvhNUkGTX1GF7mlO2vQkRyhN6FpLzGrqVSeYDKkAO0PCsnaIIz&#10;qLKFGmBqh86C2VLC1BZy59FnyGCVbNLvCSj47eZSebJnEMkaT3lX2R9hKfeKha6Py65ePlpGnAgl&#10;dU2nZXrSNopVBp/EX89Ysja2uQXf3vZCDI6vJWCvWIjXzEN5qB9nM77Hq1UWTdnBoqSz/su/9lM8&#10;BAEvJQcoGQ1/3jEvKFFvDaQyq8YYBYl5MZ68HmHhH3s2jz1mpy8teKhwCziezRQf1Z3Zeqs/4Qgv&#10;U1a4mOHI3VM7LC5jf8JwCXCxXOYwyN2xeGVuHE/g/QCXu2hbmWf7wM5AGgSfWRwOZzpRj9c56uFC&#10;Wv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xOCHNkAAAALAQAADwAAAAAAAAABACAAAAAiAAAA&#10;ZHJzL2Rvd25yZXYueG1sUEsBAhQAFAAAAAgAh07iQBh2OKh4AgAA2AQAAA4AAAAAAAAAAQAgAAAA&#10;KAEAAGRycy9lMm9Eb2MueG1sUEsFBgAAAAAGAAYAWQEAABIGAAAAAA==&#10;">
                <v:fill on="f" focussize="0,0"/>
                <v:stroke weight="1.5pt" color="#FFFF00 [2404]" miterlimit="8" joinstyle="miter"/>
                <v:imagedata o:title=""/>
                <o:lock v:ext="edit" aspectratio="f"/>
              </v:rect>
            </w:pict>
          </mc:Fallback>
        </mc:AlternateContent>
      </w:r>
      <w:r>
        <w:rPr>
          <w:rFonts w:ascii="宋体" w:hAnsi="宋体" w:eastAsia="宋体" w:cs="宋体"/>
          <w:sz w:val="24"/>
          <w:szCs w:val="24"/>
        </w:rPr>
        <w:drawing>
          <wp:inline distT="0" distB="0" distL="114300" distR="114300">
            <wp:extent cx="8356600" cy="5012690"/>
            <wp:effectExtent l="0" t="0" r="6350" b="16510"/>
            <wp:docPr id="1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IMG_256"/>
                    <pic:cNvPicPr>
                      <a:picLocks noChangeAspect="1"/>
                    </pic:cNvPicPr>
                  </pic:nvPicPr>
                  <pic:blipFill>
                    <a:blip r:embed="rId32"/>
                    <a:stretch>
                      <a:fillRect/>
                    </a:stretch>
                  </pic:blipFill>
                  <pic:spPr>
                    <a:xfrm>
                      <a:off x="0" y="0"/>
                      <a:ext cx="8356600" cy="5012690"/>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77696" behindDoc="0" locked="0" layoutInCell="1" allowOverlap="1">
                <wp:simplePos x="0" y="0"/>
                <wp:positionH relativeFrom="column">
                  <wp:posOffset>5046980</wp:posOffset>
                </wp:positionH>
                <wp:positionV relativeFrom="paragraph">
                  <wp:posOffset>1645285</wp:posOffset>
                </wp:positionV>
                <wp:extent cx="3296920" cy="3091815"/>
                <wp:effectExtent l="9525" t="9525" r="27305" b="22860"/>
                <wp:wrapNone/>
                <wp:docPr id="59" name="矩形 59"/>
                <wp:cNvGraphicFramePr/>
                <a:graphic xmlns:a="http://schemas.openxmlformats.org/drawingml/2006/main">
                  <a:graphicData uri="http://schemas.microsoft.com/office/word/2010/wordprocessingShape">
                    <wps:wsp>
                      <wps:cNvSpPr/>
                      <wps:spPr>
                        <a:xfrm>
                          <a:off x="6189980" y="3248660"/>
                          <a:ext cx="3296920" cy="3091815"/>
                        </a:xfrm>
                        <a:prstGeom prst="rect">
                          <a:avLst/>
                        </a:prstGeom>
                        <a:noFill/>
                        <a:ln w="19050">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7.4pt;margin-top:129.55pt;height:243.45pt;width:259.6pt;z-index:251677696;v-text-anchor:middle;mso-width-relative:page;mso-height-relative:page;" filled="f" stroked="t" coordsize="21600,21600" o:gfxdata="UEsDBAoAAAAAAIdO4kAAAAAAAAAAAAAAAAAEAAAAZHJzL1BLAwQUAAAACACHTuJABdV7N9kAAAAM&#10;AQAADwAAAGRycy9kb3ducmV2LnhtbE2PwU7DMBBE70j8g7VI3KiTEtImxKlEJY4cCCDEbRu7cUS8&#10;jmK3CX/P9gTH0Yxm3lS7xQ3ibKbQe1KQrhIQhlqve+oUvL89321BhIikcfBkFPyYALv6+qrCUvuZ&#10;Xs25iZ3gEgolKrAxjqWUobXGYVj50RB7Rz85jCynTuoJZy53g1wnSS4d9sQLFkezt6b9bk5OwRf5&#10;/fbDb57sUhw7nF+aNv9slLq9SZNHENEs8S8MF3xGh5qZDv5EOohBwabIGD0qWD8UKYhL4j7N+N6B&#10;vSxPQNaV/H+i/gVQSwMEFAAAAAgAh07iQDB7hcV6AgAA2gQAAA4AAABkcnMvZTJvRG9jLnhtbK1U&#10;y24TMRTdI/EPlvd0ZtIkZEadVFGjIqQKKhXE2vF4Mpb8wnYe5WeQ2PERfA7iNziemT4oLLogi8m1&#10;7/G5vsfHPjs/akX2wgdpTU2Lk5wSYbhtpNnW9OOHy1cLSkJkpmHKGlHTWxHo+fLli7ODq8TEdlY1&#10;whOQmFAdXE27GF2VZYF3QrNwYp0wSLbWaxYx9Nus8ewAdq2ySZ7Ps4P1jfOWixAwux6SdGT0zyG0&#10;bSu5WFu+08LEgdULxSJaCp10gS773bat4PF92wYRiaopOo39F0UQb9I3W56xauuZ6yQft8Ces4Un&#10;PWkmDYreU61ZZGTn5V9UWnJvg23jCbc6GxrpFUEXRf5Em5uOOdH3AqmDuxc9/D9a/m5/7Ylsajor&#10;KTFM48R/ff3+88c3ggmoc3ChAujGXftxFBCmVo+t1+kfTZBjTefFoiwX0PW2pqeT6WI+H9UVx0g4&#10;AKeTcl5OAOAJkZfFopilCtkDlfMhvhFWkxTU1OP4elXZ/irEAXoHSZWNvZRKYZ5VypAD3Fzms1SA&#10;wZct/IBQO/QWzJYSprYwPI++pwxWySYtT6uD324ulCd7BpuUk3ViGcr9AUu11yx0A65PJRirtIy4&#10;E0rqmi7y9BtXK4P2koKDZina2OYWins7WDE4filBe8VCvGYe3sP+cTvje3xaZdGUHSNKOuu//Gs+&#10;4WEJZCk5wMto+POOeUGJemtglrKYTkEb+8F09jodgn+c2TzOmJ2+sNChwDvgeB8mfFR3Yeut/oRL&#10;vEpVkWKGo/Yg7Ti4iMMdwzPAxWrVw2B4x+KVuXE8kQ8HuNpF28r+bB/UGUWD5Xt3jNcz3anH4x71&#10;8CQt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F1Xs32QAAAAwBAAAPAAAAAAAAAAEAIAAAACIA&#10;AABkcnMvZG93bnJldi54bWxQSwECFAAUAAAACACHTuJAMHuFxXoCAADaBAAADgAAAAAAAAABACAA&#10;AAAoAQAAZHJzL2Uyb0RvYy54bWxQSwUGAAAAAAYABgBZAQAAFAYAAAAA&#10;">
                <v:fill on="f" focussize="0,0"/>
                <v:stroke weight="1.5pt" color="#92D050 [2404]" miterlimit="8" joinstyle="miter"/>
                <v:imagedata o:title=""/>
                <o:lock v:ext="edit" aspectratio="f"/>
              </v:rect>
            </w:pict>
          </mc:Fallback>
        </mc:AlternateContent>
      </w:r>
      <w:r>
        <w:rPr>
          <w:sz w:val="28"/>
        </w:rPr>
        <mc:AlternateContent>
          <mc:Choice Requires="wps">
            <w:drawing>
              <wp:anchor distT="0" distB="0" distL="114300" distR="114300" simplePos="0" relativeHeight="251676672" behindDoc="0" locked="0" layoutInCell="1" allowOverlap="1">
                <wp:simplePos x="0" y="0"/>
                <wp:positionH relativeFrom="column">
                  <wp:posOffset>3610610</wp:posOffset>
                </wp:positionH>
                <wp:positionV relativeFrom="paragraph">
                  <wp:posOffset>4150995</wp:posOffset>
                </wp:positionV>
                <wp:extent cx="615315" cy="425450"/>
                <wp:effectExtent l="9525" t="9525" r="22860" b="22225"/>
                <wp:wrapNone/>
                <wp:docPr id="58" name="矩形 58"/>
                <wp:cNvGraphicFramePr/>
                <a:graphic xmlns:a="http://schemas.openxmlformats.org/drawingml/2006/main">
                  <a:graphicData uri="http://schemas.microsoft.com/office/word/2010/wordprocessingShape">
                    <wps:wsp>
                      <wps:cNvSpPr/>
                      <wps:spPr>
                        <a:xfrm>
                          <a:off x="4753610" y="5065395"/>
                          <a:ext cx="615315" cy="425450"/>
                        </a:xfrm>
                        <a:prstGeom prst="rect">
                          <a:avLst/>
                        </a:prstGeom>
                        <a:noFill/>
                        <a:ln w="19050">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4.3pt;margin-top:326.85pt;height:33.5pt;width:48.45pt;z-index:251676672;v-text-anchor:middle;mso-width-relative:page;mso-height-relative:page;" filled="f" stroked="t" coordsize="21600,21600" o:gfxdata="UEsDBAoAAAAAAIdO4kAAAAAAAAAAAAAAAAAEAAAAZHJzL1BLAwQUAAAACACHTuJAQ/SGPtkAAAAL&#10;AQAADwAAAGRycy9kb3ducmV2LnhtbE2PwU7DMBBE70j8g7VI3KjdojghjVOJShw5EIoQNzfexlHj&#10;dRS7Tfh7zAmOq3maeVvtFjewK06h96RgvRLAkFpveuoUHN5fHgpgIWoyevCECr4xwK6+val0afxM&#10;b3htYsdSCYVSK7AxjiXnobXodFj5ESllJz85HdM5ddxMek7lbuAbISR3uqe0YPWIe4vtubk4BV/k&#10;98WHz5/t8nTq9PzatPKzUer+bi22wCIu8Q+GX/2kDnVyOvoLmcAGBZksZEIVyOwxB5YIKbMM2FFB&#10;vhE58Lri/3+ofwBQSwMEFAAAAAgAh07iQDClNjl4AgAA2AQAAA4AAABkcnMvZTJvRG9jLnhtbK1U&#10;S27bMBDdF+gdCO4byY7lxEbkwIiRokDQBEiLrmmKsgjwV5L+pJcp0F0P0eMUvUYfKeXTtIss6gU9&#10;5IzecN684dn5QSuyEz5Ia2o6OiopEYbbRppNTT9+uHxzSkmIzDRMWSNqeicCPV+8fnW2d3Mxtp1V&#10;jfAEICbM966mXYxuXhSBd0KzcGSdMHC21msWsfWbovFsD3StinFZTou99Y3zlosQcLrqnXRA9C8B&#10;tG0ruVhZvtXCxB7VC8UiSgqddIEu8m3bVvB43bZBRKJqikpjXpEE9jqtxeKMzTeeuU7y4QrsJVd4&#10;VpNm0iDpA9SKRUa2Xv4FpSX3Ntg2HnGri76QzAiqGJXPuLntmBO5FlAd3APp4f/B8ve7G09kU9MK&#10;fTdMo+O/vn7/+eMbwQHY2bswR9Ctu/HDLsBMpR5ar9M/iiCHmk5OquPpCLzeAaucVsezqmdXHCLh&#10;CJiOquNRRQlHwGRcTarMfvEI5HyIb4XVJBk19Whe5pTtrkJEcoTeh6S8xl5KpXIDlSF7aHlWApNw&#10;BlW2UANM7VBZMBtKmNpA7jz6DBmskk36PAEFv1lfKE92DCKZjVcJpU/3R1jKvWKh6+Oyqy9Qy4iJ&#10;UFLX9LRMv+FrZXDnxF/PWLLWtrkD3972QgyOX0rAXrEQb5iH8nB/zGa8xtIqi6LsYFHSWf/lX+cp&#10;HoKAl5I9lIyCP2+ZF5SodwZSmY0mE8DGvJlUJ2Ns/FPP+qnHbPWFBQ8jvAKOZzPFR3Vvtt7qTxjh&#10;ZcoKFzMcuXtqh81F7CcMjwAXy2UOg9wdi1fm1vEE3jdwuY22lbm3j+wMpEHwueXDcKaJerrPUY8P&#10;0u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SGPtkAAAALAQAADwAAAAAAAAABACAAAAAiAAAA&#10;ZHJzL2Rvd25yZXYueG1sUEsBAhQAFAAAAAgAh07iQDClNjl4AgAA2AQAAA4AAAAAAAAAAQAgAAAA&#10;KAEAAGRycy9lMm9Eb2MueG1sUEsFBgAAAAAGAAYAWQEAABIGAAAAAA==&#10;">
                <v:fill on="f" focussize="0,0"/>
                <v:stroke weight="1.5pt" color="#92D050 [2404]" miterlimit="8" joinstyle="miter"/>
                <v:imagedata o:title=""/>
                <o:lock v:ext="edit" aspectratio="f"/>
              </v:rect>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column">
                  <wp:posOffset>5017770</wp:posOffset>
                </wp:positionH>
                <wp:positionV relativeFrom="paragraph">
                  <wp:posOffset>4806950</wp:posOffset>
                </wp:positionV>
                <wp:extent cx="439420" cy="230505"/>
                <wp:effectExtent l="9525" t="9525" r="27305" b="26670"/>
                <wp:wrapNone/>
                <wp:docPr id="57" name="矩形 57"/>
                <wp:cNvGraphicFramePr/>
                <a:graphic xmlns:a="http://schemas.openxmlformats.org/drawingml/2006/main">
                  <a:graphicData uri="http://schemas.microsoft.com/office/word/2010/wordprocessingShape">
                    <wps:wsp>
                      <wps:cNvSpPr/>
                      <wps:spPr>
                        <a:xfrm>
                          <a:off x="6160770" y="5721350"/>
                          <a:ext cx="439420" cy="230505"/>
                        </a:xfrm>
                        <a:prstGeom prst="rect">
                          <a:avLst/>
                        </a:prstGeom>
                        <a:noFill/>
                        <a:ln w="19050">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5.1pt;margin-top:378.5pt;height:18.15pt;width:34.6pt;z-index:251675648;v-text-anchor:middle;mso-width-relative:page;mso-height-relative:page;" filled="f" stroked="t" coordsize="21600,21600" o:gfxdata="UEsDBAoAAAAAAIdO4kAAAAAAAAAAAAAAAAAEAAAAZHJzL1BLAwQUAAAACACHTuJApdLd/dwAAAAL&#10;AQAADwAAAGRycy9kb3ducmV2LnhtbE2PzU7DMBCE70i8g7VIXFBrt6V/IU4lkIBDUaW2IDi6sUkM&#10;8Tqy3TS8PdsT3HY0n2Zn8lXvGtaZEK1HCaOhAGaw9NpiJeF1/zhYAItJoVaNRyPhx0RYFZcXucq0&#10;P+HWdLtUMQrBmCkJdUptxnksa+NUHPrWIHmfPjiVSIaK66BOFO4aPhZixp2ySB9q1ZqH2pTfu6OT&#10;8GE34fkdn7az+3X39hX7mxfbbKS8vhqJO2DJ9OkPhnN9qg4FdTr4I+rIGgnzpRgTSsd0TqOIWEyX&#10;t8AOZ2syAV7k/P+G4hdQSwMEFAAAAAgAh07iQDi7JiR2AgAA2AQAAA4AAABkcnMvZTJvRG9jLnht&#10;bK1US27bMBDdF+gdCO4byY6djxE5MGy4KBA0AdKia5qiLAL8laQtp5cp0F0P0eMUvUYfKeXTtIss&#10;upFmOMM3nMc3vLg8aEX2wgdpTUVHRyUlwnBbS7Ot6McP6zdnlITITM2UNaKidyLQy/nrVxedm4mx&#10;ba2qhScAMWHWuYq2MbpZUQTeCs3CkXXCINhYr1mE67dF7VkHdK2KcVmeFJ31tfOWixCwuuqDdED0&#10;LwG0TSO5WFm+08LEHtULxSJaCq10gc7zaZtG8HjdNEFEoiqKTmP+ogjsTfoW8ws223rmWsmHI7CX&#10;HOFZT5pJg6IPUCsWGdl5+ReUltzbYJt4xK0u+kYyI+hiVD7j5rZlTuReQHVwD6SH/wfL3+9vPJF1&#10;RaenlBimceO/vn7/+eMbwQLY6VyYIenW3fjBCzBTq4fG6/RHE+RQ0ZPRSXl6Cl7vEtZ4dDwd2BWH&#10;SDgSJsfnkzHiHAnj43JaThN+8QjkfIhvhdUkGRX1uLzMKdtfhdin3qekusaupVJYZzNlSActnwMU&#10;+AyqbKAGmNqhs2C2lDC1hdx59BkyWCXrtD3tDn67WSpP9gwiWa+XZZlPjpP9kZZqr1ho+7wc6uWj&#10;ZcREKKkreoa9D7uVQXuJv56xZG1sfQe+ve2FGBxfS8BesRBvmIfycH7MZrzGp1EWTdnBoqS1/su/&#10;1lM+BIEoJR2UjIY/75gXlKh3BlI5H00mgI3ZmeBq4Pinkc3TiNnppQUPI7wCjmcz5Ud1bzbe6k8Y&#10;4UWqihAzHLV7agdnGfsJwyPAxWKR0yB3x+KVuXU8gfcXuNhF28h8t4/sDKRB8Fkdw3CmiXrq56zH&#10;B2n+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XS3f3cAAAACwEAAA8AAAAAAAAAAQAgAAAAIgAA&#10;AGRycy9kb3ducmV2LnhtbFBLAQIUABQAAAAIAIdO4kA4uyYkdgIAANgEAAAOAAAAAAAAAAEAIAAA&#10;ACsBAABkcnMvZTJvRG9jLnhtbFBLBQYAAAAABgAGAFkBAAATBgAAAAA=&#10;">
                <v:fill on="f" focussize="0,0"/>
                <v:stroke weight="1.5pt" color="#FFC000 [2404]" miterlimit="8" joinstyle="miter"/>
                <v:imagedata o:title=""/>
                <o:lock v:ext="edit" aspectratio="f"/>
              </v:rect>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408940</wp:posOffset>
                </wp:positionH>
                <wp:positionV relativeFrom="paragraph">
                  <wp:posOffset>2901950</wp:posOffset>
                </wp:positionV>
                <wp:extent cx="3802380" cy="820420"/>
                <wp:effectExtent l="9525" t="9525" r="17145" b="27305"/>
                <wp:wrapNone/>
                <wp:docPr id="34" name="矩形 34"/>
                <wp:cNvGraphicFramePr/>
                <a:graphic xmlns:a="http://schemas.openxmlformats.org/drawingml/2006/main">
                  <a:graphicData uri="http://schemas.microsoft.com/office/word/2010/wordprocessingShape">
                    <wps:wsp>
                      <wps:cNvSpPr/>
                      <wps:spPr>
                        <a:xfrm>
                          <a:off x="1551940" y="3816350"/>
                          <a:ext cx="3802380" cy="820420"/>
                        </a:xfrm>
                        <a:prstGeom prst="rect">
                          <a:avLst/>
                        </a:prstGeom>
                        <a:noFill/>
                        <a:ln w="19050">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2pt;margin-top:228.5pt;height:64.6pt;width:299.4pt;z-index:251674624;v-text-anchor:middle;mso-width-relative:page;mso-height-relative:page;" filled="f" stroked="t" coordsize="21600,21600" o:gfxdata="UEsDBAoAAAAAAIdO4kAAAAAAAAAAAAAAAAAEAAAAZHJzL1BLAwQUAAAACACHTuJA866/GNgAAAAK&#10;AQAADwAAAGRycy9kb3ducmV2LnhtbE2PwU7DMBBE70j8g7VI3KjTkLohxKlEJY4cSEGI2zZx44h4&#10;HcVuE/6e5QTH1T7NvCl3ixvExUyh96RhvUpAGGp821On4e3wfJeDCBGpxcGT0fBtAuyq66sSi9bP&#10;9GoudewEh1AoUIONcSykDI01DsPKj4b4d/KTw8jn1Ml2wpnD3SDTJFHSYU/cYHE0e2uar/rsNHyS&#10;3+fvfvtkl4dTh/NL3aiPWuvbm3XyCCKaJf7B8KvP6lCx09GfqQ1i0KCyjEkN2WbLmxhQ6j4FcdSw&#10;yVUKsirl/wnVD1BLAwQUAAAACACHTuJAdvH+mncCAADZBAAADgAAAGRycy9lMm9Eb2MueG1srVRL&#10;btswEN0X6B0I7hvJjp3aRuTAiJGiQNAESIuuaYqyCPBXkracXqZAdz1EjlP0Gn2klE/TLrKoAUtD&#10;zugN580bnp4dtCJ74YO0pqKjo5ISYbitpdlW9NPHizczSkJkpmbKGlHRWxHo2fL1q9POLcTYtlbV&#10;whOAmLDoXEXbGN2iKAJvhWbhyDph4Gys1yxi6bdF7VkHdK2KcVmeFJ31tfOWixCwu+6ddED0LwG0&#10;TSO5WFu+08LEHtULxSJKCq10gS7zaZtG8HjVNEFEoiqKSmN+IgnsTXoWy1O22HrmWsmHI7CXHOFZ&#10;TZpJg6QPUGsWGdl5+ReUltzbYJt4xK0u+kIyI6hiVD7j5qZlTuRaQHVwD6SH/wfLP+yvPZF1RY8n&#10;lBim0fFf3378vPtOsAF2OhcWCLpx135YBZip1EPjdXqjCHKAkqbT0XwCXm+BNRudHE8HdsUhEo6A&#10;41k5xp8SjojZuJyMc0DxiOR8iO+E1SQZFfXoXiaV7S9DRHaE3oekxMZeSKVyB5UhHY4wL5GUcAZZ&#10;NpADTO1QWjBbSpjaQu88+gwZrJJ1+jwBBb/dnCtP9gwqmY/XCaVP90dYyr1moe3jsqvXj5YRI6Gk&#10;Rl1l+g1fK4MzJwJ7ypK1sfUtCPe2V2Jw/EIC9pKFeM08pIfzYzjjFR6NsijKDhYlrfVf/7Wf4qEI&#10;eCnpIGUU/GXHvKBEvTfQynw0SX2JeTGZvgXvxD/1bJ56zE6fW/AwwjXgeDZTfFT3ZuOt/owZXqWs&#10;cDHDkbundlicx37EcAtwsVrlMOjdsXhpbhxP4H0DV7toG5l7+8jOQBoUn1s+TGcaqafrHPV4Iy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POuvxjYAAAACgEAAA8AAAAAAAAAAQAgAAAAIgAAAGRy&#10;cy9kb3ducmV2LnhtbFBLAQIUABQAAAAIAIdO4kB28f6adwIAANkEAAAOAAAAAAAAAAEAIAAAACcB&#10;AABkcnMvZTJvRG9jLnhtbFBLBQYAAAAABgAGAFkBAAAQBgAAAAA=&#10;">
                <v:fill on="f" focussize="0,0"/>
                <v:stroke weight="1.5pt" color="#92D050 [2404]" miterlimit="8" joinstyle="miter"/>
                <v:imagedata o:title=""/>
                <o:lock v:ext="edit" aspectratio="f"/>
              </v:rect>
            </w:pict>
          </mc:Fallback>
        </mc:AlternateContent>
      </w:r>
      <w:r>
        <w:rPr>
          <w:sz w:val="28"/>
        </w:rPr>
        <mc:AlternateContent>
          <mc:Choice Requires="wps">
            <w:drawing>
              <wp:anchor distT="0" distB="0" distL="114300" distR="114300" simplePos="0" relativeHeight="251673600" behindDoc="0" locked="0" layoutInCell="1" allowOverlap="1">
                <wp:simplePos x="0" y="0"/>
                <wp:positionH relativeFrom="column">
                  <wp:posOffset>2313940</wp:posOffset>
                </wp:positionH>
                <wp:positionV relativeFrom="paragraph">
                  <wp:posOffset>2301240</wp:posOffset>
                </wp:positionV>
                <wp:extent cx="1897380" cy="395605"/>
                <wp:effectExtent l="9525" t="9525" r="17145" b="13970"/>
                <wp:wrapNone/>
                <wp:docPr id="28" name="矩形 28"/>
                <wp:cNvGraphicFramePr/>
                <a:graphic xmlns:a="http://schemas.openxmlformats.org/drawingml/2006/main">
                  <a:graphicData uri="http://schemas.microsoft.com/office/word/2010/wordprocessingShape">
                    <wps:wsp>
                      <wps:cNvSpPr/>
                      <wps:spPr>
                        <a:xfrm>
                          <a:off x="3456940" y="3215640"/>
                          <a:ext cx="1897380" cy="395605"/>
                        </a:xfrm>
                        <a:prstGeom prst="rect">
                          <a:avLst/>
                        </a:prstGeom>
                        <a:noFill/>
                        <a:ln w="19050">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2pt;margin-top:181.2pt;height:31.15pt;width:149.4pt;z-index:251673600;v-text-anchor:middle;mso-width-relative:page;mso-height-relative:page;" filled="f" stroked="t" coordsize="21600,21600" o:gfxdata="UEsDBAoAAAAAAIdO4kAAAAAAAAAAAAAAAAAEAAAAZHJzL1BLAwQUAAAACACHTuJAwDvSTtgAAAAL&#10;AQAADwAAAGRycy9kb3ducmV2LnhtbE2PwU7DMAyG70i8Q2QkbixdV3WjazqJSRw5UIYQN6/JmmqN&#10;UzXZWt4e7wS33/Kn35/L3ex6cTVj6DwpWC4SEIYarztqFRw+Xp82IEJE0th7Mgp+TIBddX9XYqH9&#10;RO/mWsdWcAmFAhXYGIdCytBY4zAs/GCIdyc/Oow8jq3UI05c7nqZJkkuHXbEFywOZm9Nc64vTsE3&#10;+f3m069f7Px8anF6q5v8q1bq8WGZbEFEM8c/GG76rA4VOx39hXQQvYJVnmWM3kLKgYk8X6Ugjgqy&#10;NFuDrEr5/4fqF1BLAwQUAAAACACHTuJANWJAZ3UCAADZBAAADgAAAGRycy9lMm9Eb2MueG1srVTL&#10;bhMxFN0j8Q+W93QmaZImUSdV1KgIqaKVCmLteDwZS35hO4/yM0js+Ag+B/EbHHumTSksuiAL59r3&#10;zLk+x9c+vzhoRXbCB2lNRQcnJSXCcFtLs6noxw9Xb6aUhMhMzZQ1oqL3ItCLxetX53s3F0PbWlUL&#10;T0BiwnzvKtrG6OZFEXgrNAsn1gmDZGO9ZhFTvylqz/Zg16oYluWk2FtfO2+5CAGrqy5Je0b/EkLb&#10;NJKLleVbLUzsWL1QLEJSaKULdJF32zSCx5umCSISVVEojXlEEcTrNBaLczbfeOZayfstsJds4Zkm&#10;zaRB0UeqFYuMbL38i0pL7m2wTTzhVhedkOwIVAzKZ97ctcyJrAVWB/doevh/tPz97tYTWVd0iHM3&#10;TOPEf339/vPHN4IFuLN3YQ7Qnbv1/SwgTFIPjdfpHyLIoaKno/FkNoKv94iHg/EEcXZXHCLhAAym&#10;s7PTKQA8IWbjSTlOgOLI5HyIb4XVJAUV9Ti9bCrbXYfYQR8gqbCxV1KpXEMZskeFWTlO/Axt2aAd&#10;EGoHacFsKGFqg37n0WfKYJWs0+eJKPjN+lJ5smPoktlwlVi6cn/AUu0VC22Hy6lOoZYRV0JJXdFp&#10;mX7918pAXjKwsyxFa1vfw3Bvu04Mjl9J0F6zEG+ZR+th/7ic8QZDoyxE2T6ipLX+y7/WEx4dgSwl&#10;e7QyBH/eMi8oUe8MemU2GKVziXkyGp8NMfFPM+unGbPVlxY+DPAMOJ7DhI/qIWy81Z9wh5epKlLM&#10;cNTurO0nl7G7YngFuFguMwz97li8NneOJ/LuAJfbaBuZz/boTm8aOj53R38705V6Os+o44u0+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AO9JO2AAAAAsBAAAPAAAAAAAAAAEAIAAAACIAAABkcnMv&#10;ZG93bnJldi54bWxQSwECFAAUAAAACACHTuJANWJAZ3UCAADZBAAADgAAAAAAAAABACAAAAAnAQAA&#10;ZHJzL2Uyb0RvYy54bWxQSwUGAAAAAAYABgBZAQAADgYAAAAA&#10;">
                <v:fill on="f" focussize="0,0"/>
                <v:stroke weight="1.5pt" color="#92D050 [2404]" miterlimit="8" joinstyle="miter"/>
                <v:imagedata o:title=""/>
                <o:lock v:ext="edit" aspectratio="f"/>
              </v:rect>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328295</wp:posOffset>
                </wp:positionH>
                <wp:positionV relativeFrom="paragraph">
                  <wp:posOffset>2205990</wp:posOffset>
                </wp:positionV>
                <wp:extent cx="4117975" cy="2534920"/>
                <wp:effectExtent l="13970" t="14605" r="20955" b="22225"/>
                <wp:wrapNone/>
                <wp:docPr id="27" name="矩形 27"/>
                <wp:cNvGraphicFramePr/>
                <a:graphic xmlns:a="http://schemas.openxmlformats.org/drawingml/2006/main">
                  <a:graphicData uri="http://schemas.microsoft.com/office/word/2010/wordprocessingShape">
                    <wps:wsp>
                      <wps:cNvSpPr/>
                      <wps:spPr>
                        <a:xfrm>
                          <a:off x="1471295" y="3120390"/>
                          <a:ext cx="4117975" cy="253492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85pt;margin-top:173.7pt;height:199.6pt;width:324.25pt;z-index:251672576;v-text-anchor:middle;mso-width-relative:page;mso-height-relative:page;" filled="f" stroked="t" coordsize="21600,21600" o:gfxdata="UEsDBAoAAAAAAIdO4kAAAAAAAAAAAAAAAAAEAAAAZHJzL1BLAwQUAAAACACHTuJApYT6mNkAAAAK&#10;AQAADwAAAGRycy9kb3ducmV2LnhtbE2PwU7DMAyG70i8Q2QkLoglHaVFpekOTIjbJAoaV7fJ2orG&#10;qZpsKzw95gQ3W/70+/vLzeJGcbJzGDxpSFYKhKXWm4E6De9vz7cPIEJEMjh6shq+bIBNdXlRYmH8&#10;mV7tqY6d4BAKBWroY5wKKUPbW4dh5SdLfDv42WHkde6kmfHM4W6Ua6Uy6XAg/tDjZJ96237WR6eh&#10;2U/j92HrPpZ9nRHuXnZI2xutr68S9Qgi2iX+wfCrz+pQsVPjj2SCGDXcJzmTGu7SPAXBQK7UGkTD&#10;Q5plIKtS/q9Q/QBQSwMEFAAAAAgAh07iQE8dgOh5AgAA2gQAAA4AAABkcnMvZTJvRG9jLnhtbK1U&#10;y24TMRTdI/EPlvd0MmlCmqiTKmoUhFRBpYJYOx5PxpJf2E4m5WeQ2PERfA7iNzj2TB8UFl2QhXM9&#10;9/hc3+Njn18ctSIH4YO0pqLlyYgSYbitpdlV9OOHzaszSkJkpmbKGlHRWxHoxfLli/POLcTYtlbV&#10;whOQmLDoXEXbGN2iKAJvhWbhxDphkGys1yxi6ndF7VkHdq2K8Wj0uuisr523XISAr+s+SQdG/xxC&#10;2zSSi7Xley1M7Fm9UCyipdBKF+gy77ZpBI/vmyaISFRF0WnMI4og3qaxWJ6zxc4z10o+bIE9ZwtP&#10;etJMGhS9p1qzyMjey7+otOTeBtvEE2510TeSFUEX5eiJNjctcyL3AqmDuxc9/D9a/u5w7YmsKzqe&#10;UWKYxon/+vr9549vBB+gTufCAqAbd+2HWUCYWj02Xqd/NEGOcNJkVo7nU0puK3pajken80FdcYyE&#10;AzApy9l8BgAHYjw9nczHGVE8UDkf4hthNUlBRT2OL6vKDlchojygd5BU2diNVCofoTKkA+vZNBdg&#10;8GUDP6CWdugtmB0lTO1geB59pgxWyTotT0TB77aXypMDg002mxF+qXeU+wOWaq9ZaHtcTvUG0jLi&#10;TiipK3qWFt+tVgYkScFesxRtbX0Lxb3trRgc30jQXrEQr5mH9+BM3M74HkOjLJqyQ0RJa/2Xf31P&#10;eFgCWUo6eBkNf94zLyhRbw3MMi8nk2T+PJlMZ9Cd+MeZ7eOM2etLCx1KvAOO5zDho7oLG2/1J1zi&#10;VaqKFDMctXtph8ll7O8YngEuVqsMg+Edi1fmxvFE3h/gah9tI/PZPqgziAbL5zMYrme6U4/nGfXw&#10;JC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WE+pjZAAAACgEAAA8AAAAAAAAAAQAgAAAAIgAA&#10;AGRycy9kb3ducmV2LnhtbFBLAQIUABQAAAAIAIdO4kBPHYDoeQIAANoEAAAOAAAAAAAAAAEAIAAA&#10;ACgBAABkcnMvZTJvRG9jLnhtbFBLBQYAAAAABgAGAFkBAAATBgAAAAA=&#10;">
                <v:fill on="f" focussize="0,0"/>
                <v:stroke weight="2.25pt" color="#FF0000 [2404]" miterlimit="8" joinstyle="miter"/>
                <v:imagedata o:title=""/>
                <o:lock v:ext="edit" aspectratio="f"/>
              </v:rect>
            </w:pict>
          </mc:Fallback>
        </mc:AlternateContent>
      </w:r>
    </w:p>
    <w:p w14:paraId="66897654">
      <w:pPr>
        <w:jc w:val="center"/>
        <w:rPr>
          <w:rFonts w:hint="default" w:ascii="Times New Roman" w:hAnsi="Times New Roman" w:eastAsia="宋体" w:cs="Times New Roman"/>
        </w:rPr>
      </w:pPr>
      <w:r>
        <w:rPr>
          <w:rFonts w:hint="default" w:ascii="Times New Roman" w:hAnsi="Times New Roman" w:eastAsia="宋体" w:cs="Times New Roman"/>
          <w:b/>
          <w:bCs/>
          <w:sz w:val="24"/>
          <w:szCs w:val="24"/>
          <w:lang w:val="en-US" w:eastAsia="zh-CN"/>
        </w:rPr>
        <w:t>附图</w:t>
      </w:r>
      <w:r>
        <w:rPr>
          <w:rFonts w:hint="eastAsia" w:cs="Times New Roman"/>
          <w:b/>
          <w:bCs/>
          <w:sz w:val="24"/>
          <w:szCs w:val="24"/>
          <w:lang w:val="en-US" w:eastAsia="zh-CN"/>
        </w:rPr>
        <w:t>5</w:t>
      </w:r>
      <w:r>
        <w:rPr>
          <w:rFonts w:hint="default" w:ascii="Times New Roman" w:hAnsi="Times New Roman" w:eastAsia="宋体" w:cs="Times New Roman"/>
          <w:b/>
          <w:bCs/>
          <w:sz w:val="24"/>
          <w:szCs w:val="24"/>
          <w:lang w:val="en-US" w:eastAsia="zh-CN"/>
        </w:rPr>
        <w:t xml:space="preserve">   </w:t>
      </w:r>
      <w:r>
        <w:rPr>
          <w:rFonts w:hint="eastAsia" w:cs="Times New Roman"/>
          <w:b/>
          <w:bCs/>
          <w:sz w:val="24"/>
          <w:szCs w:val="24"/>
          <w:lang w:val="en-US" w:eastAsia="zh-CN"/>
        </w:rPr>
        <w:t>项目</w:t>
      </w:r>
      <w:r>
        <w:rPr>
          <w:rFonts w:hint="default" w:ascii="Times New Roman" w:hAnsi="Times New Roman" w:eastAsia="宋体" w:cs="Times New Roman"/>
          <w:b/>
          <w:bCs/>
          <w:sz w:val="24"/>
          <w:szCs w:val="24"/>
          <w:lang w:val="en-US" w:eastAsia="zh-CN"/>
        </w:rPr>
        <w:t>周边关系图</w:t>
      </w:r>
    </w:p>
    <w:p w14:paraId="106220F9">
      <w:pPr>
        <w:jc w:val="center"/>
        <w:rPr>
          <w:rFonts w:hint="default" w:ascii="Times New Roman" w:hAnsi="Times New Roman" w:eastAsia="宋体" w:cs="Times New Roman"/>
          <w:lang w:val="en-US"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22225</wp:posOffset>
                </wp:positionH>
                <wp:positionV relativeFrom="paragraph">
                  <wp:posOffset>5222240</wp:posOffset>
                </wp:positionV>
                <wp:extent cx="8740775" cy="34099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8740775" cy="340995"/>
                        </a:xfrm>
                        <a:prstGeom prst="rect">
                          <a:avLst/>
                        </a:prstGeom>
                        <a:noFill/>
                        <a:ln>
                          <a:noFill/>
                        </a:ln>
                      </wps:spPr>
                      <wps:txbx>
                        <w:txbxContent>
                          <w:p w14:paraId="7C179276">
                            <w:pPr>
                              <w:jc w:val="center"/>
                            </w:pPr>
                            <w:r>
                              <w:rPr>
                                <w:rFonts w:hint="eastAsia" w:ascii="Times New Roman" w:hAnsi="Times New Roman" w:eastAsia="宋体" w:cs="Times New Roman"/>
                                <w:b/>
                                <w:bCs/>
                                <w:sz w:val="24"/>
                                <w:szCs w:val="24"/>
                                <w:lang w:val="en-US" w:eastAsia="zh-CN"/>
                              </w:rPr>
                              <w:t xml:space="preserve">附图3  </w:t>
                            </w:r>
                            <w:r>
                              <w:rPr>
                                <w:rFonts w:hint="eastAsia"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周边关系图</w:t>
                            </w:r>
                          </w:p>
                        </w:txbxContent>
                      </wps:txbx>
                      <wps:bodyPr upright="1"/>
                    </wps:wsp>
                  </a:graphicData>
                </a:graphic>
              </wp:anchor>
            </w:drawing>
          </mc:Choice>
          <mc:Fallback>
            <w:pict>
              <v:shape id="_x0000_s1026" o:spid="_x0000_s1026" o:spt="202" type="#_x0000_t202" style="position:absolute;left:0pt;margin-left:1.75pt;margin-top:411.2pt;height:26.85pt;width:688.25pt;z-index:251664384;mso-width-relative:page;mso-height-relative:page;" filled="f" stroked="f" coordsize="21600,21600" o:gfxdata="UEsDBAoAAAAAAIdO4kAAAAAAAAAAAAAAAAAEAAAAZHJzL1BLAwQUAAAACACHTuJA0WW7HNcAAAAK&#10;AQAADwAAAGRycy9kb3ducmV2LnhtbE2PzU7DMBCE70h9B2srcaN20h9CiNMDiCuI0iJxc+NtEhGv&#10;o9htwtuzPcFxZ0az3xTbyXXigkNoPWlIFgoEUuVtS7WG/cfLXQYiREPWdJ5Qww8G2Jazm8Lk1o/0&#10;jpddrAWXUMiNhibGPpcyVA06Exa+R2Lv5AdnIp9DLe1gRi53nUyV2khnWuIPjenxqcHqe3d2Gg6v&#10;p6/PlXqrn926H/2kJLkHqfXtPFGPICJO8S8MV3xGh5KZjv5MNohOw3LNQQ1Zmq5AXP1lpnjckaX7&#10;TQKyLOT/CeUvUEsDBBQAAAAIAIdO4kCZgvdgrwEAAFADAAAOAAAAZHJzL2Uyb0RvYy54bWytU81u&#10;GyEQvlfKOyDuNRs3iZOV15EqK7lUbaUkD4BZ8CIBgwB71y/QvkFPvfTe5/JzdGAd5++SQy8sfDP7&#10;zXzfwPx6sIZsZYgaXENPJxUl0glotVs39OH+5uMlJTFx13IDTjZ0JyO9Xpx8mPe+llPowLQyECRx&#10;se59Q7uUfM1YFJ20PE7AS4dBBcHyhMewZm3gPbJbw6ZVdcF6CK0PIGSMiC7HID0whvcQglJayCWI&#10;jZUujaxBGp5QUuy0j3RRulVKivRNqSgTMQ1FpamsWAT3q7yyxZzX68B9p8WhBf6eFl5pslw7LHqk&#10;WvLEySboN1RWiwARVJoIsGwUUhxBFafVK2/uOu5l0YJWR380Pf4/WvF1+z0Q3TZ0ekGJ4xYnvv/1&#10;c//77/7PD4IYGtT7WGPencfMNHyGAa/NIx4RzLoHFWz+oiKCcbR3d7RXDokIBC9nZ9Vsdk6JwNin&#10;s+rq6jzTsKe/fYjpVoIledPQgOMrrvLtl5jG1MeUXMzBjTamjNC4FwByZoTl1scW8y4Nq+GgZwXt&#10;DuVsfNDrDksVQSUdjS49HS5FnuTzcyF9egiL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FluxzX&#10;AAAACgEAAA8AAAAAAAAAAQAgAAAAIgAAAGRycy9kb3ducmV2LnhtbFBLAQIUABQAAAAIAIdO4kCZ&#10;gvdgrwEAAFADAAAOAAAAAAAAAAEAIAAAACYBAABkcnMvZTJvRG9jLnhtbFBLBQYAAAAABgAGAFkB&#10;AABHBQAAAAA=&#10;">
                <v:fill on="f" focussize="0,0"/>
                <v:stroke on="f"/>
                <v:imagedata o:title=""/>
                <o:lock v:ext="edit" aspectratio="f"/>
                <v:textbox>
                  <w:txbxContent>
                    <w:p w14:paraId="7C179276">
                      <w:pPr>
                        <w:jc w:val="center"/>
                      </w:pPr>
                      <w:r>
                        <w:rPr>
                          <w:rFonts w:hint="eastAsia" w:ascii="Times New Roman" w:hAnsi="Times New Roman" w:eastAsia="宋体" w:cs="Times New Roman"/>
                          <w:b/>
                          <w:bCs/>
                          <w:sz w:val="24"/>
                          <w:szCs w:val="24"/>
                          <w:lang w:val="en-US" w:eastAsia="zh-CN"/>
                        </w:rPr>
                        <w:t xml:space="preserve">附图3  </w:t>
                      </w:r>
                      <w:r>
                        <w:rPr>
                          <w:rFonts w:hint="eastAsia"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周边关系图</w:t>
                      </w:r>
                    </w:p>
                  </w:txbxContent>
                </v:textbox>
              </v:shape>
            </w:pict>
          </mc:Fallback>
        </mc:AlternateContent>
      </w:r>
    </w:p>
    <w:p w14:paraId="7F56D899">
      <w:pPr>
        <w:pStyle w:val="18"/>
        <w:ind w:left="0" w:leftChars="0" w:firstLine="0" w:firstLineChars="0"/>
        <w:jc w:val="center"/>
        <w:rPr>
          <w:rFonts w:hint="default" w:ascii="Times New Roman" w:hAnsi="Times New Roman" w:eastAsia="宋体" w:cs="Times New Roman"/>
          <w:color w:val="000000" w:themeColor="text1"/>
          <w:sz w:val="28"/>
          <w:lang w:eastAsia="zh-CN"/>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000000" w:themeColor="text1"/>
          <w:sz w:val="21"/>
          <w14:textFill>
            <w14:solidFill>
              <w14:schemeClr w14:val="tx1"/>
            </w14:solidFill>
          </w14:textFill>
        </w:rPr>
        <w:drawing>
          <wp:anchor distT="0" distB="0" distL="114300" distR="114300" simplePos="0" relativeHeight="251668480" behindDoc="0" locked="0" layoutInCell="1" allowOverlap="1">
            <wp:simplePos x="0" y="0"/>
            <wp:positionH relativeFrom="column">
              <wp:posOffset>7467600</wp:posOffset>
            </wp:positionH>
            <wp:positionV relativeFrom="paragraph">
              <wp:posOffset>17145</wp:posOffset>
            </wp:positionV>
            <wp:extent cx="579755" cy="449580"/>
            <wp:effectExtent l="0" t="0" r="10795" b="7620"/>
            <wp:wrapNone/>
            <wp:docPr id="35" name="图片 1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4" descr="4"/>
                    <pic:cNvPicPr>
                      <a:picLocks noChangeAspect="1"/>
                    </pic:cNvPicPr>
                  </pic:nvPicPr>
                  <pic:blipFill>
                    <a:blip r:embed="rId27"/>
                    <a:stretch>
                      <a:fillRect/>
                    </a:stretch>
                  </pic:blipFill>
                  <pic:spPr>
                    <a:xfrm>
                      <a:off x="0" y="0"/>
                      <a:ext cx="579755" cy="449580"/>
                    </a:xfrm>
                    <a:prstGeom prst="rect">
                      <a:avLst/>
                    </a:prstGeom>
                    <a:noFill/>
                    <a:ln>
                      <a:noFill/>
                    </a:ln>
                  </pic:spPr>
                </pic:pic>
              </a:graphicData>
            </a:graphic>
          </wp:anchor>
        </w:drawing>
      </w:r>
      <w:r>
        <w:rPr>
          <w:rFonts w:hint="default" w:ascii="Times New Roman" w:hAnsi="Times New Roman" w:eastAsia="宋体" w:cs="Times New Roman"/>
          <w:color w:val="000000" w:themeColor="text1"/>
          <w:sz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2066290</wp:posOffset>
                </wp:positionH>
                <wp:positionV relativeFrom="paragraph">
                  <wp:posOffset>4805680</wp:posOffset>
                </wp:positionV>
                <wp:extent cx="5340350" cy="31559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5340350" cy="315595"/>
                        </a:xfrm>
                        <a:prstGeom prst="rect">
                          <a:avLst/>
                        </a:prstGeom>
                        <a:noFill/>
                        <a:ln>
                          <a:noFill/>
                        </a:ln>
                      </wps:spPr>
                      <wps:txbx>
                        <w:txbxContent>
                          <w:p w14:paraId="1B4B7BCD">
                            <w:pPr>
                              <w:jc w:val="center"/>
                              <w:rPr>
                                <w:rFonts w:hint="default" w:ascii="Times New Roman" w:hAnsi="Times New Roman" w:eastAsia="宋体" w:cs="Times New Roman"/>
                              </w:rPr>
                            </w:pPr>
                            <w:r>
                              <w:rPr>
                                <w:rFonts w:hint="default" w:ascii="Times New Roman" w:hAnsi="Times New Roman" w:eastAsia="宋体" w:cs="Times New Roman"/>
                                <w:b/>
                                <w:bCs/>
                                <w:sz w:val="24"/>
                                <w:szCs w:val="24"/>
                                <w:lang w:val="en-US" w:eastAsia="zh-CN"/>
                              </w:rPr>
                              <w:t>附图</w:t>
                            </w:r>
                            <w:r>
                              <w:rPr>
                                <w:rFonts w:hint="eastAsia" w:cs="Times New Roman"/>
                                <w:b/>
                                <w:bCs/>
                                <w:sz w:val="24"/>
                                <w:szCs w:val="24"/>
                                <w:lang w:val="en-US" w:eastAsia="zh-CN"/>
                              </w:rPr>
                              <w:t>6</w:t>
                            </w:r>
                            <w:r>
                              <w:rPr>
                                <w:rFonts w:hint="default" w:ascii="Times New Roman" w:hAnsi="Times New Roman" w:eastAsia="宋体" w:cs="Times New Roman"/>
                                <w:b/>
                                <w:bCs/>
                                <w:sz w:val="24"/>
                                <w:szCs w:val="24"/>
                                <w:lang w:val="en-US" w:eastAsia="zh-CN"/>
                              </w:rPr>
                              <w:t xml:space="preserve">   </w:t>
                            </w:r>
                            <w:r>
                              <w:rPr>
                                <w:rFonts w:hint="eastAsia" w:cs="Times New Roman"/>
                                <w:b/>
                                <w:bCs/>
                                <w:sz w:val="24"/>
                                <w:szCs w:val="24"/>
                                <w:lang w:val="en-US" w:eastAsia="zh-CN"/>
                              </w:rPr>
                              <w:t>锅炉房</w:t>
                            </w:r>
                            <w:r>
                              <w:rPr>
                                <w:rFonts w:hint="default" w:ascii="Times New Roman" w:hAnsi="Times New Roman" w:eastAsia="宋体" w:cs="Times New Roman"/>
                                <w:b/>
                                <w:bCs/>
                                <w:sz w:val="24"/>
                                <w:szCs w:val="24"/>
                                <w:lang w:val="en-US" w:eastAsia="zh-CN"/>
                              </w:rPr>
                              <w:t>平面布置图</w:t>
                            </w:r>
                          </w:p>
                        </w:txbxContent>
                      </wps:txbx>
                      <wps:bodyPr upright="1"/>
                    </wps:wsp>
                  </a:graphicData>
                </a:graphic>
              </wp:anchor>
            </w:drawing>
          </mc:Choice>
          <mc:Fallback>
            <w:pict>
              <v:shape id="_x0000_s1026" o:spid="_x0000_s1026" o:spt="202" type="#_x0000_t202" style="position:absolute;left:0pt;margin-left:162.7pt;margin-top:378.4pt;height:24.85pt;width:420.5pt;z-index:251666432;mso-width-relative:page;mso-height-relative:page;" filled="f" stroked="f" coordsize="21600,21600" o:gfxdata="UEsDBAoAAAAAAIdO4kAAAAAAAAAAAAAAAAAEAAAAZHJzL1BLAwQUAAAACACHTuJAMhp8QNgAAAAM&#10;AQAADwAAAGRycy9kb3ducmV2LnhtbE2PTU/DMAyG70j8h8hI3FjSsYZR6u4A4gpifEjcsiZrKxqn&#10;arK1/Hu8EzvafvT6ecvN7HtxdGPsAiFkCwXCUR1sRw3Cx/vzzRpETIas6QM5hF8XYVNdXpSmsGGi&#10;N3fcpkZwCMXCILQpDYWUsW6dN3ERBkd824fRm8Tj2Eg7monDfS+XSmnpTUf8oTWDe2xd/bM9eITP&#10;l/3310q9Nk8+H6YwK0n+XiJeX2XqAURyc/qH4aTP6lCx0y4cyEbRI9wu8xWjCHe55g4nItOaVzuE&#10;tdI5yKqU5yWqP1BLAwQUAAAACACHTuJAC2/5dK4BAABQAwAADgAAAGRycy9lMm9Eb2MueG1srVNL&#10;btswEN0X6B0I7mvKdlU0guUAhZFuirZAmgPQFGkR4A8c2pIv0N6gq26677l8jg4px2mTTRbZUOSb&#10;0Zt5b8jV9WgNOcgI2ruWzmcVJdIJ32m3a+ndt5s37ymBxF3HjXeypUcJ9Hr9+tVqCI1c+N6bTkaC&#10;JA6aIbS0Tyk0jIHopeUw80E6DCofLU94jDvWRT4guzVsUVXv2OBjF6IXEgDRzRSkZ8b4HEKvlBZy&#10;48XeSpcm1igNTygJeh2Arku3SkmRvigFMhHTUlSayopFcL/NK1uveLOLPPRanFvgz2nhkSbLtcOi&#10;F6oNT5zso35CZbWIHrxKM+Etm4QUR1DFvHrkzW3Pgyxa0GoIF9Ph5WjF58PXSHTX0sUVJY5bnPjp&#10;54/Trz+n398JYmjQEKDBvNuAmWn84Ee8Nvc4IJh1jyra/EVFBONo7/FirxwTEQjWy7fVssaQwNhy&#10;XtdXdaZhD3+HCOmj9JbkTUsjjq+4yg+fIE2p9ym5mPM32pgyQuP+A5AzIyy3PrWYd2ncjmc9W98d&#10;Uc4+RL3rsVQRVNLR6NLT+VLkSf57LqQPD2H9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IafEDY&#10;AAAADAEAAA8AAAAAAAAAAQAgAAAAIgAAAGRycy9kb3ducmV2LnhtbFBLAQIUABQAAAAIAIdO4kAL&#10;b/l0rgEAAFADAAAOAAAAAAAAAAEAIAAAACcBAABkcnMvZTJvRG9jLnhtbFBLBQYAAAAABgAGAFkB&#10;AABHBQAAAAA=&#10;">
                <v:fill on="f" focussize="0,0"/>
                <v:stroke on="f"/>
                <v:imagedata o:title=""/>
                <o:lock v:ext="edit" aspectratio="f"/>
                <v:textbox>
                  <w:txbxContent>
                    <w:p w14:paraId="1B4B7BCD">
                      <w:pPr>
                        <w:jc w:val="center"/>
                        <w:rPr>
                          <w:rFonts w:hint="default" w:ascii="Times New Roman" w:hAnsi="Times New Roman" w:eastAsia="宋体" w:cs="Times New Roman"/>
                        </w:rPr>
                      </w:pPr>
                      <w:r>
                        <w:rPr>
                          <w:rFonts w:hint="default" w:ascii="Times New Roman" w:hAnsi="Times New Roman" w:eastAsia="宋体" w:cs="Times New Roman"/>
                          <w:b/>
                          <w:bCs/>
                          <w:sz w:val="24"/>
                          <w:szCs w:val="24"/>
                          <w:lang w:val="en-US" w:eastAsia="zh-CN"/>
                        </w:rPr>
                        <w:t>附图</w:t>
                      </w:r>
                      <w:r>
                        <w:rPr>
                          <w:rFonts w:hint="eastAsia" w:cs="Times New Roman"/>
                          <w:b/>
                          <w:bCs/>
                          <w:sz w:val="24"/>
                          <w:szCs w:val="24"/>
                          <w:lang w:val="en-US" w:eastAsia="zh-CN"/>
                        </w:rPr>
                        <w:t>6</w:t>
                      </w:r>
                      <w:r>
                        <w:rPr>
                          <w:rFonts w:hint="default" w:ascii="Times New Roman" w:hAnsi="Times New Roman" w:eastAsia="宋体" w:cs="Times New Roman"/>
                          <w:b/>
                          <w:bCs/>
                          <w:sz w:val="24"/>
                          <w:szCs w:val="24"/>
                          <w:lang w:val="en-US" w:eastAsia="zh-CN"/>
                        </w:rPr>
                        <w:t xml:space="preserve">   </w:t>
                      </w:r>
                      <w:r>
                        <w:rPr>
                          <w:rFonts w:hint="eastAsia" w:cs="Times New Roman"/>
                          <w:b/>
                          <w:bCs/>
                          <w:sz w:val="24"/>
                          <w:szCs w:val="24"/>
                          <w:lang w:val="en-US" w:eastAsia="zh-CN"/>
                        </w:rPr>
                        <w:t>锅炉房</w:t>
                      </w:r>
                      <w:r>
                        <w:rPr>
                          <w:rFonts w:hint="default" w:ascii="Times New Roman" w:hAnsi="Times New Roman" w:eastAsia="宋体" w:cs="Times New Roman"/>
                          <w:b/>
                          <w:bCs/>
                          <w:sz w:val="24"/>
                          <w:szCs w:val="24"/>
                          <w:lang w:val="en-US" w:eastAsia="zh-CN"/>
                        </w:rPr>
                        <w:t>平面布置图</w:t>
                      </w:r>
                    </w:p>
                  </w:txbxContent>
                </v:textbox>
              </v:shape>
            </w:pict>
          </mc:Fallback>
        </mc:AlternateContent>
      </w:r>
      <w:r>
        <w:rPr>
          <w:rFonts w:hint="default" w:ascii="Times New Roman" w:hAnsi="Times New Roman" w:eastAsia="宋体" w:cs="Times New Roman"/>
        </w:rPr>
        <w:drawing>
          <wp:inline distT="0" distB="0" distL="114300" distR="114300">
            <wp:extent cx="7219315" cy="4734560"/>
            <wp:effectExtent l="0" t="0" r="635" b="889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33"/>
                    <a:stretch>
                      <a:fillRect/>
                    </a:stretch>
                  </pic:blipFill>
                  <pic:spPr>
                    <a:xfrm>
                      <a:off x="0" y="0"/>
                      <a:ext cx="7219315" cy="4734560"/>
                    </a:xfrm>
                    <a:prstGeom prst="rect">
                      <a:avLst/>
                    </a:prstGeom>
                    <a:noFill/>
                    <a:ln>
                      <a:noFill/>
                    </a:ln>
                  </pic:spPr>
                </pic:pic>
              </a:graphicData>
            </a:graphic>
          </wp:inline>
        </w:drawing>
      </w:r>
    </w:p>
    <w:p w14:paraId="588483F7">
      <w:pPr>
        <w:spacing w:before="156" w:beforeLines="50" w:after="156" w:afterLines="5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附件1 委托书</w:t>
      </w:r>
    </w:p>
    <w:p w14:paraId="6BC155A0">
      <w:pPr>
        <w:rPr>
          <w:rFonts w:hint="default" w:ascii="Times New Roman" w:hAnsi="Times New Roman" w:eastAsia="宋体"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lang w:val="en-US" w:eastAsia="zh-CN"/>
        </w:rPr>
        <w:drawing>
          <wp:inline distT="0" distB="0" distL="114300" distR="114300">
            <wp:extent cx="5267960" cy="7453630"/>
            <wp:effectExtent l="0" t="0" r="8890" b="13970"/>
            <wp:docPr id="1" name="图片 1" descr="0735fbb1f7e3a0b75dc7d4ecfdc56a3c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735fbb1f7e3a0b75dc7d4ecfdc56a3c_00"/>
                    <pic:cNvPicPr>
                      <a:picLocks noChangeAspect="1"/>
                    </pic:cNvPicPr>
                  </pic:nvPicPr>
                  <pic:blipFill>
                    <a:blip r:embed="rId34"/>
                    <a:stretch>
                      <a:fillRect/>
                    </a:stretch>
                  </pic:blipFill>
                  <pic:spPr>
                    <a:xfrm>
                      <a:off x="0" y="0"/>
                      <a:ext cx="5267960" cy="7453630"/>
                    </a:xfrm>
                    <a:prstGeom prst="rect">
                      <a:avLst/>
                    </a:prstGeom>
                  </pic:spPr>
                </pic:pic>
              </a:graphicData>
            </a:graphic>
          </wp:inline>
        </w:drawing>
      </w:r>
    </w:p>
    <w:p w14:paraId="12A9121F">
      <w:pPr>
        <w:pStyle w:val="18"/>
        <w:ind w:left="0" w:leftChars="0" w:firstLine="0" w:firstLineChars="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附件2 天然气成分检测报告</w:t>
      </w:r>
      <w:r>
        <w:rPr>
          <w:rFonts w:hint="default" w:ascii="Times New Roman" w:hAnsi="Times New Roman" w:eastAsia="宋体" w:cs="Times New Roman"/>
          <w:lang w:val="en-US" w:eastAsia="zh-CN"/>
        </w:rPr>
        <w:drawing>
          <wp:inline distT="0" distB="0" distL="114300" distR="114300">
            <wp:extent cx="5162550" cy="8258175"/>
            <wp:effectExtent l="0" t="0" r="0" b="9525"/>
            <wp:docPr id="19" name="图片 19" descr="彩乌线4#阀池（2025年3季度）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彩乌线4#阀池（2025年3季度）_00"/>
                    <pic:cNvPicPr>
                      <a:picLocks noChangeAspect="1"/>
                    </pic:cNvPicPr>
                  </pic:nvPicPr>
                  <pic:blipFill>
                    <a:blip r:embed="rId35"/>
                    <a:stretch>
                      <a:fillRect/>
                    </a:stretch>
                  </pic:blipFill>
                  <pic:spPr>
                    <a:xfrm>
                      <a:off x="0" y="0"/>
                      <a:ext cx="5162550" cy="8258175"/>
                    </a:xfrm>
                    <a:prstGeom prst="rect">
                      <a:avLst/>
                    </a:prstGeom>
                  </pic:spPr>
                </pic:pic>
              </a:graphicData>
            </a:graphic>
          </wp:inline>
        </w:drawing>
      </w:r>
      <w:r>
        <w:rPr>
          <w:rFonts w:hint="default" w:ascii="Times New Roman" w:hAnsi="Times New Roman" w:eastAsia="宋体" w:cs="Times New Roman"/>
          <w:lang w:val="en-US" w:eastAsia="zh-CN"/>
        </w:rPr>
        <w:drawing>
          <wp:inline distT="0" distB="0" distL="114300" distR="114300">
            <wp:extent cx="5267960" cy="8750300"/>
            <wp:effectExtent l="0" t="0" r="8890" b="12700"/>
            <wp:docPr id="18" name="图片 18" descr="彩乌线4#阀池（2025年3季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彩乌线4#阀池（2025年3季度）_01"/>
                    <pic:cNvPicPr>
                      <a:picLocks noChangeAspect="1"/>
                    </pic:cNvPicPr>
                  </pic:nvPicPr>
                  <pic:blipFill>
                    <a:blip r:embed="rId36"/>
                    <a:stretch>
                      <a:fillRect/>
                    </a:stretch>
                  </pic:blipFill>
                  <pic:spPr>
                    <a:xfrm>
                      <a:off x="0" y="0"/>
                      <a:ext cx="5267960" cy="8750300"/>
                    </a:xfrm>
                    <a:prstGeom prst="rect">
                      <a:avLst/>
                    </a:prstGeom>
                  </pic:spPr>
                </pic:pic>
              </a:graphicData>
            </a:graphic>
          </wp:inline>
        </w:drawing>
      </w:r>
      <w:r>
        <w:rPr>
          <w:rFonts w:hint="default" w:ascii="Times New Roman" w:hAnsi="Times New Roman" w:eastAsia="宋体" w:cs="Times New Roman"/>
          <w:lang w:val="en-US" w:eastAsia="zh-CN"/>
        </w:rPr>
        <w:drawing>
          <wp:inline distT="0" distB="0" distL="114300" distR="114300">
            <wp:extent cx="5267960" cy="8670290"/>
            <wp:effectExtent l="0" t="0" r="8890" b="16510"/>
            <wp:docPr id="11" name="图片 11" descr="彩乌线4#阀池（2025年3季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彩乌线4#阀池（2025年3季度）_02"/>
                    <pic:cNvPicPr>
                      <a:picLocks noChangeAspect="1"/>
                    </pic:cNvPicPr>
                  </pic:nvPicPr>
                  <pic:blipFill>
                    <a:blip r:embed="rId37"/>
                    <a:stretch>
                      <a:fillRect/>
                    </a:stretch>
                  </pic:blipFill>
                  <pic:spPr>
                    <a:xfrm>
                      <a:off x="0" y="0"/>
                      <a:ext cx="5267960" cy="8670290"/>
                    </a:xfrm>
                    <a:prstGeom prst="rect">
                      <a:avLst/>
                    </a:prstGeom>
                  </pic:spPr>
                </pic:pic>
              </a:graphicData>
            </a:graphic>
          </wp:inline>
        </w:drawing>
      </w:r>
    </w:p>
    <w:p w14:paraId="4B9D1C6C">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br w:type="page"/>
      </w:r>
    </w:p>
    <w:p w14:paraId="57842C78">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附件3：</w:t>
      </w:r>
      <w:r>
        <w:rPr>
          <w:rFonts w:hint="eastAsia" w:cs="Times New Roman"/>
          <w:lang w:val="en-US" w:eastAsia="zh-CN"/>
        </w:rPr>
        <w:t>建设项目承诺备案通知书</w:t>
      </w:r>
    </w:p>
    <w:p w14:paraId="78B766F5">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drawing>
          <wp:inline distT="0" distB="0" distL="114300" distR="114300">
            <wp:extent cx="8519795" cy="5028565"/>
            <wp:effectExtent l="0" t="0" r="635" b="14605"/>
            <wp:docPr id="21" name="图片 21" descr="立项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立项书"/>
                    <pic:cNvPicPr>
                      <a:picLocks noChangeAspect="1"/>
                    </pic:cNvPicPr>
                  </pic:nvPicPr>
                  <pic:blipFill>
                    <a:blip r:embed="rId38"/>
                    <a:stretch>
                      <a:fillRect/>
                    </a:stretch>
                  </pic:blipFill>
                  <pic:spPr>
                    <a:xfrm rot="16200000">
                      <a:off x="0" y="0"/>
                      <a:ext cx="8519795" cy="5028565"/>
                    </a:xfrm>
                    <a:prstGeom prst="rect">
                      <a:avLst/>
                    </a:prstGeom>
                  </pic:spPr>
                </pic:pic>
              </a:graphicData>
            </a:graphic>
          </wp:inline>
        </w:drawing>
      </w:r>
    </w:p>
    <w:p w14:paraId="5EAF4890">
      <w:pPr>
        <w:pStyle w:val="36"/>
        <w:ind w:left="0" w:leftChars="0" w:firstLine="0" w:firstLineChars="0"/>
        <w:rPr>
          <w:rFonts w:hint="default" w:cs="Times New Roman"/>
          <w:lang w:val="en-US" w:eastAsia="zh-CN"/>
        </w:rPr>
      </w:pPr>
      <w:r>
        <w:rPr>
          <w:rFonts w:hint="eastAsia" w:cs="Times New Roman"/>
          <w:lang w:val="en-US" w:eastAsia="zh-CN"/>
        </w:rPr>
        <w:t>附件4：现有项目环评批复</w:t>
      </w:r>
    </w:p>
    <w:p w14:paraId="3074DA38">
      <w:pPr>
        <w:pStyle w:val="22"/>
        <w:numPr>
          <w:ilvl w:val="0"/>
          <w:numId w:val="0"/>
        </w:numPr>
        <w:tabs>
          <w:tab w:val="left" w:pos="360"/>
          <w:tab w:val="clear" w:pos="2040"/>
        </w:tabs>
        <w:rPr>
          <w:rFonts w:hint="default" w:ascii="Times New Roman" w:hAnsi="Times New Roman" w:eastAsia="仿宋" w:cs="Times New Roman"/>
          <w:b/>
          <w:color w:val="000000"/>
          <w:sz w:val="36"/>
          <w:szCs w:val="36"/>
        </w:rPr>
      </w:pPr>
      <w:r>
        <w:rPr>
          <w:rFonts w:hint="default" w:ascii="Times New Roman" w:hAnsi="Times New Roman" w:eastAsia="仿宋" w:cs="Times New Roman"/>
          <w:b/>
          <w:color w:val="000000"/>
          <w:sz w:val="36"/>
          <w:szCs w:val="36"/>
        </w:rPr>
        <w:drawing>
          <wp:inline distT="0" distB="0" distL="114300" distR="114300">
            <wp:extent cx="5730240" cy="8433435"/>
            <wp:effectExtent l="0" t="0" r="3810" b="5715"/>
            <wp:docPr id="51" name="图片 2" descr="微信图片_20181208135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descr="微信图片_20181208135905"/>
                    <pic:cNvPicPr>
                      <a:picLocks noChangeAspect="1"/>
                    </pic:cNvPicPr>
                  </pic:nvPicPr>
                  <pic:blipFill>
                    <a:blip r:embed="rId39"/>
                    <a:stretch>
                      <a:fillRect/>
                    </a:stretch>
                  </pic:blipFill>
                  <pic:spPr>
                    <a:xfrm>
                      <a:off x="0" y="0"/>
                      <a:ext cx="5730240" cy="8433435"/>
                    </a:xfrm>
                    <a:prstGeom prst="rect">
                      <a:avLst/>
                    </a:prstGeom>
                    <a:noFill/>
                    <a:ln>
                      <a:noFill/>
                    </a:ln>
                  </pic:spPr>
                </pic:pic>
              </a:graphicData>
            </a:graphic>
          </wp:inline>
        </w:drawing>
      </w:r>
    </w:p>
    <w:p w14:paraId="7D83B24A">
      <w:pPr>
        <w:pStyle w:val="22"/>
        <w:numPr>
          <w:ilvl w:val="0"/>
          <w:numId w:val="0"/>
        </w:numPr>
        <w:tabs>
          <w:tab w:val="left" w:pos="360"/>
          <w:tab w:val="clear" w:pos="2040"/>
        </w:tabs>
        <w:rPr>
          <w:rFonts w:hint="default" w:ascii="Times New Roman" w:hAnsi="Times New Roman" w:eastAsia="仿宋" w:cs="Times New Roman"/>
          <w:b/>
          <w:color w:val="000000"/>
          <w:sz w:val="36"/>
          <w:szCs w:val="36"/>
          <w:lang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186BA699">
      <w:pPr>
        <w:rPr>
          <w:rFonts w:hint="default" w:ascii="Times New Roman" w:hAnsi="Times New Roman" w:eastAsia="仿宋" w:cs="Times New Roman"/>
          <w:b/>
          <w:color w:val="000000"/>
          <w:sz w:val="36"/>
          <w:szCs w:val="36"/>
        </w:rPr>
      </w:pPr>
      <w:r>
        <w:rPr>
          <w:rFonts w:hint="default" w:ascii="Times New Roman" w:hAnsi="Times New Roman" w:eastAsia="仿宋" w:cs="Times New Roman"/>
          <w:b/>
          <w:color w:val="000000"/>
          <w:sz w:val="36"/>
          <w:szCs w:val="36"/>
        </w:rPr>
        <w:drawing>
          <wp:inline distT="0" distB="0" distL="114300" distR="114300">
            <wp:extent cx="5667375" cy="8664575"/>
            <wp:effectExtent l="0" t="0" r="9525" b="3175"/>
            <wp:docPr id="49" name="图片 3" descr="微信图片_2018120813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descr="微信图片_20181208135912"/>
                    <pic:cNvPicPr>
                      <a:picLocks noChangeAspect="1"/>
                    </pic:cNvPicPr>
                  </pic:nvPicPr>
                  <pic:blipFill>
                    <a:blip r:embed="rId40"/>
                    <a:stretch>
                      <a:fillRect/>
                    </a:stretch>
                  </pic:blipFill>
                  <pic:spPr>
                    <a:xfrm>
                      <a:off x="0" y="0"/>
                      <a:ext cx="5667375" cy="8664575"/>
                    </a:xfrm>
                    <a:prstGeom prst="rect">
                      <a:avLst/>
                    </a:prstGeom>
                    <a:noFill/>
                    <a:ln>
                      <a:noFill/>
                    </a:ln>
                  </pic:spPr>
                </pic:pic>
              </a:graphicData>
            </a:graphic>
          </wp:inline>
        </w:drawing>
      </w:r>
    </w:p>
    <w:p w14:paraId="472CCC8B">
      <w:pPr>
        <w:rPr>
          <w:rFonts w:hint="default" w:ascii="Times New Roman" w:hAnsi="Times New Roman" w:eastAsia="仿宋" w:cs="Times New Roman"/>
          <w:b/>
          <w:color w:val="000000"/>
          <w:sz w:val="36"/>
          <w:szCs w:val="36"/>
        </w:rPr>
      </w:pPr>
      <w:r>
        <w:rPr>
          <w:rFonts w:hint="default" w:ascii="Times New Roman" w:hAnsi="Times New Roman" w:eastAsia="仿宋" w:cs="Times New Roman"/>
          <w:b/>
          <w:color w:val="000000"/>
          <w:sz w:val="36"/>
          <w:szCs w:val="36"/>
        </w:rPr>
        <w:drawing>
          <wp:inline distT="0" distB="0" distL="114300" distR="114300">
            <wp:extent cx="5804535" cy="8707120"/>
            <wp:effectExtent l="0" t="0" r="5715" b="17780"/>
            <wp:docPr id="50" name="图片 4" descr="微信图片_2018120813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descr="微信图片_20181208135916"/>
                    <pic:cNvPicPr>
                      <a:picLocks noChangeAspect="1"/>
                    </pic:cNvPicPr>
                  </pic:nvPicPr>
                  <pic:blipFill>
                    <a:blip r:embed="rId41"/>
                    <a:srcRect l="3319"/>
                    <a:stretch>
                      <a:fillRect/>
                    </a:stretch>
                  </pic:blipFill>
                  <pic:spPr>
                    <a:xfrm>
                      <a:off x="0" y="0"/>
                      <a:ext cx="5804535" cy="8707120"/>
                    </a:xfrm>
                    <a:prstGeom prst="rect">
                      <a:avLst/>
                    </a:prstGeom>
                    <a:noFill/>
                    <a:ln>
                      <a:noFill/>
                    </a:ln>
                  </pic:spPr>
                </pic:pic>
              </a:graphicData>
            </a:graphic>
          </wp:inline>
        </w:drawing>
      </w:r>
    </w:p>
    <w:p w14:paraId="7AA52E22">
      <w:pPr>
        <w:pStyle w:val="52"/>
        <w:tabs>
          <w:tab w:val="left" w:pos="6840"/>
        </w:tabs>
        <w:jc w:val="both"/>
        <w:rPr>
          <w:rFonts w:hint="eastAsia" w:ascii="Times New Roman" w:hAnsi="Times New Roman" w:eastAsia="仿宋" w:cs="Times New Roman"/>
          <w:color w:val="000000"/>
          <w:lang w:eastAsia="zh-CN"/>
        </w:rPr>
      </w:pPr>
      <w:r>
        <w:rPr>
          <w:rFonts w:hint="default" w:ascii="Times New Roman" w:hAnsi="Times New Roman" w:eastAsia="仿宋" w:cs="Times New Roman"/>
          <w:b/>
          <w:color w:val="000000"/>
          <w:sz w:val="36"/>
          <w:szCs w:val="36"/>
        </w:rPr>
        <w:drawing>
          <wp:inline distT="0" distB="0" distL="114300" distR="114300">
            <wp:extent cx="5611495" cy="8726170"/>
            <wp:effectExtent l="0" t="0" r="8255" b="17780"/>
            <wp:docPr id="54" name="图片 5" descr="微信图片_2018120813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 descr="微信图片_20181208135920"/>
                    <pic:cNvPicPr>
                      <a:picLocks noChangeAspect="1"/>
                    </pic:cNvPicPr>
                  </pic:nvPicPr>
                  <pic:blipFill>
                    <a:blip r:embed="rId42"/>
                    <a:srcRect l="5058"/>
                    <a:stretch>
                      <a:fillRect/>
                    </a:stretch>
                  </pic:blipFill>
                  <pic:spPr>
                    <a:xfrm>
                      <a:off x="0" y="0"/>
                      <a:ext cx="5611495" cy="8726170"/>
                    </a:xfrm>
                    <a:prstGeom prst="rect">
                      <a:avLst/>
                    </a:prstGeom>
                    <a:noFill/>
                    <a:ln>
                      <a:noFill/>
                    </a:ln>
                  </pic:spPr>
                </pic:pic>
              </a:graphicData>
            </a:graphic>
          </wp:inline>
        </w:drawing>
      </w:r>
      <w:r>
        <w:rPr>
          <w:rFonts w:hint="eastAsia" w:ascii="Times New Roman" w:hAnsi="Times New Roman" w:eastAsia="仿宋" w:cs="Times New Roman"/>
          <w:color w:val="000000"/>
          <w:lang w:eastAsia="zh-CN"/>
        </w:rPr>
        <w:drawing>
          <wp:inline distT="0" distB="0" distL="114300" distR="114300">
            <wp:extent cx="5755005" cy="8138160"/>
            <wp:effectExtent l="0" t="0" r="17145" b="15240"/>
            <wp:docPr id="75" name="图片 75" descr="2015年燃料变更批复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2015年燃料变更批复_00"/>
                    <pic:cNvPicPr>
                      <a:picLocks noChangeAspect="1"/>
                    </pic:cNvPicPr>
                  </pic:nvPicPr>
                  <pic:blipFill>
                    <a:blip r:embed="rId43"/>
                    <a:stretch>
                      <a:fillRect/>
                    </a:stretch>
                  </pic:blipFill>
                  <pic:spPr>
                    <a:xfrm>
                      <a:off x="0" y="0"/>
                      <a:ext cx="5755005" cy="8138160"/>
                    </a:xfrm>
                    <a:prstGeom prst="rect">
                      <a:avLst/>
                    </a:prstGeom>
                  </pic:spPr>
                </pic:pic>
              </a:graphicData>
            </a:graphic>
          </wp:inline>
        </w:drawing>
      </w:r>
      <w:r>
        <w:rPr>
          <w:rFonts w:hint="eastAsia" w:ascii="Times New Roman" w:hAnsi="Times New Roman" w:eastAsia="仿宋" w:cs="Times New Roman"/>
          <w:color w:val="000000"/>
          <w:lang w:eastAsia="zh-CN"/>
        </w:rPr>
        <w:drawing>
          <wp:inline distT="0" distB="0" distL="114300" distR="114300">
            <wp:extent cx="5755005" cy="8138160"/>
            <wp:effectExtent l="0" t="0" r="17145" b="15240"/>
            <wp:docPr id="74" name="图片 74" descr="2015年燃料变更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2015年燃料变更批复_01"/>
                    <pic:cNvPicPr>
                      <a:picLocks noChangeAspect="1"/>
                    </pic:cNvPicPr>
                  </pic:nvPicPr>
                  <pic:blipFill>
                    <a:blip r:embed="rId44"/>
                    <a:stretch>
                      <a:fillRect/>
                    </a:stretch>
                  </pic:blipFill>
                  <pic:spPr>
                    <a:xfrm>
                      <a:off x="0" y="0"/>
                      <a:ext cx="5755005" cy="8138160"/>
                    </a:xfrm>
                    <a:prstGeom prst="rect">
                      <a:avLst/>
                    </a:prstGeom>
                  </pic:spPr>
                </pic:pic>
              </a:graphicData>
            </a:graphic>
          </wp:inline>
        </w:drawing>
      </w:r>
      <w:r>
        <w:rPr>
          <w:rFonts w:hint="eastAsia" w:ascii="Times New Roman" w:hAnsi="Times New Roman" w:eastAsia="仿宋" w:cs="Times New Roman"/>
          <w:color w:val="000000"/>
          <w:lang w:eastAsia="zh-CN"/>
        </w:rPr>
        <w:drawing>
          <wp:inline distT="0" distB="0" distL="114300" distR="114300">
            <wp:extent cx="5758815" cy="8847455"/>
            <wp:effectExtent l="0" t="0" r="13335" b="10795"/>
            <wp:docPr id="73" name="图片 73" descr="环评变动界定有关事宜的复函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环评变动界定有关事宜的复函_00"/>
                    <pic:cNvPicPr>
                      <a:picLocks noChangeAspect="1"/>
                    </pic:cNvPicPr>
                  </pic:nvPicPr>
                  <pic:blipFill>
                    <a:blip r:embed="rId45"/>
                    <a:stretch>
                      <a:fillRect/>
                    </a:stretch>
                  </pic:blipFill>
                  <pic:spPr>
                    <a:xfrm>
                      <a:off x="0" y="0"/>
                      <a:ext cx="5758815" cy="8847455"/>
                    </a:xfrm>
                    <a:prstGeom prst="rect">
                      <a:avLst/>
                    </a:prstGeom>
                  </pic:spPr>
                </pic:pic>
              </a:graphicData>
            </a:graphic>
          </wp:inline>
        </w:drawing>
      </w:r>
      <w:r>
        <w:rPr>
          <w:rFonts w:hint="eastAsia" w:ascii="Times New Roman" w:hAnsi="Times New Roman" w:eastAsia="仿宋" w:cs="Times New Roman"/>
          <w:color w:val="000000"/>
          <w:lang w:eastAsia="zh-CN"/>
        </w:rPr>
        <w:drawing>
          <wp:inline distT="0" distB="0" distL="114300" distR="114300">
            <wp:extent cx="5758815" cy="8815705"/>
            <wp:effectExtent l="0" t="0" r="13335" b="4445"/>
            <wp:docPr id="72" name="图片 72" descr="环评变动界定有关事宜的复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环评变动界定有关事宜的复函_01"/>
                    <pic:cNvPicPr>
                      <a:picLocks noChangeAspect="1"/>
                    </pic:cNvPicPr>
                  </pic:nvPicPr>
                  <pic:blipFill>
                    <a:blip r:embed="rId46"/>
                    <a:stretch>
                      <a:fillRect/>
                    </a:stretch>
                  </pic:blipFill>
                  <pic:spPr>
                    <a:xfrm>
                      <a:off x="0" y="0"/>
                      <a:ext cx="5758815" cy="8815705"/>
                    </a:xfrm>
                    <a:prstGeom prst="rect">
                      <a:avLst/>
                    </a:prstGeom>
                  </pic:spPr>
                </pic:pic>
              </a:graphicData>
            </a:graphic>
          </wp:inline>
        </w:drawing>
      </w:r>
    </w:p>
    <w:p w14:paraId="593A9C5A">
      <w:pPr>
        <w:pStyle w:val="15"/>
        <w:ind w:left="0" w:leftChars="0" w:firstLine="0" w:firstLineChars="0"/>
        <w:rPr>
          <w:rFonts w:hint="eastAsia" w:cs="Times New Roman"/>
          <w:sz w:val="24"/>
          <w:szCs w:val="21"/>
          <w:lang w:val="en-US"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r>
        <w:rPr>
          <w:rFonts w:hint="eastAsia" w:cs="Times New Roman"/>
          <w:sz w:val="24"/>
          <w:szCs w:val="21"/>
          <w:lang w:val="en-US" w:eastAsia="zh-CN"/>
        </w:rPr>
        <w:drawing>
          <wp:inline distT="0" distB="0" distL="114300" distR="114300">
            <wp:extent cx="5749925" cy="8785225"/>
            <wp:effectExtent l="0" t="0" r="3175" b="15875"/>
            <wp:docPr id="76" name="图片 76" descr="b626782933f9aa5c6b47b430516880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b626782933f9aa5c6b47b430516880e8"/>
                    <pic:cNvPicPr>
                      <a:picLocks noChangeAspect="1"/>
                    </pic:cNvPicPr>
                  </pic:nvPicPr>
                  <pic:blipFill>
                    <a:blip r:embed="rId47"/>
                    <a:stretch>
                      <a:fillRect/>
                    </a:stretch>
                  </pic:blipFill>
                  <pic:spPr>
                    <a:xfrm>
                      <a:off x="0" y="0"/>
                      <a:ext cx="5749925" cy="8785225"/>
                    </a:xfrm>
                    <a:prstGeom prst="rect">
                      <a:avLst/>
                    </a:prstGeom>
                  </pic:spPr>
                </pic:pic>
              </a:graphicData>
            </a:graphic>
          </wp:inline>
        </w:drawing>
      </w:r>
    </w:p>
    <w:p w14:paraId="4A0A5EF4">
      <w:pPr>
        <w:pStyle w:val="15"/>
        <w:ind w:left="0" w:leftChars="0" w:firstLine="0" w:firstLineChars="0"/>
        <w:rPr>
          <w:rFonts w:hint="default" w:ascii="Times New Roman" w:hAnsi="Times New Roman" w:eastAsia="仿宋" w:cs="Times New Roman"/>
          <w:b/>
          <w:color w:val="000000"/>
          <w:sz w:val="36"/>
          <w:szCs w:val="36"/>
        </w:rPr>
      </w:pPr>
      <w:r>
        <w:rPr>
          <w:rFonts w:hint="eastAsia" w:cs="Times New Roman"/>
          <w:sz w:val="24"/>
          <w:szCs w:val="21"/>
          <w:lang w:val="en-US" w:eastAsia="zh-CN"/>
        </w:rPr>
        <w:t>附件5：现有项目验收意见</w:t>
      </w:r>
      <w:r>
        <w:rPr>
          <w:rFonts w:hint="default" w:ascii="Times New Roman" w:hAnsi="Times New Roman" w:eastAsia="仿宋" w:cs="Times New Roman"/>
          <w:b/>
          <w:color w:val="000000"/>
          <w:sz w:val="36"/>
          <w:szCs w:val="36"/>
        </w:rPr>
        <w:drawing>
          <wp:inline distT="0" distB="0" distL="114300" distR="114300">
            <wp:extent cx="5711825" cy="8495030"/>
            <wp:effectExtent l="0" t="0" r="3175" b="1270"/>
            <wp:docPr id="55" name="图片 6" descr="微信图片_2018120715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 descr="微信图片_20181207155748"/>
                    <pic:cNvPicPr>
                      <a:picLocks noChangeAspect="1"/>
                    </pic:cNvPicPr>
                  </pic:nvPicPr>
                  <pic:blipFill>
                    <a:blip r:embed="rId48"/>
                    <a:stretch>
                      <a:fillRect/>
                    </a:stretch>
                  </pic:blipFill>
                  <pic:spPr>
                    <a:xfrm>
                      <a:off x="0" y="0"/>
                      <a:ext cx="5711825" cy="8495030"/>
                    </a:xfrm>
                    <a:prstGeom prst="rect">
                      <a:avLst/>
                    </a:prstGeom>
                    <a:noFill/>
                    <a:ln>
                      <a:noFill/>
                    </a:ln>
                  </pic:spPr>
                </pic:pic>
              </a:graphicData>
            </a:graphic>
          </wp:inline>
        </w:drawing>
      </w:r>
    </w:p>
    <w:p w14:paraId="207C296E">
      <w:pPr>
        <w:pStyle w:val="12"/>
        <w:rPr>
          <w:rFonts w:hint="default"/>
          <w:lang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60E77550">
      <w:pPr>
        <w:pStyle w:val="42"/>
        <w:spacing w:before="240" w:beforeLines="100" w:line="240" w:lineRule="auto"/>
        <w:jc w:val="left"/>
        <w:rPr>
          <w:rFonts w:hint="default" w:ascii="Times New Roman" w:hAnsi="Times New Roman" w:eastAsia="仿宋" w:cs="Times New Roman"/>
          <w:b/>
          <w:color w:val="000000"/>
          <w:sz w:val="36"/>
          <w:szCs w:val="36"/>
        </w:rPr>
      </w:pPr>
      <w:r>
        <w:rPr>
          <w:rFonts w:hint="default" w:ascii="Times New Roman" w:hAnsi="Times New Roman" w:eastAsia="仿宋" w:cs="Times New Roman"/>
          <w:b/>
          <w:color w:val="000000"/>
          <w:sz w:val="36"/>
          <w:szCs w:val="36"/>
        </w:rPr>
        <w:drawing>
          <wp:inline distT="0" distB="0" distL="114300" distR="114300">
            <wp:extent cx="5313045" cy="8638540"/>
            <wp:effectExtent l="0" t="0" r="1905" b="10160"/>
            <wp:docPr id="52" name="图片 7" descr="微信图片_2018120715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descr="微信图片_20181207155753"/>
                    <pic:cNvPicPr>
                      <a:picLocks noChangeAspect="1"/>
                    </pic:cNvPicPr>
                  </pic:nvPicPr>
                  <pic:blipFill>
                    <a:blip r:embed="rId49"/>
                    <a:stretch>
                      <a:fillRect/>
                    </a:stretch>
                  </pic:blipFill>
                  <pic:spPr>
                    <a:xfrm>
                      <a:off x="0" y="0"/>
                      <a:ext cx="5313045" cy="8638540"/>
                    </a:xfrm>
                    <a:prstGeom prst="rect">
                      <a:avLst/>
                    </a:prstGeom>
                    <a:noFill/>
                    <a:ln>
                      <a:noFill/>
                    </a:ln>
                  </pic:spPr>
                </pic:pic>
              </a:graphicData>
            </a:graphic>
          </wp:inline>
        </w:drawing>
      </w:r>
    </w:p>
    <w:p w14:paraId="708A1EEB">
      <w:pPr>
        <w:pStyle w:val="42"/>
        <w:spacing w:before="240" w:beforeLines="100" w:line="240" w:lineRule="auto"/>
        <w:jc w:val="left"/>
        <w:rPr>
          <w:rFonts w:hint="default" w:ascii="Times New Roman" w:hAnsi="Times New Roman" w:eastAsia="仿宋" w:cs="Times New Roman"/>
          <w:b/>
          <w:color w:val="000000"/>
          <w:sz w:val="36"/>
          <w:szCs w:val="36"/>
        </w:rPr>
      </w:pPr>
      <w:r>
        <w:rPr>
          <w:rFonts w:hint="default" w:ascii="Times New Roman" w:hAnsi="Times New Roman" w:eastAsia="仿宋" w:cs="Times New Roman"/>
          <w:b/>
          <w:color w:val="000000"/>
          <w:sz w:val="36"/>
          <w:szCs w:val="36"/>
        </w:rPr>
        <w:drawing>
          <wp:inline distT="0" distB="0" distL="114300" distR="114300">
            <wp:extent cx="5147310" cy="8720455"/>
            <wp:effectExtent l="0" t="0" r="15240" b="4445"/>
            <wp:docPr id="46" name="图片 8" descr="微信图片_2018120715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descr="微信图片_20181207155756"/>
                    <pic:cNvPicPr>
                      <a:picLocks noChangeAspect="1"/>
                    </pic:cNvPicPr>
                  </pic:nvPicPr>
                  <pic:blipFill>
                    <a:blip r:embed="rId50"/>
                    <a:stretch>
                      <a:fillRect/>
                    </a:stretch>
                  </pic:blipFill>
                  <pic:spPr>
                    <a:xfrm>
                      <a:off x="0" y="0"/>
                      <a:ext cx="5147310" cy="8720455"/>
                    </a:xfrm>
                    <a:prstGeom prst="rect">
                      <a:avLst/>
                    </a:prstGeom>
                    <a:noFill/>
                    <a:ln>
                      <a:noFill/>
                    </a:ln>
                  </pic:spPr>
                </pic:pic>
              </a:graphicData>
            </a:graphic>
          </wp:inline>
        </w:drawing>
      </w:r>
    </w:p>
    <w:p w14:paraId="23C0673A">
      <w:pPr>
        <w:pStyle w:val="42"/>
        <w:spacing w:before="240" w:beforeLines="100" w:line="240" w:lineRule="auto"/>
        <w:jc w:val="left"/>
        <w:rPr>
          <w:rFonts w:hint="default" w:ascii="Times New Roman" w:hAnsi="Times New Roman" w:eastAsia="仿宋" w:cs="Times New Roman"/>
          <w:b/>
          <w:color w:val="000000"/>
          <w:sz w:val="36"/>
          <w:szCs w:val="36"/>
        </w:rPr>
      </w:pPr>
      <w:r>
        <w:rPr>
          <w:rFonts w:hint="default" w:ascii="Times New Roman" w:hAnsi="Times New Roman" w:eastAsia="仿宋" w:cs="Times New Roman"/>
          <w:b/>
          <w:color w:val="000000"/>
          <w:sz w:val="36"/>
          <w:szCs w:val="36"/>
        </w:rPr>
        <w:drawing>
          <wp:inline distT="0" distB="0" distL="114300" distR="114300">
            <wp:extent cx="5266690" cy="8745220"/>
            <wp:effectExtent l="0" t="0" r="10160" b="17780"/>
            <wp:docPr id="48" name="图片 9" descr="微信图片_2018120715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descr="微信图片_20181207155759"/>
                    <pic:cNvPicPr>
                      <a:picLocks noChangeAspect="1"/>
                    </pic:cNvPicPr>
                  </pic:nvPicPr>
                  <pic:blipFill>
                    <a:blip r:embed="rId51"/>
                    <a:stretch>
                      <a:fillRect/>
                    </a:stretch>
                  </pic:blipFill>
                  <pic:spPr>
                    <a:xfrm>
                      <a:off x="0" y="0"/>
                      <a:ext cx="5266690" cy="8745220"/>
                    </a:xfrm>
                    <a:prstGeom prst="rect">
                      <a:avLst/>
                    </a:prstGeom>
                    <a:noFill/>
                    <a:ln>
                      <a:noFill/>
                    </a:ln>
                  </pic:spPr>
                </pic:pic>
              </a:graphicData>
            </a:graphic>
          </wp:inline>
        </w:drawing>
      </w:r>
    </w:p>
    <w:p w14:paraId="3D257031">
      <w:pPr>
        <w:pStyle w:val="36"/>
        <w:ind w:left="0" w:leftChars="0" w:firstLine="0" w:firstLineChars="0"/>
        <w:rPr>
          <w:rFonts w:hint="eastAsia" w:cs="Times New Roman"/>
          <w:lang w:val="en-US" w:eastAsia="zh-CN"/>
        </w:rPr>
      </w:pPr>
      <w:r>
        <w:rPr>
          <w:rFonts w:hint="default" w:ascii="Times New Roman" w:hAnsi="Times New Roman" w:eastAsia="仿宋" w:cs="Times New Roman"/>
          <w:b/>
          <w:color w:val="000000"/>
          <w:sz w:val="36"/>
          <w:szCs w:val="36"/>
        </w:rPr>
        <w:drawing>
          <wp:inline distT="0" distB="0" distL="114300" distR="114300">
            <wp:extent cx="5217795" cy="8673465"/>
            <wp:effectExtent l="0" t="0" r="1905" b="13335"/>
            <wp:docPr id="56" name="图片 10" descr="微信图片_2018120715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descr="微信图片_20181207155801"/>
                    <pic:cNvPicPr>
                      <a:picLocks noChangeAspect="1"/>
                    </pic:cNvPicPr>
                  </pic:nvPicPr>
                  <pic:blipFill>
                    <a:blip r:embed="rId52"/>
                    <a:stretch>
                      <a:fillRect/>
                    </a:stretch>
                  </pic:blipFill>
                  <pic:spPr>
                    <a:xfrm>
                      <a:off x="0" y="0"/>
                      <a:ext cx="5217795" cy="8673465"/>
                    </a:xfrm>
                    <a:prstGeom prst="rect">
                      <a:avLst/>
                    </a:prstGeom>
                    <a:noFill/>
                    <a:ln>
                      <a:noFill/>
                    </a:ln>
                  </pic:spPr>
                </pic:pic>
              </a:graphicData>
            </a:graphic>
          </wp:inline>
        </w:drawing>
      </w:r>
    </w:p>
    <w:p w14:paraId="1D29D449">
      <w:pPr>
        <w:pStyle w:val="36"/>
        <w:rPr>
          <w:rFonts w:hint="eastAsia"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8491B9">
      <w:pPr>
        <w:pStyle w:val="36"/>
        <w:ind w:left="0" w:leftChars="0" w:firstLine="0" w:firstLineChars="0"/>
        <w:rPr>
          <w:rFonts w:hint="default" w:cs="Times New Roman"/>
          <w:lang w:val="en-US" w:eastAsia="zh-CN"/>
        </w:rPr>
      </w:pPr>
      <w:r>
        <w:rPr>
          <w:rFonts w:hint="eastAsia" w:cs="Times New Roman"/>
          <w:lang w:val="en-US" w:eastAsia="zh-CN"/>
        </w:rPr>
        <w:t>附件6：突发环境事件应急预案备案表</w:t>
      </w:r>
      <w:r>
        <w:rPr>
          <w:rFonts w:hint="default" w:cs="Times New Roman"/>
          <w:lang w:val="en-US" w:eastAsia="zh-CN"/>
        </w:rPr>
        <w:drawing>
          <wp:inline distT="0" distB="0" distL="114300" distR="114300">
            <wp:extent cx="5274310" cy="8428355"/>
            <wp:effectExtent l="0" t="0" r="2540" b="10795"/>
            <wp:docPr id="41" name="图片 41" descr="新鑫铸管备案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新鑫铸管备案表_01"/>
                    <pic:cNvPicPr>
                      <a:picLocks noChangeAspect="1"/>
                    </pic:cNvPicPr>
                  </pic:nvPicPr>
                  <pic:blipFill>
                    <a:blip r:embed="rId53"/>
                    <a:stretch>
                      <a:fillRect/>
                    </a:stretch>
                  </pic:blipFill>
                  <pic:spPr>
                    <a:xfrm>
                      <a:off x="0" y="0"/>
                      <a:ext cx="5274310" cy="8428355"/>
                    </a:xfrm>
                    <a:prstGeom prst="rect">
                      <a:avLst/>
                    </a:prstGeom>
                  </pic:spPr>
                </pic:pic>
              </a:graphicData>
            </a:graphic>
          </wp:inline>
        </w:drawing>
      </w:r>
      <w:r>
        <w:rPr>
          <w:rFonts w:hint="default" w:cs="Times New Roman"/>
          <w:lang w:val="en-US" w:eastAsia="zh-CN"/>
        </w:rPr>
        <w:drawing>
          <wp:inline distT="0" distB="0" distL="114300" distR="114300">
            <wp:extent cx="5274310" cy="8702675"/>
            <wp:effectExtent l="0" t="0" r="2540" b="3175"/>
            <wp:docPr id="15" name="图片 15" descr="新鑫铸管备案表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新鑫铸管备案表_02"/>
                    <pic:cNvPicPr>
                      <a:picLocks noChangeAspect="1"/>
                    </pic:cNvPicPr>
                  </pic:nvPicPr>
                  <pic:blipFill>
                    <a:blip r:embed="rId54"/>
                    <a:stretch>
                      <a:fillRect/>
                    </a:stretch>
                  </pic:blipFill>
                  <pic:spPr>
                    <a:xfrm>
                      <a:off x="0" y="0"/>
                      <a:ext cx="5274310" cy="8702675"/>
                    </a:xfrm>
                    <a:prstGeom prst="rect">
                      <a:avLst/>
                    </a:prstGeom>
                  </pic:spPr>
                </pic:pic>
              </a:graphicData>
            </a:graphic>
          </wp:inline>
        </w:drawing>
      </w:r>
    </w:p>
    <w:p w14:paraId="24E81DC3">
      <w:pPr>
        <w:rPr>
          <w:rFonts w:hint="default" w:cs="Times New Roman"/>
          <w:lang w:val="en-US" w:eastAsia="zh-CN"/>
        </w:rPr>
      </w:pPr>
      <w:r>
        <w:rPr>
          <w:rFonts w:hint="default" w:cs="Times New Roman"/>
          <w:lang w:val="en-US" w:eastAsia="zh-CN"/>
        </w:rPr>
        <w:br w:type="page"/>
      </w:r>
    </w:p>
    <w:p w14:paraId="0A4C94F4">
      <w:pPr>
        <w:spacing w:line="360" w:lineRule="auto"/>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附件7：责令改正违法行为决定书</w:t>
      </w:r>
    </w:p>
    <w:p w14:paraId="1D57BDAA">
      <w:pPr>
        <w:rPr>
          <w:rFonts w:hint="default"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cs="Times New Roman"/>
          <w:lang w:val="en-US" w:eastAsia="zh-CN"/>
        </w:rPr>
        <w:drawing>
          <wp:inline distT="0" distB="0" distL="114300" distR="114300">
            <wp:extent cx="5267960" cy="8060055"/>
            <wp:effectExtent l="0" t="0" r="8890" b="17145"/>
            <wp:docPr id="71" name="图片 71" descr="责令改正违法行为决定书  pdf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责令改正违法行为决定书  pdf_00"/>
                    <pic:cNvPicPr>
                      <a:picLocks noChangeAspect="1"/>
                    </pic:cNvPicPr>
                  </pic:nvPicPr>
                  <pic:blipFill>
                    <a:blip r:embed="rId55"/>
                    <a:stretch>
                      <a:fillRect/>
                    </a:stretch>
                  </pic:blipFill>
                  <pic:spPr>
                    <a:xfrm>
                      <a:off x="0" y="0"/>
                      <a:ext cx="5267960" cy="8060055"/>
                    </a:xfrm>
                    <a:prstGeom prst="rect">
                      <a:avLst/>
                    </a:prstGeom>
                  </pic:spPr>
                </pic:pic>
              </a:graphicData>
            </a:graphic>
          </wp:inline>
        </w:drawing>
      </w:r>
      <w:r>
        <w:rPr>
          <w:rFonts w:hint="default" w:cs="Times New Roman"/>
          <w:lang w:val="en-US" w:eastAsia="zh-CN"/>
        </w:rPr>
        <w:drawing>
          <wp:inline distT="0" distB="0" distL="114300" distR="114300">
            <wp:extent cx="5267960" cy="8881745"/>
            <wp:effectExtent l="0" t="0" r="8890" b="14605"/>
            <wp:docPr id="70" name="图片 70" descr="责令改正违法行为决定书  pdf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责令改正违法行为决定书  pdf_01"/>
                    <pic:cNvPicPr>
                      <a:picLocks noChangeAspect="1"/>
                    </pic:cNvPicPr>
                  </pic:nvPicPr>
                  <pic:blipFill>
                    <a:blip r:embed="rId56"/>
                    <a:stretch>
                      <a:fillRect/>
                    </a:stretch>
                  </pic:blipFill>
                  <pic:spPr>
                    <a:xfrm>
                      <a:off x="0" y="0"/>
                      <a:ext cx="5267960" cy="8881745"/>
                    </a:xfrm>
                    <a:prstGeom prst="rect">
                      <a:avLst/>
                    </a:prstGeom>
                  </pic:spPr>
                </pic:pic>
              </a:graphicData>
            </a:graphic>
          </wp:inline>
        </w:drawing>
      </w:r>
      <w:r>
        <w:rPr>
          <w:rFonts w:hint="default" w:cs="Times New Roman"/>
          <w:lang w:val="en-US" w:eastAsia="zh-CN"/>
        </w:rPr>
        <w:drawing>
          <wp:inline distT="0" distB="0" distL="114300" distR="114300">
            <wp:extent cx="5267960" cy="8881745"/>
            <wp:effectExtent l="0" t="0" r="8890" b="14605"/>
            <wp:docPr id="69" name="图片 69" descr="责令改正违法行为决定书  pdf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责令改正违法行为决定书  pdf_02"/>
                    <pic:cNvPicPr>
                      <a:picLocks noChangeAspect="1"/>
                    </pic:cNvPicPr>
                  </pic:nvPicPr>
                  <pic:blipFill>
                    <a:blip r:embed="rId57"/>
                    <a:stretch>
                      <a:fillRect/>
                    </a:stretch>
                  </pic:blipFill>
                  <pic:spPr>
                    <a:xfrm>
                      <a:off x="0" y="0"/>
                      <a:ext cx="5267960" cy="8881745"/>
                    </a:xfrm>
                    <a:prstGeom prst="rect">
                      <a:avLst/>
                    </a:prstGeom>
                  </pic:spPr>
                </pic:pic>
              </a:graphicData>
            </a:graphic>
          </wp:inline>
        </w:drawing>
      </w:r>
      <w:r>
        <w:rPr>
          <w:rFonts w:hint="default" w:cs="Times New Roman"/>
          <w:lang w:val="en-US" w:eastAsia="zh-CN"/>
        </w:rPr>
        <w:drawing>
          <wp:inline distT="0" distB="0" distL="114300" distR="114300">
            <wp:extent cx="5389880" cy="8704580"/>
            <wp:effectExtent l="0" t="0" r="1270" b="1270"/>
            <wp:docPr id="68" name="图片 68" descr="责令改正违法行为决定书  pdf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责令改正违法行为决定书  pdf_03"/>
                    <pic:cNvPicPr>
                      <a:picLocks noChangeAspect="1"/>
                    </pic:cNvPicPr>
                  </pic:nvPicPr>
                  <pic:blipFill>
                    <a:blip r:embed="rId58"/>
                    <a:stretch>
                      <a:fillRect/>
                    </a:stretch>
                  </pic:blipFill>
                  <pic:spPr>
                    <a:xfrm>
                      <a:off x="0" y="0"/>
                      <a:ext cx="5389880" cy="8704580"/>
                    </a:xfrm>
                    <a:prstGeom prst="rect">
                      <a:avLst/>
                    </a:prstGeom>
                  </pic:spPr>
                </pic:pic>
              </a:graphicData>
            </a:graphic>
          </wp:inline>
        </w:drawing>
      </w:r>
    </w:p>
    <w:p w14:paraId="3FD5B963">
      <w:pPr>
        <w:spacing w:line="360" w:lineRule="auto"/>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附件</w:t>
      </w:r>
      <w:r>
        <w:rPr>
          <w:rFonts w:hint="eastAsia" w:cs="Times New Roman"/>
          <w:b/>
          <w:kern w:val="2"/>
          <w:sz w:val="24"/>
          <w:szCs w:val="24"/>
          <w:lang w:val="en-US" w:eastAsia="zh-CN" w:bidi="ar-SA"/>
        </w:rPr>
        <w:t>8</w:t>
      </w:r>
      <w:r>
        <w:rPr>
          <w:rFonts w:hint="eastAsia"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环评咨询</w:t>
      </w:r>
    </w:p>
    <w:p w14:paraId="6C1ED749">
      <w:pPr>
        <w:pStyle w:val="36"/>
        <w:ind w:left="0" w:leftChars="0" w:firstLine="0" w:firstLineChars="0"/>
        <w:rPr>
          <w:rFonts w:hint="default" w:cs="Times New Roman"/>
          <w:lang w:val="en-US" w:eastAsia="zh-CN"/>
        </w:rPr>
      </w:pPr>
      <w:r>
        <w:rPr>
          <w:rFonts w:hint="default" w:cs="Times New Roman"/>
          <w:lang w:val="en-US" w:eastAsia="zh-CN"/>
        </w:rPr>
        <w:drawing>
          <wp:inline distT="0" distB="0" distL="114300" distR="114300">
            <wp:extent cx="7790815" cy="4921885"/>
            <wp:effectExtent l="0" t="0" r="635" b="12065"/>
            <wp:docPr id="77" name="图片 77" descr="7a24bbbae0025d93fc12548c4cfb4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7a24bbbae0025d93fc12548c4cfb42fc"/>
                    <pic:cNvPicPr>
                      <a:picLocks noChangeAspect="1"/>
                    </pic:cNvPicPr>
                  </pic:nvPicPr>
                  <pic:blipFill>
                    <a:blip r:embed="rId59"/>
                    <a:srcRect l="10489" r="9827"/>
                    <a:stretch>
                      <a:fillRect/>
                    </a:stretch>
                  </pic:blipFill>
                  <pic:spPr>
                    <a:xfrm>
                      <a:off x="0" y="0"/>
                      <a:ext cx="7790815" cy="4921885"/>
                    </a:xfrm>
                    <a:prstGeom prst="rect">
                      <a:avLst/>
                    </a:prstGeom>
                  </pic:spPr>
                </pic:pic>
              </a:graphicData>
            </a:graphic>
          </wp:inline>
        </w:drawing>
      </w: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8E5CB">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C289B">
    <w:pPr>
      <w:pStyle w:val="2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BD719">
                          <w:pPr>
                            <w:pStyle w:val="2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764BD719">
                    <w:pPr>
                      <w:pStyle w:val="2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157F7">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3A03A"/>
    <w:multiLevelType w:val="singleLevel"/>
    <w:tmpl w:val="13E3A03A"/>
    <w:lvl w:ilvl="0" w:tentative="0">
      <w:start w:val="1"/>
      <w:numFmt w:val="bullet"/>
      <w:pStyle w:val="17"/>
      <w:lvlText w:val=""/>
      <w:lvlJc w:val="left"/>
      <w:pPr>
        <w:tabs>
          <w:tab w:val="left" w:pos="2040"/>
        </w:tabs>
        <w:ind w:left="2040" w:hanging="360"/>
      </w:pPr>
      <w:rPr>
        <w:rFonts w:hint="default" w:ascii="Wingdings" w:hAnsi="Wingdings"/>
      </w:rPr>
    </w:lvl>
  </w:abstractNum>
  <w:abstractNum w:abstractNumId="1">
    <w:nsid w:val="6FF4C08C"/>
    <w:multiLevelType w:val="singleLevel"/>
    <w:tmpl w:val="6FF4C08C"/>
    <w:lvl w:ilvl="0" w:tentative="0">
      <w:start w:val="1"/>
      <w:numFmt w:val="decimal"/>
      <w:pStyle w:val="22"/>
      <w:lvlText w:val="%1."/>
      <w:lvlJc w:val="left"/>
      <w:pPr>
        <w:tabs>
          <w:tab w:val="left" w:pos="2040"/>
        </w:tabs>
        <w:ind w:left="20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0ZTdhNDdhYzkzZDUwMDNjYzRmNDQ1OTI0YjJmNWMifQ=="/>
  </w:docVars>
  <w:rsids>
    <w:rsidRoot w:val="00172A27"/>
    <w:rsid w:val="00054BEF"/>
    <w:rsid w:val="001226B5"/>
    <w:rsid w:val="00150EEB"/>
    <w:rsid w:val="001729AD"/>
    <w:rsid w:val="00172E78"/>
    <w:rsid w:val="00177BF8"/>
    <w:rsid w:val="0018274C"/>
    <w:rsid w:val="001B0CD9"/>
    <w:rsid w:val="001C7ACA"/>
    <w:rsid w:val="0026130D"/>
    <w:rsid w:val="00267B02"/>
    <w:rsid w:val="003C5BFE"/>
    <w:rsid w:val="003F5F2A"/>
    <w:rsid w:val="00443541"/>
    <w:rsid w:val="00464984"/>
    <w:rsid w:val="004874D5"/>
    <w:rsid w:val="004E78DA"/>
    <w:rsid w:val="004F3841"/>
    <w:rsid w:val="00502D1B"/>
    <w:rsid w:val="00575E35"/>
    <w:rsid w:val="00583020"/>
    <w:rsid w:val="005B4DDA"/>
    <w:rsid w:val="005D0FD9"/>
    <w:rsid w:val="005F481F"/>
    <w:rsid w:val="00604D6E"/>
    <w:rsid w:val="00627E6B"/>
    <w:rsid w:val="00650387"/>
    <w:rsid w:val="006927C1"/>
    <w:rsid w:val="006B4F71"/>
    <w:rsid w:val="00715CF3"/>
    <w:rsid w:val="00736B04"/>
    <w:rsid w:val="007402CA"/>
    <w:rsid w:val="00762AFD"/>
    <w:rsid w:val="00764157"/>
    <w:rsid w:val="007C7B54"/>
    <w:rsid w:val="007E31BF"/>
    <w:rsid w:val="007E697C"/>
    <w:rsid w:val="00832AE1"/>
    <w:rsid w:val="00865348"/>
    <w:rsid w:val="0087167F"/>
    <w:rsid w:val="00891076"/>
    <w:rsid w:val="00964E3E"/>
    <w:rsid w:val="00977A0E"/>
    <w:rsid w:val="009D204E"/>
    <w:rsid w:val="00A02F4A"/>
    <w:rsid w:val="00A10638"/>
    <w:rsid w:val="00A20ABE"/>
    <w:rsid w:val="00A33D6C"/>
    <w:rsid w:val="00AA289B"/>
    <w:rsid w:val="00AA2BBE"/>
    <w:rsid w:val="00AB6EF5"/>
    <w:rsid w:val="00B26166"/>
    <w:rsid w:val="00B67DE0"/>
    <w:rsid w:val="00B901D7"/>
    <w:rsid w:val="00BB71F7"/>
    <w:rsid w:val="00C04340"/>
    <w:rsid w:val="00C225C5"/>
    <w:rsid w:val="00C57EBB"/>
    <w:rsid w:val="00C61CE6"/>
    <w:rsid w:val="00C71C32"/>
    <w:rsid w:val="00C7327C"/>
    <w:rsid w:val="00C84172"/>
    <w:rsid w:val="00C85F20"/>
    <w:rsid w:val="00CB73DD"/>
    <w:rsid w:val="00CD057E"/>
    <w:rsid w:val="00CF3752"/>
    <w:rsid w:val="00D4132C"/>
    <w:rsid w:val="00D46520"/>
    <w:rsid w:val="00D465F0"/>
    <w:rsid w:val="00D531C8"/>
    <w:rsid w:val="00D816E8"/>
    <w:rsid w:val="00D84C89"/>
    <w:rsid w:val="00DC5E6F"/>
    <w:rsid w:val="00E3580E"/>
    <w:rsid w:val="00E41F14"/>
    <w:rsid w:val="00E645F8"/>
    <w:rsid w:val="00E84814"/>
    <w:rsid w:val="00E910B7"/>
    <w:rsid w:val="00EA058C"/>
    <w:rsid w:val="00EB1C0E"/>
    <w:rsid w:val="00EC4469"/>
    <w:rsid w:val="00EC5A14"/>
    <w:rsid w:val="00F33370"/>
    <w:rsid w:val="00F43007"/>
    <w:rsid w:val="00F46D15"/>
    <w:rsid w:val="00FB1E49"/>
    <w:rsid w:val="00FF66CE"/>
    <w:rsid w:val="010120F1"/>
    <w:rsid w:val="01017DA9"/>
    <w:rsid w:val="01033471"/>
    <w:rsid w:val="010B7D84"/>
    <w:rsid w:val="010D427B"/>
    <w:rsid w:val="010D66B0"/>
    <w:rsid w:val="01141165"/>
    <w:rsid w:val="011763A1"/>
    <w:rsid w:val="012007E5"/>
    <w:rsid w:val="01207AF0"/>
    <w:rsid w:val="01213866"/>
    <w:rsid w:val="01231F48"/>
    <w:rsid w:val="0128402D"/>
    <w:rsid w:val="01284102"/>
    <w:rsid w:val="012B197D"/>
    <w:rsid w:val="012B4701"/>
    <w:rsid w:val="01325A8F"/>
    <w:rsid w:val="013301B5"/>
    <w:rsid w:val="0136732D"/>
    <w:rsid w:val="01372C6E"/>
    <w:rsid w:val="013A7D67"/>
    <w:rsid w:val="013B4665"/>
    <w:rsid w:val="013E2E9C"/>
    <w:rsid w:val="013E4434"/>
    <w:rsid w:val="01462E8A"/>
    <w:rsid w:val="014734E6"/>
    <w:rsid w:val="014F4893"/>
    <w:rsid w:val="014F71AA"/>
    <w:rsid w:val="01554A29"/>
    <w:rsid w:val="01582307"/>
    <w:rsid w:val="016078D7"/>
    <w:rsid w:val="01636499"/>
    <w:rsid w:val="016C168F"/>
    <w:rsid w:val="016D10E7"/>
    <w:rsid w:val="0172632E"/>
    <w:rsid w:val="01737D6C"/>
    <w:rsid w:val="01785FC0"/>
    <w:rsid w:val="017A6386"/>
    <w:rsid w:val="017E4157"/>
    <w:rsid w:val="017F2CF3"/>
    <w:rsid w:val="01803C13"/>
    <w:rsid w:val="0180414B"/>
    <w:rsid w:val="01830099"/>
    <w:rsid w:val="01887C9C"/>
    <w:rsid w:val="01891B53"/>
    <w:rsid w:val="01902B7B"/>
    <w:rsid w:val="019323AB"/>
    <w:rsid w:val="01993D60"/>
    <w:rsid w:val="019C26CF"/>
    <w:rsid w:val="019D115B"/>
    <w:rsid w:val="019E0677"/>
    <w:rsid w:val="019F6CB7"/>
    <w:rsid w:val="01A00C4B"/>
    <w:rsid w:val="01A23466"/>
    <w:rsid w:val="01A2371D"/>
    <w:rsid w:val="01A469B0"/>
    <w:rsid w:val="01A66527"/>
    <w:rsid w:val="01AA0D70"/>
    <w:rsid w:val="01B00625"/>
    <w:rsid w:val="01B11EE8"/>
    <w:rsid w:val="01B439E4"/>
    <w:rsid w:val="01B4632C"/>
    <w:rsid w:val="01B72D1A"/>
    <w:rsid w:val="01B80ADB"/>
    <w:rsid w:val="01BD4306"/>
    <w:rsid w:val="01BE7323"/>
    <w:rsid w:val="01C050C1"/>
    <w:rsid w:val="01C2563F"/>
    <w:rsid w:val="01C30851"/>
    <w:rsid w:val="01C310A5"/>
    <w:rsid w:val="01C51C6F"/>
    <w:rsid w:val="01C66F45"/>
    <w:rsid w:val="01C80D3F"/>
    <w:rsid w:val="01C84DD7"/>
    <w:rsid w:val="01CD7566"/>
    <w:rsid w:val="01CE57B8"/>
    <w:rsid w:val="01D76E0B"/>
    <w:rsid w:val="01E054EB"/>
    <w:rsid w:val="01E861CD"/>
    <w:rsid w:val="01EB42D0"/>
    <w:rsid w:val="01ED7E75"/>
    <w:rsid w:val="01F243DA"/>
    <w:rsid w:val="01F82835"/>
    <w:rsid w:val="02005BDC"/>
    <w:rsid w:val="02031B2D"/>
    <w:rsid w:val="020548F6"/>
    <w:rsid w:val="02070F9F"/>
    <w:rsid w:val="02091157"/>
    <w:rsid w:val="02092C94"/>
    <w:rsid w:val="020C4532"/>
    <w:rsid w:val="02137E7B"/>
    <w:rsid w:val="021E1AEF"/>
    <w:rsid w:val="021F45D0"/>
    <w:rsid w:val="02217FDE"/>
    <w:rsid w:val="02232F8C"/>
    <w:rsid w:val="02257772"/>
    <w:rsid w:val="0228286A"/>
    <w:rsid w:val="02290C40"/>
    <w:rsid w:val="022E2489"/>
    <w:rsid w:val="02300221"/>
    <w:rsid w:val="02340726"/>
    <w:rsid w:val="02421D02"/>
    <w:rsid w:val="02424AB8"/>
    <w:rsid w:val="02481A8E"/>
    <w:rsid w:val="02481EB7"/>
    <w:rsid w:val="024912E2"/>
    <w:rsid w:val="02497634"/>
    <w:rsid w:val="024E4B4B"/>
    <w:rsid w:val="024E5AF3"/>
    <w:rsid w:val="0250441F"/>
    <w:rsid w:val="025111E4"/>
    <w:rsid w:val="02532161"/>
    <w:rsid w:val="02595C07"/>
    <w:rsid w:val="025C2FF5"/>
    <w:rsid w:val="025C657D"/>
    <w:rsid w:val="02612E62"/>
    <w:rsid w:val="026148F1"/>
    <w:rsid w:val="0261662C"/>
    <w:rsid w:val="02621BE8"/>
    <w:rsid w:val="026305F6"/>
    <w:rsid w:val="026F4AA1"/>
    <w:rsid w:val="026F4AFE"/>
    <w:rsid w:val="027239EE"/>
    <w:rsid w:val="0272440B"/>
    <w:rsid w:val="027361A1"/>
    <w:rsid w:val="0274748E"/>
    <w:rsid w:val="02750329"/>
    <w:rsid w:val="02755DFE"/>
    <w:rsid w:val="02775BC8"/>
    <w:rsid w:val="027A76EE"/>
    <w:rsid w:val="027C5214"/>
    <w:rsid w:val="0281282A"/>
    <w:rsid w:val="02857815"/>
    <w:rsid w:val="028657DE"/>
    <w:rsid w:val="02867A8E"/>
    <w:rsid w:val="02873BB9"/>
    <w:rsid w:val="02881B88"/>
    <w:rsid w:val="029210D5"/>
    <w:rsid w:val="02943927"/>
    <w:rsid w:val="02970FD9"/>
    <w:rsid w:val="02972323"/>
    <w:rsid w:val="02972F89"/>
    <w:rsid w:val="029C6B5B"/>
    <w:rsid w:val="029D0AB9"/>
    <w:rsid w:val="02A300C4"/>
    <w:rsid w:val="02A833E6"/>
    <w:rsid w:val="02A87AB1"/>
    <w:rsid w:val="02A91CC2"/>
    <w:rsid w:val="02AA4304"/>
    <w:rsid w:val="02AB0289"/>
    <w:rsid w:val="02B56978"/>
    <w:rsid w:val="02B91F78"/>
    <w:rsid w:val="02BD3750"/>
    <w:rsid w:val="02C06B04"/>
    <w:rsid w:val="02C20E90"/>
    <w:rsid w:val="02C2381D"/>
    <w:rsid w:val="02C27B00"/>
    <w:rsid w:val="02C84698"/>
    <w:rsid w:val="02C848FD"/>
    <w:rsid w:val="02CC0889"/>
    <w:rsid w:val="02D212D8"/>
    <w:rsid w:val="02D301F8"/>
    <w:rsid w:val="02D765E6"/>
    <w:rsid w:val="02DD1C24"/>
    <w:rsid w:val="02E132C9"/>
    <w:rsid w:val="02E24CF0"/>
    <w:rsid w:val="02E35293"/>
    <w:rsid w:val="02E47CE3"/>
    <w:rsid w:val="02E5559B"/>
    <w:rsid w:val="02E90454"/>
    <w:rsid w:val="02F0175E"/>
    <w:rsid w:val="02F148A5"/>
    <w:rsid w:val="02F254D6"/>
    <w:rsid w:val="02F626E3"/>
    <w:rsid w:val="02F85854"/>
    <w:rsid w:val="02FE3E7B"/>
    <w:rsid w:val="030516AD"/>
    <w:rsid w:val="03125B78"/>
    <w:rsid w:val="03127926"/>
    <w:rsid w:val="031A1681"/>
    <w:rsid w:val="031B3094"/>
    <w:rsid w:val="031B60F3"/>
    <w:rsid w:val="031C2553"/>
    <w:rsid w:val="03211686"/>
    <w:rsid w:val="0321587C"/>
    <w:rsid w:val="032255CB"/>
    <w:rsid w:val="032411DC"/>
    <w:rsid w:val="032578E5"/>
    <w:rsid w:val="03272347"/>
    <w:rsid w:val="032738A8"/>
    <w:rsid w:val="032F7D47"/>
    <w:rsid w:val="0331026F"/>
    <w:rsid w:val="03357917"/>
    <w:rsid w:val="0337493F"/>
    <w:rsid w:val="03390520"/>
    <w:rsid w:val="033E3B4F"/>
    <w:rsid w:val="033F6241"/>
    <w:rsid w:val="0340565D"/>
    <w:rsid w:val="03457CFC"/>
    <w:rsid w:val="0347432C"/>
    <w:rsid w:val="034B737D"/>
    <w:rsid w:val="034C108A"/>
    <w:rsid w:val="035352B0"/>
    <w:rsid w:val="035622F4"/>
    <w:rsid w:val="03575C81"/>
    <w:rsid w:val="035905AF"/>
    <w:rsid w:val="03600692"/>
    <w:rsid w:val="03637321"/>
    <w:rsid w:val="036515D6"/>
    <w:rsid w:val="036D1000"/>
    <w:rsid w:val="03710B53"/>
    <w:rsid w:val="037164F2"/>
    <w:rsid w:val="03751B2D"/>
    <w:rsid w:val="038A3EC6"/>
    <w:rsid w:val="0394658D"/>
    <w:rsid w:val="039D7B38"/>
    <w:rsid w:val="039E3388"/>
    <w:rsid w:val="039F1B33"/>
    <w:rsid w:val="039F3F41"/>
    <w:rsid w:val="03A0059A"/>
    <w:rsid w:val="03A10CAA"/>
    <w:rsid w:val="03A1159F"/>
    <w:rsid w:val="03A32CBA"/>
    <w:rsid w:val="03A76DA4"/>
    <w:rsid w:val="03A936FF"/>
    <w:rsid w:val="03A97F7B"/>
    <w:rsid w:val="03AA7B5F"/>
    <w:rsid w:val="03AC0005"/>
    <w:rsid w:val="03AC38D7"/>
    <w:rsid w:val="03AF786B"/>
    <w:rsid w:val="03B0225A"/>
    <w:rsid w:val="03B307CF"/>
    <w:rsid w:val="03B46C2F"/>
    <w:rsid w:val="03B91916"/>
    <w:rsid w:val="03C30C20"/>
    <w:rsid w:val="03C74BB5"/>
    <w:rsid w:val="03C82119"/>
    <w:rsid w:val="03C84229"/>
    <w:rsid w:val="03C86237"/>
    <w:rsid w:val="03CA6453"/>
    <w:rsid w:val="03CB7B24"/>
    <w:rsid w:val="03D270B5"/>
    <w:rsid w:val="03D67F82"/>
    <w:rsid w:val="03E2723E"/>
    <w:rsid w:val="03E272F9"/>
    <w:rsid w:val="03E70DB3"/>
    <w:rsid w:val="03E9062F"/>
    <w:rsid w:val="03EA43FF"/>
    <w:rsid w:val="03F8252C"/>
    <w:rsid w:val="03FC374B"/>
    <w:rsid w:val="03FD78EB"/>
    <w:rsid w:val="0401641D"/>
    <w:rsid w:val="0402799B"/>
    <w:rsid w:val="040412D5"/>
    <w:rsid w:val="040C25C7"/>
    <w:rsid w:val="040D668A"/>
    <w:rsid w:val="040E2188"/>
    <w:rsid w:val="040F2294"/>
    <w:rsid w:val="04122D21"/>
    <w:rsid w:val="04137DFA"/>
    <w:rsid w:val="04161698"/>
    <w:rsid w:val="04186B9D"/>
    <w:rsid w:val="041B198A"/>
    <w:rsid w:val="041B618B"/>
    <w:rsid w:val="042567B9"/>
    <w:rsid w:val="0425705C"/>
    <w:rsid w:val="04266270"/>
    <w:rsid w:val="04267B2D"/>
    <w:rsid w:val="04273005"/>
    <w:rsid w:val="04282CDD"/>
    <w:rsid w:val="042E07AD"/>
    <w:rsid w:val="042F62B6"/>
    <w:rsid w:val="043164D2"/>
    <w:rsid w:val="04351BCD"/>
    <w:rsid w:val="04376F19"/>
    <w:rsid w:val="04394442"/>
    <w:rsid w:val="04426D56"/>
    <w:rsid w:val="04474836"/>
    <w:rsid w:val="04497378"/>
    <w:rsid w:val="044C0C16"/>
    <w:rsid w:val="044D6493"/>
    <w:rsid w:val="044E2BE0"/>
    <w:rsid w:val="04510922"/>
    <w:rsid w:val="04526B27"/>
    <w:rsid w:val="04552DBC"/>
    <w:rsid w:val="045805D3"/>
    <w:rsid w:val="04590A01"/>
    <w:rsid w:val="045B39AD"/>
    <w:rsid w:val="045F7B0A"/>
    <w:rsid w:val="04616029"/>
    <w:rsid w:val="04654360"/>
    <w:rsid w:val="046545BC"/>
    <w:rsid w:val="046643CE"/>
    <w:rsid w:val="04682B59"/>
    <w:rsid w:val="04685075"/>
    <w:rsid w:val="04696787"/>
    <w:rsid w:val="046B20EE"/>
    <w:rsid w:val="046C6B64"/>
    <w:rsid w:val="047168CE"/>
    <w:rsid w:val="047832A9"/>
    <w:rsid w:val="04787212"/>
    <w:rsid w:val="0479444F"/>
    <w:rsid w:val="047B44CA"/>
    <w:rsid w:val="047B6BED"/>
    <w:rsid w:val="047D2B8E"/>
    <w:rsid w:val="04801A9E"/>
    <w:rsid w:val="048057D3"/>
    <w:rsid w:val="04846602"/>
    <w:rsid w:val="048B0601"/>
    <w:rsid w:val="048B43D1"/>
    <w:rsid w:val="04934E0F"/>
    <w:rsid w:val="04981AC5"/>
    <w:rsid w:val="04983BEF"/>
    <w:rsid w:val="049D12CA"/>
    <w:rsid w:val="049E63F5"/>
    <w:rsid w:val="04A22F2C"/>
    <w:rsid w:val="04A257ED"/>
    <w:rsid w:val="04A44EF6"/>
    <w:rsid w:val="04A45F97"/>
    <w:rsid w:val="04A47E89"/>
    <w:rsid w:val="04A9268A"/>
    <w:rsid w:val="04AD33D4"/>
    <w:rsid w:val="04B07A8D"/>
    <w:rsid w:val="04B303F2"/>
    <w:rsid w:val="04B350BC"/>
    <w:rsid w:val="04B65A1E"/>
    <w:rsid w:val="04B663D0"/>
    <w:rsid w:val="04B70785"/>
    <w:rsid w:val="04B80386"/>
    <w:rsid w:val="04BA6816"/>
    <w:rsid w:val="04BC2F7B"/>
    <w:rsid w:val="04BD7D66"/>
    <w:rsid w:val="04C10B93"/>
    <w:rsid w:val="04C504D6"/>
    <w:rsid w:val="04C57CF8"/>
    <w:rsid w:val="04C9495C"/>
    <w:rsid w:val="04CE3D21"/>
    <w:rsid w:val="04CE5392"/>
    <w:rsid w:val="04CF27E2"/>
    <w:rsid w:val="04D70E27"/>
    <w:rsid w:val="04DB409D"/>
    <w:rsid w:val="04E470A0"/>
    <w:rsid w:val="04E5637F"/>
    <w:rsid w:val="04E6106A"/>
    <w:rsid w:val="04EA6DAD"/>
    <w:rsid w:val="04EB6681"/>
    <w:rsid w:val="04F05A45"/>
    <w:rsid w:val="04F35090"/>
    <w:rsid w:val="04F83787"/>
    <w:rsid w:val="04F96FF0"/>
    <w:rsid w:val="05015B7C"/>
    <w:rsid w:val="050D18C6"/>
    <w:rsid w:val="051200B1"/>
    <w:rsid w:val="05172057"/>
    <w:rsid w:val="0518296D"/>
    <w:rsid w:val="051A5F1D"/>
    <w:rsid w:val="051C2CDE"/>
    <w:rsid w:val="052120A3"/>
    <w:rsid w:val="05240CA2"/>
    <w:rsid w:val="052B41ED"/>
    <w:rsid w:val="052C3C0E"/>
    <w:rsid w:val="05313A49"/>
    <w:rsid w:val="05321B50"/>
    <w:rsid w:val="05353DA0"/>
    <w:rsid w:val="05355B4E"/>
    <w:rsid w:val="05366AE9"/>
    <w:rsid w:val="05373C0D"/>
    <w:rsid w:val="053776F4"/>
    <w:rsid w:val="05385D98"/>
    <w:rsid w:val="053B7608"/>
    <w:rsid w:val="053E246F"/>
    <w:rsid w:val="054364BD"/>
    <w:rsid w:val="0548762F"/>
    <w:rsid w:val="054D2800"/>
    <w:rsid w:val="054F783A"/>
    <w:rsid w:val="055230D9"/>
    <w:rsid w:val="05534352"/>
    <w:rsid w:val="05557F9E"/>
    <w:rsid w:val="055A7363"/>
    <w:rsid w:val="055E3F57"/>
    <w:rsid w:val="056326BB"/>
    <w:rsid w:val="05650A05"/>
    <w:rsid w:val="056860EF"/>
    <w:rsid w:val="056971A0"/>
    <w:rsid w:val="056B6662"/>
    <w:rsid w:val="056C64E5"/>
    <w:rsid w:val="056F1060"/>
    <w:rsid w:val="05707E80"/>
    <w:rsid w:val="05717BAE"/>
    <w:rsid w:val="0575419C"/>
    <w:rsid w:val="05761CD9"/>
    <w:rsid w:val="05790336"/>
    <w:rsid w:val="057B5C57"/>
    <w:rsid w:val="057D1158"/>
    <w:rsid w:val="057E7745"/>
    <w:rsid w:val="057F3709"/>
    <w:rsid w:val="05812C55"/>
    <w:rsid w:val="0583603D"/>
    <w:rsid w:val="05836FC7"/>
    <w:rsid w:val="058C38CA"/>
    <w:rsid w:val="058D598A"/>
    <w:rsid w:val="058F1340"/>
    <w:rsid w:val="059149D9"/>
    <w:rsid w:val="059207E8"/>
    <w:rsid w:val="05922FA0"/>
    <w:rsid w:val="059C64D5"/>
    <w:rsid w:val="059D57CB"/>
    <w:rsid w:val="05A01020"/>
    <w:rsid w:val="05A01219"/>
    <w:rsid w:val="05A81A33"/>
    <w:rsid w:val="05A94F98"/>
    <w:rsid w:val="05AC109E"/>
    <w:rsid w:val="05AD2CBF"/>
    <w:rsid w:val="05AE7BFE"/>
    <w:rsid w:val="05B13A99"/>
    <w:rsid w:val="05B66C8F"/>
    <w:rsid w:val="05BD72A8"/>
    <w:rsid w:val="05C14567"/>
    <w:rsid w:val="05C24545"/>
    <w:rsid w:val="05C50C80"/>
    <w:rsid w:val="05C707CB"/>
    <w:rsid w:val="05CA098C"/>
    <w:rsid w:val="05CF11F7"/>
    <w:rsid w:val="05D834B5"/>
    <w:rsid w:val="05D9472B"/>
    <w:rsid w:val="05DA3DAA"/>
    <w:rsid w:val="05E023C5"/>
    <w:rsid w:val="05E64A5A"/>
    <w:rsid w:val="05EA2DDC"/>
    <w:rsid w:val="05F41565"/>
    <w:rsid w:val="05F41DB5"/>
    <w:rsid w:val="05F51706"/>
    <w:rsid w:val="05FB4360"/>
    <w:rsid w:val="0602087A"/>
    <w:rsid w:val="06021ED4"/>
    <w:rsid w:val="06023C82"/>
    <w:rsid w:val="06025A06"/>
    <w:rsid w:val="060611D1"/>
    <w:rsid w:val="06063869"/>
    <w:rsid w:val="06064032"/>
    <w:rsid w:val="060A0AF3"/>
    <w:rsid w:val="060A4C87"/>
    <w:rsid w:val="06164129"/>
    <w:rsid w:val="06164D27"/>
    <w:rsid w:val="061B11E8"/>
    <w:rsid w:val="061B2548"/>
    <w:rsid w:val="061B2C9F"/>
    <w:rsid w:val="061C00A8"/>
    <w:rsid w:val="061C341A"/>
    <w:rsid w:val="062005AC"/>
    <w:rsid w:val="06221F7A"/>
    <w:rsid w:val="06227932"/>
    <w:rsid w:val="06253E14"/>
    <w:rsid w:val="06267C39"/>
    <w:rsid w:val="062B146D"/>
    <w:rsid w:val="062D5483"/>
    <w:rsid w:val="062E4A77"/>
    <w:rsid w:val="063127B9"/>
    <w:rsid w:val="06345E06"/>
    <w:rsid w:val="06366740"/>
    <w:rsid w:val="06395FE5"/>
    <w:rsid w:val="06467ADA"/>
    <w:rsid w:val="064A1C94"/>
    <w:rsid w:val="064E7A24"/>
    <w:rsid w:val="06504E83"/>
    <w:rsid w:val="06593708"/>
    <w:rsid w:val="065B02A0"/>
    <w:rsid w:val="065C1B78"/>
    <w:rsid w:val="065E4F1F"/>
    <w:rsid w:val="065E601D"/>
    <w:rsid w:val="066466EB"/>
    <w:rsid w:val="06654367"/>
    <w:rsid w:val="066606B5"/>
    <w:rsid w:val="066C3365"/>
    <w:rsid w:val="06711224"/>
    <w:rsid w:val="06732DD2"/>
    <w:rsid w:val="06793750"/>
    <w:rsid w:val="067D47C1"/>
    <w:rsid w:val="067F52D3"/>
    <w:rsid w:val="067F6566"/>
    <w:rsid w:val="068C5C42"/>
    <w:rsid w:val="06905732"/>
    <w:rsid w:val="0694352C"/>
    <w:rsid w:val="0696086E"/>
    <w:rsid w:val="069E5399"/>
    <w:rsid w:val="06A06146"/>
    <w:rsid w:val="06A170B0"/>
    <w:rsid w:val="06A21A1D"/>
    <w:rsid w:val="06A50AB1"/>
    <w:rsid w:val="06A77900"/>
    <w:rsid w:val="06A92DB2"/>
    <w:rsid w:val="06A95B70"/>
    <w:rsid w:val="06AC6482"/>
    <w:rsid w:val="06AE678A"/>
    <w:rsid w:val="06B02408"/>
    <w:rsid w:val="06B048E3"/>
    <w:rsid w:val="06B478EB"/>
    <w:rsid w:val="06B56F46"/>
    <w:rsid w:val="06B745C6"/>
    <w:rsid w:val="06B80E29"/>
    <w:rsid w:val="06B937D6"/>
    <w:rsid w:val="06BD404D"/>
    <w:rsid w:val="06BD7C25"/>
    <w:rsid w:val="06BD7EB1"/>
    <w:rsid w:val="06C24C18"/>
    <w:rsid w:val="06C27F3C"/>
    <w:rsid w:val="06C47634"/>
    <w:rsid w:val="06C54CB0"/>
    <w:rsid w:val="06CD24E2"/>
    <w:rsid w:val="06CE0008"/>
    <w:rsid w:val="06D41DC0"/>
    <w:rsid w:val="06DA0A54"/>
    <w:rsid w:val="06DC3451"/>
    <w:rsid w:val="06DC697B"/>
    <w:rsid w:val="06DC7B5F"/>
    <w:rsid w:val="06DF2215"/>
    <w:rsid w:val="06DF5D71"/>
    <w:rsid w:val="06E131B1"/>
    <w:rsid w:val="06E710CA"/>
    <w:rsid w:val="06EA1921"/>
    <w:rsid w:val="06EA46ED"/>
    <w:rsid w:val="06EA592F"/>
    <w:rsid w:val="06EA7AE9"/>
    <w:rsid w:val="06EB2968"/>
    <w:rsid w:val="06EC7257"/>
    <w:rsid w:val="06F44109"/>
    <w:rsid w:val="06F475A1"/>
    <w:rsid w:val="06F5520B"/>
    <w:rsid w:val="06FA5880"/>
    <w:rsid w:val="06FA704F"/>
    <w:rsid w:val="06FB757B"/>
    <w:rsid w:val="07085267"/>
    <w:rsid w:val="070B47D1"/>
    <w:rsid w:val="07124C2B"/>
    <w:rsid w:val="07153E89"/>
    <w:rsid w:val="071E2D3E"/>
    <w:rsid w:val="071E5B38"/>
    <w:rsid w:val="0721282E"/>
    <w:rsid w:val="07273F13"/>
    <w:rsid w:val="072B545A"/>
    <w:rsid w:val="07372051"/>
    <w:rsid w:val="073742E4"/>
    <w:rsid w:val="07381BC3"/>
    <w:rsid w:val="073836D3"/>
    <w:rsid w:val="07387FB0"/>
    <w:rsid w:val="074151A5"/>
    <w:rsid w:val="07460884"/>
    <w:rsid w:val="074854FD"/>
    <w:rsid w:val="07491A5B"/>
    <w:rsid w:val="0749701A"/>
    <w:rsid w:val="0749768F"/>
    <w:rsid w:val="074A31ED"/>
    <w:rsid w:val="074B147F"/>
    <w:rsid w:val="074C6936"/>
    <w:rsid w:val="074D4A77"/>
    <w:rsid w:val="074F1551"/>
    <w:rsid w:val="0751137D"/>
    <w:rsid w:val="075479AE"/>
    <w:rsid w:val="07554868"/>
    <w:rsid w:val="075955B5"/>
    <w:rsid w:val="075B50A5"/>
    <w:rsid w:val="076150B4"/>
    <w:rsid w:val="076646E5"/>
    <w:rsid w:val="076C3B81"/>
    <w:rsid w:val="076D7821"/>
    <w:rsid w:val="07754928"/>
    <w:rsid w:val="077B1B3F"/>
    <w:rsid w:val="078057A6"/>
    <w:rsid w:val="078270A5"/>
    <w:rsid w:val="07846919"/>
    <w:rsid w:val="07853E8E"/>
    <w:rsid w:val="078726FB"/>
    <w:rsid w:val="078D30FE"/>
    <w:rsid w:val="07922DAA"/>
    <w:rsid w:val="07943000"/>
    <w:rsid w:val="079707BA"/>
    <w:rsid w:val="07996868"/>
    <w:rsid w:val="079A613C"/>
    <w:rsid w:val="07A54B0B"/>
    <w:rsid w:val="07A66218"/>
    <w:rsid w:val="07A80520"/>
    <w:rsid w:val="07A9021B"/>
    <w:rsid w:val="07AF3996"/>
    <w:rsid w:val="07B03AFC"/>
    <w:rsid w:val="07B36D98"/>
    <w:rsid w:val="07B65E09"/>
    <w:rsid w:val="07B94814"/>
    <w:rsid w:val="07C46AC5"/>
    <w:rsid w:val="07CA4C73"/>
    <w:rsid w:val="07CB0DE8"/>
    <w:rsid w:val="07D57174"/>
    <w:rsid w:val="07DB29DD"/>
    <w:rsid w:val="07DD7487"/>
    <w:rsid w:val="07DE071F"/>
    <w:rsid w:val="07DE599F"/>
    <w:rsid w:val="07DF7DD1"/>
    <w:rsid w:val="07E21FBD"/>
    <w:rsid w:val="07E34344"/>
    <w:rsid w:val="07EA70C4"/>
    <w:rsid w:val="07F13EF7"/>
    <w:rsid w:val="07F3456B"/>
    <w:rsid w:val="07F81CA6"/>
    <w:rsid w:val="080135BA"/>
    <w:rsid w:val="080A14EF"/>
    <w:rsid w:val="080B1AF0"/>
    <w:rsid w:val="080B4FC2"/>
    <w:rsid w:val="080D00DC"/>
    <w:rsid w:val="081321F8"/>
    <w:rsid w:val="08143A78"/>
    <w:rsid w:val="08143F07"/>
    <w:rsid w:val="08144141"/>
    <w:rsid w:val="08174CE7"/>
    <w:rsid w:val="08194EC1"/>
    <w:rsid w:val="081B094F"/>
    <w:rsid w:val="081D1F36"/>
    <w:rsid w:val="0822060B"/>
    <w:rsid w:val="082557D4"/>
    <w:rsid w:val="08257CE9"/>
    <w:rsid w:val="082612E9"/>
    <w:rsid w:val="082B1286"/>
    <w:rsid w:val="082B708E"/>
    <w:rsid w:val="082F43A2"/>
    <w:rsid w:val="08323FD7"/>
    <w:rsid w:val="08386B20"/>
    <w:rsid w:val="08397703"/>
    <w:rsid w:val="083D5702"/>
    <w:rsid w:val="083F0E7E"/>
    <w:rsid w:val="08414D45"/>
    <w:rsid w:val="084925D7"/>
    <w:rsid w:val="084B597A"/>
    <w:rsid w:val="084B6833"/>
    <w:rsid w:val="084D5407"/>
    <w:rsid w:val="08504DDE"/>
    <w:rsid w:val="08517143"/>
    <w:rsid w:val="0854482E"/>
    <w:rsid w:val="08560EF5"/>
    <w:rsid w:val="08585DDB"/>
    <w:rsid w:val="0861149B"/>
    <w:rsid w:val="08626C5A"/>
    <w:rsid w:val="086712B3"/>
    <w:rsid w:val="08687B8B"/>
    <w:rsid w:val="086A667C"/>
    <w:rsid w:val="086C13DA"/>
    <w:rsid w:val="086E55FF"/>
    <w:rsid w:val="086F1B39"/>
    <w:rsid w:val="086F75C9"/>
    <w:rsid w:val="086F7A65"/>
    <w:rsid w:val="08716E9D"/>
    <w:rsid w:val="0876529A"/>
    <w:rsid w:val="087B41C0"/>
    <w:rsid w:val="087C3466"/>
    <w:rsid w:val="087E15BA"/>
    <w:rsid w:val="087E5AB3"/>
    <w:rsid w:val="087F5A5E"/>
    <w:rsid w:val="08806D04"/>
    <w:rsid w:val="088452D6"/>
    <w:rsid w:val="08850B9A"/>
    <w:rsid w:val="08870B27"/>
    <w:rsid w:val="08897FF4"/>
    <w:rsid w:val="088B669A"/>
    <w:rsid w:val="08911842"/>
    <w:rsid w:val="0892013F"/>
    <w:rsid w:val="089471CB"/>
    <w:rsid w:val="089670AE"/>
    <w:rsid w:val="089B216C"/>
    <w:rsid w:val="089D4136"/>
    <w:rsid w:val="089E6336"/>
    <w:rsid w:val="089F2AD4"/>
    <w:rsid w:val="08A423BF"/>
    <w:rsid w:val="08A4584E"/>
    <w:rsid w:val="08B80A82"/>
    <w:rsid w:val="08C010B8"/>
    <w:rsid w:val="08C10475"/>
    <w:rsid w:val="08C16076"/>
    <w:rsid w:val="08C22966"/>
    <w:rsid w:val="08C67651"/>
    <w:rsid w:val="08CB6822"/>
    <w:rsid w:val="08CC031F"/>
    <w:rsid w:val="08CE42EF"/>
    <w:rsid w:val="08D20524"/>
    <w:rsid w:val="08D35DAA"/>
    <w:rsid w:val="08D552CA"/>
    <w:rsid w:val="08DE1D2E"/>
    <w:rsid w:val="08E24354"/>
    <w:rsid w:val="08E361DE"/>
    <w:rsid w:val="08E80F22"/>
    <w:rsid w:val="08ED6008"/>
    <w:rsid w:val="08ED6E6B"/>
    <w:rsid w:val="08EF0964"/>
    <w:rsid w:val="08F20176"/>
    <w:rsid w:val="08F3498C"/>
    <w:rsid w:val="08F66B8E"/>
    <w:rsid w:val="08FA50E4"/>
    <w:rsid w:val="08FD22CC"/>
    <w:rsid w:val="08FD652C"/>
    <w:rsid w:val="08FF0070"/>
    <w:rsid w:val="0900337B"/>
    <w:rsid w:val="09010220"/>
    <w:rsid w:val="09040732"/>
    <w:rsid w:val="09041952"/>
    <w:rsid w:val="09081A2D"/>
    <w:rsid w:val="09106D0A"/>
    <w:rsid w:val="09117FA0"/>
    <w:rsid w:val="09153CCC"/>
    <w:rsid w:val="09177189"/>
    <w:rsid w:val="091C454A"/>
    <w:rsid w:val="091D33B4"/>
    <w:rsid w:val="092C04C1"/>
    <w:rsid w:val="092D5F6F"/>
    <w:rsid w:val="092F3162"/>
    <w:rsid w:val="093305F6"/>
    <w:rsid w:val="09371CE5"/>
    <w:rsid w:val="093920CD"/>
    <w:rsid w:val="093A0C4D"/>
    <w:rsid w:val="093D1475"/>
    <w:rsid w:val="093D7EFE"/>
    <w:rsid w:val="093F6F9B"/>
    <w:rsid w:val="0944414B"/>
    <w:rsid w:val="094822F4"/>
    <w:rsid w:val="094C44E3"/>
    <w:rsid w:val="09505852"/>
    <w:rsid w:val="0952238E"/>
    <w:rsid w:val="095347F5"/>
    <w:rsid w:val="095C1EF7"/>
    <w:rsid w:val="095C557C"/>
    <w:rsid w:val="095F3199"/>
    <w:rsid w:val="096429CB"/>
    <w:rsid w:val="096612C0"/>
    <w:rsid w:val="096C3401"/>
    <w:rsid w:val="096D1E04"/>
    <w:rsid w:val="09772BD9"/>
    <w:rsid w:val="097F70A9"/>
    <w:rsid w:val="09811362"/>
    <w:rsid w:val="09853444"/>
    <w:rsid w:val="09864BCA"/>
    <w:rsid w:val="09885D8F"/>
    <w:rsid w:val="098B3F8E"/>
    <w:rsid w:val="09934BB5"/>
    <w:rsid w:val="099A1DD0"/>
    <w:rsid w:val="099A2423"/>
    <w:rsid w:val="099C6924"/>
    <w:rsid w:val="09A0385D"/>
    <w:rsid w:val="09B010B1"/>
    <w:rsid w:val="09B17DE9"/>
    <w:rsid w:val="09B260ED"/>
    <w:rsid w:val="09B55304"/>
    <w:rsid w:val="09B66000"/>
    <w:rsid w:val="09B71227"/>
    <w:rsid w:val="09B863E1"/>
    <w:rsid w:val="09BA0384"/>
    <w:rsid w:val="09BC683E"/>
    <w:rsid w:val="09C35E1E"/>
    <w:rsid w:val="09C84263"/>
    <w:rsid w:val="09C85D6F"/>
    <w:rsid w:val="09CD7F09"/>
    <w:rsid w:val="09D929A3"/>
    <w:rsid w:val="09DB7DF4"/>
    <w:rsid w:val="09E149FA"/>
    <w:rsid w:val="09E214BE"/>
    <w:rsid w:val="09E35B78"/>
    <w:rsid w:val="09E956FD"/>
    <w:rsid w:val="09E96A79"/>
    <w:rsid w:val="09EA5569"/>
    <w:rsid w:val="09EB09DB"/>
    <w:rsid w:val="09F0797A"/>
    <w:rsid w:val="09F61D17"/>
    <w:rsid w:val="09F61D4D"/>
    <w:rsid w:val="09F626CE"/>
    <w:rsid w:val="09F7550D"/>
    <w:rsid w:val="09F82F54"/>
    <w:rsid w:val="0A0053C1"/>
    <w:rsid w:val="0A023E3D"/>
    <w:rsid w:val="0A042B0D"/>
    <w:rsid w:val="0A07584F"/>
    <w:rsid w:val="0A0A52DA"/>
    <w:rsid w:val="0A0D2C0E"/>
    <w:rsid w:val="0A0D7099"/>
    <w:rsid w:val="0A0F4478"/>
    <w:rsid w:val="0A131686"/>
    <w:rsid w:val="0A1844B3"/>
    <w:rsid w:val="0A1977EC"/>
    <w:rsid w:val="0A212B5E"/>
    <w:rsid w:val="0A2649D7"/>
    <w:rsid w:val="0A285C81"/>
    <w:rsid w:val="0A2C74AD"/>
    <w:rsid w:val="0A2F210F"/>
    <w:rsid w:val="0A307589"/>
    <w:rsid w:val="0A344626"/>
    <w:rsid w:val="0A357927"/>
    <w:rsid w:val="0A366318"/>
    <w:rsid w:val="0A3C34DB"/>
    <w:rsid w:val="0A3D4C6A"/>
    <w:rsid w:val="0A426D43"/>
    <w:rsid w:val="0A455A91"/>
    <w:rsid w:val="0A464557"/>
    <w:rsid w:val="0A4C3698"/>
    <w:rsid w:val="0A50059C"/>
    <w:rsid w:val="0A5151D8"/>
    <w:rsid w:val="0A527929"/>
    <w:rsid w:val="0A577970"/>
    <w:rsid w:val="0A5B7E05"/>
    <w:rsid w:val="0A60088B"/>
    <w:rsid w:val="0A735F6D"/>
    <w:rsid w:val="0A747118"/>
    <w:rsid w:val="0A7504FA"/>
    <w:rsid w:val="0A761052"/>
    <w:rsid w:val="0A7B5B07"/>
    <w:rsid w:val="0A800407"/>
    <w:rsid w:val="0A801B21"/>
    <w:rsid w:val="0A813377"/>
    <w:rsid w:val="0A851ADE"/>
    <w:rsid w:val="0A852E29"/>
    <w:rsid w:val="0A8530D4"/>
    <w:rsid w:val="0A876E4C"/>
    <w:rsid w:val="0A8B0AD3"/>
    <w:rsid w:val="0A8D52F2"/>
    <w:rsid w:val="0A8E1F88"/>
    <w:rsid w:val="0A8E7038"/>
    <w:rsid w:val="0A917CCA"/>
    <w:rsid w:val="0A931346"/>
    <w:rsid w:val="0A94593A"/>
    <w:rsid w:val="0A996075"/>
    <w:rsid w:val="0A9E1295"/>
    <w:rsid w:val="0A9E3D8B"/>
    <w:rsid w:val="0A9E4C0B"/>
    <w:rsid w:val="0A9E6C97"/>
    <w:rsid w:val="0A9E7981"/>
    <w:rsid w:val="0AA65496"/>
    <w:rsid w:val="0AA817AD"/>
    <w:rsid w:val="0AA90E82"/>
    <w:rsid w:val="0AA94190"/>
    <w:rsid w:val="0AAC240E"/>
    <w:rsid w:val="0AAC5195"/>
    <w:rsid w:val="0AAD7774"/>
    <w:rsid w:val="0AAF2118"/>
    <w:rsid w:val="0AB33CEE"/>
    <w:rsid w:val="0AB61302"/>
    <w:rsid w:val="0AB72AB4"/>
    <w:rsid w:val="0AB77CB1"/>
    <w:rsid w:val="0ABC00C4"/>
    <w:rsid w:val="0ABC6811"/>
    <w:rsid w:val="0ABE3D43"/>
    <w:rsid w:val="0ABE7B49"/>
    <w:rsid w:val="0AC302F4"/>
    <w:rsid w:val="0AC3578F"/>
    <w:rsid w:val="0AC7549A"/>
    <w:rsid w:val="0AC86146"/>
    <w:rsid w:val="0ACA15B9"/>
    <w:rsid w:val="0ACC485F"/>
    <w:rsid w:val="0ACF1D5A"/>
    <w:rsid w:val="0AD12C1C"/>
    <w:rsid w:val="0ADF574B"/>
    <w:rsid w:val="0AE1789B"/>
    <w:rsid w:val="0AE266B9"/>
    <w:rsid w:val="0AE30A64"/>
    <w:rsid w:val="0AE37DDF"/>
    <w:rsid w:val="0AEE7F78"/>
    <w:rsid w:val="0AEF2198"/>
    <w:rsid w:val="0AEF2288"/>
    <w:rsid w:val="0AEF3E82"/>
    <w:rsid w:val="0AEF4BDC"/>
    <w:rsid w:val="0AF171D2"/>
    <w:rsid w:val="0AF53045"/>
    <w:rsid w:val="0AF61C3A"/>
    <w:rsid w:val="0AF729B4"/>
    <w:rsid w:val="0AF74245"/>
    <w:rsid w:val="0AF75383"/>
    <w:rsid w:val="0AF85654"/>
    <w:rsid w:val="0AFE5B22"/>
    <w:rsid w:val="0AFF2E86"/>
    <w:rsid w:val="0B045796"/>
    <w:rsid w:val="0B052C7C"/>
    <w:rsid w:val="0B0760EA"/>
    <w:rsid w:val="0B085B7B"/>
    <w:rsid w:val="0B0E1F15"/>
    <w:rsid w:val="0B106E41"/>
    <w:rsid w:val="0B1405BF"/>
    <w:rsid w:val="0B146CEA"/>
    <w:rsid w:val="0B1A5D21"/>
    <w:rsid w:val="0B207881"/>
    <w:rsid w:val="0B237BFE"/>
    <w:rsid w:val="0B2533C4"/>
    <w:rsid w:val="0B260413"/>
    <w:rsid w:val="0B2B203A"/>
    <w:rsid w:val="0B2B3C7B"/>
    <w:rsid w:val="0B361AA6"/>
    <w:rsid w:val="0B381EF4"/>
    <w:rsid w:val="0B3B3792"/>
    <w:rsid w:val="0B3B6363"/>
    <w:rsid w:val="0B3B6D0B"/>
    <w:rsid w:val="0B3C7C36"/>
    <w:rsid w:val="0B3D39AE"/>
    <w:rsid w:val="0B435C1C"/>
    <w:rsid w:val="0B4368DB"/>
    <w:rsid w:val="0B464D13"/>
    <w:rsid w:val="0B465F4D"/>
    <w:rsid w:val="0B4765DB"/>
    <w:rsid w:val="0B4A5FAE"/>
    <w:rsid w:val="0B4B46CA"/>
    <w:rsid w:val="0B4C4571"/>
    <w:rsid w:val="0B4D7E38"/>
    <w:rsid w:val="0B4F3D8E"/>
    <w:rsid w:val="0B515EF0"/>
    <w:rsid w:val="0B584344"/>
    <w:rsid w:val="0B5A29A2"/>
    <w:rsid w:val="0B603655"/>
    <w:rsid w:val="0B622494"/>
    <w:rsid w:val="0B676F7D"/>
    <w:rsid w:val="0B6F0BEC"/>
    <w:rsid w:val="0B705B32"/>
    <w:rsid w:val="0B76450E"/>
    <w:rsid w:val="0B7D21CB"/>
    <w:rsid w:val="0B806972"/>
    <w:rsid w:val="0B8901D1"/>
    <w:rsid w:val="0B8937BF"/>
    <w:rsid w:val="0B8C3FEE"/>
    <w:rsid w:val="0B8D42D8"/>
    <w:rsid w:val="0B8D6529"/>
    <w:rsid w:val="0B8F21FA"/>
    <w:rsid w:val="0B911D8C"/>
    <w:rsid w:val="0B914450"/>
    <w:rsid w:val="0B925AA8"/>
    <w:rsid w:val="0B945DFC"/>
    <w:rsid w:val="0B957346"/>
    <w:rsid w:val="0B977FF1"/>
    <w:rsid w:val="0B996E37"/>
    <w:rsid w:val="0BA07041"/>
    <w:rsid w:val="0BA07C0E"/>
    <w:rsid w:val="0BA4235C"/>
    <w:rsid w:val="0BAB4DBC"/>
    <w:rsid w:val="0BB7132F"/>
    <w:rsid w:val="0BBA6DAD"/>
    <w:rsid w:val="0BBA7014"/>
    <w:rsid w:val="0BBC48D3"/>
    <w:rsid w:val="0BC06369"/>
    <w:rsid w:val="0BC26BB8"/>
    <w:rsid w:val="0BC72C69"/>
    <w:rsid w:val="0BCB2D68"/>
    <w:rsid w:val="0BCE4339"/>
    <w:rsid w:val="0BCF2858"/>
    <w:rsid w:val="0BD03841"/>
    <w:rsid w:val="0BD05882"/>
    <w:rsid w:val="0BD12803"/>
    <w:rsid w:val="0BD222CE"/>
    <w:rsid w:val="0BD240F7"/>
    <w:rsid w:val="0BD51E39"/>
    <w:rsid w:val="0BD657ED"/>
    <w:rsid w:val="0BD67DF0"/>
    <w:rsid w:val="0BD77A17"/>
    <w:rsid w:val="0BDB744F"/>
    <w:rsid w:val="0BDB775E"/>
    <w:rsid w:val="0BDC7020"/>
    <w:rsid w:val="0BDE2A9B"/>
    <w:rsid w:val="0BDF05C2"/>
    <w:rsid w:val="0BDF6813"/>
    <w:rsid w:val="0BE21CA7"/>
    <w:rsid w:val="0BE678A2"/>
    <w:rsid w:val="0BEB6221"/>
    <w:rsid w:val="0BF44FDB"/>
    <w:rsid w:val="0BF85DB1"/>
    <w:rsid w:val="0BFA53FB"/>
    <w:rsid w:val="0BFA6DDB"/>
    <w:rsid w:val="0BFD4069"/>
    <w:rsid w:val="0C017DDE"/>
    <w:rsid w:val="0C061FF2"/>
    <w:rsid w:val="0C066135"/>
    <w:rsid w:val="0C081404"/>
    <w:rsid w:val="0C0F46C9"/>
    <w:rsid w:val="0C174EAA"/>
    <w:rsid w:val="0C177D5B"/>
    <w:rsid w:val="0C1E147D"/>
    <w:rsid w:val="0C210BDA"/>
    <w:rsid w:val="0C2433AF"/>
    <w:rsid w:val="0C250505"/>
    <w:rsid w:val="0C2653A0"/>
    <w:rsid w:val="0C272694"/>
    <w:rsid w:val="0C2D0A20"/>
    <w:rsid w:val="0C2D757F"/>
    <w:rsid w:val="0C2E4CB5"/>
    <w:rsid w:val="0C321E24"/>
    <w:rsid w:val="0C390FAC"/>
    <w:rsid w:val="0C3A66AE"/>
    <w:rsid w:val="0C3B6140"/>
    <w:rsid w:val="0C3C40B3"/>
    <w:rsid w:val="0C4403D3"/>
    <w:rsid w:val="0C4503A0"/>
    <w:rsid w:val="0C496F9D"/>
    <w:rsid w:val="0C4A6383"/>
    <w:rsid w:val="0C4B5C57"/>
    <w:rsid w:val="0C4F369E"/>
    <w:rsid w:val="0C560E46"/>
    <w:rsid w:val="0C5C49CE"/>
    <w:rsid w:val="0C5D60B6"/>
    <w:rsid w:val="0C697B1C"/>
    <w:rsid w:val="0C752EE2"/>
    <w:rsid w:val="0C754E91"/>
    <w:rsid w:val="0C77050C"/>
    <w:rsid w:val="0C770DFE"/>
    <w:rsid w:val="0C777589"/>
    <w:rsid w:val="0C7A22E4"/>
    <w:rsid w:val="0C7D22B4"/>
    <w:rsid w:val="0C7E427E"/>
    <w:rsid w:val="0C81051D"/>
    <w:rsid w:val="0C913FB2"/>
    <w:rsid w:val="0C960FAD"/>
    <w:rsid w:val="0C96202E"/>
    <w:rsid w:val="0C973498"/>
    <w:rsid w:val="0C9879D0"/>
    <w:rsid w:val="0C9E3828"/>
    <w:rsid w:val="0CA041EC"/>
    <w:rsid w:val="0CA269A6"/>
    <w:rsid w:val="0CA27F6D"/>
    <w:rsid w:val="0CA75518"/>
    <w:rsid w:val="0CA76B66"/>
    <w:rsid w:val="0CA91CCA"/>
    <w:rsid w:val="0CB01BCB"/>
    <w:rsid w:val="0CB152CC"/>
    <w:rsid w:val="0CB675B5"/>
    <w:rsid w:val="0CBB102F"/>
    <w:rsid w:val="0CBB319C"/>
    <w:rsid w:val="0CBB7C19"/>
    <w:rsid w:val="0CBB7C4B"/>
    <w:rsid w:val="0CBC071C"/>
    <w:rsid w:val="0CBF16C1"/>
    <w:rsid w:val="0CC16226"/>
    <w:rsid w:val="0CC779D3"/>
    <w:rsid w:val="0CC83487"/>
    <w:rsid w:val="0CCA74C4"/>
    <w:rsid w:val="0CCF4ADA"/>
    <w:rsid w:val="0CD3450C"/>
    <w:rsid w:val="0CD721D7"/>
    <w:rsid w:val="0CDE1EA1"/>
    <w:rsid w:val="0CE27C09"/>
    <w:rsid w:val="0CE53932"/>
    <w:rsid w:val="0CEE4F60"/>
    <w:rsid w:val="0CEF0CD8"/>
    <w:rsid w:val="0CF07855"/>
    <w:rsid w:val="0CF30203"/>
    <w:rsid w:val="0D06216B"/>
    <w:rsid w:val="0D0A2995"/>
    <w:rsid w:val="0D10137A"/>
    <w:rsid w:val="0D132C19"/>
    <w:rsid w:val="0D1544B2"/>
    <w:rsid w:val="0D164D36"/>
    <w:rsid w:val="0D177791"/>
    <w:rsid w:val="0D1C7D1F"/>
    <w:rsid w:val="0D217829"/>
    <w:rsid w:val="0D2D6AE8"/>
    <w:rsid w:val="0D2F7B19"/>
    <w:rsid w:val="0D330BC5"/>
    <w:rsid w:val="0D3C216F"/>
    <w:rsid w:val="0D3E48E7"/>
    <w:rsid w:val="0D436DB3"/>
    <w:rsid w:val="0D443541"/>
    <w:rsid w:val="0D464D9C"/>
    <w:rsid w:val="0D4728C2"/>
    <w:rsid w:val="0D51729D"/>
    <w:rsid w:val="0D525752"/>
    <w:rsid w:val="0D5648B3"/>
    <w:rsid w:val="0D5B2C57"/>
    <w:rsid w:val="0D5C420B"/>
    <w:rsid w:val="0D5C4757"/>
    <w:rsid w:val="0D5D3E94"/>
    <w:rsid w:val="0D5E1321"/>
    <w:rsid w:val="0D5F1F83"/>
    <w:rsid w:val="0D6149B3"/>
    <w:rsid w:val="0D644439"/>
    <w:rsid w:val="0D65614D"/>
    <w:rsid w:val="0D660C1A"/>
    <w:rsid w:val="0D687C1B"/>
    <w:rsid w:val="0D697D46"/>
    <w:rsid w:val="0D6B035F"/>
    <w:rsid w:val="0D6C68F4"/>
    <w:rsid w:val="0D7444D4"/>
    <w:rsid w:val="0D757075"/>
    <w:rsid w:val="0D7E4232"/>
    <w:rsid w:val="0D7F02AE"/>
    <w:rsid w:val="0D837081"/>
    <w:rsid w:val="0D845AC4"/>
    <w:rsid w:val="0D857517"/>
    <w:rsid w:val="0D86353A"/>
    <w:rsid w:val="0D9149EC"/>
    <w:rsid w:val="0D941565"/>
    <w:rsid w:val="0D981B99"/>
    <w:rsid w:val="0D990F5F"/>
    <w:rsid w:val="0D9C5DC5"/>
    <w:rsid w:val="0DA10224"/>
    <w:rsid w:val="0DA258DC"/>
    <w:rsid w:val="0DA46EFA"/>
    <w:rsid w:val="0DA605FC"/>
    <w:rsid w:val="0DA67ADA"/>
    <w:rsid w:val="0DA87805"/>
    <w:rsid w:val="0DAB10A3"/>
    <w:rsid w:val="0DAF0B93"/>
    <w:rsid w:val="0DB066B9"/>
    <w:rsid w:val="0DB5363E"/>
    <w:rsid w:val="0DB86DF8"/>
    <w:rsid w:val="0DC02C04"/>
    <w:rsid w:val="0DCB3F8A"/>
    <w:rsid w:val="0DD01275"/>
    <w:rsid w:val="0DD07DC9"/>
    <w:rsid w:val="0DD33E09"/>
    <w:rsid w:val="0DD36A09"/>
    <w:rsid w:val="0DD71D96"/>
    <w:rsid w:val="0DD81974"/>
    <w:rsid w:val="0DDD377D"/>
    <w:rsid w:val="0DDE58F7"/>
    <w:rsid w:val="0DDE73EA"/>
    <w:rsid w:val="0DDF5A6F"/>
    <w:rsid w:val="0DE10621"/>
    <w:rsid w:val="0DE545B5"/>
    <w:rsid w:val="0DE819AF"/>
    <w:rsid w:val="0DE85E53"/>
    <w:rsid w:val="0DE9205F"/>
    <w:rsid w:val="0DF14750"/>
    <w:rsid w:val="0DF61ADF"/>
    <w:rsid w:val="0DF70E8C"/>
    <w:rsid w:val="0DF963A9"/>
    <w:rsid w:val="0DFC545B"/>
    <w:rsid w:val="0DFC7B47"/>
    <w:rsid w:val="0DFE2A87"/>
    <w:rsid w:val="0E045213"/>
    <w:rsid w:val="0E057123"/>
    <w:rsid w:val="0E057C6A"/>
    <w:rsid w:val="0E06277D"/>
    <w:rsid w:val="0E070EDC"/>
    <w:rsid w:val="0E0B3D2F"/>
    <w:rsid w:val="0E0D233D"/>
    <w:rsid w:val="0E0D7668"/>
    <w:rsid w:val="0E0E7C85"/>
    <w:rsid w:val="0E1171C8"/>
    <w:rsid w:val="0E1308B7"/>
    <w:rsid w:val="0E147564"/>
    <w:rsid w:val="0E1949F8"/>
    <w:rsid w:val="0E1E1023"/>
    <w:rsid w:val="0E22180B"/>
    <w:rsid w:val="0E286250"/>
    <w:rsid w:val="0E2976AB"/>
    <w:rsid w:val="0E2A288A"/>
    <w:rsid w:val="0E320CCA"/>
    <w:rsid w:val="0E323572"/>
    <w:rsid w:val="0E343A4B"/>
    <w:rsid w:val="0E3955AC"/>
    <w:rsid w:val="0E3C1CFB"/>
    <w:rsid w:val="0E40619F"/>
    <w:rsid w:val="0E423016"/>
    <w:rsid w:val="0E436B53"/>
    <w:rsid w:val="0E4532A6"/>
    <w:rsid w:val="0E456E02"/>
    <w:rsid w:val="0E47058B"/>
    <w:rsid w:val="0E4B63E2"/>
    <w:rsid w:val="0E501D2F"/>
    <w:rsid w:val="0E503B05"/>
    <w:rsid w:val="0E5256B6"/>
    <w:rsid w:val="0E553A87"/>
    <w:rsid w:val="0E564766"/>
    <w:rsid w:val="0E570853"/>
    <w:rsid w:val="0E5E09FF"/>
    <w:rsid w:val="0E5F5D88"/>
    <w:rsid w:val="0E601E8E"/>
    <w:rsid w:val="0E6151B4"/>
    <w:rsid w:val="0E683544"/>
    <w:rsid w:val="0E697416"/>
    <w:rsid w:val="0E6D76B0"/>
    <w:rsid w:val="0E6F0CE9"/>
    <w:rsid w:val="0E71409B"/>
    <w:rsid w:val="0E7C4407"/>
    <w:rsid w:val="0E7E40C2"/>
    <w:rsid w:val="0E847590"/>
    <w:rsid w:val="0E8A07EC"/>
    <w:rsid w:val="0E8A35AC"/>
    <w:rsid w:val="0E8B2062"/>
    <w:rsid w:val="0E8F7A02"/>
    <w:rsid w:val="0E96143D"/>
    <w:rsid w:val="0E9723EA"/>
    <w:rsid w:val="0E9A47B2"/>
    <w:rsid w:val="0E9D182E"/>
    <w:rsid w:val="0E9E4764"/>
    <w:rsid w:val="0EA004DC"/>
    <w:rsid w:val="0EA015B0"/>
    <w:rsid w:val="0EA0228A"/>
    <w:rsid w:val="0EA2573C"/>
    <w:rsid w:val="0EA508BC"/>
    <w:rsid w:val="0EA66B0E"/>
    <w:rsid w:val="0EA8721D"/>
    <w:rsid w:val="0EAA3109"/>
    <w:rsid w:val="0EAA3E90"/>
    <w:rsid w:val="0EAC4537"/>
    <w:rsid w:val="0EAD7D6E"/>
    <w:rsid w:val="0EB13CB9"/>
    <w:rsid w:val="0EB55AE3"/>
    <w:rsid w:val="0EB83A78"/>
    <w:rsid w:val="0EC12110"/>
    <w:rsid w:val="0EC266A4"/>
    <w:rsid w:val="0EC613F3"/>
    <w:rsid w:val="0EC663FD"/>
    <w:rsid w:val="0EC85388"/>
    <w:rsid w:val="0ECA37AB"/>
    <w:rsid w:val="0ECA6384"/>
    <w:rsid w:val="0ED8043D"/>
    <w:rsid w:val="0EE30D43"/>
    <w:rsid w:val="0EE5365C"/>
    <w:rsid w:val="0EEB7908"/>
    <w:rsid w:val="0EEC3721"/>
    <w:rsid w:val="0EEE56EB"/>
    <w:rsid w:val="0EF27647"/>
    <w:rsid w:val="0EF37803"/>
    <w:rsid w:val="0EF7257E"/>
    <w:rsid w:val="0EFE3455"/>
    <w:rsid w:val="0EFF16A6"/>
    <w:rsid w:val="0EFF2700"/>
    <w:rsid w:val="0EFF489D"/>
    <w:rsid w:val="0F023598"/>
    <w:rsid w:val="0F024154"/>
    <w:rsid w:val="0F026AA1"/>
    <w:rsid w:val="0F0547E3"/>
    <w:rsid w:val="0F096081"/>
    <w:rsid w:val="0F0D5446"/>
    <w:rsid w:val="0F0F2E88"/>
    <w:rsid w:val="0F1D1B2D"/>
    <w:rsid w:val="0F224A57"/>
    <w:rsid w:val="0F227B67"/>
    <w:rsid w:val="0F2743A8"/>
    <w:rsid w:val="0F2A1B00"/>
    <w:rsid w:val="0F2A7F65"/>
    <w:rsid w:val="0F2D0006"/>
    <w:rsid w:val="0F2E2047"/>
    <w:rsid w:val="0F3F36C5"/>
    <w:rsid w:val="0F3F7CF5"/>
    <w:rsid w:val="0F435C60"/>
    <w:rsid w:val="0F436DEC"/>
    <w:rsid w:val="0F475257"/>
    <w:rsid w:val="0F5662C3"/>
    <w:rsid w:val="0F5834C3"/>
    <w:rsid w:val="0F5B2BE7"/>
    <w:rsid w:val="0F5D461F"/>
    <w:rsid w:val="0F627D60"/>
    <w:rsid w:val="0F6459AD"/>
    <w:rsid w:val="0F654E85"/>
    <w:rsid w:val="0F657030"/>
    <w:rsid w:val="0F694D72"/>
    <w:rsid w:val="0F6E2001"/>
    <w:rsid w:val="0F6E2388"/>
    <w:rsid w:val="0F7438F9"/>
    <w:rsid w:val="0F772F30"/>
    <w:rsid w:val="0F7A0CE0"/>
    <w:rsid w:val="0F7A2ADB"/>
    <w:rsid w:val="0F7B1D4D"/>
    <w:rsid w:val="0F7C1DF5"/>
    <w:rsid w:val="0F816D85"/>
    <w:rsid w:val="0F827BE2"/>
    <w:rsid w:val="0F8536DA"/>
    <w:rsid w:val="0F8D6EA2"/>
    <w:rsid w:val="0F8F47E3"/>
    <w:rsid w:val="0F927D7E"/>
    <w:rsid w:val="0F930041"/>
    <w:rsid w:val="0F963764"/>
    <w:rsid w:val="0F98106E"/>
    <w:rsid w:val="0F983143"/>
    <w:rsid w:val="0F985946"/>
    <w:rsid w:val="0F987405"/>
    <w:rsid w:val="0F9967CD"/>
    <w:rsid w:val="0F9A13CF"/>
    <w:rsid w:val="0F9D4A1B"/>
    <w:rsid w:val="0FA41FAB"/>
    <w:rsid w:val="0FA425D2"/>
    <w:rsid w:val="0FA704C4"/>
    <w:rsid w:val="0FA7589A"/>
    <w:rsid w:val="0FA77648"/>
    <w:rsid w:val="0FAC10EB"/>
    <w:rsid w:val="0FAF7946"/>
    <w:rsid w:val="0FB061D8"/>
    <w:rsid w:val="0FB26719"/>
    <w:rsid w:val="0FB33F34"/>
    <w:rsid w:val="0FB7564B"/>
    <w:rsid w:val="0FB83603"/>
    <w:rsid w:val="0FBC30F4"/>
    <w:rsid w:val="0FBC7598"/>
    <w:rsid w:val="0FCA4A8A"/>
    <w:rsid w:val="0FCB42C4"/>
    <w:rsid w:val="0FCC6D90"/>
    <w:rsid w:val="0FD42B11"/>
    <w:rsid w:val="0FD45593"/>
    <w:rsid w:val="0FD522F0"/>
    <w:rsid w:val="0FD8005B"/>
    <w:rsid w:val="0FD86850"/>
    <w:rsid w:val="0FDC19E8"/>
    <w:rsid w:val="0FDC434E"/>
    <w:rsid w:val="0FDE297D"/>
    <w:rsid w:val="0FE17D52"/>
    <w:rsid w:val="0FE20957"/>
    <w:rsid w:val="0FE47720"/>
    <w:rsid w:val="0FE55D2E"/>
    <w:rsid w:val="0FE73EE9"/>
    <w:rsid w:val="0FEB2F72"/>
    <w:rsid w:val="0FEB6643"/>
    <w:rsid w:val="0FEC7947"/>
    <w:rsid w:val="0FED735A"/>
    <w:rsid w:val="0FF07241"/>
    <w:rsid w:val="0FF22992"/>
    <w:rsid w:val="0FF4448A"/>
    <w:rsid w:val="0FF52AA9"/>
    <w:rsid w:val="10067A3A"/>
    <w:rsid w:val="100875EA"/>
    <w:rsid w:val="100920B1"/>
    <w:rsid w:val="100C368B"/>
    <w:rsid w:val="10145E5B"/>
    <w:rsid w:val="101651E5"/>
    <w:rsid w:val="101747CE"/>
    <w:rsid w:val="101B510F"/>
    <w:rsid w:val="10222611"/>
    <w:rsid w:val="10225DF8"/>
    <w:rsid w:val="10235465"/>
    <w:rsid w:val="102744E6"/>
    <w:rsid w:val="10283E01"/>
    <w:rsid w:val="10297700"/>
    <w:rsid w:val="102A75A7"/>
    <w:rsid w:val="102D53BB"/>
    <w:rsid w:val="10374E70"/>
    <w:rsid w:val="103D1A5F"/>
    <w:rsid w:val="103D51F3"/>
    <w:rsid w:val="1041118C"/>
    <w:rsid w:val="1047050D"/>
    <w:rsid w:val="104F276F"/>
    <w:rsid w:val="10501A8E"/>
    <w:rsid w:val="10524CAB"/>
    <w:rsid w:val="10530AC2"/>
    <w:rsid w:val="105552F6"/>
    <w:rsid w:val="10563548"/>
    <w:rsid w:val="10606175"/>
    <w:rsid w:val="10615A49"/>
    <w:rsid w:val="1063277B"/>
    <w:rsid w:val="106419C8"/>
    <w:rsid w:val="106B58FC"/>
    <w:rsid w:val="10702C73"/>
    <w:rsid w:val="10703EDE"/>
    <w:rsid w:val="107C007A"/>
    <w:rsid w:val="107C2C7E"/>
    <w:rsid w:val="10802FF2"/>
    <w:rsid w:val="10805251"/>
    <w:rsid w:val="10805D1C"/>
    <w:rsid w:val="108241EC"/>
    <w:rsid w:val="108E275C"/>
    <w:rsid w:val="108F1A98"/>
    <w:rsid w:val="109167D3"/>
    <w:rsid w:val="10965914"/>
    <w:rsid w:val="10997C68"/>
    <w:rsid w:val="109A3BD4"/>
    <w:rsid w:val="109D744F"/>
    <w:rsid w:val="109F73B0"/>
    <w:rsid w:val="10A02A15"/>
    <w:rsid w:val="10A0400E"/>
    <w:rsid w:val="10A20D0B"/>
    <w:rsid w:val="10A20FFE"/>
    <w:rsid w:val="10A2775C"/>
    <w:rsid w:val="10A94507"/>
    <w:rsid w:val="10AA7A09"/>
    <w:rsid w:val="10AB58DC"/>
    <w:rsid w:val="10AC07ED"/>
    <w:rsid w:val="10B2683D"/>
    <w:rsid w:val="10B452D0"/>
    <w:rsid w:val="10B521F3"/>
    <w:rsid w:val="10B66BC9"/>
    <w:rsid w:val="10B73FB1"/>
    <w:rsid w:val="10B95DFE"/>
    <w:rsid w:val="10BD0508"/>
    <w:rsid w:val="10BF3671"/>
    <w:rsid w:val="10C031C3"/>
    <w:rsid w:val="10C77C1C"/>
    <w:rsid w:val="10C8771B"/>
    <w:rsid w:val="10CB5644"/>
    <w:rsid w:val="10CD6E11"/>
    <w:rsid w:val="10CF50A9"/>
    <w:rsid w:val="10D34B99"/>
    <w:rsid w:val="10D40911"/>
    <w:rsid w:val="10D736B1"/>
    <w:rsid w:val="10D821AF"/>
    <w:rsid w:val="10DB17D5"/>
    <w:rsid w:val="10DB1C9F"/>
    <w:rsid w:val="10E11406"/>
    <w:rsid w:val="10E24A58"/>
    <w:rsid w:val="10E52487"/>
    <w:rsid w:val="10E64849"/>
    <w:rsid w:val="10ED3781"/>
    <w:rsid w:val="10ED62C9"/>
    <w:rsid w:val="10EE616A"/>
    <w:rsid w:val="10F45B00"/>
    <w:rsid w:val="10F67454"/>
    <w:rsid w:val="10F74511"/>
    <w:rsid w:val="10F77E9A"/>
    <w:rsid w:val="10FA7EF2"/>
    <w:rsid w:val="11005262"/>
    <w:rsid w:val="110C3C07"/>
    <w:rsid w:val="110E3E23"/>
    <w:rsid w:val="110F3902"/>
    <w:rsid w:val="111331E7"/>
    <w:rsid w:val="111A01C1"/>
    <w:rsid w:val="111D4066"/>
    <w:rsid w:val="111E52AA"/>
    <w:rsid w:val="11235730"/>
    <w:rsid w:val="11272147"/>
    <w:rsid w:val="1137024E"/>
    <w:rsid w:val="113849FC"/>
    <w:rsid w:val="1138517A"/>
    <w:rsid w:val="11387160"/>
    <w:rsid w:val="113C371A"/>
    <w:rsid w:val="113D0261"/>
    <w:rsid w:val="113F3BED"/>
    <w:rsid w:val="11422360"/>
    <w:rsid w:val="114408F4"/>
    <w:rsid w:val="1149458E"/>
    <w:rsid w:val="11524785"/>
    <w:rsid w:val="115741A6"/>
    <w:rsid w:val="1158509E"/>
    <w:rsid w:val="11591EC2"/>
    <w:rsid w:val="115B3953"/>
    <w:rsid w:val="11624FF1"/>
    <w:rsid w:val="11627CCB"/>
    <w:rsid w:val="1164096F"/>
    <w:rsid w:val="11641C95"/>
    <w:rsid w:val="11694844"/>
    <w:rsid w:val="116C5FCF"/>
    <w:rsid w:val="11707C6F"/>
    <w:rsid w:val="11757139"/>
    <w:rsid w:val="11782737"/>
    <w:rsid w:val="117B2B3A"/>
    <w:rsid w:val="118169F3"/>
    <w:rsid w:val="11866F8D"/>
    <w:rsid w:val="1189484A"/>
    <w:rsid w:val="118C0B72"/>
    <w:rsid w:val="118E286E"/>
    <w:rsid w:val="118F3710"/>
    <w:rsid w:val="119211FE"/>
    <w:rsid w:val="11936205"/>
    <w:rsid w:val="11960AC4"/>
    <w:rsid w:val="119841A8"/>
    <w:rsid w:val="11990174"/>
    <w:rsid w:val="119B6521"/>
    <w:rsid w:val="119C61F9"/>
    <w:rsid w:val="11A1409D"/>
    <w:rsid w:val="11A84792"/>
    <w:rsid w:val="11AB4941"/>
    <w:rsid w:val="11AF610A"/>
    <w:rsid w:val="11B52A7C"/>
    <w:rsid w:val="11B60016"/>
    <w:rsid w:val="11B6625F"/>
    <w:rsid w:val="11C53057"/>
    <w:rsid w:val="11C643BE"/>
    <w:rsid w:val="11CC1466"/>
    <w:rsid w:val="11CF3202"/>
    <w:rsid w:val="11CF6E9F"/>
    <w:rsid w:val="11D31C55"/>
    <w:rsid w:val="11D64860"/>
    <w:rsid w:val="11D77818"/>
    <w:rsid w:val="11DA7004"/>
    <w:rsid w:val="11E53F40"/>
    <w:rsid w:val="11E556EC"/>
    <w:rsid w:val="11E73282"/>
    <w:rsid w:val="11EC3A38"/>
    <w:rsid w:val="11EF2ABE"/>
    <w:rsid w:val="11F06A97"/>
    <w:rsid w:val="11F766A7"/>
    <w:rsid w:val="11F86147"/>
    <w:rsid w:val="11FB7263"/>
    <w:rsid w:val="11FF19BD"/>
    <w:rsid w:val="11FF551A"/>
    <w:rsid w:val="120511CA"/>
    <w:rsid w:val="12072620"/>
    <w:rsid w:val="12074453"/>
    <w:rsid w:val="120F642F"/>
    <w:rsid w:val="12187542"/>
    <w:rsid w:val="121C256F"/>
    <w:rsid w:val="121C487F"/>
    <w:rsid w:val="121F5BBC"/>
    <w:rsid w:val="121F5F7E"/>
    <w:rsid w:val="12224E20"/>
    <w:rsid w:val="12297C61"/>
    <w:rsid w:val="122C28B0"/>
    <w:rsid w:val="123023DE"/>
    <w:rsid w:val="1231086C"/>
    <w:rsid w:val="12311E3B"/>
    <w:rsid w:val="12404F19"/>
    <w:rsid w:val="124179BE"/>
    <w:rsid w:val="12463148"/>
    <w:rsid w:val="124A10BB"/>
    <w:rsid w:val="124B7080"/>
    <w:rsid w:val="124D02E6"/>
    <w:rsid w:val="124E2148"/>
    <w:rsid w:val="12503FC7"/>
    <w:rsid w:val="12505D75"/>
    <w:rsid w:val="12536C6A"/>
    <w:rsid w:val="125735A8"/>
    <w:rsid w:val="12573F56"/>
    <w:rsid w:val="125D7A8C"/>
    <w:rsid w:val="12610A27"/>
    <w:rsid w:val="126443A1"/>
    <w:rsid w:val="12665CE5"/>
    <w:rsid w:val="126A7E2F"/>
    <w:rsid w:val="126B3D39"/>
    <w:rsid w:val="126D4B79"/>
    <w:rsid w:val="126D6927"/>
    <w:rsid w:val="12711FDC"/>
    <w:rsid w:val="1273042B"/>
    <w:rsid w:val="12731139"/>
    <w:rsid w:val="127B449C"/>
    <w:rsid w:val="128073DB"/>
    <w:rsid w:val="12870619"/>
    <w:rsid w:val="128B14A3"/>
    <w:rsid w:val="128E6FB3"/>
    <w:rsid w:val="12970412"/>
    <w:rsid w:val="12993BC0"/>
    <w:rsid w:val="129A3460"/>
    <w:rsid w:val="129F1B77"/>
    <w:rsid w:val="12A668CB"/>
    <w:rsid w:val="12A8795F"/>
    <w:rsid w:val="12AE4669"/>
    <w:rsid w:val="12B15F6E"/>
    <w:rsid w:val="12B32D8C"/>
    <w:rsid w:val="12B46304"/>
    <w:rsid w:val="12B55B84"/>
    <w:rsid w:val="12B91B6C"/>
    <w:rsid w:val="12BA65DF"/>
    <w:rsid w:val="12BC165D"/>
    <w:rsid w:val="12BE61AE"/>
    <w:rsid w:val="12CA151C"/>
    <w:rsid w:val="12CF66B9"/>
    <w:rsid w:val="12D1354A"/>
    <w:rsid w:val="12D7637B"/>
    <w:rsid w:val="12D9291A"/>
    <w:rsid w:val="12E0683B"/>
    <w:rsid w:val="12E26FC8"/>
    <w:rsid w:val="12E94387"/>
    <w:rsid w:val="12EF4942"/>
    <w:rsid w:val="12F06B96"/>
    <w:rsid w:val="12F641EE"/>
    <w:rsid w:val="12F7713B"/>
    <w:rsid w:val="12FC0B84"/>
    <w:rsid w:val="1300655A"/>
    <w:rsid w:val="130348AB"/>
    <w:rsid w:val="1304765D"/>
    <w:rsid w:val="130D37CB"/>
    <w:rsid w:val="1312467E"/>
    <w:rsid w:val="1319085D"/>
    <w:rsid w:val="13193394"/>
    <w:rsid w:val="131B45D5"/>
    <w:rsid w:val="131C54BB"/>
    <w:rsid w:val="13201BEB"/>
    <w:rsid w:val="13250FB0"/>
    <w:rsid w:val="13255454"/>
    <w:rsid w:val="13262CC4"/>
    <w:rsid w:val="132B03E2"/>
    <w:rsid w:val="132E5ABE"/>
    <w:rsid w:val="13317592"/>
    <w:rsid w:val="13381148"/>
    <w:rsid w:val="13433B2C"/>
    <w:rsid w:val="1345144A"/>
    <w:rsid w:val="134753CA"/>
    <w:rsid w:val="1348010F"/>
    <w:rsid w:val="134F094E"/>
    <w:rsid w:val="13527516"/>
    <w:rsid w:val="13536BAC"/>
    <w:rsid w:val="13542CE0"/>
    <w:rsid w:val="13547644"/>
    <w:rsid w:val="135740C5"/>
    <w:rsid w:val="135A007A"/>
    <w:rsid w:val="13612694"/>
    <w:rsid w:val="136247B4"/>
    <w:rsid w:val="1376180B"/>
    <w:rsid w:val="13764B1B"/>
    <w:rsid w:val="13773EEC"/>
    <w:rsid w:val="137A1724"/>
    <w:rsid w:val="137B2C9D"/>
    <w:rsid w:val="137B4906"/>
    <w:rsid w:val="137B6357"/>
    <w:rsid w:val="137D09B2"/>
    <w:rsid w:val="1384502B"/>
    <w:rsid w:val="138836C6"/>
    <w:rsid w:val="138959E3"/>
    <w:rsid w:val="138A1D2C"/>
    <w:rsid w:val="138C102F"/>
    <w:rsid w:val="138E1DCF"/>
    <w:rsid w:val="138E2FF9"/>
    <w:rsid w:val="138F413B"/>
    <w:rsid w:val="13906D71"/>
    <w:rsid w:val="139132E8"/>
    <w:rsid w:val="139221E1"/>
    <w:rsid w:val="13924F54"/>
    <w:rsid w:val="139679D5"/>
    <w:rsid w:val="13974112"/>
    <w:rsid w:val="139879D4"/>
    <w:rsid w:val="139A31D1"/>
    <w:rsid w:val="139C7E9F"/>
    <w:rsid w:val="139D2A1A"/>
    <w:rsid w:val="139D31D9"/>
    <w:rsid w:val="13B80EC8"/>
    <w:rsid w:val="13BF042A"/>
    <w:rsid w:val="13BF31B2"/>
    <w:rsid w:val="13C133CE"/>
    <w:rsid w:val="13C24A51"/>
    <w:rsid w:val="13CA1BEF"/>
    <w:rsid w:val="13CC0F3D"/>
    <w:rsid w:val="13CC3B21"/>
    <w:rsid w:val="13CC78F4"/>
    <w:rsid w:val="13D053C0"/>
    <w:rsid w:val="13D3611F"/>
    <w:rsid w:val="13D36C5E"/>
    <w:rsid w:val="13D40D7B"/>
    <w:rsid w:val="13E147DA"/>
    <w:rsid w:val="13E40B0D"/>
    <w:rsid w:val="13EC5383"/>
    <w:rsid w:val="13F6294C"/>
    <w:rsid w:val="13F932DB"/>
    <w:rsid w:val="13F9553D"/>
    <w:rsid w:val="13FA68E0"/>
    <w:rsid w:val="13FB0C28"/>
    <w:rsid w:val="13FE6EF1"/>
    <w:rsid w:val="14031D5C"/>
    <w:rsid w:val="140575E4"/>
    <w:rsid w:val="14111320"/>
    <w:rsid w:val="14117786"/>
    <w:rsid w:val="1419322E"/>
    <w:rsid w:val="141D78C5"/>
    <w:rsid w:val="14233C4A"/>
    <w:rsid w:val="14234A4B"/>
    <w:rsid w:val="14292A24"/>
    <w:rsid w:val="142B0848"/>
    <w:rsid w:val="142B6A9A"/>
    <w:rsid w:val="1432607A"/>
    <w:rsid w:val="14335F47"/>
    <w:rsid w:val="143A3661"/>
    <w:rsid w:val="143A6CDD"/>
    <w:rsid w:val="143F7A7C"/>
    <w:rsid w:val="144162BD"/>
    <w:rsid w:val="1448292D"/>
    <w:rsid w:val="144931CD"/>
    <w:rsid w:val="144B0EEA"/>
    <w:rsid w:val="144B713C"/>
    <w:rsid w:val="144C6E32"/>
    <w:rsid w:val="144F5A29"/>
    <w:rsid w:val="1450017D"/>
    <w:rsid w:val="145267A1"/>
    <w:rsid w:val="1454016C"/>
    <w:rsid w:val="14545B87"/>
    <w:rsid w:val="14575B69"/>
    <w:rsid w:val="145926F6"/>
    <w:rsid w:val="145D2017"/>
    <w:rsid w:val="14606BBF"/>
    <w:rsid w:val="14624527"/>
    <w:rsid w:val="146C7C3C"/>
    <w:rsid w:val="14711449"/>
    <w:rsid w:val="14726477"/>
    <w:rsid w:val="14733102"/>
    <w:rsid w:val="1479169C"/>
    <w:rsid w:val="147E3B44"/>
    <w:rsid w:val="14803D26"/>
    <w:rsid w:val="14812B5E"/>
    <w:rsid w:val="148271FE"/>
    <w:rsid w:val="14850E37"/>
    <w:rsid w:val="14883EEC"/>
    <w:rsid w:val="148D505F"/>
    <w:rsid w:val="14902DA1"/>
    <w:rsid w:val="14911462"/>
    <w:rsid w:val="1497412F"/>
    <w:rsid w:val="149B2415"/>
    <w:rsid w:val="149C26C3"/>
    <w:rsid w:val="14A0633F"/>
    <w:rsid w:val="14A46AC3"/>
    <w:rsid w:val="14A94CED"/>
    <w:rsid w:val="14A95C11"/>
    <w:rsid w:val="14AF76CB"/>
    <w:rsid w:val="14B27270"/>
    <w:rsid w:val="14B41848"/>
    <w:rsid w:val="14B474C5"/>
    <w:rsid w:val="14B66F5B"/>
    <w:rsid w:val="14B922F8"/>
    <w:rsid w:val="14B940A6"/>
    <w:rsid w:val="14BA1008"/>
    <w:rsid w:val="14CB7588"/>
    <w:rsid w:val="14CC78F3"/>
    <w:rsid w:val="14CF1B1B"/>
    <w:rsid w:val="14D279B4"/>
    <w:rsid w:val="14DD32F0"/>
    <w:rsid w:val="14DF1BD5"/>
    <w:rsid w:val="14E07A2C"/>
    <w:rsid w:val="14E153AA"/>
    <w:rsid w:val="14E57C63"/>
    <w:rsid w:val="14E63301"/>
    <w:rsid w:val="14E953FD"/>
    <w:rsid w:val="14EB3206"/>
    <w:rsid w:val="14ED6053"/>
    <w:rsid w:val="14EE541C"/>
    <w:rsid w:val="14EF14C8"/>
    <w:rsid w:val="14EF3F6B"/>
    <w:rsid w:val="14F06616"/>
    <w:rsid w:val="14F21366"/>
    <w:rsid w:val="14F3352F"/>
    <w:rsid w:val="14F36743"/>
    <w:rsid w:val="14FC58F2"/>
    <w:rsid w:val="14FE79A5"/>
    <w:rsid w:val="15003A82"/>
    <w:rsid w:val="150063A0"/>
    <w:rsid w:val="150117A8"/>
    <w:rsid w:val="15016650"/>
    <w:rsid w:val="150572EB"/>
    <w:rsid w:val="15064E11"/>
    <w:rsid w:val="15074494"/>
    <w:rsid w:val="150B001C"/>
    <w:rsid w:val="15121A08"/>
    <w:rsid w:val="15135793"/>
    <w:rsid w:val="15153797"/>
    <w:rsid w:val="15154F6B"/>
    <w:rsid w:val="1517743B"/>
    <w:rsid w:val="15190FE8"/>
    <w:rsid w:val="151D2886"/>
    <w:rsid w:val="151E1671"/>
    <w:rsid w:val="15205B7C"/>
    <w:rsid w:val="152119E5"/>
    <w:rsid w:val="15227E9D"/>
    <w:rsid w:val="152571A3"/>
    <w:rsid w:val="152B58EF"/>
    <w:rsid w:val="152E435F"/>
    <w:rsid w:val="152F5FAA"/>
    <w:rsid w:val="153E323D"/>
    <w:rsid w:val="153F3F2D"/>
    <w:rsid w:val="1542409B"/>
    <w:rsid w:val="154406BF"/>
    <w:rsid w:val="154F67B8"/>
    <w:rsid w:val="15505450"/>
    <w:rsid w:val="15543DCE"/>
    <w:rsid w:val="155B33AF"/>
    <w:rsid w:val="155C2C83"/>
    <w:rsid w:val="155D0482"/>
    <w:rsid w:val="156009C5"/>
    <w:rsid w:val="15645760"/>
    <w:rsid w:val="1565422D"/>
    <w:rsid w:val="1566572F"/>
    <w:rsid w:val="156726E4"/>
    <w:rsid w:val="156C2EC6"/>
    <w:rsid w:val="156C7992"/>
    <w:rsid w:val="156E30E2"/>
    <w:rsid w:val="1574215A"/>
    <w:rsid w:val="157606D6"/>
    <w:rsid w:val="15761F97"/>
    <w:rsid w:val="15787ABD"/>
    <w:rsid w:val="15791641"/>
    <w:rsid w:val="157B13BC"/>
    <w:rsid w:val="157D0E9D"/>
    <w:rsid w:val="157F7533"/>
    <w:rsid w:val="15806971"/>
    <w:rsid w:val="15882032"/>
    <w:rsid w:val="15883A78"/>
    <w:rsid w:val="158C0C3F"/>
    <w:rsid w:val="158C4D72"/>
    <w:rsid w:val="158D3108"/>
    <w:rsid w:val="158F12AA"/>
    <w:rsid w:val="158F714A"/>
    <w:rsid w:val="15900A0D"/>
    <w:rsid w:val="15922A63"/>
    <w:rsid w:val="15932B49"/>
    <w:rsid w:val="159A53A0"/>
    <w:rsid w:val="159A5CDC"/>
    <w:rsid w:val="159A6FEE"/>
    <w:rsid w:val="159D0CC2"/>
    <w:rsid w:val="159E329B"/>
    <w:rsid w:val="159E6824"/>
    <w:rsid w:val="159F1F9D"/>
    <w:rsid w:val="15A05265"/>
    <w:rsid w:val="15A60BA5"/>
    <w:rsid w:val="15AB2B75"/>
    <w:rsid w:val="15AC1E7C"/>
    <w:rsid w:val="15AC7CA9"/>
    <w:rsid w:val="15AD2773"/>
    <w:rsid w:val="15AE2DC8"/>
    <w:rsid w:val="15B34273"/>
    <w:rsid w:val="15B45E9B"/>
    <w:rsid w:val="15B50D11"/>
    <w:rsid w:val="15B8423D"/>
    <w:rsid w:val="15B87207"/>
    <w:rsid w:val="15BF56EC"/>
    <w:rsid w:val="15C62573"/>
    <w:rsid w:val="15CF11DB"/>
    <w:rsid w:val="15D15511"/>
    <w:rsid w:val="15D171CD"/>
    <w:rsid w:val="15D54F0F"/>
    <w:rsid w:val="15E45511"/>
    <w:rsid w:val="15E555E5"/>
    <w:rsid w:val="15EB4DF3"/>
    <w:rsid w:val="15EE4223"/>
    <w:rsid w:val="15F6675E"/>
    <w:rsid w:val="15FB06EE"/>
    <w:rsid w:val="15FD52F6"/>
    <w:rsid w:val="15FF3D3A"/>
    <w:rsid w:val="160022D2"/>
    <w:rsid w:val="16007AB2"/>
    <w:rsid w:val="16024F07"/>
    <w:rsid w:val="16041350"/>
    <w:rsid w:val="160752E5"/>
    <w:rsid w:val="160C28FB"/>
    <w:rsid w:val="160E443B"/>
    <w:rsid w:val="16111CBF"/>
    <w:rsid w:val="16156872"/>
    <w:rsid w:val="1619582C"/>
    <w:rsid w:val="161B4433"/>
    <w:rsid w:val="161C1760"/>
    <w:rsid w:val="16214607"/>
    <w:rsid w:val="162437A1"/>
    <w:rsid w:val="16257E60"/>
    <w:rsid w:val="16263C7C"/>
    <w:rsid w:val="162D71E8"/>
    <w:rsid w:val="162E461F"/>
    <w:rsid w:val="1632283F"/>
    <w:rsid w:val="16324A4A"/>
    <w:rsid w:val="163836F0"/>
    <w:rsid w:val="16410673"/>
    <w:rsid w:val="16443A44"/>
    <w:rsid w:val="1645002A"/>
    <w:rsid w:val="164B6F7F"/>
    <w:rsid w:val="164C2CF7"/>
    <w:rsid w:val="16501384"/>
    <w:rsid w:val="16564724"/>
    <w:rsid w:val="165A18B8"/>
    <w:rsid w:val="165B4EA8"/>
    <w:rsid w:val="165D6D35"/>
    <w:rsid w:val="16600A22"/>
    <w:rsid w:val="16651332"/>
    <w:rsid w:val="16661FBB"/>
    <w:rsid w:val="166B221D"/>
    <w:rsid w:val="166B5465"/>
    <w:rsid w:val="166B5873"/>
    <w:rsid w:val="166D15EC"/>
    <w:rsid w:val="166E7112"/>
    <w:rsid w:val="16706804"/>
    <w:rsid w:val="1672275E"/>
    <w:rsid w:val="16752C34"/>
    <w:rsid w:val="16765F7F"/>
    <w:rsid w:val="16775FC6"/>
    <w:rsid w:val="16797F90"/>
    <w:rsid w:val="16817530"/>
    <w:rsid w:val="16824D24"/>
    <w:rsid w:val="16830799"/>
    <w:rsid w:val="168B3820"/>
    <w:rsid w:val="16935F86"/>
    <w:rsid w:val="169408EA"/>
    <w:rsid w:val="169916F7"/>
    <w:rsid w:val="16A10D7E"/>
    <w:rsid w:val="16A31C0B"/>
    <w:rsid w:val="16A353F9"/>
    <w:rsid w:val="16A448E1"/>
    <w:rsid w:val="16A6065A"/>
    <w:rsid w:val="16A60D5F"/>
    <w:rsid w:val="16A638BE"/>
    <w:rsid w:val="16A94232"/>
    <w:rsid w:val="16AB2114"/>
    <w:rsid w:val="16AB496B"/>
    <w:rsid w:val="16B12199"/>
    <w:rsid w:val="16B56E58"/>
    <w:rsid w:val="16BB37A3"/>
    <w:rsid w:val="16BB6B10"/>
    <w:rsid w:val="16BE584F"/>
    <w:rsid w:val="16BF701F"/>
    <w:rsid w:val="16C0050D"/>
    <w:rsid w:val="16C75500"/>
    <w:rsid w:val="16C775FE"/>
    <w:rsid w:val="16CA2F40"/>
    <w:rsid w:val="16CC16CE"/>
    <w:rsid w:val="16CD49B3"/>
    <w:rsid w:val="16CF654F"/>
    <w:rsid w:val="16D30095"/>
    <w:rsid w:val="16D31A1B"/>
    <w:rsid w:val="16D60B11"/>
    <w:rsid w:val="16D737E1"/>
    <w:rsid w:val="16D87923"/>
    <w:rsid w:val="16DB1AC1"/>
    <w:rsid w:val="16DD47DB"/>
    <w:rsid w:val="16E060CA"/>
    <w:rsid w:val="16E10014"/>
    <w:rsid w:val="16E318AE"/>
    <w:rsid w:val="16E475A4"/>
    <w:rsid w:val="16E53451"/>
    <w:rsid w:val="16E60DF9"/>
    <w:rsid w:val="16E875C5"/>
    <w:rsid w:val="16E9196E"/>
    <w:rsid w:val="16EB2510"/>
    <w:rsid w:val="16EF14C3"/>
    <w:rsid w:val="16F01CA5"/>
    <w:rsid w:val="16F32E01"/>
    <w:rsid w:val="16FC64CC"/>
    <w:rsid w:val="16FD5BD9"/>
    <w:rsid w:val="17014F36"/>
    <w:rsid w:val="170535D2"/>
    <w:rsid w:val="170651A4"/>
    <w:rsid w:val="170949A7"/>
    <w:rsid w:val="170D2E54"/>
    <w:rsid w:val="17187A03"/>
    <w:rsid w:val="171B54BE"/>
    <w:rsid w:val="171F70DD"/>
    <w:rsid w:val="17207BFF"/>
    <w:rsid w:val="172150F6"/>
    <w:rsid w:val="172171F6"/>
    <w:rsid w:val="1722780F"/>
    <w:rsid w:val="17252038"/>
    <w:rsid w:val="172865B7"/>
    <w:rsid w:val="172D42CE"/>
    <w:rsid w:val="172E1417"/>
    <w:rsid w:val="1737255D"/>
    <w:rsid w:val="173739A8"/>
    <w:rsid w:val="17430688"/>
    <w:rsid w:val="174340FA"/>
    <w:rsid w:val="174411E0"/>
    <w:rsid w:val="174672E5"/>
    <w:rsid w:val="174E7AEF"/>
    <w:rsid w:val="174F66DD"/>
    <w:rsid w:val="17504430"/>
    <w:rsid w:val="175317A1"/>
    <w:rsid w:val="17546308"/>
    <w:rsid w:val="175956CC"/>
    <w:rsid w:val="175A5403"/>
    <w:rsid w:val="175D1469"/>
    <w:rsid w:val="17616DA6"/>
    <w:rsid w:val="176177D6"/>
    <w:rsid w:val="17691BB2"/>
    <w:rsid w:val="17696F5D"/>
    <w:rsid w:val="176A5E19"/>
    <w:rsid w:val="176A78D9"/>
    <w:rsid w:val="176B183A"/>
    <w:rsid w:val="176D1177"/>
    <w:rsid w:val="176E70B3"/>
    <w:rsid w:val="176E70C4"/>
    <w:rsid w:val="17745F1B"/>
    <w:rsid w:val="17756461"/>
    <w:rsid w:val="177A4ECD"/>
    <w:rsid w:val="177B0E6C"/>
    <w:rsid w:val="177D4252"/>
    <w:rsid w:val="17835914"/>
    <w:rsid w:val="178677B1"/>
    <w:rsid w:val="178A3AD7"/>
    <w:rsid w:val="178B0A17"/>
    <w:rsid w:val="17906A6C"/>
    <w:rsid w:val="17913549"/>
    <w:rsid w:val="17935082"/>
    <w:rsid w:val="17940548"/>
    <w:rsid w:val="17975E0B"/>
    <w:rsid w:val="179A0052"/>
    <w:rsid w:val="179E1BF7"/>
    <w:rsid w:val="179E4A77"/>
    <w:rsid w:val="179E7583"/>
    <w:rsid w:val="17A55F78"/>
    <w:rsid w:val="17A64699"/>
    <w:rsid w:val="17A70B2D"/>
    <w:rsid w:val="17A74689"/>
    <w:rsid w:val="17B906D9"/>
    <w:rsid w:val="17BB4F50"/>
    <w:rsid w:val="17BE2E86"/>
    <w:rsid w:val="17C0574B"/>
    <w:rsid w:val="17C31E10"/>
    <w:rsid w:val="17C32668"/>
    <w:rsid w:val="17C622CB"/>
    <w:rsid w:val="17C92852"/>
    <w:rsid w:val="17CC2A8C"/>
    <w:rsid w:val="17D00A3A"/>
    <w:rsid w:val="17D029EF"/>
    <w:rsid w:val="17D2722C"/>
    <w:rsid w:val="17D411F6"/>
    <w:rsid w:val="17D74F0C"/>
    <w:rsid w:val="17D867BC"/>
    <w:rsid w:val="17D86F39"/>
    <w:rsid w:val="17DC167A"/>
    <w:rsid w:val="17E07B9B"/>
    <w:rsid w:val="17E4389C"/>
    <w:rsid w:val="17E52F4F"/>
    <w:rsid w:val="17E72CD8"/>
    <w:rsid w:val="17E7572C"/>
    <w:rsid w:val="17E84BB2"/>
    <w:rsid w:val="17E87351"/>
    <w:rsid w:val="17ED3B41"/>
    <w:rsid w:val="17EF4FFC"/>
    <w:rsid w:val="17F25FE3"/>
    <w:rsid w:val="17FB6783"/>
    <w:rsid w:val="17FE0021"/>
    <w:rsid w:val="18023FB5"/>
    <w:rsid w:val="180A4C18"/>
    <w:rsid w:val="180E4708"/>
    <w:rsid w:val="180F222F"/>
    <w:rsid w:val="1810433F"/>
    <w:rsid w:val="18167B10"/>
    <w:rsid w:val="18181E8D"/>
    <w:rsid w:val="181F06C4"/>
    <w:rsid w:val="181F63D4"/>
    <w:rsid w:val="1821268E"/>
    <w:rsid w:val="182B350C"/>
    <w:rsid w:val="182D4122"/>
    <w:rsid w:val="182E4630"/>
    <w:rsid w:val="182F3072"/>
    <w:rsid w:val="18334789"/>
    <w:rsid w:val="18354663"/>
    <w:rsid w:val="18360C4F"/>
    <w:rsid w:val="18381DD3"/>
    <w:rsid w:val="18386A70"/>
    <w:rsid w:val="183B1275"/>
    <w:rsid w:val="184327DE"/>
    <w:rsid w:val="18475E6C"/>
    <w:rsid w:val="184A503E"/>
    <w:rsid w:val="18504D21"/>
    <w:rsid w:val="18516BBD"/>
    <w:rsid w:val="18535ABC"/>
    <w:rsid w:val="18557D7D"/>
    <w:rsid w:val="185B71EE"/>
    <w:rsid w:val="185D72AB"/>
    <w:rsid w:val="185F2DAF"/>
    <w:rsid w:val="18647688"/>
    <w:rsid w:val="1869193F"/>
    <w:rsid w:val="1871155F"/>
    <w:rsid w:val="18711565"/>
    <w:rsid w:val="187327BD"/>
    <w:rsid w:val="187529D9"/>
    <w:rsid w:val="1876405C"/>
    <w:rsid w:val="18785BEF"/>
    <w:rsid w:val="187B63C2"/>
    <w:rsid w:val="187F73B4"/>
    <w:rsid w:val="1880461E"/>
    <w:rsid w:val="18842C1C"/>
    <w:rsid w:val="188B4AFF"/>
    <w:rsid w:val="188C7D85"/>
    <w:rsid w:val="188E7589"/>
    <w:rsid w:val="18975E70"/>
    <w:rsid w:val="18982224"/>
    <w:rsid w:val="189C1D14"/>
    <w:rsid w:val="18A07277"/>
    <w:rsid w:val="18A24E51"/>
    <w:rsid w:val="18A312F5"/>
    <w:rsid w:val="18A3668F"/>
    <w:rsid w:val="18A9617F"/>
    <w:rsid w:val="18AB2B24"/>
    <w:rsid w:val="18AC4F64"/>
    <w:rsid w:val="18B0326D"/>
    <w:rsid w:val="18B142EE"/>
    <w:rsid w:val="18B32480"/>
    <w:rsid w:val="18B34A2A"/>
    <w:rsid w:val="18B352B0"/>
    <w:rsid w:val="18B4198B"/>
    <w:rsid w:val="18B946A4"/>
    <w:rsid w:val="18BA01FF"/>
    <w:rsid w:val="18BC4164"/>
    <w:rsid w:val="18BE7650"/>
    <w:rsid w:val="18C179CD"/>
    <w:rsid w:val="18CB6A1D"/>
    <w:rsid w:val="18CD6371"/>
    <w:rsid w:val="18D857B1"/>
    <w:rsid w:val="18D94D16"/>
    <w:rsid w:val="18DF1EB1"/>
    <w:rsid w:val="18E64911"/>
    <w:rsid w:val="18E86D07"/>
    <w:rsid w:val="18F33E1D"/>
    <w:rsid w:val="18FB5146"/>
    <w:rsid w:val="18FC2175"/>
    <w:rsid w:val="19085771"/>
    <w:rsid w:val="190A6308"/>
    <w:rsid w:val="190B0C48"/>
    <w:rsid w:val="190B50EC"/>
    <w:rsid w:val="190F5795"/>
    <w:rsid w:val="19132319"/>
    <w:rsid w:val="19134827"/>
    <w:rsid w:val="19150708"/>
    <w:rsid w:val="19163C62"/>
    <w:rsid w:val="191C34A5"/>
    <w:rsid w:val="191D2C9B"/>
    <w:rsid w:val="191E097B"/>
    <w:rsid w:val="19224845"/>
    <w:rsid w:val="19264E23"/>
    <w:rsid w:val="192B3098"/>
    <w:rsid w:val="192D1125"/>
    <w:rsid w:val="192F3FF0"/>
    <w:rsid w:val="193006AE"/>
    <w:rsid w:val="193070A2"/>
    <w:rsid w:val="19314B52"/>
    <w:rsid w:val="193337F3"/>
    <w:rsid w:val="19365277"/>
    <w:rsid w:val="19366C94"/>
    <w:rsid w:val="193B5442"/>
    <w:rsid w:val="193C52A5"/>
    <w:rsid w:val="19400CFB"/>
    <w:rsid w:val="194018CC"/>
    <w:rsid w:val="194128BC"/>
    <w:rsid w:val="19452A7B"/>
    <w:rsid w:val="1946006F"/>
    <w:rsid w:val="194B373A"/>
    <w:rsid w:val="194B54E8"/>
    <w:rsid w:val="194B7296"/>
    <w:rsid w:val="194D237F"/>
    <w:rsid w:val="19503165"/>
    <w:rsid w:val="195357A7"/>
    <w:rsid w:val="19554B74"/>
    <w:rsid w:val="19574D48"/>
    <w:rsid w:val="195C3F25"/>
    <w:rsid w:val="19630A84"/>
    <w:rsid w:val="19670574"/>
    <w:rsid w:val="1968609A"/>
    <w:rsid w:val="196A08CD"/>
    <w:rsid w:val="196A76A5"/>
    <w:rsid w:val="196C5B8A"/>
    <w:rsid w:val="196F4370"/>
    <w:rsid w:val="19786206"/>
    <w:rsid w:val="197B4380"/>
    <w:rsid w:val="197B608A"/>
    <w:rsid w:val="19814E9C"/>
    <w:rsid w:val="198454CC"/>
    <w:rsid w:val="198465F3"/>
    <w:rsid w:val="198E16B0"/>
    <w:rsid w:val="199649B5"/>
    <w:rsid w:val="19973CD8"/>
    <w:rsid w:val="19A3762F"/>
    <w:rsid w:val="19AD1CFF"/>
    <w:rsid w:val="19AF6F72"/>
    <w:rsid w:val="19AF7825"/>
    <w:rsid w:val="19B3645C"/>
    <w:rsid w:val="19B5770B"/>
    <w:rsid w:val="19B6552F"/>
    <w:rsid w:val="19B80595"/>
    <w:rsid w:val="19BC1F42"/>
    <w:rsid w:val="19BC350E"/>
    <w:rsid w:val="19BD0194"/>
    <w:rsid w:val="19BF795C"/>
    <w:rsid w:val="19C24C2F"/>
    <w:rsid w:val="19C916C4"/>
    <w:rsid w:val="19C95E24"/>
    <w:rsid w:val="19CC3B6E"/>
    <w:rsid w:val="19CD2D0C"/>
    <w:rsid w:val="19CE05F3"/>
    <w:rsid w:val="19CE1B53"/>
    <w:rsid w:val="19D46A04"/>
    <w:rsid w:val="19D754F4"/>
    <w:rsid w:val="19DF45AE"/>
    <w:rsid w:val="19E50FDE"/>
    <w:rsid w:val="19E6347B"/>
    <w:rsid w:val="19E877B3"/>
    <w:rsid w:val="19EF1920"/>
    <w:rsid w:val="19F416DC"/>
    <w:rsid w:val="19F45B80"/>
    <w:rsid w:val="19FA4C13"/>
    <w:rsid w:val="19FE1E73"/>
    <w:rsid w:val="19FE255B"/>
    <w:rsid w:val="19FE6418"/>
    <w:rsid w:val="1A002777"/>
    <w:rsid w:val="1A006A76"/>
    <w:rsid w:val="1A026B5D"/>
    <w:rsid w:val="1A051B3B"/>
    <w:rsid w:val="1A054EE9"/>
    <w:rsid w:val="1A057D8D"/>
    <w:rsid w:val="1A072B59"/>
    <w:rsid w:val="1A073B05"/>
    <w:rsid w:val="1A0A752D"/>
    <w:rsid w:val="1A0B3B5C"/>
    <w:rsid w:val="1A0B6F32"/>
    <w:rsid w:val="1A0C4BCD"/>
    <w:rsid w:val="1A0E6C42"/>
    <w:rsid w:val="1A1542BA"/>
    <w:rsid w:val="1A1600B2"/>
    <w:rsid w:val="1A18098A"/>
    <w:rsid w:val="1A181453"/>
    <w:rsid w:val="1A1E64FF"/>
    <w:rsid w:val="1A1F0750"/>
    <w:rsid w:val="1A24438C"/>
    <w:rsid w:val="1A280A3F"/>
    <w:rsid w:val="1A2B0289"/>
    <w:rsid w:val="1A2B66B5"/>
    <w:rsid w:val="1A310B82"/>
    <w:rsid w:val="1A3348FA"/>
    <w:rsid w:val="1A3A31D3"/>
    <w:rsid w:val="1A3D355B"/>
    <w:rsid w:val="1A481AA8"/>
    <w:rsid w:val="1A4927E5"/>
    <w:rsid w:val="1A495ECC"/>
    <w:rsid w:val="1A576D9E"/>
    <w:rsid w:val="1A5865FF"/>
    <w:rsid w:val="1A5A29EE"/>
    <w:rsid w:val="1A5B207C"/>
    <w:rsid w:val="1A5E0A43"/>
    <w:rsid w:val="1A5F0B00"/>
    <w:rsid w:val="1A5F3D37"/>
    <w:rsid w:val="1A5F749D"/>
    <w:rsid w:val="1A622AE9"/>
    <w:rsid w:val="1A634824"/>
    <w:rsid w:val="1A6434CC"/>
    <w:rsid w:val="1A691988"/>
    <w:rsid w:val="1A6A545B"/>
    <w:rsid w:val="1A6C043C"/>
    <w:rsid w:val="1A733B40"/>
    <w:rsid w:val="1A74215F"/>
    <w:rsid w:val="1A7566F2"/>
    <w:rsid w:val="1A770CC8"/>
    <w:rsid w:val="1A77464F"/>
    <w:rsid w:val="1A7A1B33"/>
    <w:rsid w:val="1A7C6383"/>
    <w:rsid w:val="1A7E24BE"/>
    <w:rsid w:val="1A802E6C"/>
    <w:rsid w:val="1A8B192F"/>
    <w:rsid w:val="1A8B41C9"/>
    <w:rsid w:val="1A8C3553"/>
    <w:rsid w:val="1A911621"/>
    <w:rsid w:val="1A937FFB"/>
    <w:rsid w:val="1A977D36"/>
    <w:rsid w:val="1A9F708B"/>
    <w:rsid w:val="1AA43102"/>
    <w:rsid w:val="1AA779DA"/>
    <w:rsid w:val="1AA878A9"/>
    <w:rsid w:val="1AAA66D6"/>
    <w:rsid w:val="1AAE10EC"/>
    <w:rsid w:val="1AB02A52"/>
    <w:rsid w:val="1AB07CF9"/>
    <w:rsid w:val="1AB772D9"/>
    <w:rsid w:val="1ABB2456"/>
    <w:rsid w:val="1ABC6045"/>
    <w:rsid w:val="1AC62248"/>
    <w:rsid w:val="1AC6341C"/>
    <w:rsid w:val="1AC64FF5"/>
    <w:rsid w:val="1AC76DF0"/>
    <w:rsid w:val="1AC968F2"/>
    <w:rsid w:val="1ACA64E8"/>
    <w:rsid w:val="1ACA67C8"/>
    <w:rsid w:val="1ACB68E1"/>
    <w:rsid w:val="1AD03EF7"/>
    <w:rsid w:val="1AD04B9A"/>
    <w:rsid w:val="1AD24430"/>
    <w:rsid w:val="1AD30604"/>
    <w:rsid w:val="1AD41CB4"/>
    <w:rsid w:val="1AD53078"/>
    <w:rsid w:val="1AD94039"/>
    <w:rsid w:val="1AD978A3"/>
    <w:rsid w:val="1AE87D36"/>
    <w:rsid w:val="1AEE125C"/>
    <w:rsid w:val="1AEF59B8"/>
    <w:rsid w:val="1AF01459"/>
    <w:rsid w:val="1AF05E88"/>
    <w:rsid w:val="1AF71062"/>
    <w:rsid w:val="1AF71788"/>
    <w:rsid w:val="1AF90D4D"/>
    <w:rsid w:val="1AFC0627"/>
    <w:rsid w:val="1AFC510C"/>
    <w:rsid w:val="1B065B6B"/>
    <w:rsid w:val="1B0C120E"/>
    <w:rsid w:val="1B0D4108"/>
    <w:rsid w:val="1B0E67CD"/>
    <w:rsid w:val="1B0F0EC3"/>
    <w:rsid w:val="1B0F4711"/>
    <w:rsid w:val="1B12628B"/>
    <w:rsid w:val="1B130D13"/>
    <w:rsid w:val="1B1970BA"/>
    <w:rsid w:val="1B1B7BF4"/>
    <w:rsid w:val="1B245FF1"/>
    <w:rsid w:val="1B267FBB"/>
    <w:rsid w:val="1B2A45A7"/>
    <w:rsid w:val="1B32070E"/>
    <w:rsid w:val="1B335FB7"/>
    <w:rsid w:val="1B3629FE"/>
    <w:rsid w:val="1B374424"/>
    <w:rsid w:val="1B395F40"/>
    <w:rsid w:val="1B440580"/>
    <w:rsid w:val="1B477BFC"/>
    <w:rsid w:val="1B486183"/>
    <w:rsid w:val="1B502A2B"/>
    <w:rsid w:val="1B532247"/>
    <w:rsid w:val="1B5B45DC"/>
    <w:rsid w:val="1B5B5FDA"/>
    <w:rsid w:val="1B5C578B"/>
    <w:rsid w:val="1B634C1A"/>
    <w:rsid w:val="1B651694"/>
    <w:rsid w:val="1B6C0367"/>
    <w:rsid w:val="1B6C66D9"/>
    <w:rsid w:val="1B6F3A8C"/>
    <w:rsid w:val="1B7371D9"/>
    <w:rsid w:val="1B7406C7"/>
    <w:rsid w:val="1B784C7F"/>
    <w:rsid w:val="1B79458F"/>
    <w:rsid w:val="1B7E3953"/>
    <w:rsid w:val="1B7E67C6"/>
    <w:rsid w:val="1B7F280B"/>
    <w:rsid w:val="1B8134CC"/>
    <w:rsid w:val="1B830F69"/>
    <w:rsid w:val="1B836421"/>
    <w:rsid w:val="1B85484D"/>
    <w:rsid w:val="1B857136"/>
    <w:rsid w:val="1B8D003A"/>
    <w:rsid w:val="1B913FEF"/>
    <w:rsid w:val="1B957BB4"/>
    <w:rsid w:val="1B971BA9"/>
    <w:rsid w:val="1B9B2757"/>
    <w:rsid w:val="1B9F099B"/>
    <w:rsid w:val="1BA14594"/>
    <w:rsid w:val="1BA517A1"/>
    <w:rsid w:val="1BAD4238"/>
    <w:rsid w:val="1BB074A7"/>
    <w:rsid w:val="1BB146D3"/>
    <w:rsid w:val="1BB6133F"/>
    <w:rsid w:val="1BB66F61"/>
    <w:rsid w:val="1BB959AA"/>
    <w:rsid w:val="1BC30FDD"/>
    <w:rsid w:val="1BC31CAE"/>
    <w:rsid w:val="1BC53330"/>
    <w:rsid w:val="1BC6633A"/>
    <w:rsid w:val="1BC70323"/>
    <w:rsid w:val="1BC752FA"/>
    <w:rsid w:val="1BC90051"/>
    <w:rsid w:val="1BC97C41"/>
    <w:rsid w:val="1BCA7EDE"/>
    <w:rsid w:val="1BCB4DCC"/>
    <w:rsid w:val="1BCD0E63"/>
    <w:rsid w:val="1BCD48DA"/>
    <w:rsid w:val="1BCD7E6B"/>
    <w:rsid w:val="1BD118B1"/>
    <w:rsid w:val="1BD12E87"/>
    <w:rsid w:val="1BD71DCA"/>
    <w:rsid w:val="1BD72B13"/>
    <w:rsid w:val="1BD87507"/>
    <w:rsid w:val="1BDC279E"/>
    <w:rsid w:val="1BDD2D6F"/>
    <w:rsid w:val="1BDE0675"/>
    <w:rsid w:val="1BE614F8"/>
    <w:rsid w:val="1BEB7A9D"/>
    <w:rsid w:val="1BEE1DE7"/>
    <w:rsid w:val="1BF234F2"/>
    <w:rsid w:val="1BF63E31"/>
    <w:rsid w:val="1BF67FDC"/>
    <w:rsid w:val="1BFA5749"/>
    <w:rsid w:val="1BFF55A7"/>
    <w:rsid w:val="1C025112"/>
    <w:rsid w:val="1C0565D6"/>
    <w:rsid w:val="1C090E9C"/>
    <w:rsid w:val="1C0E6482"/>
    <w:rsid w:val="1C0F3C59"/>
    <w:rsid w:val="1C12168A"/>
    <w:rsid w:val="1C142FD3"/>
    <w:rsid w:val="1C1D26ED"/>
    <w:rsid w:val="1C1F5987"/>
    <w:rsid w:val="1C2136E1"/>
    <w:rsid w:val="1C241C3D"/>
    <w:rsid w:val="1C26048F"/>
    <w:rsid w:val="1C267F4F"/>
    <w:rsid w:val="1C2B4641"/>
    <w:rsid w:val="1C3861F8"/>
    <w:rsid w:val="1C456157"/>
    <w:rsid w:val="1C4723EA"/>
    <w:rsid w:val="1C490921"/>
    <w:rsid w:val="1C49257F"/>
    <w:rsid w:val="1C4A7CD9"/>
    <w:rsid w:val="1C501F09"/>
    <w:rsid w:val="1C516588"/>
    <w:rsid w:val="1C522447"/>
    <w:rsid w:val="1C56667E"/>
    <w:rsid w:val="1C597F1C"/>
    <w:rsid w:val="1C6012AB"/>
    <w:rsid w:val="1C64435B"/>
    <w:rsid w:val="1C6D5805"/>
    <w:rsid w:val="1C760ACE"/>
    <w:rsid w:val="1C787886"/>
    <w:rsid w:val="1C7C7A64"/>
    <w:rsid w:val="1C7F3E27"/>
    <w:rsid w:val="1C80194D"/>
    <w:rsid w:val="1C842F55"/>
    <w:rsid w:val="1C864F11"/>
    <w:rsid w:val="1C8B140C"/>
    <w:rsid w:val="1C8B7161"/>
    <w:rsid w:val="1C8C20A0"/>
    <w:rsid w:val="1C8D11AB"/>
    <w:rsid w:val="1C8E4206"/>
    <w:rsid w:val="1C8F78EF"/>
    <w:rsid w:val="1C90290D"/>
    <w:rsid w:val="1C964CCC"/>
    <w:rsid w:val="1C99656B"/>
    <w:rsid w:val="1C9C4DED"/>
    <w:rsid w:val="1C9C6787"/>
    <w:rsid w:val="1CA35D6A"/>
    <w:rsid w:val="1CA4563B"/>
    <w:rsid w:val="1CAA0778"/>
    <w:rsid w:val="1CB32B6D"/>
    <w:rsid w:val="1CB33AD0"/>
    <w:rsid w:val="1CB7108C"/>
    <w:rsid w:val="1CB91DEC"/>
    <w:rsid w:val="1CC30290"/>
    <w:rsid w:val="1CC46A38"/>
    <w:rsid w:val="1CC7757C"/>
    <w:rsid w:val="1CC85FEF"/>
    <w:rsid w:val="1CD36D62"/>
    <w:rsid w:val="1CD6176F"/>
    <w:rsid w:val="1CD75A11"/>
    <w:rsid w:val="1CDA5E0D"/>
    <w:rsid w:val="1CDF1CDF"/>
    <w:rsid w:val="1CDF2D5E"/>
    <w:rsid w:val="1CDF2E64"/>
    <w:rsid w:val="1CDF6673"/>
    <w:rsid w:val="1CE622C0"/>
    <w:rsid w:val="1CE75623"/>
    <w:rsid w:val="1CEF43E3"/>
    <w:rsid w:val="1CF24C02"/>
    <w:rsid w:val="1CF67955"/>
    <w:rsid w:val="1CF83013"/>
    <w:rsid w:val="1CFE1E89"/>
    <w:rsid w:val="1D005D35"/>
    <w:rsid w:val="1D01031E"/>
    <w:rsid w:val="1D01040A"/>
    <w:rsid w:val="1D061E52"/>
    <w:rsid w:val="1D076AC5"/>
    <w:rsid w:val="1D0F29C1"/>
    <w:rsid w:val="1D1207F7"/>
    <w:rsid w:val="1D145F06"/>
    <w:rsid w:val="1D154BE0"/>
    <w:rsid w:val="1D1722B1"/>
    <w:rsid w:val="1D222A36"/>
    <w:rsid w:val="1D231983"/>
    <w:rsid w:val="1D2642A2"/>
    <w:rsid w:val="1D286EE6"/>
    <w:rsid w:val="1D310521"/>
    <w:rsid w:val="1D350989"/>
    <w:rsid w:val="1D366E3D"/>
    <w:rsid w:val="1D383FD6"/>
    <w:rsid w:val="1D3B4E59"/>
    <w:rsid w:val="1D3C1A50"/>
    <w:rsid w:val="1D4170C5"/>
    <w:rsid w:val="1D4218D7"/>
    <w:rsid w:val="1D4D5CD3"/>
    <w:rsid w:val="1D4E6761"/>
    <w:rsid w:val="1D591F60"/>
    <w:rsid w:val="1D5B1F3A"/>
    <w:rsid w:val="1D5D3DD1"/>
    <w:rsid w:val="1D5E1BB3"/>
    <w:rsid w:val="1D5F2AD3"/>
    <w:rsid w:val="1D666D95"/>
    <w:rsid w:val="1D691539"/>
    <w:rsid w:val="1D6E7783"/>
    <w:rsid w:val="1D73025B"/>
    <w:rsid w:val="1D7355AB"/>
    <w:rsid w:val="1D74500E"/>
    <w:rsid w:val="1D752B34"/>
    <w:rsid w:val="1D77278A"/>
    <w:rsid w:val="1D776411"/>
    <w:rsid w:val="1D792DEC"/>
    <w:rsid w:val="1D8965DF"/>
    <w:rsid w:val="1D8E3BF5"/>
    <w:rsid w:val="1D972B4A"/>
    <w:rsid w:val="1D983F49"/>
    <w:rsid w:val="1DA51673"/>
    <w:rsid w:val="1DAA4B96"/>
    <w:rsid w:val="1DAB5340"/>
    <w:rsid w:val="1DB16262"/>
    <w:rsid w:val="1DB45D52"/>
    <w:rsid w:val="1DB573D4"/>
    <w:rsid w:val="1DB65578"/>
    <w:rsid w:val="1DBA25A3"/>
    <w:rsid w:val="1DC046F7"/>
    <w:rsid w:val="1DC1221D"/>
    <w:rsid w:val="1DC75BE7"/>
    <w:rsid w:val="1DCF66E8"/>
    <w:rsid w:val="1DD261D8"/>
    <w:rsid w:val="1DDA4CBB"/>
    <w:rsid w:val="1DE04776"/>
    <w:rsid w:val="1DE318BC"/>
    <w:rsid w:val="1DE63A32"/>
    <w:rsid w:val="1DEA52D0"/>
    <w:rsid w:val="1DED217A"/>
    <w:rsid w:val="1DF120A7"/>
    <w:rsid w:val="1DF223D6"/>
    <w:rsid w:val="1DF4689F"/>
    <w:rsid w:val="1DF816DA"/>
    <w:rsid w:val="1DFE6525"/>
    <w:rsid w:val="1DFF09B2"/>
    <w:rsid w:val="1DFF55C2"/>
    <w:rsid w:val="1E0233E2"/>
    <w:rsid w:val="1E025CEA"/>
    <w:rsid w:val="1E034679"/>
    <w:rsid w:val="1E085B88"/>
    <w:rsid w:val="1E1009D3"/>
    <w:rsid w:val="1E107DB8"/>
    <w:rsid w:val="1E11423B"/>
    <w:rsid w:val="1E1175FE"/>
    <w:rsid w:val="1E196591"/>
    <w:rsid w:val="1E1E012C"/>
    <w:rsid w:val="1E1F5BAF"/>
    <w:rsid w:val="1E2178BB"/>
    <w:rsid w:val="1E2707B8"/>
    <w:rsid w:val="1E2A6E8A"/>
    <w:rsid w:val="1E304FEA"/>
    <w:rsid w:val="1E311151"/>
    <w:rsid w:val="1E334401"/>
    <w:rsid w:val="1E3625F6"/>
    <w:rsid w:val="1E366767"/>
    <w:rsid w:val="1E39113C"/>
    <w:rsid w:val="1E3B7ACD"/>
    <w:rsid w:val="1E3C6E79"/>
    <w:rsid w:val="1E4569AA"/>
    <w:rsid w:val="1E4C46B6"/>
    <w:rsid w:val="1E4E592A"/>
    <w:rsid w:val="1E4F7829"/>
    <w:rsid w:val="1E5B02F0"/>
    <w:rsid w:val="1E5B387D"/>
    <w:rsid w:val="1E5C7B4E"/>
    <w:rsid w:val="1E5D6AF5"/>
    <w:rsid w:val="1E604D89"/>
    <w:rsid w:val="1E632413"/>
    <w:rsid w:val="1E643D47"/>
    <w:rsid w:val="1E65221B"/>
    <w:rsid w:val="1E663EA0"/>
    <w:rsid w:val="1E691F90"/>
    <w:rsid w:val="1E6C4753"/>
    <w:rsid w:val="1E6E4153"/>
    <w:rsid w:val="1E6E6048"/>
    <w:rsid w:val="1E7070EB"/>
    <w:rsid w:val="1E71153B"/>
    <w:rsid w:val="1E717517"/>
    <w:rsid w:val="1E741642"/>
    <w:rsid w:val="1E753ADA"/>
    <w:rsid w:val="1E7644ED"/>
    <w:rsid w:val="1E7828DC"/>
    <w:rsid w:val="1E7D0307"/>
    <w:rsid w:val="1E7D6144"/>
    <w:rsid w:val="1E7E7DEE"/>
    <w:rsid w:val="1E806861"/>
    <w:rsid w:val="1E8335A2"/>
    <w:rsid w:val="1E885E5D"/>
    <w:rsid w:val="1E9620D3"/>
    <w:rsid w:val="1E990AA4"/>
    <w:rsid w:val="1E9A536D"/>
    <w:rsid w:val="1EAB0F03"/>
    <w:rsid w:val="1EAB78FF"/>
    <w:rsid w:val="1EB06519"/>
    <w:rsid w:val="1EB1193F"/>
    <w:rsid w:val="1EB12D29"/>
    <w:rsid w:val="1EB15DEE"/>
    <w:rsid w:val="1EB35599"/>
    <w:rsid w:val="1EB36627"/>
    <w:rsid w:val="1EB61656"/>
    <w:rsid w:val="1EBA3314"/>
    <w:rsid w:val="1EC01F32"/>
    <w:rsid w:val="1EC45AD1"/>
    <w:rsid w:val="1EC56A8E"/>
    <w:rsid w:val="1EC746CA"/>
    <w:rsid w:val="1EC8219B"/>
    <w:rsid w:val="1EC94019"/>
    <w:rsid w:val="1ECD76E6"/>
    <w:rsid w:val="1ECE06D1"/>
    <w:rsid w:val="1ED0096A"/>
    <w:rsid w:val="1ED33FB6"/>
    <w:rsid w:val="1ED44572"/>
    <w:rsid w:val="1ED50D55"/>
    <w:rsid w:val="1EDD6BE3"/>
    <w:rsid w:val="1EE00481"/>
    <w:rsid w:val="1EE40F81"/>
    <w:rsid w:val="1EE53034"/>
    <w:rsid w:val="1EEA3A5F"/>
    <w:rsid w:val="1EEF7422"/>
    <w:rsid w:val="1EF336B4"/>
    <w:rsid w:val="1EFB132C"/>
    <w:rsid w:val="1EFD123D"/>
    <w:rsid w:val="1EFD54D7"/>
    <w:rsid w:val="1F040AF8"/>
    <w:rsid w:val="1F074B01"/>
    <w:rsid w:val="1F0B11D3"/>
    <w:rsid w:val="1F0D396C"/>
    <w:rsid w:val="1F1574B5"/>
    <w:rsid w:val="1F1D7927"/>
    <w:rsid w:val="1F1D7F1A"/>
    <w:rsid w:val="1F1F207D"/>
    <w:rsid w:val="1F2765CD"/>
    <w:rsid w:val="1F283944"/>
    <w:rsid w:val="1F2D2773"/>
    <w:rsid w:val="1F2F552D"/>
    <w:rsid w:val="1F301408"/>
    <w:rsid w:val="1F303956"/>
    <w:rsid w:val="1F3231B4"/>
    <w:rsid w:val="1F3800ED"/>
    <w:rsid w:val="1F39725E"/>
    <w:rsid w:val="1F3A1E60"/>
    <w:rsid w:val="1F3A4472"/>
    <w:rsid w:val="1F3E3810"/>
    <w:rsid w:val="1F4201E6"/>
    <w:rsid w:val="1F42345E"/>
    <w:rsid w:val="1F4A2B88"/>
    <w:rsid w:val="1F4B7FF0"/>
    <w:rsid w:val="1F50752E"/>
    <w:rsid w:val="1F537636"/>
    <w:rsid w:val="1F542020"/>
    <w:rsid w:val="1F60475F"/>
    <w:rsid w:val="1F60485C"/>
    <w:rsid w:val="1F607B77"/>
    <w:rsid w:val="1F693042"/>
    <w:rsid w:val="1F6B3F39"/>
    <w:rsid w:val="1F6B41EE"/>
    <w:rsid w:val="1F6B4525"/>
    <w:rsid w:val="1F6E455B"/>
    <w:rsid w:val="1F6E6F9B"/>
    <w:rsid w:val="1F725AC9"/>
    <w:rsid w:val="1F7322DF"/>
    <w:rsid w:val="1F751935"/>
    <w:rsid w:val="1F7B1866"/>
    <w:rsid w:val="1F7E03C6"/>
    <w:rsid w:val="1F812900"/>
    <w:rsid w:val="1F813A12"/>
    <w:rsid w:val="1F896D6A"/>
    <w:rsid w:val="1F907953"/>
    <w:rsid w:val="1F912FCF"/>
    <w:rsid w:val="1F950C66"/>
    <w:rsid w:val="1F973235"/>
    <w:rsid w:val="1F9761A4"/>
    <w:rsid w:val="1F99613A"/>
    <w:rsid w:val="1F9B1ABB"/>
    <w:rsid w:val="1F9C6DF7"/>
    <w:rsid w:val="1F9F06F0"/>
    <w:rsid w:val="1FA30A6C"/>
    <w:rsid w:val="1FA32C58"/>
    <w:rsid w:val="1FA53BA4"/>
    <w:rsid w:val="1FA55C42"/>
    <w:rsid w:val="1FAB59E6"/>
    <w:rsid w:val="1FAC13D1"/>
    <w:rsid w:val="1FAC4405"/>
    <w:rsid w:val="1FB017D6"/>
    <w:rsid w:val="1FB56B13"/>
    <w:rsid w:val="1FBA777E"/>
    <w:rsid w:val="1FBF080A"/>
    <w:rsid w:val="1FBF58BF"/>
    <w:rsid w:val="1FC1184A"/>
    <w:rsid w:val="1FCE3DAE"/>
    <w:rsid w:val="1FD55B10"/>
    <w:rsid w:val="1FD71884"/>
    <w:rsid w:val="1FDB75C6"/>
    <w:rsid w:val="1FDC333E"/>
    <w:rsid w:val="1FDC6E9A"/>
    <w:rsid w:val="1FDE4EC2"/>
    <w:rsid w:val="1FE13081"/>
    <w:rsid w:val="1FE3606E"/>
    <w:rsid w:val="1FE5200E"/>
    <w:rsid w:val="1FE521F3"/>
    <w:rsid w:val="1FE62394"/>
    <w:rsid w:val="1FE637D7"/>
    <w:rsid w:val="1FE95633"/>
    <w:rsid w:val="1FEA07D8"/>
    <w:rsid w:val="1FEF682C"/>
    <w:rsid w:val="1FF95C9E"/>
    <w:rsid w:val="1FFB37C4"/>
    <w:rsid w:val="1FFD24A2"/>
    <w:rsid w:val="1FFD2DED"/>
    <w:rsid w:val="1FFF0860"/>
    <w:rsid w:val="1FFF6CC7"/>
    <w:rsid w:val="200F7724"/>
    <w:rsid w:val="20100AD2"/>
    <w:rsid w:val="20126D60"/>
    <w:rsid w:val="20147C0D"/>
    <w:rsid w:val="201601C3"/>
    <w:rsid w:val="20175624"/>
    <w:rsid w:val="201D3669"/>
    <w:rsid w:val="20204AEE"/>
    <w:rsid w:val="20292515"/>
    <w:rsid w:val="202A5E57"/>
    <w:rsid w:val="202B6D90"/>
    <w:rsid w:val="202C6073"/>
    <w:rsid w:val="202C7E22"/>
    <w:rsid w:val="20313FB9"/>
    <w:rsid w:val="203B0007"/>
    <w:rsid w:val="203C275C"/>
    <w:rsid w:val="203C353D"/>
    <w:rsid w:val="203C39A2"/>
    <w:rsid w:val="204038CD"/>
    <w:rsid w:val="20407A64"/>
    <w:rsid w:val="20443CB9"/>
    <w:rsid w:val="20457D0E"/>
    <w:rsid w:val="20461A3D"/>
    <w:rsid w:val="20586E69"/>
    <w:rsid w:val="205D0C5E"/>
    <w:rsid w:val="205E1FA5"/>
    <w:rsid w:val="205E737F"/>
    <w:rsid w:val="206226A6"/>
    <w:rsid w:val="20631369"/>
    <w:rsid w:val="206550E2"/>
    <w:rsid w:val="206A0C3C"/>
    <w:rsid w:val="206B67EA"/>
    <w:rsid w:val="206C37F8"/>
    <w:rsid w:val="206D1261"/>
    <w:rsid w:val="206E043A"/>
    <w:rsid w:val="206E4411"/>
    <w:rsid w:val="20735A50"/>
    <w:rsid w:val="207545DC"/>
    <w:rsid w:val="207812B9"/>
    <w:rsid w:val="20782A0A"/>
    <w:rsid w:val="207B7041"/>
    <w:rsid w:val="207E4939"/>
    <w:rsid w:val="20873AE4"/>
    <w:rsid w:val="2089132B"/>
    <w:rsid w:val="20891E70"/>
    <w:rsid w:val="208C5671"/>
    <w:rsid w:val="208C71D9"/>
    <w:rsid w:val="208E661F"/>
    <w:rsid w:val="20916ECC"/>
    <w:rsid w:val="209377B8"/>
    <w:rsid w:val="20940384"/>
    <w:rsid w:val="20987637"/>
    <w:rsid w:val="20A025BE"/>
    <w:rsid w:val="20A13523"/>
    <w:rsid w:val="20A22EDD"/>
    <w:rsid w:val="20B20C21"/>
    <w:rsid w:val="20BD5190"/>
    <w:rsid w:val="20C067BC"/>
    <w:rsid w:val="20C24078"/>
    <w:rsid w:val="20C242E2"/>
    <w:rsid w:val="20C279F7"/>
    <w:rsid w:val="20C472B3"/>
    <w:rsid w:val="20C72F89"/>
    <w:rsid w:val="20C83C2D"/>
    <w:rsid w:val="20CD5855"/>
    <w:rsid w:val="20D060D0"/>
    <w:rsid w:val="20D8591C"/>
    <w:rsid w:val="20D901F2"/>
    <w:rsid w:val="20DE4594"/>
    <w:rsid w:val="20E05F03"/>
    <w:rsid w:val="20E424AA"/>
    <w:rsid w:val="20E45C5F"/>
    <w:rsid w:val="20E53DA9"/>
    <w:rsid w:val="20E837A7"/>
    <w:rsid w:val="20E901DF"/>
    <w:rsid w:val="20EA712D"/>
    <w:rsid w:val="20F12E19"/>
    <w:rsid w:val="20F13631"/>
    <w:rsid w:val="20F8473F"/>
    <w:rsid w:val="20FC3928"/>
    <w:rsid w:val="20FE314A"/>
    <w:rsid w:val="20FE5F79"/>
    <w:rsid w:val="21056D13"/>
    <w:rsid w:val="21090163"/>
    <w:rsid w:val="210A2DBD"/>
    <w:rsid w:val="210D3B2A"/>
    <w:rsid w:val="21135A90"/>
    <w:rsid w:val="211B1C44"/>
    <w:rsid w:val="21254B09"/>
    <w:rsid w:val="2129610F"/>
    <w:rsid w:val="212A48F8"/>
    <w:rsid w:val="212C3E51"/>
    <w:rsid w:val="2130262B"/>
    <w:rsid w:val="21356A28"/>
    <w:rsid w:val="21373301"/>
    <w:rsid w:val="213845A4"/>
    <w:rsid w:val="213B39EA"/>
    <w:rsid w:val="213E6C0A"/>
    <w:rsid w:val="21424995"/>
    <w:rsid w:val="2145715A"/>
    <w:rsid w:val="21463165"/>
    <w:rsid w:val="2146615C"/>
    <w:rsid w:val="214844C3"/>
    <w:rsid w:val="21485471"/>
    <w:rsid w:val="2149055F"/>
    <w:rsid w:val="21494A03"/>
    <w:rsid w:val="214C004F"/>
    <w:rsid w:val="214D6000"/>
    <w:rsid w:val="21534886"/>
    <w:rsid w:val="215533C5"/>
    <w:rsid w:val="21584C46"/>
    <w:rsid w:val="21584EA5"/>
    <w:rsid w:val="215A6C10"/>
    <w:rsid w:val="215B3668"/>
    <w:rsid w:val="215D6BC3"/>
    <w:rsid w:val="216643CD"/>
    <w:rsid w:val="216929AF"/>
    <w:rsid w:val="216A7931"/>
    <w:rsid w:val="216C33E5"/>
    <w:rsid w:val="216F189E"/>
    <w:rsid w:val="21731DAF"/>
    <w:rsid w:val="217B4021"/>
    <w:rsid w:val="217C0935"/>
    <w:rsid w:val="217E7E91"/>
    <w:rsid w:val="2181722A"/>
    <w:rsid w:val="218840B4"/>
    <w:rsid w:val="21892999"/>
    <w:rsid w:val="218B7D40"/>
    <w:rsid w:val="21921F06"/>
    <w:rsid w:val="21942239"/>
    <w:rsid w:val="219537A4"/>
    <w:rsid w:val="219C0FD7"/>
    <w:rsid w:val="219C1AAE"/>
    <w:rsid w:val="219F60FF"/>
    <w:rsid w:val="21A5276F"/>
    <w:rsid w:val="21AA16B2"/>
    <w:rsid w:val="21AA36F4"/>
    <w:rsid w:val="21AA757E"/>
    <w:rsid w:val="21AF2F84"/>
    <w:rsid w:val="21B10E52"/>
    <w:rsid w:val="21B24356"/>
    <w:rsid w:val="21B5128A"/>
    <w:rsid w:val="21B87493"/>
    <w:rsid w:val="21B96164"/>
    <w:rsid w:val="21BA09D2"/>
    <w:rsid w:val="21BA49F9"/>
    <w:rsid w:val="21BC6F8D"/>
    <w:rsid w:val="21BF6CED"/>
    <w:rsid w:val="21C36564"/>
    <w:rsid w:val="21C476DA"/>
    <w:rsid w:val="21C87E9E"/>
    <w:rsid w:val="21D27AC7"/>
    <w:rsid w:val="21DE514B"/>
    <w:rsid w:val="21E15CD5"/>
    <w:rsid w:val="21E36B90"/>
    <w:rsid w:val="21E52B87"/>
    <w:rsid w:val="21E825AB"/>
    <w:rsid w:val="21EC6D8D"/>
    <w:rsid w:val="21F47827"/>
    <w:rsid w:val="21F50E74"/>
    <w:rsid w:val="21F91DA9"/>
    <w:rsid w:val="21F94701"/>
    <w:rsid w:val="22015FEE"/>
    <w:rsid w:val="220B1445"/>
    <w:rsid w:val="220B3A67"/>
    <w:rsid w:val="220C5FFD"/>
    <w:rsid w:val="2212747B"/>
    <w:rsid w:val="221325B4"/>
    <w:rsid w:val="22146DBF"/>
    <w:rsid w:val="2217035E"/>
    <w:rsid w:val="2217240B"/>
    <w:rsid w:val="22173086"/>
    <w:rsid w:val="221845EB"/>
    <w:rsid w:val="221B014E"/>
    <w:rsid w:val="221C1CA2"/>
    <w:rsid w:val="2221772E"/>
    <w:rsid w:val="22265FD3"/>
    <w:rsid w:val="222A0391"/>
    <w:rsid w:val="222F49F4"/>
    <w:rsid w:val="223424C0"/>
    <w:rsid w:val="22352FE1"/>
    <w:rsid w:val="223C4603"/>
    <w:rsid w:val="22400CF8"/>
    <w:rsid w:val="22402331"/>
    <w:rsid w:val="2242103D"/>
    <w:rsid w:val="22451F67"/>
    <w:rsid w:val="22470C4C"/>
    <w:rsid w:val="22471527"/>
    <w:rsid w:val="22486A69"/>
    <w:rsid w:val="22497ED2"/>
    <w:rsid w:val="224A27FE"/>
    <w:rsid w:val="22575747"/>
    <w:rsid w:val="225C42C2"/>
    <w:rsid w:val="226014A0"/>
    <w:rsid w:val="226028CF"/>
    <w:rsid w:val="22626B9C"/>
    <w:rsid w:val="226412CC"/>
    <w:rsid w:val="226715E5"/>
    <w:rsid w:val="226A0E31"/>
    <w:rsid w:val="226A4C31"/>
    <w:rsid w:val="226F3FF6"/>
    <w:rsid w:val="226F6884"/>
    <w:rsid w:val="227D186C"/>
    <w:rsid w:val="227E7390"/>
    <w:rsid w:val="227F5862"/>
    <w:rsid w:val="227F659C"/>
    <w:rsid w:val="22802924"/>
    <w:rsid w:val="22813D29"/>
    <w:rsid w:val="22832BF1"/>
    <w:rsid w:val="22835CF3"/>
    <w:rsid w:val="2283710F"/>
    <w:rsid w:val="228527E4"/>
    <w:rsid w:val="2288155B"/>
    <w:rsid w:val="22894163"/>
    <w:rsid w:val="228A687E"/>
    <w:rsid w:val="228C53A7"/>
    <w:rsid w:val="228D4C74"/>
    <w:rsid w:val="228F226B"/>
    <w:rsid w:val="22986781"/>
    <w:rsid w:val="229960A8"/>
    <w:rsid w:val="22A55C69"/>
    <w:rsid w:val="22A923B4"/>
    <w:rsid w:val="22B03F4C"/>
    <w:rsid w:val="22B13DEE"/>
    <w:rsid w:val="22B3482A"/>
    <w:rsid w:val="22B673C3"/>
    <w:rsid w:val="22B83BEE"/>
    <w:rsid w:val="22BA03DD"/>
    <w:rsid w:val="22BA53D6"/>
    <w:rsid w:val="22BE777D"/>
    <w:rsid w:val="22C34E6C"/>
    <w:rsid w:val="22C431AE"/>
    <w:rsid w:val="22C53012"/>
    <w:rsid w:val="22D24584"/>
    <w:rsid w:val="22D658DC"/>
    <w:rsid w:val="22D95E6C"/>
    <w:rsid w:val="22DA1DB7"/>
    <w:rsid w:val="22DC5D3F"/>
    <w:rsid w:val="22DE29C3"/>
    <w:rsid w:val="22DF0D93"/>
    <w:rsid w:val="22DF1C79"/>
    <w:rsid w:val="22E53BBB"/>
    <w:rsid w:val="22E55F04"/>
    <w:rsid w:val="22E569AE"/>
    <w:rsid w:val="22E72EA8"/>
    <w:rsid w:val="22E73A08"/>
    <w:rsid w:val="22E9024C"/>
    <w:rsid w:val="22E92090"/>
    <w:rsid w:val="22F27C5C"/>
    <w:rsid w:val="22F4099F"/>
    <w:rsid w:val="22F91100"/>
    <w:rsid w:val="22F97F47"/>
    <w:rsid w:val="23063CAF"/>
    <w:rsid w:val="230B1691"/>
    <w:rsid w:val="230C6122"/>
    <w:rsid w:val="230C641C"/>
    <w:rsid w:val="230D2C3F"/>
    <w:rsid w:val="230D5982"/>
    <w:rsid w:val="23117B65"/>
    <w:rsid w:val="23121B4A"/>
    <w:rsid w:val="23135E84"/>
    <w:rsid w:val="23137077"/>
    <w:rsid w:val="23151041"/>
    <w:rsid w:val="23155FDF"/>
    <w:rsid w:val="231828DF"/>
    <w:rsid w:val="231D7EF5"/>
    <w:rsid w:val="23272B22"/>
    <w:rsid w:val="232F19D7"/>
    <w:rsid w:val="23312EAF"/>
    <w:rsid w:val="23325965"/>
    <w:rsid w:val="2335523F"/>
    <w:rsid w:val="233804A4"/>
    <w:rsid w:val="23396C08"/>
    <w:rsid w:val="23397DFD"/>
    <w:rsid w:val="233A4B0D"/>
    <w:rsid w:val="234102CD"/>
    <w:rsid w:val="2346744C"/>
    <w:rsid w:val="23474F72"/>
    <w:rsid w:val="23531B69"/>
    <w:rsid w:val="23575BDF"/>
    <w:rsid w:val="235D0BD9"/>
    <w:rsid w:val="235E5A2E"/>
    <w:rsid w:val="23614286"/>
    <w:rsid w:val="23616034"/>
    <w:rsid w:val="236553F8"/>
    <w:rsid w:val="23662640"/>
    <w:rsid w:val="23671171"/>
    <w:rsid w:val="236B2A0F"/>
    <w:rsid w:val="236B5402"/>
    <w:rsid w:val="237065DA"/>
    <w:rsid w:val="238216FA"/>
    <w:rsid w:val="238307B1"/>
    <w:rsid w:val="238B3D62"/>
    <w:rsid w:val="238B640D"/>
    <w:rsid w:val="238C4775"/>
    <w:rsid w:val="23921B8E"/>
    <w:rsid w:val="23983A20"/>
    <w:rsid w:val="239D2DE4"/>
    <w:rsid w:val="23A17298"/>
    <w:rsid w:val="23A45F21"/>
    <w:rsid w:val="23A63066"/>
    <w:rsid w:val="23A67239"/>
    <w:rsid w:val="23A71122"/>
    <w:rsid w:val="23A75EE1"/>
    <w:rsid w:val="23A777BF"/>
    <w:rsid w:val="23B02B18"/>
    <w:rsid w:val="23B26890"/>
    <w:rsid w:val="23B42FDE"/>
    <w:rsid w:val="23B82884"/>
    <w:rsid w:val="23BA1462"/>
    <w:rsid w:val="23BB4A50"/>
    <w:rsid w:val="23C06FEB"/>
    <w:rsid w:val="23C10881"/>
    <w:rsid w:val="23C37C3B"/>
    <w:rsid w:val="23CB0ED0"/>
    <w:rsid w:val="23D120B3"/>
    <w:rsid w:val="23D305B4"/>
    <w:rsid w:val="23D63ADC"/>
    <w:rsid w:val="23DA5DEF"/>
    <w:rsid w:val="23DE19CD"/>
    <w:rsid w:val="23DF01E7"/>
    <w:rsid w:val="23DF33FD"/>
    <w:rsid w:val="23DF4F24"/>
    <w:rsid w:val="23E14F55"/>
    <w:rsid w:val="23E20EB0"/>
    <w:rsid w:val="23ED6BF0"/>
    <w:rsid w:val="23EF13FA"/>
    <w:rsid w:val="23F15E22"/>
    <w:rsid w:val="23F55856"/>
    <w:rsid w:val="23F618EE"/>
    <w:rsid w:val="23FA0237"/>
    <w:rsid w:val="24006C15"/>
    <w:rsid w:val="240115C5"/>
    <w:rsid w:val="2401637B"/>
    <w:rsid w:val="24021630"/>
    <w:rsid w:val="24037337"/>
    <w:rsid w:val="24064FA3"/>
    <w:rsid w:val="240746F2"/>
    <w:rsid w:val="240B41C1"/>
    <w:rsid w:val="240D6212"/>
    <w:rsid w:val="24132780"/>
    <w:rsid w:val="24154794"/>
    <w:rsid w:val="241810DF"/>
    <w:rsid w:val="241F11F0"/>
    <w:rsid w:val="241F4F39"/>
    <w:rsid w:val="242D5F16"/>
    <w:rsid w:val="24343749"/>
    <w:rsid w:val="243549A7"/>
    <w:rsid w:val="2439389C"/>
    <w:rsid w:val="243D1AF9"/>
    <w:rsid w:val="243D234F"/>
    <w:rsid w:val="244200D9"/>
    <w:rsid w:val="24474C29"/>
    <w:rsid w:val="244F0FD2"/>
    <w:rsid w:val="245707FE"/>
    <w:rsid w:val="245C3454"/>
    <w:rsid w:val="246031BB"/>
    <w:rsid w:val="2460453E"/>
    <w:rsid w:val="246102B6"/>
    <w:rsid w:val="24650660"/>
    <w:rsid w:val="2468113A"/>
    <w:rsid w:val="246F0BF0"/>
    <w:rsid w:val="2471674B"/>
    <w:rsid w:val="24732E3B"/>
    <w:rsid w:val="24765B0F"/>
    <w:rsid w:val="24790865"/>
    <w:rsid w:val="247B03C3"/>
    <w:rsid w:val="247D14FE"/>
    <w:rsid w:val="24822706"/>
    <w:rsid w:val="24831FDA"/>
    <w:rsid w:val="24891FAE"/>
    <w:rsid w:val="248B003B"/>
    <w:rsid w:val="248C2FC2"/>
    <w:rsid w:val="248E7FDA"/>
    <w:rsid w:val="2493065F"/>
    <w:rsid w:val="249371C1"/>
    <w:rsid w:val="24967EF4"/>
    <w:rsid w:val="249C0481"/>
    <w:rsid w:val="249D7540"/>
    <w:rsid w:val="24A02EFC"/>
    <w:rsid w:val="24A3513A"/>
    <w:rsid w:val="24A40686"/>
    <w:rsid w:val="24A41095"/>
    <w:rsid w:val="24A81A41"/>
    <w:rsid w:val="24A84546"/>
    <w:rsid w:val="24A864B6"/>
    <w:rsid w:val="24A92885"/>
    <w:rsid w:val="24AC1823"/>
    <w:rsid w:val="24AF4B7D"/>
    <w:rsid w:val="24B52F5F"/>
    <w:rsid w:val="24B63543"/>
    <w:rsid w:val="24BA7D76"/>
    <w:rsid w:val="24BF373F"/>
    <w:rsid w:val="24C06D8A"/>
    <w:rsid w:val="24C71522"/>
    <w:rsid w:val="24CE49EA"/>
    <w:rsid w:val="24D046C0"/>
    <w:rsid w:val="24D428BE"/>
    <w:rsid w:val="24D46CDA"/>
    <w:rsid w:val="24D5576B"/>
    <w:rsid w:val="24D64800"/>
    <w:rsid w:val="24DC25AF"/>
    <w:rsid w:val="24DF1D18"/>
    <w:rsid w:val="24E90E8E"/>
    <w:rsid w:val="24E94A9B"/>
    <w:rsid w:val="24F00B4F"/>
    <w:rsid w:val="24F72BD5"/>
    <w:rsid w:val="24F8164E"/>
    <w:rsid w:val="24F9229C"/>
    <w:rsid w:val="24FB30EE"/>
    <w:rsid w:val="2509511A"/>
    <w:rsid w:val="25096983"/>
    <w:rsid w:val="250E5D48"/>
    <w:rsid w:val="251A6B46"/>
    <w:rsid w:val="251D242F"/>
    <w:rsid w:val="251E044D"/>
    <w:rsid w:val="251E4873"/>
    <w:rsid w:val="2522186B"/>
    <w:rsid w:val="25270BB7"/>
    <w:rsid w:val="2527505B"/>
    <w:rsid w:val="252C06D7"/>
    <w:rsid w:val="2537702A"/>
    <w:rsid w:val="25387269"/>
    <w:rsid w:val="253F039F"/>
    <w:rsid w:val="25410903"/>
    <w:rsid w:val="254537D8"/>
    <w:rsid w:val="25457290"/>
    <w:rsid w:val="25473008"/>
    <w:rsid w:val="25494E0C"/>
    <w:rsid w:val="254D1F81"/>
    <w:rsid w:val="254D4832"/>
    <w:rsid w:val="25502385"/>
    <w:rsid w:val="255026DA"/>
    <w:rsid w:val="255319AC"/>
    <w:rsid w:val="25532054"/>
    <w:rsid w:val="25553E19"/>
    <w:rsid w:val="255908BE"/>
    <w:rsid w:val="25617B68"/>
    <w:rsid w:val="2564005E"/>
    <w:rsid w:val="256576FC"/>
    <w:rsid w:val="256B0559"/>
    <w:rsid w:val="256E4A38"/>
    <w:rsid w:val="256E67E6"/>
    <w:rsid w:val="25733194"/>
    <w:rsid w:val="25734D99"/>
    <w:rsid w:val="25755DC7"/>
    <w:rsid w:val="25783B09"/>
    <w:rsid w:val="257A093C"/>
    <w:rsid w:val="257A33DD"/>
    <w:rsid w:val="257A344B"/>
    <w:rsid w:val="257B4A53"/>
    <w:rsid w:val="257C7E29"/>
    <w:rsid w:val="258E50DA"/>
    <w:rsid w:val="258F17A1"/>
    <w:rsid w:val="258F75FF"/>
    <w:rsid w:val="25941823"/>
    <w:rsid w:val="25943CEA"/>
    <w:rsid w:val="2595315D"/>
    <w:rsid w:val="25956469"/>
    <w:rsid w:val="259C5381"/>
    <w:rsid w:val="259F1096"/>
    <w:rsid w:val="25A06774"/>
    <w:rsid w:val="25A6613C"/>
    <w:rsid w:val="25AA6505"/>
    <w:rsid w:val="25AB12EC"/>
    <w:rsid w:val="25AB633E"/>
    <w:rsid w:val="25B3069D"/>
    <w:rsid w:val="25B52B93"/>
    <w:rsid w:val="25B761D7"/>
    <w:rsid w:val="25B7674F"/>
    <w:rsid w:val="25B82157"/>
    <w:rsid w:val="25BA1A2C"/>
    <w:rsid w:val="25BA2F2C"/>
    <w:rsid w:val="25BE15D1"/>
    <w:rsid w:val="25C95073"/>
    <w:rsid w:val="25C96E85"/>
    <w:rsid w:val="25CC695D"/>
    <w:rsid w:val="25D42B08"/>
    <w:rsid w:val="25D4309B"/>
    <w:rsid w:val="25E1040B"/>
    <w:rsid w:val="25E53BFB"/>
    <w:rsid w:val="25E929AA"/>
    <w:rsid w:val="25EB07A2"/>
    <w:rsid w:val="25ED2654"/>
    <w:rsid w:val="25F628FE"/>
    <w:rsid w:val="25FA43DD"/>
    <w:rsid w:val="25FD0364"/>
    <w:rsid w:val="25FE0AFB"/>
    <w:rsid w:val="25FE6403"/>
    <w:rsid w:val="260D0305"/>
    <w:rsid w:val="2611486E"/>
    <w:rsid w:val="26125525"/>
    <w:rsid w:val="26137CFA"/>
    <w:rsid w:val="26143832"/>
    <w:rsid w:val="26147F1F"/>
    <w:rsid w:val="261910F2"/>
    <w:rsid w:val="261D5B57"/>
    <w:rsid w:val="261E32B9"/>
    <w:rsid w:val="262338E4"/>
    <w:rsid w:val="26240869"/>
    <w:rsid w:val="262612C3"/>
    <w:rsid w:val="262B0183"/>
    <w:rsid w:val="26335313"/>
    <w:rsid w:val="263712CE"/>
    <w:rsid w:val="263A1BF8"/>
    <w:rsid w:val="263B7C1F"/>
    <w:rsid w:val="26432F9D"/>
    <w:rsid w:val="2648423E"/>
    <w:rsid w:val="26492DAF"/>
    <w:rsid w:val="264B2FF9"/>
    <w:rsid w:val="264D41A4"/>
    <w:rsid w:val="264D6D44"/>
    <w:rsid w:val="264E5338"/>
    <w:rsid w:val="265005E2"/>
    <w:rsid w:val="2652435A"/>
    <w:rsid w:val="26527EB6"/>
    <w:rsid w:val="26572466"/>
    <w:rsid w:val="265754CC"/>
    <w:rsid w:val="26693D5F"/>
    <w:rsid w:val="266B0F56"/>
    <w:rsid w:val="266B2624"/>
    <w:rsid w:val="26713044"/>
    <w:rsid w:val="26722306"/>
    <w:rsid w:val="267B565F"/>
    <w:rsid w:val="267D1396"/>
    <w:rsid w:val="26827404"/>
    <w:rsid w:val="2684677B"/>
    <w:rsid w:val="268624ED"/>
    <w:rsid w:val="26906C30"/>
    <w:rsid w:val="2694227D"/>
    <w:rsid w:val="26946800"/>
    <w:rsid w:val="26962499"/>
    <w:rsid w:val="2699341F"/>
    <w:rsid w:val="269E2238"/>
    <w:rsid w:val="26A363FE"/>
    <w:rsid w:val="26A455D9"/>
    <w:rsid w:val="26A864E6"/>
    <w:rsid w:val="26AA5266"/>
    <w:rsid w:val="26AF70B6"/>
    <w:rsid w:val="26B11081"/>
    <w:rsid w:val="26B4291F"/>
    <w:rsid w:val="26B61EA8"/>
    <w:rsid w:val="26BA12CD"/>
    <w:rsid w:val="26BB0AC2"/>
    <w:rsid w:val="26BB1EFF"/>
    <w:rsid w:val="26C100E1"/>
    <w:rsid w:val="26C40A9F"/>
    <w:rsid w:val="26C41A4E"/>
    <w:rsid w:val="26C61DC6"/>
    <w:rsid w:val="26D41D9C"/>
    <w:rsid w:val="26D77652"/>
    <w:rsid w:val="26DF76F3"/>
    <w:rsid w:val="26E31F9A"/>
    <w:rsid w:val="26E608E7"/>
    <w:rsid w:val="26E95599"/>
    <w:rsid w:val="26EC58DC"/>
    <w:rsid w:val="26EF289B"/>
    <w:rsid w:val="26EF3957"/>
    <w:rsid w:val="26F26E65"/>
    <w:rsid w:val="26F92A28"/>
    <w:rsid w:val="26FE3B9A"/>
    <w:rsid w:val="270216C1"/>
    <w:rsid w:val="2704551C"/>
    <w:rsid w:val="2705317A"/>
    <w:rsid w:val="2705521C"/>
    <w:rsid w:val="270F5985"/>
    <w:rsid w:val="27114FD8"/>
    <w:rsid w:val="27115711"/>
    <w:rsid w:val="271454AD"/>
    <w:rsid w:val="27181100"/>
    <w:rsid w:val="2719216A"/>
    <w:rsid w:val="271D2F8E"/>
    <w:rsid w:val="271E456D"/>
    <w:rsid w:val="27217E52"/>
    <w:rsid w:val="27263EF2"/>
    <w:rsid w:val="272711F0"/>
    <w:rsid w:val="27271343"/>
    <w:rsid w:val="272A1A72"/>
    <w:rsid w:val="272B1609"/>
    <w:rsid w:val="273112C2"/>
    <w:rsid w:val="27381C5A"/>
    <w:rsid w:val="273852FE"/>
    <w:rsid w:val="273D1941"/>
    <w:rsid w:val="273F2493"/>
    <w:rsid w:val="27433CA3"/>
    <w:rsid w:val="27441EF5"/>
    <w:rsid w:val="27450BF0"/>
    <w:rsid w:val="27457A1B"/>
    <w:rsid w:val="27475541"/>
    <w:rsid w:val="27533EE6"/>
    <w:rsid w:val="27573D6E"/>
    <w:rsid w:val="27596B1E"/>
    <w:rsid w:val="275A0816"/>
    <w:rsid w:val="275C37EE"/>
    <w:rsid w:val="275F1799"/>
    <w:rsid w:val="275F4685"/>
    <w:rsid w:val="2760372C"/>
    <w:rsid w:val="27606603"/>
    <w:rsid w:val="27620068"/>
    <w:rsid w:val="276C31F9"/>
    <w:rsid w:val="276F4797"/>
    <w:rsid w:val="277545C5"/>
    <w:rsid w:val="277702D7"/>
    <w:rsid w:val="277F1333"/>
    <w:rsid w:val="27842D7D"/>
    <w:rsid w:val="27867F1C"/>
    <w:rsid w:val="27872CDC"/>
    <w:rsid w:val="278B6531"/>
    <w:rsid w:val="278E28DE"/>
    <w:rsid w:val="278E4F1E"/>
    <w:rsid w:val="27914A0E"/>
    <w:rsid w:val="279B763B"/>
    <w:rsid w:val="279D549A"/>
    <w:rsid w:val="27A06325"/>
    <w:rsid w:val="27AB5FF2"/>
    <w:rsid w:val="27AC404B"/>
    <w:rsid w:val="27B626C7"/>
    <w:rsid w:val="27B939C5"/>
    <w:rsid w:val="27BC1E7A"/>
    <w:rsid w:val="27BF3FDB"/>
    <w:rsid w:val="27C17DCB"/>
    <w:rsid w:val="27C36058"/>
    <w:rsid w:val="27C46164"/>
    <w:rsid w:val="27C6290A"/>
    <w:rsid w:val="27C64E63"/>
    <w:rsid w:val="27CC3C98"/>
    <w:rsid w:val="27CC406E"/>
    <w:rsid w:val="27DB3EDB"/>
    <w:rsid w:val="27E13374"/>
    <w:rsid w:val="27E62F33"/>
    <w:rsid w:val="27EA339A"/>
    <w:rsid w:val="27EB293F"/>
    <w:rsid w:val="27EF4666"/>
    <w:rsid w:val="27F356C9"/>
    <w:rsid w:val="27F51441"/>
    <w:rsid w:val="27F54CEC"/>
    <w:rsid w:val="27FA25B3"/>
    <w:rsid w:val="27FB38C0"/>
    <w:rsid w:val="27FC457D"/>
    <w:rsid w:val="28000212"/>
    <w:rsid w:val="280200EF"/>
    <w:rsid w:val="28033B5E"/>
    <w:rsid w:val="28037FA1"/>
    <w:rsid w:val="28041684"/>
    <w:rsid w:val="28085663"/>
    <w:rsid w:val="280D1027"/>
    <w:rsid w:val="280E5984"/>
    <w:rsid w:val="281009B8"/>
    <w:rsid w:val="28126BBF"/>
    <w:rsid w:val="28127C99"/>
    <w:rsid w:val="281411CD"/>
    <w:rsid w:val="28162678"/>
    <w:rsid w:val="28164F13"/>
    <w:rsid w:val="2817512F"/>
    <w:rsid w:val="28187D56"/>
    <w:rsid w:val="2819675E"/>
    <w:rsid w:val="281A0549"/>
    <w:rsid w:val="28237D5C"/>
    <w:rsid w:val="28275150"/>
    <w:rsid w:val="28302479"/>
    <w:rsid w:val="28312DD0"/>
    <w:rsid w:val="28327F9F"/>
    <w:rsid w:val="28333D17"/>
    <w:rsid w:val="2835231A"/>
    <w:rsid w:val="283711A1"/>
    <w:rsid w:val="283870F5"/>
    <w:rsid w:val="28390908"/>
    <w:rsid w:val="283B63BD"/>
    <w:rsid w:val="2845565B"/>
    <w:rsid w:val="28463A4A"/>
    <w:rsid w:val="284E5C24"/>
    <w:rsid w:val="284F152B"/>
    <w:rsid w:val="285044F3"/>
    <w:rsid w:val="28540818"/>
    <w:rsid w:val="2858447E"/>
    <w:rsid w:val="285B5377"/>
    <w:rsid w:val="285B7D7C"/>
    <w:rsid w:val="285E6FE6"/>
    <w:rsid w:val="285F4B0C"/>
    <w:rsid w:val="2862462E"/>
    <w:rsid w:val="286345FC"/>
    <w:rsid w:val="2866708D"/>
    <w:rsid w:val="28667C49"/>
    <w:rsid w:val="286E6DDD"/>
    <w:rsid w:val="28700AC7"/>
    <w:rsid w:val="287134BA"/>
    <w:rsid w:val="28746132"/>
    <w:rsid w:val="28757DED"/>
    <w:rsid w:val="287A763D"/>
    <w:rsid w:val="287B7B98"/>
    <w:rsid w:val="287D2485"/>
    <w:rsid w:val="287E4F92"/>
    <w:rsid w:val="288051AE"/>
    <w:rsid w:val="2884003E"/>
    <w:rsid w:val="288665AC"/>
    <w:rsid w:val="288C0653"/>
    <w:rsid w:val="288C50AC"/>
    <w:rsid w:val="288E003E"/>
    <w:rsid w:val="288F702E"/>
    <w:rsid w:val="28934117"/>
    <w:rsid w:val="28961519"/>
    <w:rsid w:val="289C3008"/>
    <w:rsid w:val="28A30E9D"/>
    <w:rsid w:val="28A44A06"/>
    <w:rsid w:val="28A57C39"/>
    <w:rsid w:val="28A864B3"/>
    <w:rsid w:val="28A94803"/>
    <w:rsid w:val="28B208E1"/>
    <w:rsid w:val="28B25A48"/>
    <w:rsid w:val="28B33500"/>
    <w:rsid w:val="28B555A8"/>
    <w:rsid w:val="28B9246E"/>
    <w:rsid w:val="28BD4DD7"/>
    <w:rsid w:val="28BE0B66"/>
    <w:rsid w:val="28BF3029"/>
    <w:rsid w:val="28C63C18"/>
    <w:rsid w:val="28C849A8"/>
    <w:rsid w:val="28CC07BF"/>
    <w:rsid w:val="28CD6CD8"/>
    <w:rsid w:val="28D07266"/>
    <w:rsid w:val="28DA55D4"/>
    <w:rsid w:val="28DD795B"/>
    <w:rsid w:val="28E60D8A"/>
    <w:rsid w:val="28E7211F"/>
    <w:rsid w:val="28E725A8"/>
    <w:rsid w:val="28E77BA0"/>
    <w:rsid w:val="28E9233C"/>
    <w:rsid w:val="28EB4964"/>
    <w:rsid w:val="28F14933"/>
    <w:rsid w:val="28F434A6"/>
    <w:rsid w:val="28F60DD4"/>
    <w:rsid w:val="28F6721F"/>
    <w:rsid w:val="28F7315B"/>
    <w:rsid w:val="28FB65E3"/>
    <w:rsid w:val="28FB6B38"/>
    <w:rsid w:val="28FD68C7"/>
    <w:rsid w:val="290027F2"/>
    <w:rsid w:val="290B576E"/>
    <w:rsid w:val="290C07F0"/>
    <w:rsid w:val="291006B8"/>
    <w:rsid w:val="29156E5D"/>
    <w:rsid w:val="291727AB"/>
    <w:rsid w:val="2917540A"/>
    <w:rsid w:val="291A2E01"/>
    <w:rsid w:val="2920285F"/>
    <w:rsid w:val="29226D9D"/>
    <w:rsid w:val="2927562A"/>
    <w:rsid w:val="292902A4"/>
    <w:rsid w:val="29310375"/>
    <w:rsid w:val="29331AC6"/>
    <w:rsid w:val="29336ED9"/>
    <w:rsid w:val="29347D47"/>
    <w:rsid w:val="29352B40"/>
    <w:rsid w:val="293712A2"/>
    <w:rsid w:val="293935AF"/>
    <w:rsid w:val="293B7327"/>
    <w:rsid w:val="293F312A"/>
    <w:rsid w:val="29423FA6"/>
    <w:rsid w:val="29424212"/>
    <w:rsid w:val="294262B9"/>
    <w:rsid w:val="29431BAE"/>
    <w:rsid w:val="29473412"/>
    <w:rsid w:val="294759E8"/>
    <w:rsid w:val="294C2F70"/>
    <w:rsid w:val="294F4615"/>
    <w:rsid w:val="295403E9"/>
    <w:rsid w:val="295D6ADE"/>
    <w:rsid w:val="295E6B72"/>
    <w:rsid w:val="295F1CB2"/>
    <w:rsid w:val="296022E2"/>
    <w:rsid w:val="29603EB3"/>
    <w:rsid w:val="296158E7"/>
    <w:rsid w:val="29630FD4"/>
    <w:rsid w:val="2964062C"/>
    <w:rsid w:val="2964687E"/>
    <w:rsid w:val="296D52A1"/>
    <w:rsid w:val="297458AE"/>
    <w:rsid w:val="297D5829"/>
    <w:rsid w:val="297D5830"/>
    <w:rsid w:val="29827B2E"/>
    <w:rsid w:val="29834178"/>
    <w:rsid w:val="29865CC7"/>
    <w:rsid w:val="298D3D4E"/>
    <w:rsid w:val="298D7242"/>
    <w:rsid w:val="298F31CF"/>
    <w:rsid w:val="299407E6"/>
    <w:rsid w:val="299802D6"/>
    <w:rsid w:val="299A710B"/>
    <w:rsid w:val="299B0448"/>
    <w:rsid w:val="299C30F1"/>
    <w:rsid w:val="299E494A"/>
    <w:rsid w:val="299F19D2"/>
    <w:rsid w:val="29A40D6B"/>
    <w:rsid w:val="29A45B53"/>
    <w:rsid w:val="29AA0009"/>
    <w:rsid w:val="29AA7DB4"/>
    <w:rsid w:val="29AC3D81"/>
    <w:rsid w:val="29B036B5"/>
    <w:rsid w:val="29B10E1A"/>
    <w:rsid w:val="29B772F9"/>
    <w:rsid w:val="29C241DE"/>
    <w:rsid w:val="29C34F55"/>
    <w:rsid w:val="29C448AF"/>
    <w:rsid w:val="29C879A0"/>
    <w:rsid w:val="29CA4207"/>
    <w:rsid w:val="29CC1CFC"/>
    <w:rsid w:val="29D86924"/>
    <w:rsid w:val="29D95B12"/>
    <w:rsid w:val="29D95D68"/>
    <w:rsid w:val="29DD3F3B"/>
    <w:rsid w:val="29DE3273"/>
    <w:rsid w:val="29DF4157"/>
    <w:rsid w:val="29E21551"/>
    <w:rsid w:val="29E307BC"/>
    <w:rsid w:val="29E46B85"/>
    <w:rsid w:val="29E9291C"/>
    <w:rsid w:val="29E96D83"/>
    <w:rsid w:val="29EB58A7"/>
    <w:rsid w:val="29EC23D0"/>
    <w:rsid w:val="29EF6D69"/>
    <w:rsid w:val="29F7287D"/>
    <w:rsid w:val="29F72FB0"/>
    <w:rsid w:val="29FB2613"/>
    <w:rsid w:val="29FC1BC0"/>
    <w:rsid w:val="29FE3B8E"/>
    <w:rsid w:val="2A0616E3"/>
    <w:rsid w:val="2A0911D4"/>
    <w:rsid w:val="2A0B3B50"/>
    <w:rsid w:val="2A10482E"/>
    <w:rsid w:val="2A15310C"/>
    <w:rsid w:val="2A166020"/>
    <w:rsid w:val="2A1B4642"/>
    <w:rsid w:val="2A1D409C"/>
    <w:rsid w:val="2A1F34D4"/>
    <w:rsid w:val="2A1F4744"/>
    <w:rsid w:val="2A222295"/>
    <w:rsid w:val="2A2320CF"/>
    <w:rsid w:val="2A2429D8"/>
    <w:rsid w:val="2A27165A"/>
    <w:rsid w:val="2A277653"/>
    <w:rsid w:val="2A2B114A"/>
    <w:rsid w:val="2A30605C"/>
    <w:rsid w:val="2A35718D"/>
    <w:rsid w:val="2A3B777E"/>
    <w:rsid w:val="2A3D1019"/>
    <w:rsid w:val="2A3D1827"/>
    <w:rsid w:val="2A3E46B1"/>
    <w:rsid w:val="2A401725"/>
    <w:rsid w:val="2A457487"/>
    <w:rsid w:val="2A4738AF"/>
    <w:rsid w:val="2A532B82"/>
    <w:rsid w:val="2A571F3F"/>
    <w:rsid w:val="2A5979A0"/>
    <w:rsid w:val="2A5E151F"/>
    <w:rsid w:val="2A5F5886"/>
    <w:rsid w:val="2A604F0E"/>
    <w:rsid w:val="2A611121"/>
    <w:rsid w:val="2A612DBE"/>
    <w:rsid w:val="2A6B7798"/>
    <w:rsid w:val="2A6C596E"/>
    <w:rsid w:val="2A6F54DA"/>
    <w:rsid w:val="2A7175A1"/>
    <w:rsid w:val="2A727AC6"/>
    <w:rsid w:val="2A73489F"/>
    <w:rsid w:val="2A752626"/>
    <w:rsid w:val="2A7610F3"/>
    <w:rsid w:val="2A7B200E"/>
    <w:rsid w:val="2A7C7BF7"/>
    <w:rsid w:val="2A8E16D9"/>
    <w:rsid w:val="2A917854"/>
    <w:rsid w:val="2A953B0E"/>
    <w:rsid w:val="2A97233B"/>
    <w:rsid w:val="2A9B74D0"/>
    <w:rsid w:val="2A9E7255"/>
    <w:rsid w:val="2AA27047"/>
    <w:rsid w:val="2AA5080F"/>
    <w:rsid w:val="2AA739BC"/>
    <w:rsid w:val="2AA77E46"/>
    <w:rsid w:val="2AAA4765"/>
    <w:rsid w:val="2AAB6623"/>
    <w:rsid w:val="2AAC30E2"/>
    <w:rsid w:val="2AAD7DB1"/>
    <w:rsid w:val="2AAF1D7B"/>
    <w:rsid w:val="2AB10C31"/>
    <w:rsid w:val="2AB7478C"/>
    <w:rsid w:val="2AB8024A"/>
    <w:rsid w:val="2ABB0155"/>
    <w:rsid w:val="2ABE3D6C"/>
    <w:rsid w:val="2ABE5B1A"/>
    <w:rsid w:val="2ABF3794"/>
    <w:rsid w:val="2ABF7E0F"/>
    <w:rsid w:val="2AC75FE8"/>
    <w:rsid w:val="2AC86999"/>
    <w:rsid w:val="2AC97ACE"/>
    <w:rsid w:val="2ACA4DE4"/>
    <w:rsid w:val="2ACB3597"/>
    <w:rsid w:val="2AD0715B"/>
    <w:rsid w:val="2AD321A5"/>
    <w:rsid w:val="2AD41652"/>
    <w:rsid w:val="2AD6400C"/>
    <w:rsid w:val="2AD6555A"/>
    <w:rsid w:val="2AD73AAA"/>
    <w:rsid w:val="2AD7622E"/>
    <w:rsid w:val="2AE412F9"/>
    <w:rsid w:val="2AE80414"/>
    <w:rsid w:val="2AE93057"/>
    <w:rsid w:val="2AE962EB"/>
    <w:rsid w:val="2AF10FC4"/>
    <w:rsid w:val="2AF221B5"/>
    <w:rsid w:val="2AF47A0E"/>
    <w:rsid w:val="2AFA1BEF"/>
    <w:rsid w:val="2AFA655C"/>
    <w:rsid w:val="2AFB2D49"/>
    <w:rsid w:val="2AFE098F"/>
    <w:rsid w:val="2B0A0935"/>
    <w:rsid w:val="2B0A1D97"/>
    <w:rsid w:val="2B130CE6"/>
    <w:rsid w:val="2B1C20CD"/>
    <w:rsid w:val="2B1C5C3D"/>
    <w:rsid w:val="2B2067D5"/>
    <w:rsid w:val="2B230073"/>
    <w:rsid w:val="2B2362C5"/>
    <w:rsid w:val="2B2515CB"/>
    <w:rsid w:val="2B25752B"/>
    <w:rsid w:val="2B274302"/>
    <w:rsid w:val="2B282F05"/>
    <w:rsid w:val="2B2A1401"/>
    <w:rsid w:val="2B2D4A4E"/>
    <w:rsid w:val="2B3264F9"/>
    <w:rsid w:val="2B32787F"/>
    <w:rsid w:val="2B331284"/>
    <w:rsid w:val="2B354977"/>
    <w:rsid w:val="2B376480"/>
    <w:rsid w:val="2B3B630C"/>
    <w:rsid w:val="2B3D345D"/>
    <w:rsid w:val="2B3E4EAD"/>
    <w:rsid w:val="2B3F23E7"/>
    <w:rsid w:val="2B430715"/>
    <w:rsid w:val="2B44271B"/>
    <w:rsid w:val="2B481888"/>
    <w:rsid w:val="2B4B28F2"/>
    <w:rsid w:val="2B5917F8"/>
    <w:rsid w:val="2B5949B1"/>
    <w:rsid w:val="2B5A1A3C"/>
    <w:rsid w:val="2B5B780D"/>
    <w:rsid w:val="2B5D2D15"/>
    <w:rsid w:val="2B5E554F"/>
    <w:rsid w:val="2B6111BC"/>
    <w:rsid w:val="2B612718"/>
    <w:rsid w:val="2B6200F2"/>
    <w:rsid w:val="2B636A95"/>
    <w:rsid w:val="2B6616DF"/>
    <w:rsid w:val="2B71099F"/>
    <w:rsid w:val="2B732E07"/>
    <w:rsid w:val="2B7462A4"/>
    <w:rsid w:val="2B7D1204"/>
    <w:rsid w:val="2B7E39E7"/>
    <w:rsid w:val="2B7F0A18"/>
    <w:rsid w:val="2B8027DA"/>
    <w:rsid w:val="2B8C3147"/>
    <w:rsid w:val="2B8E1990"/>
    <w:rsid w:val="2B8E2438"/>
    <w:rsid w:val="2B8F21F0"/>
    <w:rsid w:val="2B90559F"/>
    <w:rsid w:val="2B912078"/>
    <w:rsid w:val="2B955D28"/>
    <w:rsid w:val="2BA15BBA"/>
    <w:rsid w:val="2BA215F0"/>
    <w:rsid w:val="2BA21FAD"/>
    <w:rsid w:val="2BA3260E"/>
    <w:rsid w:val="2BA47C5D"/>
    <w:rsid w:val="2BA66955"/>
    <w:rsid w:val="2BA8078D"/>
    <w:rsid w:val="2BA97AD6"/>
    <w:rsid w:val="2BAB1AB4"/>
    <w:rsid w:val="2BAB3791"/>
    <w:rsid w:val="2BB61AE5"/>
    <w:rsid w:val="2BC43B92"/>
    <w:rsid w:val="2BC70162"/>
    <w:rsid w:val="2BCE5F4F"/>
    <w:rsid w:val="2BD00DFF"/>
    <w:rsid w:val="2BD10CEF"/>
    <w:rsid w:val="2BD40E84"/>
    <w:rsid w:val="2BD66E93"/>
    <w:rsid w:val="2BD9141E"/>
    <w:rsid w:val="2BDD7126"/>
    <w:rsid w:val="2BDE5160"/>
    <w:rsid w:val="2BE07D12"/>
    <w:rsid w:val="2BE2316D"/>
    <w:rsid w:val="2BE43568"/>
    <w:rsid w:val="2BE617CC"/>
    <w:rsid w:val="2BE94C96"/>
    <w:rsid w:val="2BEA79C8"/>
    <w:rsid w:val="2BEB2F9E"/>
    <w:rsid w:val="2BEF7F55"/>
    <w:rsid w:val="2BF11F1F"/>
    <w:rsid w:val="2BF12828"/>
    <w:rsid w:val="2BF26AF0"/>
    <w:rsid w:val="2BF5455D"/>
    <w:rsid w:val="2BF6650A"/>
    <w:rsid w:val="2BFD08C4"/>
    <w:rsid w:val="2C015FA1"/>
    <w:rsid w:val="2C0460FA"/>
    <w:rsid w:val="2C054FAA"/>
    <w:rsid w:val="2C0559CB"/>
    <w:rsid w:val="2C077995"/>
    <w:rsid w:val="2C0B68EF"/>
    <w:rsid w:val="2C0D32DF"/>
    <w:rsid w:val="2C0D7863"/>
    <w:rsid w:val="2C116084"/>
    <w:rsid w:val="2C123FDE"/>
    <w:rsid w:val="2C1278E8"/>
    <w:rsid w:val="2C15675A"/>
    <w:rsid w:val="2C157E00"/>
    <w:rsid w:val="2C17461C"/>
    <w:rsid w:val="2C1E29BF"/>
    <w:rsid w:val="2C1E4681"/>
    <w:rsid w:val="2C2045B2"/>
    <w:rsid w:val="2C237B89"/>
    <w:rsid w:val="2C2C5018"/>
    <w:rsid w:val="2C2F3B77"/>
    <w:rsid w:val="2C2F6C5B"/>
    <w:rsid w:val="2C303931"/>
    <w:rsid w:val="2C31778E"/>
    <w:rsid w:val="2C351E0C"/>
    <w:rsid w:val="2C3936FA"/>
    <w:rsid w:val="2C3A1B18"/>
    <w:rsid w:val="2C405E5E"/>
    <w:rsid w:val="2C4219EE"/>
    <w:rsid w:val="2C4402A1"/>
    <w:rsid w:val="2C441BA0"/>
    <w:rsid w:val="2C453C76"/>
    <w:rsid w:val="2C513AFF"/>
    <w:rsid w:val="2C536736"/>
    <w:rsid w:val="2C56116B"/>
    <w:rsid w:val="2C5807EF"/>
    <w:rsid w:val="2C5E3501"/>
    <w:rsid w:val="2C602C01"/>
    <w:rsid w:val="2C624BCB"/>
    <w:rsid w:val="2C626979"/>
    <w:rsid w:val="2C627055"/>
    <w:rsid w:val="2C6426F1"/>
    <w:rsid w:val="2C6C3678"/>
    <w:rsid w:val="2C6E0B7D"/>
    <w:rsid w:val="2C717FBF"/>
    <w:rsid w:val="2C731569"/>
    <w:rsid w:val="2C7566AC"/>
    <w:rsid w:val="2C7B2A34"/>
    <w:rsid w:val="2C7C3EDF"/>
    <w:rsid w:val="2C802E20"/>
    <w:rsid w:val="2C803D54"/>
    <w:rsid w:val="2C806893"/>
    <w:rsid w:val="2C813B70"/>
    <w:rsid w:val="2C8B5ED0"/>
    <w:rsid w:val="2C8C5B08"/>
    <w:rsid w:val="2C8E38A2"/>
    <w:rsid w:val="2C8E7DB1"/>
    <w:rsid w:val="2C940BB2"/>
    <w:rsid w:val="2C9411C3"/>
    <w:rsid w:val="2C976847"/>
    <w:rsid w:val="2C9B0FB9"/>
    <w:rsid w:val="2C9C3F3B"/>
    <w:rsid w:val="2C9E7F03"/>
    <w:rsid w:val="2C9F5E1F"/>
    <w:rsid w:val="2CA13D0C"/>
    <w:rsid w:val="2CA23219"/>
    <w:rsid w:val="2CA2397C"/>
    <w:rsid w:val="2CA43263"/>
    <w:rsid w:val="2CA46912"/>
    <w:rsid w:val="2CA46F92"/>
    <w:rsid w:val="2CA60F5C"/>
    <w:rsid w:val="2CA72E78"/>
    <w:rsid w:val="2CA843FA"/>
    <w:rsid w:val="2CAE1688"/>
    <w:rsid w:val="2CB2345D"/>
    <w:rsid w:val="2CB371D5"/>
    <w:rsid w:val="2CB5119F"/>
    <w:rsid w:val="2CB52F4D"/>
    <w:rsid w:val="2CBA592E"/>
    <w:rsid w:val="2CBB2EFA"/>
    <w:rsid w:val="2CBC44CC"/>
    <w:rsid w:val="2CC00849"/>
    <w:rsid w:val="2CC011CB"/>
    <w:rsid w:val="2CC05842"/>
    <w:rsid w:val="2CC12C31"/>
    <w:rsid w:val="2CC338BC"/>
    <w:rsid w:val="2CC5764A"/>
    <w:rsid w:val="2CC6515A"/>
    <w:rsid w:val="2CC95E54"/>
    <w:rsid w:val="2CCD1427"/>
    <w:rsid w:val="2CCE35E6"/>
    <w:rsid w:val="2CD1535C"/>
    <w:rsid w:val="2CD530E0"/>
    <w:rsid w:val="2CD613D6"/>
    <w:rsid w:val="2CD71115"/>
    <w:rsid w:val="2CD812B0"/>
    <w:rsid w:val="2CDA1EA6"/>
    <w:rsid w:val="2CDC7998"/>
    <w:rsid w:val="2CDE2BC5"/>
    <w:rsid w:val="2CDF1CD0"/>
    <w:rsid w:val="2CE65C7D"/>
    <w:rsid w:val="2CE81574"/>
    <w:rsid w:val="2CF0667B"/>
    <w:rsid w:val="2CF26D71"/>
    <w:rsid w:val="2CF46A1A"/>
    <w:rsid w:val="2CF46E61"/>
    <w:rsid w:val="2CF61EDE"/>
    <w:rsid w:val="2CF74BC1"/>
    <w:rsid w:val="2CF75313"/>
    <w:rsid w:val="2CF92AE1"/>
    <w:rsid w:val="2CF954B7"/>
    <w:rsid w:val="2CFC0B7C"/>
    <w:rsid w:val="2CFC70F4"/>
    <w:rsid w:val="2CFF7460"/>
    <w:rsid w:val="2D000018"/>
    <w:rsid w:val="2D01054B"/>
    <w:rsid w:val="2D012636"/>
    <w:rsid w:val="2D044530"/>
    <w:rsid w:val="2D0839C4"/>
    <w:rsid w:val="2D095047"/>
    <w:rsid w:val="2D0B3D7B"/>
    <w:rsid w:val="2D0B75EF"/>
    <w:rsid w:val="2D0E4710"/>
    <w:rsid w:val="2D151C3D"/>
    <w:rsid w:val="2D155826"/>
    <w:rsid w:val="2D1A1CF9"/>
    <w:rsid w:val="2D205A01"/>
    <w:rsid w:val="2D254C2F"/>
    <w:rsid w:val="2D2554B3"/>
    <w:rsid w:val="2D255661"/>
    <w:rsid w:val="2D280B7D"/>
    <w:rsid w:val="2D2A2CC5"/>
    <w:rsid w:val="2D2A393B"/>
    <w:rsid w:val="2D371F49"/>
    <w:rsid w:val="2D384543"/>
    <w:rsid w:val="2D396113"/>
    <w:rsid w:val="2D3E73E6"/>
    <w:rsid w:val="2D422AE6"/>
    <w:rsid w:val="2D4D587B"/>
    <w:rsid w:val="2D4F2752"/>
    <w:rsid w:val="2D50626D"/>
    <w:rsid w:val="2D5704A8"/>
    <w:rsid w:val="2D582EE4"/>
    <w:rsid w:val="2D5926AB"/>
    <w:rsid w:val="2D5A7705"/>
    <w:rsid w:val="2D5D1702"/>
    <w:rsid w:val="2D614EDD"/>
    <w:rsid w:val="2D627891"/>
    <w:rsid w:val="2D641C47"/>
    <w:rsid w:val="2D666D51"/>
    <w:rsid w:val="2D677722"/>
    <w:rsid w:val="2D685441"/>
    <w:rsid w:val="2D6C6D9B"/>
    <w:rsid w:val="2D6D0E47"/>
    <w:rsid w:val="2D727090"/>
    <w:rsid w:val="2D743AE8"/>
    <w:rsid w:val="2D7805F1"/>
    <w:rsid w:val="2D7921CC"/>
    <w:rsid w:val="2D7C63D0"/>
    <w:rsid w:val="2D7D1B84"/>
    <w:rsid w:val="2D7D2A99"/>
    <w:rsid w:val="2D7F46F6"/>
    <w:rsid w:val="2D8017AD"/>
    <w:rsid w:val="2D855015"/>
    <w:rsid w:val="2D8716F2"/>
    <w:rsid w:val="2D88240F"/>
    <w:rsid w:val="2D885FB0"/>
    <w:rsid w:val="2D8868B3"/>
    <w:rsid w:val="2D8B1B8B"/>
    <w:rsid w:val="2D8C63A3"/>
    <w:rsid w:val="2D8F58B1"/>
    <w:rsid w:val="2D8F6A40"/>
    <w:rsid w:val="2D940DB4"/>
    <w:rsid w:val="2D97608D"/>
    <w:rsid w:val="2D977A59"/>
    <w:rsid w:val="2D9B3856"/>
    <w:rsid w:val="2D9B3904"/>
    <w:rsid w:val="2D9E60D7"/>
    <w:rsid w:val="2DA3549B"/>
    <w:rsid w:val="2DA47F51"/>
    <w:rsid w:val="2DA5501C"/>
    <w:rsid w:val="2DAA42B1"/>
    <w:rsid w:val="2DAA682A"/>
    <w:rsid w:val="2DAB1B97"/>
    <w:rsid w:val="2DAC25A2"/>
    <w:rsid w:val="2DAD697B"/>
    <w:rsid w:val="2DAE1FD2"/>
    <w:rsid w:val="2DB013D1"/>
    <w:rsid w:val="2DB201C1"/>
    <w:rsid w:val="2DB26641"/>
    <w:rsid w:val="2DB50E33"/>
    <w:rsid w:val="2DB6793F"/>
    <w:rsid w:val="2DBA4F87"/>
    <w:rsid w:val="2DC02F7B"/>
    <w:rsid w:val="2DC22F7B"/>
    <w:rsid w:val="2DC92A81"/>
    <w:rsid w:val="2DCA6ABE"/>
    <w:rsid w:val="2DCA729A"/>
    <w:rsid w:val="2DCF715E"/>
    <w:rsid w:val="2DD23A7A"/>
    <w:rsid w:val="2DDA107B"/>
    <w:rsid w:val="2DDF6205"/>
    <w:rsid w:val="2DE20373"/>
    <w:rsid w:val="2DE300D1"/>
    <w:rsid w:val="2DE57862"/>
    <w:rsid w:val="2DE955A4"/>
    <w:rsid w:val="2DF61A6F"/>
    <w:rsid w:val="2DF67CC1"/>
    <w:rsid w:val="2DF9330D"/>
    <w:rsid w:val="2DF93567"/>
    <w:rsid w:val="2DF96685"/>
    <w:rsid w:val="2DFB47A1"/>
    <w:rsid w:val="2DFC70A1"/>
    <w:rsid w:val="2DFE7DE3"/>
    <w:rsid w:val="2E040630"/>
    <w:rsid w:val="2E0423DE"/>
    <w:rsid w:val="2E066761"/>
    <w:rsid w:val="2E0A208F"/>
    <w:rsid w:val="2E0B6EC8"/>
    <w:rsid w:val="2E0C58A5"/>
    <w:rsid w:val="2E0D5864"/>
    <w:rsid w:val="2E112405"/>
    <w:rsid w:val="2E1468C4"/>
    <w:rsid w:val="2E15634F"/>
    <w:rsid w:val="2E166CE2"/>
    <w:rsid w:val="2E1A1528"/>
    <w:rsid w:val="2E1F3018"/>
    <w:rsid w:val="2E200533"/>
    <w:rsid w:val="2E2341DD"/>
    <w:rsid w:val="2E2824CA"/>
    <w:rsid w:val="2E29512F"/>
    <w:rsid w:val="2E2B796A"/>
    <w:rsid w:val="2E2C020B"/>
    <w:rsid w:val="2E2E2DB8"/>
    <w:rsid w:val="2E310171"/>
    <w:rsid w:val="2E316244"/>
    <w:rsid w:val="2E3658D7"/>
    <w:rsid w:val="2E366AB8"/>
    <w:rsid w:val="2E3E1D79"/>
    <w:rsid w:val="2E3F7374"/>
    <w:rsid w:val="2E414AE5"/>
    <w:rsid w:val="2E4245EE"/>
    <w:rsid w:val="2E473FEE"/>
    <w:rsid w:val="2E494294"/>
    <w:rsid w:val="2E4F4D97"/>
    <w:rsid w:val="2E532A1D"/>
    <w:rsid w:val="2E58329E"/>
    <w:rsid w:val="2E590042"/>
    <w:rsid w:val="2E5D370D"/>
    <w:rsid w:val="2E606953"/>
    <w:rsid w:val="2E62704A"/>
    <w:rsid w:val="2E644C2A"/>
    <w:rsid w:val="2E670766"/>
    <w:rsid w:val="2E67398A"/>
    <w:rsid w:val="2E675364"/>
    <w:rsid w:val="2E6B420B"/>
    <w:rsid w:val="2E6C1D31"/>
    <w:rsid w:val="2E7035CF"/>
    <w:rsid w:val="2E7972C8"/>
    <w:rsid w:val="2E7C518F"/>
    <w:rsid w:val="2E7F3A9B"/>
    <w:rsid w:val="2E800DF1"/>
    <w:rsid w:val="2E80518F"/>
    <w:rsid w:val="2E82446A"/>
    <w:rsid w:val="2E82753A"/>
    <w:rsid w:val="2E840E29"/>
    <w:rsid w:val="2E87171C"/>
    <w:rsid w:val="2E8B0409"/>
    <w:rsid w:val="2E8B0547"/>
    <w:rsid w:val="2E8B6492"/>
    <w:rsid w:val="2E8D2AD1"/>
    <w:rsid w:val="2E8E1CA7"/>
    <w:rsid w:val="2E914DFF"/>
    <w:rsid w:val="2E9279E9"/>
    <w:rsid w:val="2E932215"/>
    <w:rsid w:val="2E932916"/>
    <w:rsid w:val="2E945204"/>
    <w:rsid w:val="2E977742"/>
    <w:rsid w:val="2E987149"/>
    <w:rsid w:val="2E993F45"/>
    <w:rsid w:val="2E9B33F9"/>
    <w:rsid w:val="2EA102EE"/>
    <w:rsid w:val="2EA26DD6"/>
    <w:rsid w:val="2EA4771D"/>
    <w:rsid w:val="2EAF223A"/>
    <w:rsid w:val="2EB12291"/>
    <w:rsid w:val="2EBE26AB"/>
    <w:rsid w:val="2EC102CF"/>
    <w:rsid w:val="2EC456C9"/>
    <w:rsid w:val="2EC5301F"/>
    <w:rsid w:val="2EC8033E"/>
    <w:rsid w:val="2ECB3816"/>
    <w:rsid w:val="2ECE050C"/>
    <w:rsid w:val="2ECF0A27"/>
    <w:rsid w:val="2ECF6C02"/>
    <w:rsid w:val="2ED0406E"/>
    <w:rsid w:val="2ED063A8"/>
    <w:rsid w:val="2ED57C09"/>
    <w:rsid w:val="2EDE20C7"/>
    <w:rsid w:val="2EE41A0E"/>
    <w:rsid w:val="2EED0919"/>
    <w:rsid w:val="2EEE4A50"/>
    <w:rsid w:val="2EF11762"/>
    <w:rsid w:val="2EF17E5C"/>
    <w:rsid w:val="2EF22560"/>
    <w:rsid w:val="2EF93F4B"/>
    <w:rsid w:val="2EFC012A"/>
    <w:rsid w:val="2EFF6271"/>
    <w:rsid w:val="2F04796F"/>
    <w:rsid w:val="2F050424"/>
    <w:rsid w:val="2F066B4C"/>
    <w:rsid w:val="2F0733D9"/>
    <w:rsid w:val="2F0735FF"/>
    <w:rsid w:val="2F081A5A"/>
    <w:rsid w:val="2F083808"/>
    <w:rsid w:val="2F0D3DA3"/>
    <w:rsid w:val="2F0F4C9C"/>
    <w:rsid w:val="2F1166FB"/>
    <w:rsid w:val="2F15600D"/>
    <w:rsid w:val="2F1601E3"/>
    <w:rsid w:val="2F171C9D"/>
    <w:rsid w:val="2F1A08A9"/>
    <w:rsid w:val="2F202EB4"/>
    <w:rsid w:val="2F212B1B"/>
    <w:rsid w:val="2F212DDD"/>
    <w:rsid w:val="2F251C76"/>
    <w:rsid w:val="2F266384"/>
    <w:rsid w:val="2F27202C"/>
    <w:rsid w:val="2F283EAA"/>
    <w:rsid w:val="2F2A27CB"/>
    <w:rsid w:val="2F2E3020"/>
    <w:rsid w:val="2F2F27ED"/>
    <w:rsid w:val="2F303B49"/>
    <w:rsid w:val="2F313228"/>
    <w:rsid w:val="2F340AA1"/>
    <w:rsid w:val="2F3569C2"/>
    <w:rsid w:val="2F3C05AB"/>
    <w:rsid w:val="2F3E547B"/>
    <w:rsid w:val="2F3F2FA2"/>
    <w:rsid w:val="2F46600A"/>
    <w:rsid w:val="2F485FCE"/>
    <w:rsid w:val="2F4A3E20"/>
    <w:rsid w:val="2F4B3B31"/>
    <w:rsid w:val="2F5A7DDB"/>
    <w:rsid w:val="2F5C0644"/>
    <w:rsid w:val="2F5F1E11"/>
    <w:rsid w:val="2F666452"/>
    <w:rsid w:val="2F6E4C8D"/>
    <w:rsid w:val="2F71799E"/>
    <w:rsid w:val="2F74558F"/>
    <w:rsid w:val="2F7768F0"/>
    <w:rsid w:val="2F7B4AEA"/>
    <w:rsid w:val="2F7B6B7C"/>
    <w:rsid w:val="2F7D0BFC"/>
    <w:rsid w:val="2F821044"/>
    <w:rsid w:val="2F846602"/>
    <w:rsid w:val="2F8530AA"/>
    <w:rsid w:val="2F86221E"/>
    <w:rsid w:val="2F864264"/>
    <w:rsid w:val="2F8A246F"/>
    <w:rsid w:val="2F8F1C84"/>
    <w:rsid w:val="2F917F4B"/>
    <w:rsid w:val="2F9E23BE"/>
    <w:rsid w:val="2FA21EAE"/>
    <w:rsid w:val="2FA24BF0"/>
    <w:rsid w:val="2FA61233"/>
    <w:rsid w:val="2FA63021"/>
    <w:rsid w:val="2FA77BE3"/>
    <w:rsid w:val="2FAF37E8"/>
    <w:rsid w:val="2FB06639"/>
    <w:rsid w:val="2FB25651"/>
    <w:rsid w:val="2FB303F4"/>
    <w:rsid w:val="2FB56E1D"/>
    <w:rsid w:val="2FBB622B"/>
    <w:rsid w:val="2FBB6ACC"/>
    <w:rsid w:val="2FBC1590"/>
    <w:rsid w:val="2FC17E5D"/>
    <w:rsid w:val="2FC37139"/>
    <w:rsid w:val="2FC70511"/>
    <w:rsid w:val="2FC811E9"/>
    <w:rsid w:val="2FCA72C2"/>
    <w:rsid w:val="2FCD67FF"/>
    <w:rsid w:val="2FD22068"/>
    <w:rsid w:val="2FD43BDB"/>
    <w:rsid w:val="2FD45DE0"/>
    <w:rsid w:val="2FD50DC3"/>
    <w:rsid w:val="2FD81BC2"/>
    <w:rsid w:val="2FDC6A42"/>
    <w:rsid w:val="2FDE015F"/>
    <w:rsid w:val="2FE21452"/>
    <w:rsid w:val="2FE36855"/>
    <w:rsid w:val="2FE55A68"/>
    <w:rsid w:val="2FE61DBA"/>
    <w:rsid w:val="2FE778C1"/>
    <w:rsid w:val="2FEE3691"/>
    <w:rsid w:val="2FEE67A1"/>
    <w:rsid w:val="2FF06D0B"/>
    <w:rsid w:val="2FF16992"/>
    <w:rsid w:val="2FF41FDE"/>
    <w:rsid w:val="2FF65D56"/>
    <w:rsid w:val="2FFC6171"/>
    <w:rsid w:val="2FFD4BC6"/>
    <w:rsid w:val="2FFE1750"/>
    <w:rsid w:val="30051B31"/>
    <w:rsid w:val="30061DB6"/>
    <w:rsid w:val="3006237F"/>
    <w:rsid w:val="30086806"/>
    <w:rsid w:val="30090AAE"/>
    <w:rsid w:val="30097FC2"/>
    <w:rsid w:val="300C37CC"/>
    <w:rsid w:val="3014689D"/>
    <w:rsid w:val="301A61F8"/>
    <w:rsid w:val="301F52AD"/>
    <w:rsid w:val="301F545A"/>
    <w:rsid w:val="302407A7"/>
    <w:rsid w:val="30246A80"/>
    <w:rsid w:val="3029260D"/>
    <w:rsid w:val="302C5C1C"/>
    <w:rsid w:val="30360F64"/>
    <w:rsid w:val="303A50FA"/>
    <w:rsid w:val="303B7C6D"/>
    <w:rsid w:val="30403475"/>
    <w:rsid w:val="30445E62"/>
    <w:rsid w:val="30470360"/>
    <w:rsid w:val="304D16A9"/>
    <w:rsid w:val="304E16EE"/>
    <w:rsid w:val="30544806"/>
    <w:rsid w:val="305667F5"/>
    <w:rsid w:val="30575512"/>
    <w:rsid w:val="305F38FB"/>
    <w:rsid w:val="30601F58"/>
    <w:rsid w:val="3061162A"/>
    <w:rsid w:val="30616D08"/>
    <w:rsid w:val="306A5296"/>
    <w:rsid w:val="306D1CFE"/>
    <w:rsid w:val="307025ED"/>
    <w:rsid w:val="30703191"/>
    <w:rsid w:val="3071345C"/>
    <w:rsid w:val="3071362F"/>
    <w:rsid w:val="30791B3A"/>
    <w:rsid w:val="307A6791"/>
    <w:rsid w:val="30805FDB"/>
    <w:rsid w:val="30852D42"/>
    <w:rsid w:val="3086532C"/>
    <w:rsid w:val="309051B6"/>
    <w:rsid w:val="309275A7"/>
    <w:rsid w:val="309317F7"/>
    <w:rsid w:val="30940170"/>
    <w:rsid w:val="309F7BCD"/>
    <w:rsid w:val="30A06B69"/>
    <w:rsid w:val="30A23E47"/>
    <w:rsid w:val="30A24D58"/>
    <w:rsid w:val="30A51F4E"/>
    <w:rsid w:val="30A6569D"/>
    <w:rsid w:val="30AB0A46"/>
    <w:rsid w:val="30AE0F34"/>
    <w:rsid w:val="30AE5ECE"/>
    <w:rsid w:val="30B05F05"/>
    <w:rsid w:val="30B24A44"/>
    <w:rsid w:val="30B52813"/>
    <w:rsid w:val="30B562D9"/>
    <w:rsid w:val="30B57AC2"/>
    <w:rsid w:val="30BA43E3"/>
    <w:rsid w:val="30BC360F"/>
    <w:rsid w:val="30D00561"/>
    <w:rsid w:val="30D139C1"/>
    <w:rsid w:val="30D14B15"/>
    <w:rsid w:val="30D65986"/>
    <w:rsid w:val="30D90014"/>
    <w:rsid w:val="30DD15BB"/>
    <w:rsid w:val="30DF2CD7"/>
    <w:rsid w:val="30DF67EA"/>
    <w:rsid w:val="30E24248"/>
    <w:rsid w:val="30E81B43"/>
    <w:rsid w:val="30F32296"/>
    <w:rsid w:val="30F54260"/>
    <w:rsid w:val="30F625B2"/>
    <w:rsid w:val="30F72DBA"/>
    <w:rsid w:val="30F85B11"/>
    <w:rsid w:val="31015F42"/>
    <w:rsid w:val="3106021B"/>
    <w:rsid w:val="310C4294"/>
    <w:rsid w:val="310F65A7"/>
    <w:rsid w:val="31102E48"/>
    <w:rsid w:val="31184F95"/>
    <w:rsid w:val="311D0D4C"/>
    <w:rsid w:val="312267B4"/>
    <w:rsid w:val="3128113D"/>
    <w:rsid w:val="312B1A2F"/>
    <w:rsid w:val="312F3EC4"/>
    <w:rsid w:val="312F62D9"/>
    <w:rsid w:val="313346AF"/>
    <w:rsid w:val="31334FC7"/>
    <w:rsid w:val="31357889"/>
    <w:rsid w:val="3136169B"/>
    <w:rsid w:val="313C46F6"/>
    <w:rsid w:val="313D6A41"/>
    <w:rsid w:val="31473CF4"/>
    <w:rsid w:val="314E4ECB"/>
    <w:rsid w:val="315004C0"/>
    <w:rsid w:val="3152520E"/>
    <w:rsid w:val="31544D87"/>
    <w:rsid w:val="31552F50"/>
    <w:rsid w:val="31554CFE"/>
    <w:rsid w:val="31590699"/>
    <w:rsid w:val="315A5082"/>
    <w:rsid w:val="315B522B"/>
    <w:rsid w:val="315C4EA3"/>
    <w:rsid w:val="315D0E7A"/>
    <w:rsid w:val="31635843"/>
    <w:rsid w:val="3164188C"/>
    <w:rsid w:val="31674B18"/>
    <w:rsid w:val="316A2C96"/>
    <w:rsid w:val="316C61B0"/>
    <w:rsid w:val="316D58C3"/>
    <w:rsid w:val="316E33B4"/>
    <w:rsid w:val="316F5DC0"/>
    <w:rsid w:val="317715B6"/>
    <w:rsid w:val="317B2B05"/>
    <w:rsid w:val="317D30C4"/>
    <w:rsid w:val="31800117"/>
    <w:rsid w:val="318111FC"/>
    <w:rsid w:val="31815AF3"/>
    <w:rsid w:val="318273C4"/>
    <w:rsid w:val="31856158"/>
    <w:rsid w:val="31861BE3"/>
    <w:rsid w:val="318D30B8"/>
    <w:rsid w:val="318E0D2E"/>
    <w:rsid w:val="318E6D18"/>
    <w:rsid w:val="31994BEB"/>
    <w:rsid w:val="319C292D"/>
    <w:rsid w:val="319C2A82"/>
    <w:rsid w:val="319C5A32"/>
    <w:rsid w:val="319F0A95"/>
    <w:rsid w:val="319F3583"/>
    <w:rsid w:val="31A051C9"/>
    <w:rsid w:val="31A27A28"/>
    <w:rsid w:val="31A33CBC"/>
    <w:rsid w:val="31A52164"/>
    <w:rsid w:val="31A83080"/>
    <w:rsid w:val="31A87524"/>
    <w:rsid w:val="31A95DDB"/>
    <w:rsid w:val="31A97850"/>
    <w:rsid w:val="31AA373C"/>
    <w:rsid w:val="31AD4C03"/>
    <w:rsid w:val="31AE5F62"/>
    <w:rsid w:val="31B12042"/>
    <w:rsid w:val="31B250E0"/>
    <w:rsid w:val="31B83178"/>
    <w:rsid w:val="31B92EF6"/>
    <w:rsid w:val="31BA11D6"/>
    <w:rsid w:val="31BA1380"/>
    <w:rsid w:val="31BC3BEB"/>
    <w:rsid w:val="31C10368"/>
    <w:rsid w:val="31C5275A"/>
    <w:rsid w:val="31CB053B"/>
    <w:rsid w:val="31DA1AB6"/>
    <w:rsid w:val="31DE0FE6"/>
    <w:rsid w:val="31DE3B22"/>
    <w:rsid w:val="31E40EB3"/>
    <w:rsid w:val="31E52168"/>
    <w:rsid w:val="31F46FF8"/>
    <w:rsid w:val="31FC5799"/>
    <w:rsid w:val="31FF5FF4"/>
    <w:rsid w:val="3200110E"/>
    <w:rsid w:val="320A3D3B"/>
    <w:rsid w:val="320F1564"/>
    <w:rsid w:val="321B1AA4"/>
    <w:rsid w:val="321F2FCC"/>
    <w:rsid w:val="32226614"/>
    <w:rsid w:val="322424FC"/>
    <w:rsid w:val="322540B8"/>
    <w:rsid w:val="32262DBE"/>
    <w:rsid w:val="322C3CB1"/>
    <w:rsid w:val="322E5C7B"/>
    <w:rsid w:val="32335040"/>
    <w:rsid w:val="323420ED"/>
    <w:rsid w:val="32361136"/>
    <w:rsid w:val="3241607A"/>
    <w:rsid w:val="32452CC5"/>
    <w:rsid w:val="32472787"/>
    <w:rsid w:val="3248523C"/>
    <w:rsid w:val="32494863"/>
    <w:rsid w:val="324B0148"/>
    <w:rsid w:val="324E3C27"/>
    <w:rsid w:val="324E4E66"/>
    <w:rsid w:val="32527B2F"/>
    <w:rsid w:val="325338BB"/>
    <w:rsid w:val="32546373"/>
    <w:rsid w:val="3257627A"/>
    <w:rsid w:val="32586854"/>
    <w:rsid w:val="325A3AF6"/>
    <w:rsid w:val="326246BE"/>
    <w:rsid w:val="326371CC"/>
    <w:rsid w:val="3269507D"/>
    <w:rsid w:val="326A2A2B"/>
    <w:rsid w:val="326D3EFA"/>
    <w:rsid w:val="32717DF3"/>
    <w:rsid w:val="32735C95"/>
    <w:rsid w:val="327377C9"/>
    <w:rsid w:val="32777D59"/>
    <w:rsid w:val="32780CA4"/>
    <w:rsid w:val="328062C5"/>
    <w:rsid w:val="3282353D"/>
    <w:rsid w:val="32891103"/>
    <w:rsid w:val="3289557F"/>
    <w:rsid w:val="328A3FE5"/>
    <w:rsid w:val="328C4750"/>
    <w:rsid w:val="329248B7"/>
    <w:rsid w:val="329641D3"/>
    <w:rsid w:val="32981347"/>
    <w:rsid w:val="329D2C38"/>
    <w:rsid w:val="329F776B"/>
    <w:rsid w:val="32A03CD6"/>
    <w:rsid w:val="32A25251"/>
    <w:rsid w:val="32A47CEB"/>
    <w:rsid w:val="32A61E4B"/>
    <w:rsid w:val="32A93554"/>
    <w:rsid w:val="32AC088E"/>
    <w:rsid w:val="32B37F2E"/>
    <w:rsid w:val="32B54A22"/>
    <w:rsid w:val="32B65A83"/>
    <w:rsid w:val="32B7241A"/>
    <w:rsid w:val="32B72DF8"/>
    <w:rsid w:val="32B97FF0"/>
    <w:rsid w:val="32BE5522"/>
    <w:rsid w:val="32C044C4"/>
    <w:rsid w:val="32C71C0D"/>
    <w:rsid w:val="32CE74C9"/>
    <w:rsid w:val="32D00BA5"/>
    <w:rsid w:val="32D81A36"/>
    <w:rsid w:val="32DF2AD1"/>
    <w:rsid w:val="32DF508C"/>
    <w:rsid w:val="32DF6F75"/>
    <w:rsid w:val="32E0684A"/>
    <w:rsid w:val="32E77BD8"/>
    <w:rsid w:val="32EC6B8F"/>
    <w:rsid w:val="32EC7AEE"/>
    <w:rsid w:val="32F32D69"/>
    <w:rsid w:val="32F6606D"/>
    <w:rsid w:val="32F95CA6"/>
    <w:rsid w:val="32FC7B27"/>
    <w:rsid w:val="32FE045B"/>
    <w:rsid w:val="32FF7114"/>
    <w:rsid w:val="33010C9A"/>
    <w:rsid w:val="33022C64"/>
    <w:rsid w:val="3303263C"/>
    <w:rsid w:val="33064502"/>
    <w:rsid w:val="330B3C91"/>
    <w:rsid w:val="331165AB"/>
    <w:rsid w:val="3312497A"/>
    <w:rsid w:val="3313496F"/>
    <w:rsid w:val="33163DF2"/>
    <w:rsid w:val="33180CD3"/>
    <w:rsid w:val="331857D6"/>
    <w:rsid w:val="331E66B0"/>
    <w:rsid w:val="331F5ACC"/>
    <w:rsid w:val="331F708D"/>
    <w:rsid w:val="33245CBD"/>
    <w:rsid w:val="33274478"/>
    <w:rsid w:val="332B21BB"/>
    <w:rsid w:val="332D0608"/>
    <w:rsid w:val="332D460B"/>
    <w:rsid w:val="33301DB6"/>
    <w:rsid w:val="33305A23"/>
    <w:rsid w:val="33322DA4"/>
    <w:rsid w:val="333E1EEE"/>
    <w:rsid w:val="3341378C"/>
    <w:rsid w:val="33451BC8"/>
    <w:rsid w:val="334B460B"/>
    <w:rsid w:val="334C7E2A"/>
    <w:rsid w:val="33522800"/>
    <w:rsid w:val="33552D94"/>
    <w:rsid w:val="33557238"/>
    <w:rsid w:val="335A02C1"/>
    <w:rsid w:val="335A3CDF"/>
    <w:rsid w:val="335B4AB3"/>
    <w:rsid w:val="335C2711"/>
    <w:rsid w:val="335C49A0"/>
    <w:rsid w:val="335E091A"/>
    <w:rsid w:val="33670340"/>
    <w:rsid w:val="336C1169"/>
    <w:rsid w:val="336E0FD6"/>
    <w:rsid w:val="3370411F"/>
    <w:rsid w:val="337376BE"/>
    <w:rsid w:val="337716FE"/>
    <w:rsid w:val="33842FD2"/>
    <w:rsid w:val="338509E0"/>
    <w:rsid w:val="338567E9"/>
    <w:rsid w:val="338A536B"/>
    <w:rsid w:val="338E3B8F"/>
    <w:rsid w:val="338F447E"/>
    <w:rsid w:val="3390201E"/>
    <w:rsid w:val="33932701"/>
    <w:rsid w:val="33947A59"/>
    <w:rsid w:val="33961DA5"/>
    <w:rsid w:val="33995376"/>
    <w:rsid w:val="33997CFE"/>
    <w:rsid w:val="339B3289"/>
    <w:rsid w:val="339C0600"/>
    <w:rsid w:val="33A06705"/>
    <w:rsid w:val="33A317FE"/>
    <w:rsid w:val="33A60F1B"/>
    <w:rsid w:val="33A60F55"/>
    <w:rsid w:val="33AC2EC2"/>
    <w:rsid w:val="33AE06F6"/>
    <w:rsid w:val="33B426F9"/>
    <w:rsid w:val="33BE46A4"/>
    <w:rsid w:val="33C24A1E"/>
    <w:rsid w:val="33C53668"/>
    <w:rsid w:val="33CA462E"/>
    <w:rsid w:val="33CF1F9F"/>
    <w:rsid w:val="33D031CE"/>
    <w:rsid w:val="33D42CE3"/>
    <w:rsid w:val="33D463AE"/>
    <w:rsid w:val="33D92627"/>
    <w:rsid w:val="33DC5263"/>
    <w:rsid w:val="33DD2863"/>
    <w:rsid w:val="33DE472A"/>
    <w:rsid w:val="33DE547F"/>
    <w:rsid w:val="33DE722D"/>
    <w:rsid w:val="33E10ACB"/>
    <w:rsid w:val="33E34843"/>
    <w:rsid w:val="33E37778"/>
    <w:rsid w:val="33EC7B9C"/>
    <w:rsid w:val="33F00D0E"/>
    <w:rsid w:val="33F22CD8"/>
    <w:rsid w:val="33F37300"/>
    <w:rsid w:val="33F656C4"/>
    <w:rsid w:val="340359B4"/>
    <w:rsid w:val="340364D7"/>
    <w:rsid w:val="34065DE8"/>
    <w:rsid w:val="340C0251"/>
    <w:rsid w:val="340F2FB7"/>
    <w:rsid w:val="34162ADA"/>
    <w:rsid w:val="341F2A15"/>
    <w:rsid w:val="34207B82"/>
    <w:rsid w:val="34217B07"/>
    <w:rsid w:val="34230D21"/>
    <w:rsid w:val="34251695"/>
    <w:rsid w:val="34263F82"/>
    <w:rsid w:val="342C06C3"/>
    <w:rsid w:val="342C283D"/>
    <w:rsid w:val="342D7CA9"/>
    <w:rsid w:val="342F7FA6"/>
    <w:rsid w:val="34306259"/>
    <w:rsid w:val="34337CD5"/>
    <w:rsid w:val="343432F1"/>
    <w:rsid w:val="34367DA0"/>
    <w:rsid w:val="34396AD4"/>
    <w:rsid w:val="343C238F"/>
    <w:rsid w:val="34433534"/>
    <w:rsid w:val="344828D8"/>
    <w:rsid w:val="3449376B"/>
    <w:rsid w:val="345469E9"/>
    <w:rsid w:val="345538D4"/>
    <w:rsid w:val="345656C7"/>
    <w:rsid w:val="346239BA"/>
    <w:rsid w:val="346314E0"/>
    <w:rsid w:val="34675474"/>
    <w:rsid w:val="346763D8"/>
    <w:rsid w:val="346E367C"/>
    <w:rsid w:val="347528E2"/>
    <w:rsid w:val="34871B33"/>
    <w:rsid w:val="34877904"/>
    <w:rsid w:val="348903E7"/>
    <w:rsid w:val="348963B2"/>
    <w:rsid w:val="348C4EDB"/>
    <w:rsid w:val="34967B08"/>
    <w:rsid w:val="349D4154"/>
    <w:rsid w:val="34A915E9"/>
    <w:rsid w:val="34AE3693"/>
    <w:rsid w:val="34B15526"/>
    <w:rsid w:val="34B34EAD"/>
    <w:rsid w:val="34B50343"/>
    <w:rsid w:val="34B53459"/>
    <w:rsid w:val="34B6287C"/>
    <w:rsid w:val="34BA0DF3"/>
    <w:rsid w:val="34BF705E"/>
    <w:rsid w:val="34C20046"/>
    <w:rsid w:val="34C21100"/>
    <w:rsid w:val="34C44C99"/>
    <w:rsid w:val="34C74165"/>
    <w:rsid w:val="34C81959"/>
    <w:rsid w:val="34C96D45"/>
    <w:rsid w:val="34CA502B"/>
    <w:rsid w:val="34CB5A03"/>
    <w:rsid w:val="34D13A99"/>
    <w:rsid w:val="34D14809"/>
    <w:rsid w:val="34D66025"/>
    <w:rsid w:val="34D670AE"/>
    <w:rsid w:val="34D67F04"/>
    <w:rsid w:val="34D7150C"/>
    <w:rsid w:val="34D82830"/>
    <w:rsid w:val="34D87E69"/>
    <w:rsid w:val="34DF54E7"/>
    <w:rsid w:val="34E15227"/>
    <w:rsid w:val="34E2428A"/>
    <w:rsid w:val="34E33532"/>
    <w:rsid w:val="34E8012D"/>
    <w:rsid w:val="34EB4778"/>
    <w:rsid w:val="34EE34A0"/>
    <w:rsid w:val="34EF18D2"/>
    <w:rsid w:val="34F61545"/>
    <w:rsid w:val="34FA1E45"/>
    <w:rsid w:val="34FE16D1"/>
    <w:rsid w:val="350158DF"/>
    <w:rsid w:val="3504237A"/>
    <w:rsid w:val="35054751"/>
    <w:rsid w:val="35054FC1"/>
    <w:rsid w:val="350804F5"/>
    <w:rsid w:val="350C796F"/>
    <w:rsid w:val="350D4BE1"/>
    <w:rsid w:val="3513435D"/>
    <w:rsid w:val="351741C1"/>
    <w:rsid w:val="351B6A93"/>
    <w:rsid w:val="351F2FBB"/>
    <w:rsid w:val="352073D1"/>
    <w:rsid w:val="35212259"/>
    <w:rsid w:val="35215623"/>
    <w:rsid w:val="352411E1"/>
    <w:rsid w:val="35250261"/>
    <w:rsid w:val="35254474"/>
    <w:rsid w:val="35274E68"/>
    <w:rsid w:val="352C0243"/>
    <w:rsid w:val="352C6DA4"/>
    <w:rsid w:val="352E28D5"/>
    <w:rsid w:val="352F73A0"/>
    <w:rsid w:val="35303AB8"/>
    <w:rsid w:val="353225D9"/>
    <w:rsid w:val="35365259"/>
    <w:rsid w:val="35370862"/>
    <w:rsid w:val="353A5C49"/>
    <w:rsid w:val="35422A7F"/>
    <w:rsid w:val="35463542"/>
    <w:rsid w:val="35474883"/>
    <w:rsid w:val="3547620A"/>
    <w:rsid w:val="354B1DD2"/>
    <w:rsid w:val="354E6235"/>
    <w:rsid w:val="35516F6C"/>
    <w:rsid w:val="35573D37"/>
    <w:rsid w:val="355E0F25"/>
    <w:rsid w:val="35612418"/>
    <w:rsid w:val="356216B8"/>
    <w:rsid w:val="356255D3"/>
    <w:rsid w:val="35675000"/>
    <w:rsid w:val="35717291"/>
    <w:rsid w:val="35764901"/>
    <w:rsid w:val="357660D3"/>
    <w:rsid w:val="357D65D2"/>
    <w:rsid w:val="357E1C36"/>
    <w:rsid w:val="357F78F2"/>
    <w:rsid w:val="35812566"/>
    <w:rsid w:val="35843AA7"/>
    <w:rsid w:val="35864EAB"/>
    <w:rsid w:val="358844D7"/>
    <w:rsid w:val="358B0CEF"/>
    <w:rsid w:val="358E07DF"/>
    <w:rsid w:val="358F5BF0"/>
    <w:rsid w:val="359009FB"/>
    <w:rsid w:val="359510B7"/>
    <w:rsid w:val="35951B6D"/>
    <w:rsid w:val="35965761"/>
    <w:rsid w:val="3598340C"/>
    <w:rsid w:val="359B0272"/>
    <w:rsid w:val="359D7AC0"/>
    <w:rsid w:val="359E4EC6"/>
    <w:rsid w:val="35A1251F"/>
    <w:rsid w:val="35A4212D"/>
    <w:rsid w:val="35A63D7A"/>
    <w:rsid w:val="35AB17ED"/>
    <w:rsid w:val="35B65DBF"/>
    <w:rsid w:val="35B96760"/>
    <w:rsid w:val="35BF0D0B"/>
    <w:rsid w:val="35C02C5D"/>
    <w:rsid w:val="35C438FC"/>
    <w:rsid w:val="35C661CB"/>
    <w:rsid w:val="35C8202E"/>
    <w:rsid w:val="35CE0DDC"/>
    <w:rsid w:val="35D412B7"/>
    <w:rsid w:val="35D42696"/>
    <w:rsid w:val="35D603A2"/>
    <w:rsid w:val="35D62830"/>
    <w:rsid w:val="35DA3A24"/>
    <w:rsid w:val="35DC779C"/>
    <w:rsid w:val="35DE1766"/>
    <w:rsid w:val="35EC23BD"/>
    <w:rsid w:val="35F07A71"/>
    <w:rsid w:val="35F26E49"/>
    <w:rsid w:val="35F637BD"/>
    <w:rsid w:val="35F920FC"/>
    <w:rsid w:val="35FC6A17"/>
    <w:rsid w:val="36034D29"/>
    <w:rsid w:val="36045748"/>
    <w:rsid w:val="36077684"/>
    <w:rsid w:val="360845DB"/>
    <w:rsid w:val="360A735F"/>
    <w:rsid w:val="360E36AB"/>
    <w:rsid w:val="360F48B7"/>
    <w:rsid w:val="36127662"/>
    <w:rsid w:val="36141BBC"/>
    <w:rsid w:val="36176A26"/>
    <w:rsid w:val="36203625"/>
    <w:rsid w:val="3623361D"/>
    <w:rsid w:val="36257FD9"/>
    <w:rsid w:val="362863C9"/>
    <w:rsid w:val="362B3DDA"/>
    <w:rsid w:val="362E3F9B"/>
    <w:rsid w:val="36315D3A"/>
    <w:rsid w:val="36317AE8"/>
    <w:rsid w:val="36323860"/>
    <w:rsid w:val="36346DFE"/>
    <w:rsid w:val="36424BCE"/>
    <w:rsid w:val="36435878"/>
    <w:rsid w:val="36442226"/>
    <w:rsid w:val="36454EF4"/>
    <w:rsid w:val="36463490"/>
    <w:rsid w:val="3648329F"/>
    <w:rsid w:val="364D069A"/>
    <w:rsid w:val="364E35E2"/>
    <w:rsid w:val="36511F38"/>
    <w:rsid w:val="365321C4"/>
    <w:rsid w:val="36551664"/>
    <w:rsid w:val="365732C7"/>
    <w:rsid w:val="36653C36"/>
    <w:rsid w:val="36663463"/>
    <w:rsid w:val="36710FB7"/>
    <w:rsid w:val="36724133"/>
    <w:rsid w:val="36745C27"/>
    <w:rsid w:val="3675490E"/>
    <w:rsid w:val="36760ECA"/>
    <w:rsid w:val="36767BF1"/>
    <w:rsid w:val="367B6FB5"/>
    <w:rsid w:val="367C4ADB"/>
    <w:rsid w:val="367D0F7F"/>
    <w:rsid w:val="367E499B"/>
    <w:rsid w:val="3684440F"/>
    <w:rsid w:val="36892D9A"/>
    <w:rsid w:val="36897390"/>
    <w:rsid w:val="368A62D0"/>
    <w:rsid w:val="368B2EFE"/>
    <w:rsid w:val="3696269D"/>
    <w:rsid w:val="369857B5"/>
    <w:rsid w:val="369D134C"/>
    <w:rsid w:val="36A22794"/>
    <w:rsid w:val="36A47AEF"/>
    <w:rsid w:val="36A6107B"/>
    <w:rsid w:val="36A66159"/>
    <w:rsid w:val="36A714F0"/>
    <w:rsid w:val="36A941D3"/>
    <w:rsid w:val="36AC3CB9"/>
    <w:rsid w:val="36AE738B"/>
    <w:rsid w:val="36AE7E4D"/>
    <w:rsid w:val="36AF6C5F"/>
    <w:rsid w:val="36B37174"/>
    <w:rsid w:val="36B65E9E"/>
    <w:rsid w:val="36B81FB7"/>
    <w:rsid w:val="36B85B13"/>
    <w:rsid w:val="36BE3B62"/>
    <w:rsid w:val="36BE3C31"/>
    <w:rsid w:val="36C02C1A"/>
    <w:rsid w:val="36C3106A"/>
    <w:rsid w:val="36C40FA3"/>
    <w:rsid w:val="36C53202"/>
    <w:rsid w:val="36C67AC4"/>
    <w:rsid w:val="36C94C72"/>
    <w:rsid w:val="36CA43D1"/>
    <w:rsid w:val="36CF41CF"/>
    <w:rsid w:val="36DB4894"/>
    <w:rsid w:val="36DC334F"/>
    <w:rsid w:val="36DE12F2"/>
    <w:rsid w:val="36E55A25"/>
    <w:rsid w:val="36E56469"/>
    <w:rsid w:val="36E56B24"/>
    <w:rsid w:val="36E932B6"/>
    <w:rsid w:val="36EE3652"/>
    <w:rsid w:val="36F31241"/>
    <w:rsid w:val="36F347AA"/>
    <w:rsid w:val="36F51070"/>
    <w:rsid w:val="36FC3DB1"/>
    <w:rsid w:val="36FE04A5"/>
    <w:rsid w:val="3700060A"/>
    <w:rsid w:val="370056AD"/>
    <w:rsid w:val="370313A7"/>
    <w:rsid w:val="37033F75"/>
    <w:rsid w:val="37040D59"/>
    <w:rsid w:val="370935FC"/>
    <w:rsid w:val="370D7641"/>
    <w:rsid w:val="37131129"/>
    <w:rsid w:val="37147DA6"/>
    <w:rsid w:val="371603BD"/>
    <w:rsid w:val="37180A99"/>
    <w:rsid w:val="371A4D18"/>
    <w:rsid w:val="371C7472"/>
    <w:rsid w:val="3720190B"/>
    <w:rsid w:val="37243C1B"/>
    <w:rsid w:val="37265173"/>
    <w:rsid w:val="37287091"/>
    <w:rsid w:val="3729571E"/>
    <w:rsid w:val="372B5833"/>
    <w:rsid w:val="372C701F"/>
    <w:rsid w:val="3730715C"/>
    <w:rsid w:val="3731311B"/>
    <w:rsid w:val="373408A5"/>
    <w:rsid w:val="37357164"/>
    <w:rsid w:val="373A0C1E"/>
    <w:rsid w:val="373B6744"/>
    <w:rsid w:val="373C0B79"/>
    <w:rsid w:val="373F4487"/>
    <w:rsid w:val="374070DE"/>
    <w:rsid w:val="3741494B"/>
    <w:rsid w:val="37442EB7"/>
    <w:rsid w:val="37443747"/>
    <w:rsid w:val="374870C0"/>
    <w:rsid w:val="374E77C8"/>
    <w:rsid w:val="374F69DC"/>
    <w:rsid w:val="37502D61"/>
    <w:rsid w:val="375318EC"/>
    <w:rsid w:val="3753277D"/>
    <w:rsid w:val="375515B4"/>
    <w:rsid w:val="375717D0"/>
    <w:rsid w:val="375F3051"/>
    <w:rsid w:val="376076CF"/>
    <w:rsid w:val="37616ED6"/>
    <w:rsid w:val="37640266"/>
    <w:rsid w:val="37667FD8"/>
    <w:rsid w:val="376D7534"/>
    <w:rsid w:val="37770BDD"/>
    <w:rsid w:val="37780297"/>
    <w:rsid w:val="37796963"/>
    <w:rsid w:val="377B4845"/>
    <w:rsid w:val="377C2FE5"/>
    <w:rsid w:val="377E2B92"/>
    <w:rsid w:val="3781684D"/>
    <w:rsid w:val="378C0D4E"/>
    <w:rsid w:val="3790083E"/>
    <w:rsid w:val="37904B20"/>
    <w:rsid w:val="379833E2"/>
    <w:rsid w:val="379B69EA"/>
    <w:rsid w:val="379E2A51"/>
    <w:rsid w:val="37A17C4F"/>
    <w:rsid w:val="37A32AE6"/>
    <w:rsid w:val="37A60062"/>
    <w:rsid w:val="37AC403D"/>
    <w:rsid w:val="37AF74CA"/>
    <w:rsid w:val="37B25A57"/>
    <w:rsid w:val="37B37C8C"/>
    <w:rsid w:val="37C11BAF"/>
    <w:rsid w:val="37C44757"/>
    <w:rsid w:val="37C44D03"/>
    <w:rsid w:val="37CA4EEE"/>
    <w:rsid w:val="37CC2DB8"/>
    <w:rsid w:val="37CD7F1E"/>
    <w:rsid w:val="37CE3BFD"/>
    <w:rsid w:val="37D3136D"/>
    <w:rsid w:val="37D35C79"/>
    <w:rsid w:val="37D62B7D"/>
    <w:rsid w:val="37D71CEA"/>
    <w:rsid w:val="37D7646D"/>
    <w:rsid w:val="37D86E73"/>
    <w:rsid w:val="37DA5F5D"/>
    <w:rsid w:val="37E15FE5"/>
    <w:rsid w:val="37E77885"/>
    <w:rsid w:val="37EE75A4"/>
    <w:rsid w:val="37EF1A09"/>
    <w:rsid w:val="37EF1F86"/>
    <w:rsid w:val="37F06791"/>
    <w:rsid w:val="37F206D8"/>
    <w:rsid w:val="37F2281E"/>
    <w:rsid w:val="37F25055"/>
    <w:rsid w:val="37F2650F"/>
    <w:rsid w:val="37F410FF"/>
    <w:rsid w:val="37F565FF"/>
    <w:rsid w:val="37F7445A"/>
    <w:rsid w:val="3802077B"/>
    <w:rsid w:val="380240FD"/>
    <w:rsid w:val="380460F4"/>
    <w:rsid w:val="3805122C"/>
    <w:rsid w:val="380D12B4"/>
    <w:rsid w:val="380D6910"/>
    <w:rsid w:val="380E3748"/>
    <w:rsid w:val="381C6576"/>
    <w:rsid w:val="382F44FB"/>
    <w:rsid w:val="383B4C4E"/>
    <w:rsid w:val="383C5FE0"/>
    <w:rsid w:val="383D21D3"/>
    <w:rsid w:val="383D413A"/>
    <w:rsid w:val="38424F74"/>
    <w:rsid w:val="3843227A"/>
    <w:rsid w:val="38475D2A"/>
    <w:rsid w:val="38477BCF"/>
    <w:rsid w:val="384E522B"/>
    <w:rsid w:val="384F24A7"/>
    <w:rsid w:val="384F3CB1"/>
    <w:rsid w:val="3852226E"/>
    <w:rsid w:val="3853376C"/>
    <w:rsid w:val="38561A88"/>
    <w:rsid w:val="3859075A"/>
    <w:rsid w:val="385A65E7"/>
    <w:rsid w:val="385D7976"/>
    <w:rsid w:val="385E429B"/>
    <w:rsid w:val="38624159"/>
    <w:rsid w:val="38646325"/>
    <w:rsid w:val="38695DE6"/>
    <w:rsid w:val="386B3A5B"/>
    <w:rsid w:val="386B4E07"/>
    <w:rsid w:val="386D0B7F"/>
    <w:rsid w:val="386F3073"/>
    <w:rsid w:val="387243E8"/>
    <w:rsid w:val="38743CBC"/>
    <w:rsid w:val="387653CA"/>
    <w:rsid w:val="38767178"/>
    <w:rsid w:val="3879662C"/>
    <w:rsid w:val="387A73C9"/>
    <w:rsid w:val="387D2AE1"/>
    <w:rsid w:val="387E769F"/>
    <w:rsid w:val="3884662A"/>
    <w:rsid w:val="388B2005"/>
    <w:rsid w:val="388C2881"/>
    <w:rsid w:val="388E7474"/>
    <w:rsid w:val="388F477D"/>
    <w:rsid w:val="388F4F9A"/>
    <w:rsid w:val="388F6147"/>
    <w:rsid w:val="38912AC0"/>
    <w:rsid w:val="38925F64"/>
    <w:rsid w:val="38940F0B"/>
    <w:rsid w:val="38993CC6"/>
    <w:rsid w:val="389C791D"/>
    <w:rsid w:val="389E5424"/>
    <w:rsid w:val="38A07EE1"/>
    <w:rsid w:val="38A310FB"/>
    <w:rsid w:val="38A6160E"/>
    <w:rsid w:val="38A93BB2"/>
    <w:rsid w:val="38AA6EBD"/>
    <w:rsid w:val="38AC248F"/>
    <w:rsid w:val="38AE178D"/>
    <w:rsid w:val="38AE79FA"/>
    <w:rsid w:val="38B247E4"/>
    <w:rsid w:val="38B273A0"/>
    <w:rsid w:val="38B66756"/>
    <w:rsid w:val="38BB4203"/>
    <w:rsid w:val="38BD38B5"/>
    <w:rsid w:val="38BD5663"/>
    <w:rsid w:val="38C308FB"/>
    <w:rsid w:val="38C53DAB"/>
    <w:rsid w:val="38C60FEB"/>
    <w:rsid w:val="38C849C5"/>
    <w:rsid w:val="38C96FCD"/>
    <w:rsid w:val="38CC3AF8"/>
    <w:rsid w:val="38D367D9"/>
    <w:rsid w:val="38D96215"/>
    <w:rsid w:val="38DB6A3C"/>
    <w:rsid w:val="38DC1DD8"/>
    <w:rsid w:val="38DC5427"/>
    <w:rsid w:val="38DE5F53"/>
    <w:rsid w:val="38E1264A"/>
    <w:rsid w:val="38F117B0"/>
    <w:rsid w:val="38F27B88"/>
    <w:rsid w:val="38FD03D1"/>
    <w:rsid w:val="38FE5C7B"/>
    <w:rsid w:val="390453E0"/>
    <w:rsid w:val="39090018"/>
    <w:rsid w:val="39111E53"/>
    <w:rsid w:val="3911751B"/>
    <w:rsid w:val="391639A4"/>
    <w:rsid w:val="391A1404"/>
    <w:rsid w:val="391D07F7"/>
    <w:rsid w:val="39263173"/>
    <w:rsid w:val="39275184"/>
    <w:rsid w:val="392A2F44"/>
    <w:rsid w:val="392C6FE4"/>
    <w:rsid w:val="392D4038"/>
    <w:rsid w:val="39365415"/>
    <w:rsid w:val="3936770E"/>
    <w:rsid w:val="394C7FD3"/>
    <w:rsid w:val="394D229C"/>
    <w:rsid w:val="395B4E7C"/>
    <w:rsid w:val="395D0BF4"/>
    <w:rsid w:val="39643D30"/>
    <w:rsid w:val="39653B7F"/>
    <w:rsid w:val="396561EC"/>
    <w:rsid w:val="396957EB"/>
    <w:rsid w:val="396B3311"/>
    <w:rsid w:val="396C1913"/>
    <w:rsid w:val="396C3C01"/>
    <w:rsid w:val="396E05E2"/>
    <w:rsid w:val="39766971"/>
    <w:rsid w:val="397C74EE"/>
    <w:rsid w:val="397F0B6A"/>
    <w:rsid w:val="39820717"/>
    <w:rsid w:val="398B1820"/>
    <w:rsid w:val="398B779E"/>
    <w:rsid w:val="398D4AE2"/>
    <w:rsid w:val="39904B26"/>
    <w:rsid w:val="39934616"/>
    <w:rsid w:val="39936B4C"/>
    <w:rsid w:val="399654D7"/>
    <w:rsid w:val="39971B73"/>
    <w:rsid w:val="39982633"/>
    <w:rsid w:val="399D36E6"/>
    <w:rsid w:val="399F3E9D"/>
    <w:rsid w:val="39A630BD"/>
    <w:rsid w:val="39AE60C8"/>
    <w:rsid w:val="39AF02DA"/>
    <w:rsid w:val="39B12CEE"/>
    <w:rsid w:val="39B5458C"/>
    <w:rsid w:val="39B734AF"/>
    <w:rsid w:val="39BC7231"/>
    <w:rsid w:val="39BE5B37"/>
    <w:rsid w:val="39BF58CD"/>
    <w:rsid w:val="39C07F2A"/>
    <w:rsid w:val="39C104DE"/>
    <w:rsid w:val="39C30DEE"/>
    <w:rsid w:val="39C649EB"/>
    <w:rsid w:val="39C830F9"/>
    <w:rsid w:val="39C8341B"/>
    <w:rsid w:val="39CC1364"/>
    <w:rsid w:val="39CC14F3"/>
    <w:rsid w:val="39D07993"/>
    <w:rsid w:val="39DB3C47"/>
    <w:rsid w:val="39DE630A"/>
    <w:rsid w:val="39E00291"/>
    <w:rsid w:val="39E135D3"/>
    <w:rsid w:val="39E60BE9"/>
    <w:rsid w:val="39ED47D1"/>
    <w:rsid w:val="39EE7BDC"/>
    <w:rsid w:val="39F01723"/>
    <w:rsid w:val="39F630B2"/>
    <w:rsid w:val="39FD260D"/>
    <w:rsid w:val="39FD2F94"/>
    <w:rsid w:val="3A013C75"/>
    <w:rsid w:val="3A024CAE"/>
    <w:rsid w:val="3A0C69E4"/>
    <w:rsid w:val="3A100B71"/>
    <w:rsid w:val="3A103EB8"/>
    <w:rsid w:val="3A123C36"/>
    <w:rsid w:val="3A1406B6"/>
    <w:rsid w:val="3A176647"/>
    <w:rsid w:val="3A183E8B"/>
    <w:rsid w:val="3A201D84"/>
    <w:rsid w:val="3A206B1E"/>
    <w:rsid w:val="3A2161EB"/>
    <w:rsid w:val="3A224433"/>
    <w:rsid w:val="3A2967CE"/>
    <w:rsid w:val="3A2C7423"/>
    <w:rsid w:val="3A3214CC"/>
    <w:rsid w:val="3A3666BD"/>
    <w:rsid w:val="3A371445"/>
    <w:rsid w:val="3A3E487D"/>
    <w:rsid w:val="3A4028E8"/>
    <w:rsid w:val="3A40414F"/>
    <w:rsid w:val="3A443578"/>
    <w:rsid w:val="3A445910"/>
    <w:rsid w:val="3A4A561C"/>
    <w:rsid w:val="3A4E0707"/>
    <w:rsid w:val="3A4E2526"/>
    <w:rsid w:val="3A507EF8"/>
    <w:rsid w:val="3A526642"/>
    <w:rsid w:val="3A532654"/>
    <w:rsid w:val="3A5B451C"/>
    <w:rsid w:val="3A5E2E76"/>
    <w:rsid w:val="3A600652"/>
    <w:rsid w:val="3A6A7054"/>
    <w:rsid w:val="3A6F1D50"/>
    <w:rsid w:val="3A721156"/>
    <w:rsid w:val="3A723FEB"/>
    <w:rsid w:val="3A742699"/>
    <w:rsid w:val="3A7A7584"/>
    <w:rsid w:val="3A8013C4"/>
    <w:rsid w:val="3A84753C"/>
    <w:rsid w:val="3A850402"/>
    <w:rsid w:val="3A867BD0"/>
    <w:rsid w:val="3A8C7C59"/>
    <w:rsid w:val="3A8D7FAE"/>
    <w:rsid w:val="3A922B1F"/>
    <w:rsid w:val="3A944AE9"/>
    <w:rsid w:val="3A9C399E"/>
    <w:rsid w:val="3A9F027C"/>
    <w:rsid w:val="3AA20330"/>
    <w:rsid w:val="3AA27753"/>
    <w:rsid w:val="3AA42209"/>
    <w:rsid w:val="3AA45BF2"/>
    <w:rsid w:val="3AA51D80"/>
    <w:rsid w:val="3AA765CB"/>
    <w:rsid w:val="3AB121BB"/>
    <w:rsid w:val="3AC03A36"/>
    <w:rsid w:val="3AC142F1"/>
    <w:rsid w:val="3AC37A18"/>
    <w:rsid w:val="3AC70A1B"/>
    <w:rsid w:val="3ACC2C17"/>
    <w:rsid w:val="3ACF169C"/>
    <w:rsid w:val="3AD46DA6"/>
    <w:rsid w:val="3AD655A2"/>
    <w:rsid w:val="3AD80004"/>
    <w:rsid w:val="3AD83785"/>
    <w:rsid w:val="3ADA6EB0"/>
    <w:rsid w:val="3ADB6274"/>
    <w:rsid w:val="3ADC6E4E"/>
    <w:rsid w:val="3ADF6D5D"/>
    <w:rsid w:val="3AE151E5"/>
    <w:rsid w:val="3AE467DF"/>
    <w:rsid w:val="3AE62A08"/>
    <w:rsid w:val="3AEC48FA"/>
    <w:rsid w:val="3AEF2E86"/>
    <w:rsid w:val="3AF033F9"/>
    <w:rsid w:val="3AF17928"/>
    <w:rsid w:val="3AF23ECA"/>
    <w:rsid w:val="3AF24C31"/>
    <w:rsid w:val="3AF570B5"/>
    <w:rsid w:val="3AF64E5C"/>
    <w:rsid w:val="3AF6669A"/>
    <w:rsid w:val="3AFA0689"/>
    <w:rsid w:val="3AFB06C4"/>
    <w:rsid w:val="3AFD4F44"/>
    <w:rsid w:val="3AFE4D0B"/>
    <w:rsid w:val="3AFF6407"/>
    <w:rsid w:val="3B0311B9"/>
    <w:rsid w:val="3B044178"/>
    <w:rsid w:val="3B0A599B"/>
    <w:rsid w:val="3B0B4275"/>
    <w:rsid w:val="3B0C0B24"/>
    <w:rsid w:val="3B173BF2"/>
    <w:rsid w:val="3B183BF0"/>
    <w:rsid w:val="3B185AF1"/>
    <w:rsid w:val="3B1A693F"/>
    <w:rsid w:val="3B1B0CE9"/>
    <w:rsid w:val="3B1D4CD4"/>
    <w:rsid w:val="3B1E03F3"/>
    <w:rsid w:val="3B222A49"/>
    <w:rsid w:val="3B2232D4"/>
    <w:rsid w:val="3B223EA3"/>
    <w:rsid w:val="3B264EE0"/>
    <w:rsid w:val="3B2A329F"/>
    <w:rsid w:val="3B2B4EB0"/>
    <w:rsid w:val="3B2E1447"/>
    <w:rsid w:val="3B2F3B39"/>
    <w:rsid w:val="3B331C0C"/>
    <w:rsid w:val="3B3578FD"/>
    <w:rsid w:val="3B36178C"/>
    <w:rsid w:val="3B3D6F2F"/>
    <w:rsid w:val="3B405151"/>
    <w:rsid w:val="3B443E1A"/>
    <w:rsid w:val="3B464036"/>
    <w:rsid w:val="3B4F4CA9"/>
    <w:rsid w:val="3B4F5BC1"/>
    <w:rsid w:val="3B526DCC"/>
    <w:rsid w:val="3B5B5607"/>
    <w:rsid w:val="3B5E6E75"/>
    <w:rsid w:val="3B60005A"/>
    <w:rsid w:val="3B60677A"/>
    <w:rsid w:val="3B6D24F5"/>
    <w:rsid w:val="3B6E0E96"/>
    <w:rsid w:val="3B6E2755"/>
    <w:rsid w:val="3B6E70E8"/>
    <w:rsid w:val="3B7038EC"/>
    <w:rsid w:val="3B736CDC"/>
    <w:rsid w:val="3B746452"/>
    <w:rsid w:val="3B774A76"/>
    <w:rsid w:val="3B7C46E8"/>
    <w:rsid w:val="3B7E23AF"/>
    <w:rsid w:val="3B7E69CB"/>
    <w:rsid w:val="3B8132BD"/>
    <w:rsid w:val="3B8F148F"/>
    <w:rsid w:val="3B961E43"/>
    <w:rsid w:val="3B98242C"/>
    <w:rsid w:val="3B9B1061"/>
    <w:rsid w:val="3B9C0921"/>
    <w:rsid w:val="3B9D352A"/>
    <w:rsid w:val="3BA1059E"/>
    <w:rsid w:val="3BA24FE4"/>
    <w:rsid w:val="3BA269CE"/>
    <w:rsid w:val="3BA40D5C"/>
    <w:rsid w:val="3BA42B0A"/>
    <w:rsid w:val="3BAD4B47"/>
    <w:rsid w:val="3BB002D7"/>
    <w:rsid w:val="3BB46028"/>
    <w:rsid w:val="3BB6621C"/>
    <w:rsid w:val="3BBB2F11"/>
    <w:rsid w:val="3BBB7E54"/>
    <w:rsid w:val="3BBC60A6"/>
    <w:rsid w:val="3BC1546A"/>
    <w:rsid w:val="3BC4467B"/>
    <w:rsid w:val="3BC83446"/>
    <w:rsid w:val="3BC9431F"/>
    <w:rsid w:val="3BCB5986"/>
    <w:rsid w:val="3BCC2061"/>
    <w:rsid w:val="3BCD233D"/>
    <w:rsid w:val="3BD412DA"/>
    <w:rsid w:val="3BD86C58"/>
    <w:rsid w:val="3BE949C1"/>
    <w:rsid w:val="3BED2703"/>
    <w:rsid w:val="3BF05D4F"/>
    <w:rsid w:val="3BF53366"/>
    <w:rsid w:val="3BF5780A"/>
    <w:rsid w:val="3BF72E59"/>
    <w:rsid w:val="3BFB1A37"/>
    <w:rsid w:val="3BFF41E4"/>
    <w:rsid w:val="3C006FAE"/>
    <w:rsid w:val="3C02216E"/>
    <w:rsid w:val="3C090BBF"/>
    <w:rsid w:val="3C095063"/>
    <w:rsid w:val="3C0B1C91"/>
    <w:rsid w:val="3C0D6901"/>
    <w:rsid w:val="3C0F1E1C"/>
    <w:rsid w:val="3C0F45C4"/>
    <w:rsid w:val="3C1001A0"/>
    <w:rsid w:val="3C157564"/>
    <w:rsid w:val="3C1C512B"/>
    <w:rsid w:val="3C1F6ED2"/>
    <w:rsid w:val="3C264B94"/>
    <w:rsid w:val="3C2719FC"/>
    <w:rsid w:val="3C281788"/>
    <w:rsid w:val="3C2D302D"/>
    <w:rsid w:val="3C2D6FA3"/>
    <w:rsid w:val="3C2F5D6D"/>
    <w:rsid w:val="3C331B7E"/>
    <w:rsid w:val="3C334F54"/>
    <w:rsid w:val="3C3814A4"/>
    <w:rsid w:val="3C387830"/>
    <w:rsid w:val="3C3C2D43"/>
    <w:rsid w:val="3C403A78"/>
    <w:rsid w:val="3C407959"/>
    <w:rsid w:val="3C4251B0"/>
    <w:rsid w:val="3C432795"/>
    <w:rsid w:val="3C48260D"/>
    <w:rsid w:val="3C4C63CA"/>
    <w:rsid w:val="3C4D337F"/>
    <w:rsid w:val="3C4F6E67"/>
    <w:rsid w:val="3C5013FF"/>
    <w:rsid w:val="3C5114D0"/>
    <w:rsid w:val="3C5502A8"/>
    <w:rsid w:val="3C570FBE"/>
    <w:rsid w:val="3C5B71D2"/>
    <w:rsid w:val="3C5E53AF"/>
    <w:rsid w:val="3C644E63"/>
    <w:rsid w:val="3C664263"/>
    <w:rsid w:val="3C686A8A"/>
    <w:rsid w:val="3C6F7098"/>
    <w:rsid w:val="3C714095"/>
    <w:rsid w:val="3C737607"/>
    <w:rsid w:val="3C771367"/>
    <w:rsid w:val="3C771FCD"/>
    <w:rsid w:val="3C7921E9"/>
    <w:rsid w:val="3C7A1ABD"/>
    <w:rsid w:val="3C7B55E4"/>
    <w:rsid w:val="3C7C3D25"/>
    <w:rsid w:val="3C830972"/>
    <w:rsid w:val="3C8D6729"/>
    <w:rsid w:val="3C8F7316"/>
    <w:rsid w:val="3C925213"/>
    <w:rsid w:val="3C94492D"/>
    <w:rsid w:val="3C965623"/>
    <w:rsid w:val="3C9A45A8"/>
    <w:rsid w:val="3C9F32D2"/>
    <w:rsid w:val="3C9F4BEE"/>
    <w:rsid w:val="3CAA4867"/>
    <w:rsid w:val="3CAC79B9"/>
    <w:rsid w:val="3CB13AB8"/>
    <w:rsid w:val="3CB46D7D"/>
    <w:rsid w:val="3CBC6341"/>
    <w:rsid w:val="3CBD50BF"/>
    <w:rsid w:val="3CC16D3F"/>
    <w:rsid w:val="3CC34AE5"/>
    <w:rsid w:val="3CC7056B"/>
    <w:rsid w:val="3CC91AA5"/>
    <w:rsid w:val="3CCC2B0D"/>
    <w:rsid w:val="3CCD0BC4"/>
    <w:rsid w:val="3CCD7E3F"/>
    <w:rsid w:val="3CD122C5"/>
    <w:rsid w:val="3CD22C45"/>
    <w:rsid w:val="3CD60BE5"/>
    <w:rsid w:val="3CD82F64"/>
    <w:rsid w:val="3CD845C6"/>
    <w:rsid w:val="3CDB07AE"/>
    <w:rsid w:val="3CDC0658"/>
    <w:rsid w:val="3CE116D3"/>
    <w:rsid w:val="3CE162E7"/>
    <w:rsid w:val="3CE23FFF"/>
    <w:rsid w:val="3CE31410"/>
    <w:rsid w:val="3CE41E03"/>
    <w:rsid w:val="3CE51764"/>
    <w:rsid w:val="3CEB253C"/>
    <w:rsid w:val="3CF11D7F"/>
    <w:rsid w:val="3CF4361D"/>
    <w:rsid w:val="3CF568EC"/>
    <w:rsid w:val="3CFE1A11"/>
    <w:rsid w:val="3D0156BE"/>
    <w:rsid w:val="3D053A7C"/>
    <w:rsid w:val="3D0714CA"/>
    <w:rsid w:val="3D08158A"/>
    <w:rsid w:val="3D097971"/>
    <w:rsid w:val="3D0A54AC"/>
    <w:rsid w:val="3D0C2743"/>
    <w:rsid w:val="3D0C6BB9"/>
    <w:rsid w:val="3D0D33AB"/>
    <w:rsid w:val="3D112421"/>
    <w:rsid w:val="3D135764"/>
    <w:rsid w:val="3D1E09A4"/>
    <w:rsid w:val="3D2044EF"/>
    <w:rsid w:val="3D271C45"/>
    <w:rsid w:val="3D2D6B2F"/>
    <w:rsid w:val="3D2E3078"/>
    <w:rsid w:val="3D332DF1"/>
    <w:rsid w:val="3D3C393E"/>
    <w:rsid w:val="3D404AB5"/>
    <w:rsid w:val="3D471934"/>
    <w:rsid w:val="3D473EB5"/>
    <w:rsid w:val="3D497FBC"/>
    <w:rsid w:val="3D4A148F"/>
    <w:rsid w:val="3D4D63D3"/>
    <w:rsid w:val="3D5634B1"/>
    <w:rsid w:val="3D575EBF"/>
    <w:rsid w:val="3D5C6433"/>
    <w:rsid w:val="3D5D7590"/>
    <w:rsid w:val="3D5F7A13"/>
    <w:rsid w:val="3D626DBB"/>
    <w:rsid w:val="3D6962D3"/>
    <w:rsid w:val="3D6B36DE"/>
    <w:rsid w:val="3D734E8A"/>
    <w:rsid w:val="3D74475E"/>
    <w:rsid w:val="3D871FDB"/>
    <w:rsid w:val="3D874491"/>
    <w:rsid w:val="3D87623F"/>
    <w:rsid w:val="3D8B20CC"/>
    <w:rsid w:val="3D8B49A9"/>
    <w:rsid w:val="3D8C7CFA"/>
    <w:rsid w:val="3D8F50C4"/>
    <w:rsid w:val="3D934282"/>
    <w:rsid w:val="3D9372DA"/>
    <w:rsid w:val="3D9F50BB"/>
    <w:rsid w:val="3DA07E5F"/>
    <w:rsid w:val="3DA43295"/>
    <w:rsid w:val="3DA70F36"/>
    <w:rsid w:val="3DA908A0"/>
    <w:rsid w:val="3DA958E8"/>
    <w:rsid w:val="3DAB715D"/>
    <w:rsid w:val="3DAE5EC2"/>
    <w:rsid w:val="3DAE7DCE"/>
    <w:rsid w:val="3DB159B2"/>
    <w:rsid w:val="3DB26A4B"/>
    <w:rsid w:val="3DB57251"/>
    <w:rsid w:val="3DBA5C3A"/>
    <w:rsid w:val="3DBB2DFD"/>
    <w:rsid w:val="3DBC344D"/>
    <w:rsid w:val="3DBF00CF"/>
    <w:rsid w:val="3DC2196D"/>
    <w:rsid w:val="3DC9257A"/>
    <w:rsid w:val="3DC95A8B"/>
    <w:rsid w:val="3DCB6A74"/>
    <w:rsid w:val="3DD54684"/>
    <w:rsid w:val="3DD564C3"/>
    <w:rsid w:val="3DD57856"/>
    <w:rsid w:val="3DDA0A65"/>
    <w:rsid w:val="3DDA7FCA"/>
    <w:rsid w:val="3DDE0B48"/>
    <w:rsid w:val="3DE048E8"/>
    <w:rsid w:val="3DE25B6C"/>
    <w:rsid w:val="3DE6565C"/>
    <w:rsid w:val="3DE701FE"/>
    <w:rsid w:val="3DE74F30"/>
    <w:rsid w:val="3DEB2C72"/>
    <w:rsid w:val="3DEB7990"/>
    <w:rsid w:val="3DF0506E"/>
    <w:rsid w:val="3DF07218"/>
    <w:rsid w:val="3DF149B1"/>
    <w:rsid w:val="3DF34DCE"/>
    <w:rsid w:val="3DF65025"/>
    <w:rsid w:val="3DFC17A7"/>
    <w:rsid w:val="3DFD6502"/>
    <w:rsid w:val="3E0047CB"/>
    <w:rsid w:val="3E013C65"/>
    <w:rsid w:val="3E03620E"/>
    <w:rsid w:val="3E0408A9"/>
    <w:rsid w:val="3E0C379E"/>
    <w:rsid w:val="3E173A67"/>
    <w:rsid w:val="3E235316"/>
    <w:rsid w:val="3E235947"/>
    <w:rsid w:val="3E24093C"/>
    <w:rsid w:val="3E27259A"/>
    <w:rsid w:val="3E281F2B"/>
    <w:rsid w:val="3E2A006A"/>
    <w:rsid w:val="3E2D50C6"/>
    <w:rsid w:val="3E2F6AD5"/>
    <w:rsid w:val="3E334F1E"/>
    <w:rsid w:val="3E344619"/>
    <w:rsid w:val="3E35213F"/>
    <w:rsid w:val="3E391C30"/>
    <w:rsid w:val="3E3A663A"/>
    <w:rsid w:val="3E3A73E3"/>
    <w:rsid w:val="3E3F4C76"/>
    <w:rsid w:val="3E3F73A7"/>
    <w:rsid w:val="3E401741"/>
    <w:rsid w:val="3E524A9F"/>
    <w:rsid w:val="3E5527E2"/>
    <w:rsid w:val="3E562A67"/>
    <w:rsid w:val="3E5A17AD"/>
    <w:rsid w:val="3E5B7702"/>
    <w:rsid w:val="3E5C147A"/>
    <w:rsid w:val="3E5D1219"/>
    <w:rsid w:val="3E5D1630"/>
    <w:rsid w:val="3E605D79"/>
    <w:rsid w:val="3E634FAF"/>
    <w:rsid w:val="3E664265"/>
    <w:rsid w:val="3E6673A8"/>
    <w:rsid w:val="3E6B7FCA"/>
    <w:rsid w:val="3E6D7B2B"/>
    <w:rsid w:val="3E6F01F8"/>
    <w:rsid w:val="3E6F7963"/>
    <w:rsid w:val="3E7162AE"/>
    <w:rsid w:val="3E740EBA"/>
    <w:rsid w:val="3E76169E"/>
    <w:rsid w:val="3E8160DA"/>
    <w:rsid w:val="3E841EE5"/>
    <w:rsid w:val="3E85413A"/>
    <w:rsid w:val="3E861193"/>
    <w:rsid w:val="3E86299B"/>
    <w:rsid w:val="3E897D84"/>
    <w:rsid w:val="3E8E07A6"/>
    <w:rsid w:val="3E912E79"/>
    <w:rsid w:val="3E98379F"/>
    <w:rsid w:val="3EA177D5"/>
    <w:rsid w:val="3EA847F2"/>
    <w:rsid w:val="3EA92717"/>
    <w:rsid w:val="3EAB34DF"/>
    <w:rsid w:val="3EB017C6"/>
    <w:rsid w:val="3EB23EB7"/>
    <w:rsid w:val="3EBA244F"/>
    <w:rsid w:val="3EC82FB3"/>
    <w:rsid w:val="3ED50DF5"/>
    <w:rsid w:val="3ED52C17"/>
    <w:rsid w:val="3EDA4180"/>
    <w:rsid w:val="3EDD777D"/>
    <w:rsid w:val="3EDE27D7"/>
    <w:rsid w:val="3EDE6333"/>
    <w:rsid w:val="3EE14075"/>
    <w:rsid w:val="3EE15410"/>
    <w:rsid w:val="3EE41DD1"/>
    <w:rsid w:val="3EE52344"/>
    <w:rsid w:val="3EE65614"/>
    <w:rsid w:val="3EEB4231"/>
    <w:rsid w:val="3EEE07F8"/>
    <w:rsid w:val="3EF17BED"/>
    <w:rsid w:val="3EF26F72"/>
    <w:rsid w:val="3EF27DD2"/>
    <w:rsid w:val="3EF376E4"/>
    <w:rsid w:val="3EF92BFA"/>
    <w:rsid w:val="3EFE0783"/>
    <w:rsid w:val="3EFF1387"/>
    <w:rsid w:val="3F010273"/>
    <w:rsid w:val="3F056592"/>
    <w:rsid w:val="3F09723D"/>
    <w:rsid w:val="3F0E44FC"/>
    <w:rsid w:val="3F0E70C0"/>
    <w:rsid w:val="3F11495A"/>
    <w:rsid w:val="3F14143C"/>
    <w:rsid w:val="3F172BE7"/>
    <w:rsid w:val="3F177A97"/>
    <w:rsid w:val="3F1A6B11"/>
    <w:rsid w:val="3F1B53D0"/>
    <w:rsid w:val="3F1B6A16"/>
    <w:rsid w:val="3F1B7587"/>
    <w:rsid w:val="3F1F3C47"/>
    <w:rsid w:val="3F2112DE"/>
    <w:rsid w:val="3F226DC3"/>
    <w:rsid w:val="3F261A88"/>
    <w:rsid w:val="3F2720AF"/>
    <w:rsid w:val="3F2B0DAF"/>
    <w:rsid w:val="3F2B709E"/>
    <w:rsid w:val="3F340649"/>
    <w:rsid w:val="3F39625E"/>
    <w:rsid w:val="3F440272"/>
    <w:rsid w:val="3F4574DA"/>
    <w:rsid w:val="3F4A5C66"/>
    <w:rsid w:val="3F4B5B5E"/>
    <w:rsid w:val="3F4B6C90"/>
    <w:rsid w:val="3F4C14EF"/>
    <w:rsid w:val="3F4C7741"/>
    <w:rsid w:val="3F5071F8"/>
    <w:rsid w:val="3F522077"/>
    <w:rsid w:val="3F522A2A"/>
    <w:rsid w:val="3F592ADF"/>
    <w:rsid w:val="3F5A650B"/>
    <w:rsid w:val="3F5B3E28"/>
    <w:rsid w:val="3F5E0891"/>
    <w:rsid w:val="3F600A8B"/>
    <w:rsid w:val="3F6031EC"/>
    <w:rsid w:val="3F645126"/>
    <w:rsid w:val="3F650802"/>
    <w:rsid w:val="3F6827AF"/>
    <w:rsid w:val="3F6A51F3"/>
    <w:rsid w:val="3F7104F7"/>
    <w:rsid w:val="3F7160CC"/>
    <w:rsid w:val="3F716AD8"/>
    <w:rsid w:val="3F7938EA"/>
    <w:rsid w:val="3F794BDA"/>
    <w:rsid w:val="3F7C14D6"/>
    <w:rsid w:val="3F874C1D"/>
    <w:rsid w:val="3F890593"/>
    <w:rsid w:val="3F8C2233"/>
    <w:rsid w:val="3F9058A8"/>
    <w:rsid w:val="3F9133A5"/>
    <w:rsid w:val="3F95689F"/>
    <w:rsid w:val="3F965D4C"/>
    <w:rsid w:val="3F9904AC"/>
    <w:rsid w:val="3F9966FE"/>
    <w:rsid w:val="3F9C6353"/>
    <w:rsid w:val="3FA0183A"/>
    <w:rsid w:val="3FA4757D"/>
    <w:rsid w:val="3FA638B5"/>
    <w:rsid w:val="3FAA40F9"/>
    <w:rsid w:val="3FAB42DE"/>
    <w:rsid w:val="3FAC4683"/>
    <w:rsid w:val="3FAE03FB"/>
    <w:rsid w:val="3FAF687E"/>
    <w:rsid w:val="3FB019F3"/>
    <w:rsid w:val="3FB329A2"/>
    <w:rsid w:val="3FB52F51"/>
    <w:rsid w:val="3FB62E0C"/>
    <w:rsid w:val="3FB66FCC"/>
    <w:rsid w:val="3FB71B3C"/>
    <w:rsid w:val="3FC21BA0"/>
    <w:rsid w:val="3FC45529"/>
    <w:rsid w:val="3FC5223F"/>
    <w:rsid w:val="3FC70145"/>
    <w:rsid w:val="3FC72484"/>
    <w:rsid w:val="3FC82845"/>
    <w:rsid w:val="3FC94057"/>
    <w:rsid w:val="3FCA3682"/>
    <w:rsid w:val="3FCC0881"/>
    <w:rsid w:val="3FCE63A8"/>
    <w:rsid w:val="3FD65C03"/>
    <w:rsid w:val="3FD74587"/>
    <w:rsid w:val="3FDA4E1B"/>
    <w:rsid w:val="3FDB43DA"/>
    <w:rsid w:val="3FDC3952"/>
    <w:rsid w:val="3FDE4346"/>
    <w:rsid w:val="3FE22B5E"/>
    <w:rsid w:val="3FE7624D"/>
    <w:rsid w:val="3FE94BD7"/>
    <w:rsid w:val="3FED1EB2"/>
    <w:rsid w:val="3FED7746"/>
    <w:rsid w:val="3FF20172"/>
    <w:rsid w:val="3FF714A8"/>
    <w:rsid w:val="3FF81229"/>
    <w:rsid w:val="3FF96422"/>
    <w:rsid w:val="3FFD02C3"/>
    <w:rsid w:val="3FFD1E63"/>
    <w:rsid w:val="40014EE0"/>
    <w:rsid w:val="4003513D"/>
    <w:rsid w:val="40042B5D"/>
    <w:rsid w:val="400D7D3D"/>
    <w:rsid w:val="40114D22"/>
    <w:rsid w:val="401251F4"/>
    <w:rsid w:val="401266D9"/>
    <w:rsid w:val="401364B0"/>
    <w:rsid w:val="4014461A"/>
    <w:rsid w:val="40172880"/>
    <w:rsid w:val="40180C28"/>
    <w:rsid w:val="401C35B7"/>
    <w:rsid w:val="402022DE"/>
    <w:rsid w:val="40217CE4"/>
    <w:rsid w:val="40267F92"/>
    <w:rsid w:val="402B6A5D"/>
    <w:rsid w:val="402C30CE"/>
    <w:rsid w:val="40330D6F"/>
    <w:rsid w:val="403468FB"/>
    <w:rsid w:val="40397424"/>
    <w:rsid w:val="403A57EB"/>
    <w:rsid w:val="404008A9"/>
    <w:rsid w:val="40405564"/>
    <w:rsid w:val="40432BB8"/>
    <w:rsid w:val="40550877"/>
    <w:rsid w:val="40564282"/>
    <w:rsid w:val="405E087F"/>
    <w:rsid w:val="405F207C"/>
    <w:rsid w:val="40640ABA"/>
    <w:rsid w:val="40671C80"/>
    <w:rsid w:val="406B009A"/>
    <w:rsid w:val="406E4984"/>
    <w:rsid w:val="406F60E2"/>
    <w:rsid w:val="40706B5C"/>
    <w:rsid w:val="407266AE"/>
    <w:rsid w:val="40751F09"/>
    <w:rsid w:val="40763DA4"/>
    <w:rsid w:val="407B0CCF"/>
    <w:rsid w:val="407F76A2"/>
    <w:rsid w:val="40873D5C"/>
    <w:rsid w:val="408B43F2"/>
    <w:rsid w:val="409D5514"/>
    <w:rsid w:val="409F5B4F"/>
    <w:rsid w:val="40A02416"/>
    <w:rsid w:val="40A825CD"/>
    <w:rsid w:val="40AD06B3"/>
    <w:rsid w:val="40AF442B"/>
    <w:rsid w:val="40B02A5C"/>
    <w:rsid w:val="40B57698"/>
    <w:rsid w:val="40B60FC7"/>
    <w:rsid w:val="40B76D6A"/>
    <w:rsid w:val="40B9613B"/>
    <w:rsid w:val="40BC6B48"/>
    <w:rsid w:val="40BD72A3"/>
    <w:rsid w:val="40BD7F53"/>
    <w:rsid w:val="40C02C53"/>
    <w:rsid w:val="40C04C42"/>
    <w:rsid w:val="40C33A32"/>
    <w:rsid w:val="40C70288"/>
    <w:rsid w:val="40C720FB"/>
    <w:rsid w:val="40C770F8"/>
    <w:rsid w:val="40C81C9F"/>
    <w:rsid w:val="40CB061C"/>
    <w:rsid w:val="40CD027A"/>
    <w:rsid w:val="40D27627"/>
    <w:rsid w:val="40D53A62"/>
    <w:rsid w:val="40DB2728"/>
    <w:rsid w:val="40E165AE"/>
    <w:rsid w:val="40ED4F53"/>
    <w:rsid w:val="40F843A5"/>
    <w:rsid w:val="40FF7B85"/>
    <w:rsid w:val="4102085A"/>
    <w:rsid w:val="41032081"/>
    <w:rsid w:val="41033C84"/>
    <w:rsid w:val="41035FA5"/>
    <w:rsid w:val="410743DE"/>
    <w:rsid w:val="410D028F"/>
    <w:rsid w:val="410D4CAE"/>
    <w:rsid w:val="4115056A"/>
    <w:rsid w:val="41160006"/>
    <w:rsid w:val="41170448"/>
    <w:rsid w:val="411C4B19"/>
    <w:rsid w:val="41200E85"/>
    <w:rsid w:val="41223B95"/>
    <w:rsid w:val="41287D39"/>
    <w:rsid w:val="412F6501"/>
    <w:rsid w:val="4131666C"/>
    <w:rsid w:val="41364227"/>
    <w:rsid w:val="41395AA3"/>
    <w:rsid w:val="41400D97"/>
    <w:rsid w:val="41427F1C"/>
    <w:rsid w:val="4144738B"/>
    <w:rsid w:val="41461ECC"/>
    <w:rsid w:val="41483ADF"/>
    <w:rsid w:val="414E7258"/>
    <w:rsid w:val="41523008"/>
    <w:rsid w:val="41562AF9"/>
    <w:rsid w:val="41562C5B"/>
    <w:rsid w:val="415A03A9"/>
    <w:rsid w:val="41601281"/>
    <w:rsid w:val="41657749"/>
    <w:rsid w:val="41662976"/>
    <w:rsid w:val="416C4D63"/>
    <w:rsid w:val="416C59A5"/>
    <w:rsid w:val="416D614F"/>
    <w:rsid w:val="416F3312"/>
    <w:rsid w:val="4170137B"/>
    <w:rsid w:val="41761360"/>
    <w:rsid w:val="417D7FA6"/>
    <w:rsid w:val="417E204F"/>
    <w:rsid w:val="41872CF1"/>
    <w:rsid w:val="4189248C"/>
    <w:rsid w:val="418A27A2"/>
    <w:rsid w:val="418A5390"/>
    <w:rsid w:val="418C6763"/>
    <w:rsid w:val="41910459"/>
    <w:rsid w:val="41910BD3"/>
    <w:rsid w:val="41915B31"/>
    <w:rsid w:val="41950470"/>
    <w:rsid w:val="41965875"/>
    <w:rsid w:val="419942DE"/>
    <w:rsid w:val="419D6876"/>
    <w:rsid w:val="41A01FC6"/>
    <w:rsid w:val="41A27001"/>
    <w:rsid w:val="41A70716"/>
    <w:rsid w:val="41A73354"/>
    <w:rsid w:val="41B220EF"/>
    <w:rsid w:val="41B65345"/>
    <w:rsid w:val="41B806E8"/>
    <w:rsid w:val="41B94E35"/>
    <w:rsid w:val="41BC428A"/>
    <w:rsid w:val="41BF7940"/>
    <w:rsid w:val="41C23CEA"/>
    <w:rsid w:val="41CB13D2"/>
    <w:rsid w:val="41CF2738"/>
    <w:rsid w:val="41D20A0F"/>
    <w:rsid w:val="41D42390"/>
    <w:rsid w:val="41D80A96"/>
    <w:rsid w:val="41D82FF7"/>
    <w:rsid w:val="41DA15EE"/>
    <w:rsid w:val="41E14641"/>
    <w:rsid w:val="41E85CFB"/>
    <w:rsid w:val="41EE16B8"/>
    <w:rsid w:val="41F12821"/>
    <w:rsid w:val="41F458D5"/>
    <w:rsid w:val="41F61BE6"/>
    <w:rsid w:val="41F73FBD"/>
    <w:rsid w:val="41F933B8"/>
    <w:rsid w:val="41FA1194"/>
    <w:rsid w:val="41FD11C6"/>
    <w:rsid w:val="41FD2F74"/>
    <w:rsid w:val="41FF010B"/>
    <w:rsid w:val="42004812"/>
    <w:rsid w:val="4201488A"/>
    <w:rsid w:val="4202058A"/>
    <w:rsid w:val="42074B61"/>
    <w:rsid w:val="42091919"/>
    <w:rsid w:val="420A6FAA"/>
    <w:rsid w:val="420E0199"/>
    <w:rsid w:val="420E33D3"/>
    <w:rsid w:val="420F4A55"/>
    <w:rsid w:val="420F6EBB"/>
    <w:rsid w:val="42186000"/>
    <w:rsid w:val="421A58D4"/>
    <w:rsid w:val="421B1721"/>
    <w:rsid w:val="421F4058"/>
    <w:rsid w:val="42233FB3"/>
    <w:rsid w:val="4225313E"/>
    <w:rsid w:val="4225672B"/>
    <w:rsid w:val="42300571"/>
    <w:rsid w:val="423A0574"/>
    <w:rsid w:val="423D0F96"/>
    <w:rsid w:val="42486569"/>
    <w:rsid w:val="424B0183"/>
    <w:rsid w:val="424B72CB"/>
    <w:rsid w:val="424C5CAA"/>
    <w:rsid w:val="42574009"/>
    <w:rsid w:val="42576B28"/>
    <w:rsid w:val="425C5EED"/>
    <w:rsid w:val="42674502"/>
    <w:rsid w:val="426923B8"/>
    <w:rsid w:val="426938F4"/>
    <w:rsid w:val="426941B4"/>
    <w:rsid w:val="426C0E4F"/>
    <w:rsid w:val="427051ED"/>
    <w:rsid w:val="42725710"/>
    <w:rsid w:val="42731488"/>
    <w:rsid w:val="42746839"/>
    <w:rsid w:val="427A20D1"/>
    <w:rsid w:val="427C3704"/>
    <w:rsid w:val="427E044B"/>
    <w:rsid w:val="427E21E6"/>
    <w:rsid w:val="42832791"/>
    <w:rsid w:val="428418E8"/>
    <w:rsid w:val="42917A7F"/>
    <w:rsid w:val="429B0FC3"/>
    <w:rsid w:val="429D02B3"/>
    <w:rsid w:val="429E0961"/>
    <w:rsid w:val="42A45AE6"/>
    <w:rsid w:val="42A548A2"/>
    <w:rsid w:val="42AB259C"/>
    <w:rsid w:val="42AB5884"/>
    <w:rsid w:val="42B172B7"/>
    <w:rsid w:val="42B91F04"/>
    <w:rsid w:val="42BF210F"/>
    <w:rsid w:val="42C10446"/>
    <w:rsid w:val="42C13FA2"/>
    <w:rsid w:val="42C358C8"/>
    <w:rsid w:val="42C46125"/>
    <w:rsid w:val="42C52FE1"/>
    <w:rsid w:val="42C568BF"/>
    <w:rsid w:val="42C84B4E"/>
    <w:rsid w:val="42CB3072"/>
    <w:rsid w:val="42D15A7C"/>
    <w:rsid w:val="42D877E3"/>
    <w:rsid w:val="42DC527F"/>
    <w:rsid w:val="42DE0FF8"/>
    <w:rsid w:val="42E17DA2"/>
    <w:rsid w:val="42E813C0"/>
    <w:rsid w:val="42E91084"/>
    <w:rsid w:val="42E95DC2"/>
    <w:rsid w:val="42EE71D6"/>
    <w:rsid w:val="42F00936"/>
    <w:rsid w:val="42F528F0"/>
    <w:rsid w:val="42FE1A53"/>
    <w:rsid w:val="42FF2D1C"/>
    <w:rsid w:val="430A7002"/>
    <w:rsid w:val="430D368B"/>
    <w:rsid w:val="430E1887"/>
    <w:rsid w:val="430E6037"/>
    <w:rsid w:val="43104F29"/>
    <w:rsid w:val="43152DA6"/>
    <w:rsid w:val="4329195E"/>
    <w:rsid w:val="432B1D63"/>
    <w:rsid w:val="43321D6F"/>
    <w:rsid w:val="433429C6"/>
    <w:rsid w:val="433B01F8"/>
    <w:rsid w:val="43422533"/>
    <w:rsid w:val="43432C09"/>
    <w:rsid w:val="43452DD1"/>
    <w:rsid w:val="4349650B"/>
    <w:rsid w:val="434A6F91"/>
    <w:rsid w:val="435209F6"/>
    <w:rsid w:val="43533887"/>
    <w:rsid w:val="435530CD"/>
    <w:rsid w:val="43560B8E"/>
    <w:rsid w:val="435E1C0C"/>
    <w:rsid w:val="435E5C94"/>
    <w:rsid w:val="43620BE0"/>
    <w:rsid w:val="43657D9A"/>
    <w:rsid w:val="436623CA"/>
    <w:rsid w:val="43686B13"/>
    <w:rsid w:val="43723592"/>
    <w:rsid w:val="437348AA"/>
    <w:rsid w:val="43744246"/>
    <w:rsid w:val="43745558"/>
    <w:rsid w:val="437C6D3A"/>
    <w:rsid w:val="43816108"/>
    <w:rsid w:val="438219D4"/>
    <w:rsid w:val="43844C37"/>
    <w:rsid w:val="43880F63"/>
    <w:rsid w:val="438A637F"/>
    <w:rsid w:val="438A7C97"/>
    <w:rsid w:val="438B74D5"/>
    <w:rsid w:val="43A22025"/>
    <w:rsid w:val="43A55E31"/>
    <w:rsid w:val="43AB222C"/>
    <w:rsid w:val="43AC4C52"/>
    <w:rsid w:val="43AD109A"/>
    <w:rsid w:val="43AE76F6"/>
    <w:rsid w:val="43B14016"/>
    <w:rsid w:val="43B22BA6"/>
    <w:rsid w:val="43B43B06"/>
    <w:rsid w:val="43B4503F"/>
    <w:rsid w:val="43B75896"/>
    <w:rsid w:val="43BB1FCC"/>
    <w:rsid w:val="43BD5855"/>
    <w:rsid w:val="43C077A8"/>
    <w:rsid w:val="43C659F5"/>
    <w:rsid w:val="43C9229E"/>
    <w:rsid w:val="43CB4F91"/>
    <w:rsid w:val="43CD1DF3"/>
    <w:rsid w:val="43CF1D35"/>
    <w:rsid w:val="43D020E1"/>
    <w:rsid w:val="43D30AF4"/>
    <w:rsid w:val="43D70A3E"/>
    <w:rsid w:val="43D83C99"/>
    <w:rsid w:val="43D877F5"/>
    <w:rsid w:val="43D946E9"/>
    <w:rsid w:val="43DB3001"/>
    <w:rsid w:val="43DC273C"/>
    <w:rsid w:val="43DF6A64"/>
    <w:rsid w:val="43DF7967"/>
    <w:rsid w:val="43E0340E"/>
    <w:rsid w:val="43E07BB8"/>
    <w:rsid w:val="43E414F5"/>
    <w:rsid w:val="43E50164"/>
    <w:rsid w:val="43E57388"/>
    <w:rsid w:val="43EA5BEF"/>
    <w:rsid w:val="43EC14F2"/>
    <w:rsid w:val="43EC32A0"/>
    <w:rsid w:val="43EF0FE2"/>
    <w:rsid w:val="43F36B39"/>
    <w:rsid w:val="43FD0F94"/>
    <w:rsid w:val="43FE2FD4"/>
    <w:rsid w:val="44000FD4"/>
    <w:rsid w:val="44015BAF"/>
    <w:rsid w:val="4403141B"/>
    <w:rsid w:val="4404683C"/>
    <w:rsid w:val="4406368D"/>
    <w:rsid w:val="44072485"/>
    <w:rsid w:val="440920A4"/>
    <w:rsid w:val="44093E45"/>
    <w:rsid w:val="440B219C"/>
    <w:rsid w:val="440B70DD"/>
    <w:rsid w:val="44110F59"/>
    <w:rsid w:val="441310EE"/>
    <w:rsid w:val="441507D1"/>
    <w:rsid w:val="44150A49"/>
    <w:rsid w:val="44177745"/>
    <w:rsid w:val="441978BD"/>
    <w:rsid w:val="441B5E9C"/>
    <w:rsid w:val="44221393"/>
    <w:rsid w:val="442347E8"/>
    <w:rsid w:val="44240665"/>
    <w:rsid w:val="442A70F4"/>
    <w:rsid w:val="442B52D2"/>
    <w:rsid w:val="442F112C"/>
    <w:rsid w:val="442F777D"/>
    <w:rsid w:val="44337121"/>
    <w:rsid w:val="443864E5"/>
    <w:rsid w:val="443D7CB4"/>
    <w:rsid w:val="44427222"/>
    <w:rsid w:val="44523886"/>
    <w:rsid w:val="44563E2D"/>
    <w:rsid w:val="445A6A7C"/>
    <w:rsid w:val="445B51E7"/>
    <w:rsid w:val="445D0C54"/>
    <w:rsid w:val="44632262"/>
    <w:rsid w:val="446413C5"/>
    <w:rsid w:val="446A440B"/>
    <w:rsid w:val="446A44AB"/>
    <w:rsid w:val="446C71A7"/>
    <w:rsid w:val="446E622D"/>
    <w:rsid w:val="44735770"/>
    <w:rsid w:val="4477025B"/>
    <w:rsid w:val="44784B34"/>
    <w:rsid w:val="447F2A73"/>
    <w:rsid w:val="447F555B"/>
    <w:rsid w:val="44896004"/>
    <w:rsid w:val="449004A8"/>
    <w:rsid w:val="4496744E"/>
    <w:rsid w:val="44992F67"/>
    <w:rsid w:val="449979A8"/>
    <w:rsid w:val="449C6A74"/>
    <w:rsid w:val="449E27C4"/>
    <w:rsid w:val="449F47B6"/>
    <w:rsid w:val="44A1408B"/>
    <w:rsid w:val="44A25AC3"/>
    <w:rsid w:val="44A702C0"/>
    <w:rsid w:val="44AA3933"/>
    <w:rsid w:val="44AA701E"/>
    <w:rsid w:val="44AB7881"/>
    <w:rsid w:val="44B4618C"/>
    <w:rsid w:val="44B67473"/>
    <w:rsid w:val="44B85878"/>
    <w:rsid w:val="44B971D4"/>
    <w:rsid w:val="44BB2022"/>
    <w:rsid w:val="44BE0EA8"/>
    <w:rsid w:val="44C01965"/>
    <w:rsid w:val="44C16AAC"/>
    <w:rsid w:val="44C9538F"/>
    <w:rsid w:val="44CA6FED"/>
    <w:rsid w:val="44D1580F"/>
    <w:rsid w:val="44D24AA9"/>
    <w:rsid w:val="44D37FBC"/>
    <w:rsid w:val="44D426B2"/>
    <w:rsid w:val="44E12B81"/>
    <w:rsid w:val="44E91DA0"/>
    <w:rsid w:val="44EA4BDC"/>
    <w:rsid w:val="44F048EE"/>
    <w:rsid w:val="44F92271"/>
    <w:rsid w:val="44FA0924"/>
    <w:rsid w:val="44FA7C3F"/>
    <w:rsid w:val="450103C2"/>
    <w:rsid w:val="450C740F"/>
    <w:rsid w:val="450E47A6"/>
    <w:rsid w:val="450E5498"/>
    <w:rsid w:val="45126D36"/>
    <w:rsid w:val="4512725F"/>
    <w:rsid w:val="451707F1"/>
    <w:rsid w:val="45232CF2"/>
    <w:rsid w:val="45256F21"/>
    <w:rsid w:val="452A22D2"/>
    <w:rsid w:val="452A7B79"/>
    <w:rsid w:val="452E65BE"/>
    <w:rsid w:val="45327D49"/>
    <w:rsid w:val="453431DB"/>
    <w:rsid w:val="45345371"/>
    <w:rsid w:val="453B57BD"/>
    <w:rsid w:val="453D7631"/>
    <w:rsid w:val="454413B2"/>
    <w:rsid w:val="454D737F"/>
    <w:rsid w:val="4551515C"/>
    <w:rsid w:val="455530C7"/>
    <w:rsid w:val="45627D2E"/>
    <w:rsid w:val="456744C7"/>
    <w:rsid w:val="456904E4"/>
    <w:rsid w:val="456A18B9"/>
    <w:rsid w:val="456A7058"/>
    <w:rsid w:val="456C328C"/>
    <w:rsid w:val="45747072"/>
    <w:rsid w:val="45763769"/>
    <w:rsid w:val="45790B64"/>
    <w:rsid w:val="45795020"/>
    <w:rsid w:val="457F003D"/>
    <w:rsid w:val="45800144"/>
    <w:rsid w:val="45821F09"/>
    <w:rsid w:val="4582326B"/>
    <w:rsid w:val="458C732D"/>
    <w:rsid w:val="458D1AC1"/>
    <w:rsid w:val="458D460F"/>
    <w:rsid w:val="458D711B"/>
    <w:rsid w:val="45904BD8"/>
    <w:rsid w:val="45940BB5"/>
    <w:rsid w:val="459A4A00"/>
    <w:rsid w:val="459C6F7F"/>
    <w:rsid w:val="459D29E8"/>
    <w:rsid w:val="459E681C"/>
    <w:rsid w:val="459F1732"/>
    <w:rsid w:val="45A13F65"/>
    <w:rsid w:val="45A35BE1"/>
    <w:rsid w:val="45A52571"/>
    <w:rsid w:val="45A53F1B"/>
    <w:rsid w:val="45A641ED"/>
    <w:rsid w:val="45A93D1A"/>
    <w:rsid w:val="45AE54CB"/>
    <w:rsid w:val="45B1323B"/>
    <w:rsid w:val="45B557B6"/>
    <w:rsid w:val="45BC1AF1"/>
    <w:rsid w:val="45BC6267"/>
    <w:rsid w:val="45BE0C6C"/>
    <w:rsid w:val="45BE6EBE"/>
    <w:rsid w:val="45BF72AF"/>
    <w:rsid w:val="45BF7E22"/>
    <w:rsid w:val="45C36122"/>
    <w:rsid w:val="45C45140"/>
    <w:rsid w:val="45CB57BB"/>
    <w:rsid w:val="45CD3597"/>
    <w:rsid w:val="45CE4889"/>
    <w:rsid w:val="45CE7839"/>
    <w:rsid w:val="45D73ADC"/>
    <w:rsid w:val="45D778A3"/>
    <w:rsid w:val="45D93CF8"/>
    <w:rsid w:val="45DD7344"/>
    <w:rsid w:val="45E3190C"/>
    <w:rsid w:val="45E76415"/>
    <w:rsid w:val="45E845E5"/>
    <w:rsid w:val="45EA0D31"/>
    <w:rsid w:val="45EA150D"/>
    <w:rsid w:val="45F33CB6"/>
    <w:rsid w:val="45F60406"/>
    <w:rsid w:val="45F96148"/>
    <w:rsid w:val="45FA3231"/>
    <w:rsid w:val="45FC52AC"/>
    <w:rsid w:val="45FD1795"/>
    <w:rsid w:val="45FE72BB"/>
    <w:rsid w:val="45FF06B2"/>
    <w:rsid w:val="4606410C"/>
    <w:rsid w:val="46091496"/>
    <w:rsid w:val="460B69CC"/>
    <w:rsid w:val="460D74FE"/>
    <w:rsid w:val="460F3276"/>
    <w:rsid w:val="461234F4"/>
    <w:rsid w:val="461B1C1B"/>
    <w:rsid w:val="461B7355"/>
    <w:rsid w:val="461C388C"/>
    <w:rsid w:val="461F15C7"/>
    <w:rsid w:val="462D52F5"/>
    <w:rsid w:val="462E18ED"/>
    <w:rsid w:val="462E5DF2"/>
    <w:rsid w:val="46304ADA"/>
    <w:rsid w:val="46326F64"/>
    <w:rsid w:val="46333408"/>
    <w:rsid w:val="463A31D1"/>
    <w:rsid w:val="463A5483"/>
    <w:rsid w:val="463B1C33"/>
    <w:rsid w:val="463D2CDE"/>
    <w:rsid w:val="463F7FFF"/>
    <w:rsid w:val="464078D3"/>
    <w:rsid w:val="46434527"/>
    <w:rsid w:val="46445615"/>
    <w:rsid w:val="464473C4"/>
    <w:rsid w:val="46462C76"/>
    <w:rsid w:val="464652F0"/>
    <w:rsid w:val="464B1239"/>
    <w:rsid w:val="464C4E2C"/>
    <w:rsid w:val="464F5C99"/>
    <w:rsid w:val="46564E43"/>
    <w:rsid w:val="46584C1D"/>
    <w:rsid w:val="4659757A"/>
    <w:rsid w:val="465B470D"/>
    <w:rsid w:val="465F28D5"/>
    <w:rsid w:val="466277F0"/>
    <w:rsid w:val="46674E60"/>
    <w:rsid w:val="466B1918"/>
    <w:rsid w:val="466B770E"/>
    <w:rsid w:val="466F62BD"/>
    <w:rsid w:val="467B79F8"/>
    <w:rsid w:val="467D255F"/>
    <w:rsid w:val="467F7C9F"/>
    <w:rsid w:val="46805F22"/>
    <w:rsid w:val="4687556D"/>
    <w:rsid w:val="468772B0"/>
    <w:rsid w:val="468C77F7"/>
    <w:rsid w:val="469043B7"/>
    <w:rsid w:val="469176A3"/>
    <w:rsid w:val="46954A56"/>
    <w:rsid w:val="46966AFE"/>
    <w:rsid w:val="4698158B"/>
    <w:rsid w:val="46983ADC"/>
    <w:rsid w:val="46A04A0C"/>
    <w:rsid w:val="46A1247D"/>
    <w:rsid w:val="46A70FDF"/>
    <w:rsid w:val="46A71013"/>
    <w:rsid w:val="46A8124D"/>
    <w:rsid w:val="46AE2714"/>
    <w:rsid w:val="46AE7DD8"/>
    <w:rsid w:val="46B1257F"/>
    <w:rsid w:val="46B13331"/>
    <w:rsid w:val="46B324FE"/>
    <w:rsid w:val="46B56E76"/>
    <w:rsid w:val="46B85FC3"/>
    <w:rsid w:val="46BA1F74"/>
    <w:rsid w:val="46BD0F24"/>
    <w:rsid w:val="46BF0F8D"/>
    <w:rsid w:val="46C15FBB"/>
    <w:rsid w:val="46C2724B"/>
    <w:rsid w:val="46C44060"/>
    <w:rsid w:val="46C62FD7"/>
    <w:rsid w:val="46C75D99"/>
    <w:rsid w:val="46C87590"/>
    <w:rsid w:val="46CB3641"/>
    <w:rsid w:val="46CD41E6"/>
    <w:rsid w:val="46D2354C"/>
    <w:rsid w:val="46D26719"/>
    <w:rsid w:val="46D35896"/>
    <w:rsid w:val="46D52711"/>
    <w:rsid w:val="46D81106"/>
    <w:rsid w:val="46D91229"/>
    <w:rsid w:val="46DD15C6"/>
    <w:rsid w:val="46DD3374"/>
    <w:rsid w:val="46DF767E"/>
    <w:rsid w:val="46E21401"/>
    <w:rsid w:val="46E43CE0"/>
    <w:rsid w:val="46E464B1"/>
    <w:rsid w:val="46EA544F"/>
    <w:rsid w:val="46EA5C7B"/>
    <w:rsid w:val="46ED6573"/>
    <w:rsid w:val="46EE50A4"/>
    <w:rsid w:val="46EF63DC"/>
    <w:rsid w:val="46F0301E"/>
    <w:rsid w:val="46F1770B"/>
    <w:rsid w:val="46F36C54"/>
    <w:rsid w:val="47055C07"/>
    <w:rsid w:val="470E53D5"/>
    <w:rsid w:val="470F2BE1"/>
    <w:rsid w:val="47116300"/>
    <w:rsid w:val="47134FE8"/>
    <w:rsid w:val="471B5214"/>
    <w:rsid w:val="471C1EF2"/>
    <w:rsid w:val="471D6AD1"/>
    <w:rsid w:val="471D7878"/>
    <w:rsid w:val="47232C3A"/>
    <w:rsid w:val="47295681"/>
    <w:rsid w:val="472A26AC"/>
    <w:rsid w:val="472B0583"/>
    <w:rsid w:val="47363DBC"/>
    <w:rsid w:val="473737A7"/>
    <w:rsid w:val="4739083A"/>
    <w:rsid w:val="473E02B7"/>
    <w:rsid w:val="473F58CB"/>
    <w:rsid w:val="47407079"/>
    <w:rsid w:val="47423355"/>
    <w:rsid w:val="47423AD4"/>
    <w:rsid w:val="47424D52"/>
    <w:rsid w:val="47486A40"/>
    <w:rsid w:val="47492400"/>
    <w:rsid w:val="47495A3D"/>
    <w:rsid w:val="474F48B2"/>
    <w:rsid w:val="4757493E"/>
    <w:rsid w:val="47585A9A"/>
    <w:rsid w:val="475A49C5"/>
    <w:rsid w:val="475A7AFC"/>
    <w:rsid w:val="47616007"/>
    <w:rsid w:val="47637138"/>
    <w:rsid w:val="476B76CA"/>
    <w:rsid w:val="476D24E0"/>
    <w:rsid w:val="4770545C"/>
    <w:rsid w:val="477112E0"/>
    <w:rsid w:val="47757377"/>
    <w:rsid w:val="477702CB"/>
    <w:rsid w:val="47775577"/>
    <w:rsid w:val="477A04D7"/>
    <w:rsid w:val="477D7D36"/>
    <w:rsid w:val="47817A8E"/>
    <w:rsid w:val="47833F1C"/>
    <w:rsid w:val="478A452B"/>
    <w:rsid w:val="478C2A98"/>
    <w:rsid w:val="478E02A1"/>
    <w:rsid w:val="479413A3"/>
    <w:rsid w:val="4799729B"/>
    <w:rsid w:val="479B6D32"/>
    <w:rsid w:val="479E3B5A"/>
    <w:rsid w:val="47A345C4"/>
    <w:rsid w:val="47A93E40"/>
    <w:rsid w:val="47AC3472"/>
    <w:rsid w:val="47AF6ABF"/>
    <w:rsid w:val="47B16438"/>
    <w:rsid w:val="47B21776"/>
    <w:rsid w:val="47B33247"/>
    <w:rsid w:val="47B71E17"/>
    <w:rsid w:val="47B7571E"/>
    <w:rsid w:val="47B8344E"/>
    <w:rsid w:val="47BA3333"/>
    <w:rsid w:val="47BC49A0"/>
    <w:rsid w:val="47BD56E5"/>
    <w:rsid w:val="47BF2915"/>
    <w:rsid w:val="47C238FE"/>
    <w:rsid w:val="47C37C78"/>
    <w:rsid w:val="47C55475"/>
    <w:rsid w:val="47C56BFB"/>
    <w:rsid w:val="47C75C4C"/>
    <w:rsid w:val="47C86CFC"/>
    <w:rsid w:val="47CF39BE"/>
    <w:rsid w:val="47D041C6"/>
    <w:rsid w:val="47D26C51"/>
    <w:rsid w:val="47D61B34"/>
    <w:rsid w:val="47DC5993"/>
    <w:rsid w:val="47DE63B3"/>
    <w:rsid w:val="47E0450C"/>
    <w:rsid w:val="47E25E1B"/>
    <w:rsid w:val="47E349BA"/>
    <w:rsid w:val="47E51CFE"/>
    <w:rsid w:val="47E805D3"/>
    <w:rsid w:val="47EC7D13"/>
    <w:rsid w:val="47F045E0"/>
    <w:rsid w:val="47FD3897"/>
    <w:rsid w:val="480660D7"/>
    <w:rsid w:val="480C0F07"/>
    <w:rsid w:val="48110B7A"/>
    <w:rsid w:val="48121518"/>
    <w:rsid w:val="48147F28"/>
    <w:rsid w:val="481806DB"/>
    <w:rsid w:val="4818393C"/>
    <w:rsid w:val="481C1C7A"/>
    <w:rsid w:val="481D7AAE"/>
    <w:rsid w:val="48214B0A"/>
    <w:rsid w:val="482B417E"/>
    <w:rsid w:val="482C583F"/>
    <w:rsid w:val="482D6D54"/>
    <w:rsid w:val="482F3821"/>
    <w:rsid w:val="48324BD3"/>
    <w:rsid w:val="48345295"/>
    <w:rsid w:val="483A14AB"/>
    <w:rsid w:val="483B0352"/>
    <w:rsid w:val="48430B65"/>
    <w:rsid w:val="48461E94"/>
    <w:rsid w:val="484860C4"/>
    <w:rsid w:val="485052AE"/>
    <w:rsid w:val="485062C1"/>
    <w:rsid w:val="48513D0B"/>
    <w:rsid w:val="48515DC8"/>
    <w:rsid w:val="48545FB0"/>
    <w:rsid w:val="485E04E5"/>
    <w:rsid w:val="48653621"/>
    <w:rsid w:val="48693111"/>
    <w:rsid w:val="486A1135"/>
    <w:rsid w:val="486C0E54"/>
    <w:rsid w:val="486D1574"/>
    <w:rsid w:val="486E2853"/>
    <w:rsid w:val="4879763E"/>
    <w:rsid w:val="487A3570"/>
    <w:rsid w:val="487F59B9"/>
    <w:rsid w:val="48804A9C"/>
    <w:rsid w:val="48832D0E"/>
    <w:rsid w:val="48850DC0"/>
    <w:rsid w:val="488D761F"/>
    <w:rsid w:val="48902522"/>
    <w:rsid w:val="489716FB"/>
    <w:rsid w:val="489A7E9C"/>
    <w:rsid w:val="489D3BB8"/>
    <w:rsid w:val="48A44912"/>
    <w:rsid w:val="48AA0166"/>
    <w:rsid w:val="48AA2D18"/>
    <w:rsid w:val="48AA7124"/>
    <w:rsid w:val="48AE62EA"/>
    <w:rsid w:val="48BA63E5"/>
    <w:rsid w:val="48BC4A06"/>
    <w:rsid w:val="48BC64AB"/>
    <w:rsid w:val="48BD6740"/>
    <w:rsid w:val="48BF7D2B"/>
    <w:rsid w:val="48C1457D"/>
    <w:rsid w:val="48C22822"/>
    <w:rsid w:val="48C325D3"/>
    <w:rsid w:val="48C742DC"/>
    <w:rsid w:val="48C93BB0"/>
    <w:rsid w:val="48CD4B44"/>
    <w:rsid w:val="48D13041"/>
    <w:rsid w:val="48D82045"/>
    <w:rsid w:val="48D83DF3"/>
    <w:rsid w:val="48D95437"/>
    <w:rsid w:val="48DB1B35"/>
    <w:rsid w:val="48E56107"/>
    <w:rsid w:val="48E61440"/>
    <w:rsid w:val="48E7200F"/>
    <w:rsid w:val="48EA7806"/>
    <w:rsid w:val="48F350D1"/>
    <w:rsid w:val="48F37B94"/>
    <w:rsid w:val="48F604AC"/>
    <w:rsid w:val="48F75A1D"/>
    <w:rsid w:val="48FB5D34"/>
    <w:rsid w:val="48FE649B"/>
    <w:rsid w:val="49025314"/>
    <w:rsid w:val="490258E8"/>
    <w:rsid w:val="49042E3A"/>
    <w:rsid w:val="490546CD"/>
    <w:rsid w:val="4906799A"/>
    <w:rsid w:val="4910358D"/>
    <w:rsid w:val="49165DA6"/>
    <w:rsid w:val="491958B9"/>
    <w:rsid w:val="491D1353"/>
    <w:rsid w:val="491F7C74"/>
    <w:rsid w:val="49221512"/>
    <w:rsid w:val="492321E5"/>
    <w:rsid w:val="492360B3"/>
    <w:rsid w:val="49261002"/>
    <w:rsid w:val="49262DB0"/>
    <w:rsid w:val="4926444D"/>
    <w:rsid w:val="49266EAB"/>
    <w:rsid w:val="49274D05"/>
    <w:rsid w:val="492928A1"/>
    <w:rsid w:val="492B486B"/>
    <w:rsid w:val="492B6005"/>
    <w:rsid w:val="49313094"/>
    <w:rsid w:val="49315BB1"/>
    <w:rsid w:val="49321003"/>
    <w:rsid w:val="493308BF"/>
    <w:rsid w:val="49357497"/>
    <w:rsid w:val="49357CB0"/>
    <w:rsid w:val="493A24B5"/>
    <w:rsid w:val="493F24FC"/>
    <w:rsid w:val="49402B6C"/>
    <w:rsid w:val="49453A90"/>
    <w:rsid w:val="49475EBD"/>
    <w:rsid w:val="49492647"/>
    <w:rsid w:val="494D5F89"/>
    <w:rsid w:val="494F7DDD"/>
    <w:rsid w:val="495023FB"/>
    <w:rsid w:val="4950445A"/>
    <w:rsid w:val="49520049"/>
    <w:rsid w:val="4954425A"/>
    <w:rsid w:val="4956580F"/>
    <w:rsid w:val="495B6FDA"/>
    <w:rsid w:val="495D254A"/>
    <w:rsid w:val="495D3DF8"/>
    <w:rsid w:val="495E6EA1"/>
    <w:rsid w:val="495F6F59"/>
    <w:rsid w:val="49622292"/>
    <w:rsid w:val="49676CD4"/>
    <w:rsid w:val="496C146C"/>
    <w:rsid w:val="4970355D"/>
    <w:rsid w:val="497242AF"/>
    <w:rsid w:val="49746212"/>
    <w:rsid w:val="4976415E"/>
    <w:rsid w:val="497C19B5"/>
    <w:rsid w:val="498902F7"/>
    <w:rsid w:val="498A08F0"/>
    <w:rsid w:val="498C4937"/>
    <w:rsid w:val="4992019B"/>
    <w:rsid w:val="4994419B"/>
    <w:rsid w:val="499A379E"/>
    <w:rsid w:val="499B6895"/>
    <w:rsid w:val="499C7517"/>
    <w:rsid w:val="499D52EC"/>
    <w:rsid w:val="49A00C98"/>
    <w:rsid w:val="49A40179"/>
    <w:rsid w:val="49A53D6E"/>
    <w:rsid w:val="49A567C9"/>
    <w:rsid w:val="49A72803"/>
    <w:rsid w:val="49A861D1"/>
    <w:rsid w:val="49B02067"/>
    <w:rsid w:val="49B120BE"/>
    <w:rsid w:val="49B22896"/>
    <w:rsid w:val="49B43537"/>
    <w:rsid w:val="49BB0A0C"/>
    <w:rsid w:val="49BB1589"/>
    <w:rsid w:val="49C455C3"/>
    <w:rsid w:val="49C46777"/>
    <w:rsid w:val="49C9126E"/>
    <w:rsid w:val="49CC1AA2"/>
    <w:rsid w:val="49CD2AE9"/>
    <w:rsid w:val="49CD5922"/>
    <w:rsid w:val="49D76CD8"/>
    <w:rsid w:val="49D85622"/>
    <w:rsid w:val="49D92D54"/>
    <w:rsid w:val="49DA4F57"/>
    <w:rsid w:val="49DE18DD"/>
    <w:rsid w:val="49E669E4"/>
    <w:rsid w:val="49F033BE"/>
    <w:rsid w:val="49F06870"/>
    <w:rsid w:val="49F17862"/>
    <w:rsid w:val="4A08433A"/>
    <w:rsid w:val="4A1809EE"/>
    <w:rsid w:val="4A1968C6"/>
    <w:rsid w:val="4A1C2405"/>
    <w:rsid w:val="4A223A4C"/>
    <w:rsid w:val="4A290593"/>
    <w:rsid w:val="4A2C4097"/>
    <w:rsid w:val="4A2C7FBF"/>
    <w:rsid w:val="4A302AA5"/>
    <w:rsid w:val="4A34774F"/>
    <w:rsid w:val="4A3540DC"/>
    <w:rsid w:val="4A367DC9"/>
    <w:rsid w:val="4A385DC6"/>
    <w:rsid w:val="4A3C26E6"/>
    <w:rsid w:val="4A436F6A"/>
    <w:rsid w:val="4A44252C"/>
    <w:rsid w:val="4A4554B8"/>
    <w:rsid w:val="4A4C6847"/>
    <w:rsid w:val="4A4D183F"/>
    <w:rsid w:val="4A4F6337"/>
    <w:rsid w:val="4A511BB0"/>
    <w:rsid w:val="4A557521"/>
    <w:rsid w:val="4A5A526C"/>
    <w:rsid w:val="4A5C5634"/>
    <w:rsid w:val="4A6106CA"/>
    <w:rsid w:val="4A613C17"/>
    <w:rsid w:val="4A631DE2"/>
    <w:rsid w:val="4A653DAC"/>
    <w:rsid w:val="4A674035"/>
    <w:rsid w:val="4A683E2D"/>
    <w:rsid w:val="4A690FAF"/>
    <w:rsid w:val="4A69564B"/>
    <w:rsid w:val="4A6F69D9"/>
    <w:rsid w:val="4A7364C9"/>
    <w:rsid w:val="4A757926"/>
    <w:rsid w:val="4A7A1CD7"/>
    <w:rsid w:val="4A7B5E55"/>
    <w:rsid w:val="4A7D1643"/>
    <w:rsid w:val="4A824BA6"/>
    <w:rsid w:val="4A834233"/>
    <w:rsid w:val="4A857AC4"/>
    <w:rsid w:val="4A8A5A40"/>
    <w:rsid w:val="4A8B09F3"/>
    <w:rsid w:val="4A8B43C9"/>
    <w:rsid w:val="4A8E1217"/>
    <w:rsid w:val="4A900C68"/>
    <w:rsid w:val="4A9A0F36"/>
    <w:rsid w:val="4A9E2E1A"/>
    <w:rsid w:val="4AA26464"/>
    <w:rsid w:val="4AA303D3"/>
    <w:rsid w:val="4AA33382"/>
    <w:rsid w:val="4AA4190C"/>
    <w:rsid w:val="4AA466DB"/>
    <w:rsid w:val="4AA64F47"/>
    <w:rsid w:val="4AA863C1"/>
    <w:rsid w:val="4AA96C38"/>
    <w:rsid w:val="4AAB6C21"/>
    <w:rsid w:val="4AAC3789"/>
    <w:rsid w:val="4AAE5753"/>
    <w:rsid w:val="4AAF3964"/>
    <w:rsid w:val="4AB30AAE"/>
    <w:rsid w:val="4ABC2D4A"/>
    <w:rsid w:val="4ABF7097"/>
    <w:rsid w:val="4AC03B87"/>
    <w:rsid w:val="4AC06393"/>
    <w:rsid w:val="4AC42881"/>
    <w:rsid w:val="4AC661C4"/>
    <w:rsid w:val="4AC72371"/>
    <w:rsid w:val="4ACB764B"/>
    <w:rsid w:val="4AD04D95"/>
    <w:rsid w:val="4AD16E75"/>
    <w:rsid w:val="4AD350A4"/>
    <w:rsid w:val="4AD764A4"/>
    <w:rsid w:val="4ADA1681"/>
    <w:rsid w:val="4ADF5E03"/>
    <w:rsid w:val="4AE73D70"/>
    <w:rsid w:val="4AEB2504"/>
    <w:rsid w:val="4AED1DBA"/>
    <w:rsid w:val="4AF51A4F"/>
    <w:rsid w:val="4AF82570"/>
    <w:rsid w:val="4AFB1CF7"/>
    <w:rsid w:val="4AFD5D93"/>
    <w:rsid w:val="4B014227"/>
    <w:rsid w:val="4B06798C"/>
    <w:rsid w:val="4B0E6A3E"/>
    <w:rsid w:val="4B1355B6"/>
    <w:rsid w:val="4B2257F9"/>
    <w:rsid w:val="4B245008"/>
    <w:rsid w:val="4B271062"/>
    <w:rsid w:val="4B2B1A79"/>
    <w:rsid w:val="4B2C6678"/>
    <w:rsid w:val="4B2D58AE"/>
    <w:rsid w:val="4B2D6C05"/>
    <w:rsid w:val="4B2F1345"/>
    <w:rsid w:val="4B310E2D"/>
    <w:rsid w:val="4B320132"/>
    <w:rsid w:val="4B371829"/>
    <w:rsid w:val="4B3A5748"/>
    <w:rsid w:val="4B3A6FE7"/>
    <w:rsid w:val="4B3C5727"/>
    <w:rsid w:val="4B4C55F8"/>
    <w:rsid w:val="4B5366E5"/>
    <w:rsid w:val="4B571947"/>
    <w:rsid w:val="4B5736F5"/>
    <w:rsid w:val="4B5A1A8F"/>
    <w:rsid w:val="4B5E6C72"/>
    <w:rsid w:val="4B6A6AB1"/>
    <w:rsid w:val="4B6C49E5"/>
    <w:rsid w:val="4B6D2F19"/>
    <w:rsid w:val="4B700C5B"/>
    <w:rsid w:val="4B7557F7"/>
    <w:rsid w:val="4B7D6E26"/>
    <w:rsid w:val="4B83273C"/>
    <w:rsid w:val="4B854878"/>
    <w:rsid w:val="4B8778CD"/>
    <w:rsid w:val="4B9227C3"/>
    <w:rsid w:val="4B963A09"/>
    <w:rsid w:val="4B9B7FB0"/>
    <w:rsid w:val="4BA916AB"/>
    <w:rsid w:val="4BAA5463"/>
    <w:rsid w:val="4BAD1869"/>
    <w:rsid w:val="4BAF1783"/>
    <w:rsid w:val="4BAF33E3"/>
    <w:rsid w:val="4BB26B7D"/>
    <w:rsid w:val="4BB377B7"/>
    <w:rsid w:val="4BB84560"/>
    <w:rsid w:val="4BBE4157"/>
    <w:rsid w:val="4BBF74EC"/>
    <w:rsid w:val="4BC9159F"/>
    <w:rsid w:val="4BD026F4"/>
    <w:rsid w:val="4BD27220"/>
    <w:rsid w:val="4BD30473"/>
    <w:rsid w:val="4BD86D57"/>
    <w:rsid w:val="4BDB6229"/>
    <w:rsid w:val="4BDC56F8"/>
    <w:rsid w:val="4BDD24D2"/>
    <w:rsid w:val="4BDE0226"/>
    <w:rsid w:val="4BE312D6"/>
    <w:rsid w:val="4BEB3013"/>
    <w:rsid w:val="4BEC6950"/>
    <w:rsid w:val="4BEF4A0C"/>
    <w:rsid w:val="4BF50DC0"/>
    <w:rsid w:val="4BF64749"/>
    <w:rsid w:val="4BFC24EE"/>
    <w:rsid w:val="4BFC3701"/>
    <w:rsid w:val="4C001FDF"/>
    <w:rsid w:val="4C0845B9"/>
    <w:rsid w:val="4C0A69B9"/>
    <w:rsid w:val="4C0C31F6"/>
    <w:rsid w:val="4C107007"/>
    <w:rsid w:val="4C12586E"/>
    <w:rsid w:val="4C13619C"/>
    <w:rsid w:val="4C143CE2"/>
    <w:rsid w:val="4C167C35"/>
    <w:rsid w:val="4C1930A0"/>
    <w:rsid w:val="4C1A4723"/>
    <w:rsid w:val="4C1B0BC7"/>
    <w:rsid w:val="4C204A92"/>
    <w:rsid w:val="4C2577FF"/>
    <w:rsid w:val="4C2832E3"/>
    <w:rsid w:val="4C2B0D22"/>
    <w:rsid w:val="4C2E1CC1"/>
    <w:rsid w:val="4C312198"/>
    <w:rsid w:val="4C32269B"/>
    <w:rsid w:val="4C3457E4"/>
    <w:rsid w:val="4C384C3D"/>
    <w:rsid w:val="4C39729F"/>
    <w:rsid w:val="4C3C0B3D"/>
    <w:rsid w:val="4C3C28EB"/>
    <w:rsid w:val="4C3D2024"/>
    <w:rsid w:val="4C3E2B07"/>
    <w:rsid w:val="4C3E48B5"/>
    <w:rsid w:val="4C45100A"/>
    <w:rsid w:val="4C455C43"/>
    <w:rsid w:val="4C4A14AC"/>
    <w:rsid w:val="4C4B1E4A"/>
    <w:rsid w:val="4C4E4FDD"/>
    <w:rsid w:val="4C4E5A55"/>
    <w:rsid w:val="4C5C4D3B"/>
    <w:rsid w:val="4C5F30D6"/>
    <w:rsid w:val="4C6A599C"/>
    <w:rsid w:val="4C6B550C"/>
    <w:rsid w:val="4C6D4932"/>
    <w:rsid w:val="4C735937"/>
    <w:rsid w:val="4C74222C"/>
    <w:rsid w:val="4C86651A"/>
    <w:rsid w:val="4C8E7F51"/>
    <w:rsid w:val="4C8F5834"/>
    <w:rsid w:val="4C912C37"/>
    <w:rsid w:val="4C9240F7"/>
    <w:rsid w:val="4C9D5A7F"/>
    <w:rsid w:val="4C9E7102"/>
    <w:rsid w:val="4CA7245A"/>
    <w:rsid w:val="4CA75A30"/>
    <w:rsid w:val="4CA95D3E"/>
    <w:rsid w:val="4CB07C88"/>
    <w:rsid w:val="4CB30463"/>
    <w:rsid w:val="4CB4212F"/>
    <w:rsid w:val="4CB541CC"/>
    <w:rsid w:val="4CB9218D"/>
    <w:rsid w:val="4CBB1996"/>
    <w:rsid w:val="4CBD1C7E"/>
    <w:rsid w:val="4CBD3A2C"/>
    <w:rsid w:val="4CBF2147"/>
    <w:rsid w:val="4CC45A35"/>
    <w:rsid w:val="4CC94FBD"/>
    <w:rsid w:val="4CCA7EF7"/>
    <w:rsid w:val="4CCB4B47"/>
    <w:rsid w:val="4CCE2C6A"/>
    <w:rsid w:val="4CCF375F"/>
    <w:rsid w:val="4CD6689C"/>
    <w:rsid w:val="4CE05222"/>
    <w:rsid w:val="4CE247DE"/>
    <w:rsid w:val="4CEC2985"/>
    <w:rsid w:val="4CED6F5E"/>
    <w:rsid w:val="4CF100A3"/>
    <w:rsid w:val="4CF27F10"/>
    <w:rsid w:val="4CF4062E"/>
    <w:rsid w:val="4CF431C6"/>
    <w:rsid w:val="4CF57DDD"/>
    <w:rsid w:val="4CF80B4D"/>
    <w:rsid w:val="4CFA4C80"/>
    <w:rsid w:val="4CFE0CCC"/>
    <w:rsid w:val="4D044633"/>
    <w:rsid w:val="4D051315"/>
    <w:rsid w:val="4D063625"/>
    <w:rsid w:val="4D090A1F"/>
    <w:rsid w:val="4D0E7075"/>
    <w:rsid w:val="4D0F1DAD"/>
    <w:rsid w:val="4D0F1DE0"/>
    <w:rsid w:val="4D10183F"/>
    <w:rsid w:val="4D102397"/>
    <w:rsid w:val="4D102794"/>
    <w:rsid w:val="4D145BD5"/>
    <w:rsid w:val="4D152015"/>
    <w:rsid w:val="4D1900AA"/>
    <w:rsid w:val="4D1C23CB"/>
    <w:rsid w:val="4D1C2599"/>
    <w:rsid w:val="4D272B73"/>
    <w:rsid w:val="4D280A86"/>
    <w:rsid w:val="4D341814"/>
    <w:rsid w:val="4D3A1670"/>
    <w:rsid w:val="4D3A5965"/>
    <w:rsid w:val="4D3B2BA3"/>
    <w:rsid w:val="4D405DB8"/>
    <w:rsid w:val="4D410246"/>
    <w:rsid w:val="4D447ACC"/>
    <w:rsid w:val="4D4C4DB0"/>
    <w:rsid w:val="4D504306"/>
    <w:rsid w:val="4D530F05"/>
    <w:rsid w:val="4D531869"/>
    <w:rsid w:val="4D564939"/>
    <w:rsid w:val="4D571ED5"/>
    <w:rsid w:val="4D5A1DF1"/>
    <w:rsid w:val="4D5C122A"/>
    <w:rsid w:val="4D5E574B"/>
    <w:rsid w:val="4D663F2B"/>
    <w:rsid w:val="4D673568"/>
    <w:rsid w:val="4D6B6E96"/>
    <w:rsid w:val="4D6C1F47"/>
    <w:rsid w:val="4D707E78"/>
    <w:rsid w:val="4D796160"/>
    <w:rsid w:val="4D7A36CB"/>
    <w:rsid w:val="4D7B011C"/>
    <w:rsid w:val="4D7B2AC0"/>
    <w:rsid w:val="4D820DE4"/>
    <w:rsid w:val="4D824589"/>
    <w:rsid w:val="4D83238D"/>
    <w:rsid w:val="4D864FA1"/>
    <w:rsid w:val="4D8F1F25"/>
    <w:rsid w:val="4D907ADE"/>
    <w:rsid w:val="4D93263F"/>
    <w:rsid w:val="4D93589B"/>
    <w:rsid w:val="4D970721"/>
    <w:rsid w:val="4D9F2768"/>
    <w:rsid w:val="4D9F3131"/>
    <w:rsid w:val="4DA36860"/>
    <w:rsid w:val="4DA77A39"/>
    <w:rsid w:val="4DA92202"/>
    <w:rsid w:val="4DAA2DF3"/>
    <w:rsid w:val="4DAF2A8E"/>
    <w:rsid w:val="4DB203CE"/>
    <w:rsid w:val="4DB32F5A"/>
    <w:rsid w:val="4DBA514A"/>
    <w:rsid w:val="4DBE6EA4"/>
    <w:rsid w:val="4DC16DD5"/>
    <w:rsid w:val="4DC24DEA"/>
    <w:rsid w:val="4DC25072"/>
    <w:rsid w:val="4DC42B98"/>
    <w:rsid w:val="4DC46A53"/>
    <w:rsid w:val="4DC564B9"/>
    <w:rsid w:val="4DC606E5"/>
    <w:rsid w:val="4DCE1C69"/>
    <w:rsid w:val="4DD03C33"/>
    <w:rsid w:val="4DD42115"/>
    <w:rsid w:val="4DD80599"/>
    <w:rsid w:val="4DDA10BD"/>
    <w:rsid w:val="4DDF5C24"/>
    <w:rsid w:val="4DE03A45"/>
    <w:rsid w:val="4DE1708D"/>
    <w:rsid w:val="4DE430CC"/>
    <w:rsid w:val="4DE43B63"/>
    <w:rsid w:val="4DE4512B"/>
    <w:rsid w:val="4DEB2AE6"/>
    <w:rsid w:val="4DEE339C"/>
    <w:rsid w:val="4DF53699"/>
    <w:rsid w:val="4DF60B23"/>
    <w:rsid w:val="4DF63134"/>
    <w:rsid w:val="4DF96CE5"/>
    <w:rsid w:val="4DFD1DF6"/>
    <w:rsid w:val="4E00332C"/>
    <w:rsid w:val="4E011D6D"/>
    <w:rsid w:val="4E01203E"/>
    <w:rsid w:val="4E035DB6"/>
    <w:rsid w:val="4E0373C2"/>
    <w:rsid w:val="4E04568A"/>
    <w:rsid w:val="4E080364"/>
    <w:rsid w:val="4E0E6FB6"/>
    <w:rsid w:val="4E16389C"/>
    <w:rsid w:val="4E191136"/>
    <w:rsid w:val="4E1A089B"/>
    <w:rsid w:val="4E1B282B"/>
    <w:rsid w:val="4E1C74B5"/>
    <w:rsid w:val="4E1F448C"/>
    <w:rsid w:val="4E222C70"/>
    <w:rsid w:val="4E2728E6"/>
    <w:rsid w:val="4E2F0959"/>
    <w:rsid w:val="4E2F6BAB"/>
    <w:rsid w:val="4E351C41"/>
    <w:rsid w:val="4E373ED8"/>
    <w:rsid w:val="4E387150"/>
    <w:rsid w:val="4E3A1984"/>
    <w:rsid w:val="4E3F346B"/>
    <w:rsid w:val="4E434961"/>
    <w:rsid w:val="4E4C27ED"/>
    <w:rsid w:val="4E4E3DD0"/>
    <w:rsid w:val="4E552CA5"/>
    <w:rsid w:val="4E575F07"/>
    <w:rsid w:val="4E592BD4"/>
    <w:rsid w:val="4E616913"/>
    <w:rsid w:val="4E67600B"/>
    <w:rsid w:val="4E714D85"/>
    <w:rsid w:val="4E760336"/>
    <w:rsid w:val="4E761827"/>
    <w:rsid w:val="4E7B2B8D"/>
    <w:rsid w:val="4E7E71EB"/>
    <w:rsid w:val="4E7F64F1"/>
    <w:rsid w:val="4E810A89"/>
    <w:rsid w:val="4E851C91"/>
    <w:rsid w:val="4E8A2033"/>
    <w:rsid w:val="4E922FFC"/>
    <w:rsid w:val="4E974ADF"/>
    <w:rsid w:val="4E984750"/>
    <w:rsid w:val="4E992277"/>
    <w:rsid w:val="4E9B1B4B"/>
    <w:rsid w:val="4E9B245D"/>
    <w:rsid w:val="4E9B7D9D"/>
    <w:rsid w:val="4E9E788D"/>
    <w:rsid w:val="4E9F1430"/>
    <w:rsid w:val="4EA50E1A"/>
    <w:rsid w:val="4EA62512"/>
    <w:rsid w:val="4EA918F7"/>
    <w:rsid w:val="4EA94205"/>
    <w:rsid w:val="4EAC03F1"/>
    <w:rsid w:val="4EAD5D22"/>
    <w:rsid w:val="4EB24A1E"/>
    <w:rsid w:val="4EB470B0"/>
    <w:rsid w:val="4EB66985"/>
    <w:rsid w:val="4EB85C2B"/>
    <w:rsid w:val="4EBD5DF9"/>
    <w:rsid w:val="4EC56BC8"/>
    <w:rsid w:val="4EC56D86"/>
    <w:rsid w:val="4EC966C5"/>
    <w:rsid w:val="4ECB2CC2"/>
    <w:rsid w:val="4ED13458"/>
    <w:rsid w:val="4ED67027"/>
    <w:rsid w:val="4EDB57AF"/>
    <w:rsid w:val="4EDB63EB"/>
    <w:rsid w:val="4EDC198E"/>
    <w:rsid w:val="4EDE17B5"/>
    <w:rsid w:val="4EDE600D"/>
    <w:rsid w:val="4EDF3DE5"/>
    <w:rsid w:val="4EE03C2E"/>
    <w:rsid w:val="4EE1194A"/>
    <w:rsid w:val="4EE348C8"/>
    <w:rsid w:val="4EE61D62"/>
    <w:rsid w:val="4EE94FAC"/>
    <w:rsid w:val="4EEC23A6"/>
    <w:rsid w:val="4EED611E"/>
    <w:rsid w:val="4EF010DE"/>
    <w:rsid w:val="4EF433CA"/>
    <w:rsid w:val="4EF529CD"/>
    <w:rsid w:val="4EF62B6C"/>
    <w:rsid w:val="4EF65EE6"/>
    <w:rsid w:val="4EFA2AB9"/>
    <w:rsid w:val="4EFE7134"/>
    <w:rsid w:val="4F044A22"/>
    <w:rsid w:val="4F075432"/>
    <w:rsid w:val="4F0973FC"/>
    <w:rsid w:val="4F10078B"/>
    <w:rsid w:val="4F102AAD"/>
    <w:rsid w:val="4F105C92"/>
    <w:rsid w:val="4F1418FD"/>
    <w:rsid w:val="4F1B34DF"/>
    <w:rsid w:val="4F2E0C11"/>
    <w:rsid w:val="4F3105A4"/>
    <w:rsid w:val="4F3B1580"/>
    <w:rsid w:val="4F42646A"/>
    <w:rsid w:val="4F443F90"/>
    <w:rsid w:val="4F4531D3"/>
    <w:rsid w:val="4F477E65"/>
    <w:rsid w:val="4F4C1CDC"/>
    <w:rsid w:val="4F520A65"/>
    <w:rsid w:val="4F5B1EA1"/>
    <w:rsid w:val="4F602385"/>
    <w:rsid w:val="4F625AD8"/>
    <w:rsid w:val="4F672F12"/>
    <w:rsid w:val="4F6E6F23"/>
    <w:rsid w:val="4F6F2AB0"/>
    <w:rsid w:val="4F6F4A0F"/>
    <w:rsid w:val="4F702C6B"/>
    <w:rsid w:val="4F711DB9"/>
    <w:rsid w:val="4F7156CC"/>
    <w:rsid w:val="4F727E5D"/>
    <w:rsid w:val="4F79232C"/>
    <w:rsid w:val="4F7B769C"/>
    <w:rsid w:val="4F7C178C"/>
    <w:rsid w:val="4F7F023F"/>
    <w:rsid w:val="4F822D0B"/>
    <w:rsid w:val="4F8E6E2A"/>
    <w:rsid w:val="4F8E7901"/>
    <w:rsid w:val="4F8F3A50"/>
    <w:rsid w:val="4F9613FE"/>
    <w:rsid w:val="4F967BDF"/>
    <w:rsid w:val="4F97346B"/>
    <w:rsid w:val="4F9A0054"/>
    <w:rsid w:val="4F9B3EA6"/>
    <w:rsid w:val="4F9D3290"/>
    <w:rsid w:val="4FA06318"/>
    <w:rsid w:val="4FA41888"/>
    <w:rsid w:val="4FA47125"/>
    <w:rsid w:val="4FA56B4D"/>
    <w:rsid w:val="4FA91628"/>
    <w:rsid w:val="4FA91AB7"/>
    <w:rsid w:val="4FA93450"/>
    <w:rsid w:val="4FB11DBF"/>
    <w:rsid w:val="4FB1539E"/>
    <w:rsid w:val="4FB732C0"/>
    <w:rsid w:val="4FB80990"/>
    <w:rsid w:val="4FBB4ACE"/>
    <w:rsid w:val="4FC136E7"/>
    <w:rsid w:val="4FCA73EA"/>
    <w:rsid w:val="4FCC2F58"/>
    <w:rsid w:val="4FD24A8F"/>
    <w:rsid w:val="4FD844A6"/>
    <w:rsid w:val="4FDB395E"/>
    <w:rsid w:val="4FE46F56"/>
    <w:rsid w:val="4FE70854"/>
    <w:rsid w:val="4FE71AF7"/>
    <w:rsid w:val="4FE90FDC"/>
    <w:rsid w:val="4FE92D8A"/>
    <w:rsid w:val="4FF0236A"/>
    <w:rsid w:val="4FF56780"/>
    <w:rsid w:val="4FF82FCD"/>
    <w:rsid w:val="4FFA1DA8"/>
    <w:rsid w:val="5003084A"/>
    <w:rsid w:val="50067498"/>
    <w:rsid w:val="50071620"/>
    <w:rsid w:val="500B500F"/>
    <w:rsid w:val="500C19CB"/>
    <w:rsid w:val="500D6A78"/>
    <w:rsid w:val="50100316"/>
    <w:rsid w:val="5019494D"/>
    <w:rsid w:val="501C3A50"/>
    <w:rsid w:val="501F17AD"/>
    <w:rsid w:val="50224B06"/>
    <w:rsid w:val="50243DC2"/>
    <w:rsid w:val="50267B3A"/>
    <w:rsid w:val="502E382D"/>
    <w:rsid w:val="502F2E92"/>
    <w:rsid w:val="50362EF9"/>
    <w:rsid w:val="503B1837"/>
    <w:rsid w:val="503F41BE"/>
    <w:rsid w:val="503F6741"/>
    <w:rsid w:val="50406E4E"/>
    <w:rsid w:val="50407A59"/>
    <w:rsid w:val="50440BC2"/>
    <w:rsid w:val="504547E3"/>
    <w:rsid w:val="50497336"/>
    <w:rsid w:val="504B0035"/>
    <w:rsid w:val="504D3319"/>
    <w:rsid w:val="50504BB7"/>
    <w:rsid w:val="50507683"/>
    <w:rsid w:val="5051105B"/>
    <w:rsid w:val="50562232"/>
    <w:rsid w:val="505948E3"/>
    <w:rsid w:val="505C355C"/>
    <w:rsid w:val="505D014C"/>
    <w:rsid w:val="50612832"/>
    <w:rsid w:val="5064435A"/>
    <w:rsid w:val="506C1659"/>
    <w:rsid w:val="506D39BB"/>
    <w:rsid w:val="506E36EA"/>
    <w:rsid w:val="506F14E1"/>
    <w:rsid w:val="50720FD1"/>
    <w:rsid w:val="50730073"/>
    <w:rsid w:val="50741864"/>
    <w:rsid w:val="507977C0"/>
    <w:rsid w:val="507B046A"/>
    <w:rsid w:val="507B60CF"/>
    <w:rsid w:val="507D4F4A"/>
    <w:rsid w:val="5080549C"/>
    <w:rsid w:val="50835324"/>
    <w:rsid w:val="50841BB7"/>
    <w:rsid w:val="50875729"/>
    <w:rsid w:val="50903205"/>
    <w:rsid w:val="50966A6E"/>
    <w:rsid w:val="509E1DC6"/>
    <w:rsid w:val="50A32F39"/>
    <w:rsid w:val="50A55C69"/>
    <w:rsid w:val="50A70C7B"/>
    <w:rsid w:val="50A81B62"/>
    <w:rsid w:val="50AA42C7"/>
    <w:rsid w:val="50AA6401"/>
    <w:rsid w:val="50AC430F"/>
    <w:rsid w:val="50AD7F13"/>
    <w:rsid w:val="50B02465"/>
    <w:rsid w:val="50B0470B"/>
    <w:rsid w:val="50B851CE"/>
    <w:rsid w:val="50BA0BE5"/>
    <w:rsid w:val="50BC224C"/>
    <w:rsid w:val="50C35389"/>
    <w:rsid w:val="50C53825"/>
    <w:rsid w:val="50CA6229"/>
    <w:rsid w:val="50D42F67"/>
    <w:rsid w:val="50D70E34"/>
    <w:rsid w:val="50DD635F"/>
    <w:rsid w:val="50E70841"/>
    <w:rsid w:val="50E76465"/>
    <w:rsid w:val="50E960C0"/>
    <w:rsid w:val="50F5310A"/>
    <w:rsid w:val="50F814D6"/>
    <w:rsid w:val="50F83999"/>
    <w:rsid w:val="51065C9E"/>
    <w:rsid w:val="511427D3"/>
    <w:rsid w:val="51165286"/>
    <w:rsid w:val="511A58F1"/>
    <w:rsid w:val="511D2DFD"/>
    <w:rsid w:val="51211149"/>
    <w:rsid w:val="51216039"/>
    <w:rsid w:val="512B0369"/>
    <w:rsid w:val="512C5624"/>
    <w:rsid w:val="512F6EC2"/>
    <w:rsid w:val="513663DB"/>
    <w:rsid w:val="513833F9"/>
    <w:rsid w:val="51396CBD"/>
    <w:rsid w:val="513C54D2"/>
    <w:rsid w:val="51400CBB"/>
    <w:rsid w:val="51452242"/>
    <w:rsid w:val="514C537E"/>
    <w:rsid w:val="515376B9"/>
    <w:rsid w:val="51556479"/>
    <w:rsid w:val="51575083"/>
    <w:rsid w:val="515A563F"/>
    <w:rsid w:val="515E4151"/>
    <w:rsid w:val="51621046"/>
    <w:rsid w:val="51622043"/>
    <w:rsid w:val="5163251D"/>
    <w:rsid w:val="5169052A"/>
    <w:rsid w:val="516C5A20"/>
    <w:rsid w:val="51703763"/>
    <w:rsid w:val="517224F3"/>
    <w:rsid w:val="51800EE8"/>
    <w:rsid w:val="5181771E"/>
    <w:rsid w:val="51883C9A"/>
    <w:rsid w:val="518C0F90"/>
    <w:rsid w:val="518D5141"/>
    <w:rsid w:val="518E0501"/>
    <w:rsid w:val="518F170F"/>
    <w:rsid w:val="51952BC5"/>
    <w:rsid w:val="51954F77"/>
    <w:rsid w:val="519B6306"/>
    <w:rsid w:val="519E5909"/>
    <w:rsid w:val="519E78D2"/>
    <w:rsid w:val="519F2D2C"/>
    <w:rsid w:val="51A215D3"/>
    <w:rsid w:val="51A451BA"/>
    <w:rsid w:val="51A94714"/>
    <w:rsid w:val="51B007CA"/>
    <w:rsid w:val="51B2723B"/>
    <w:rsid w:val="51B33EFA"/>
    <w:rsid w:val="51B573C7"/>
    <w:rsid w:val="51B71C82"/>
    <w:rsid w:val="51BD6D20"/>
    <w:rsid w:val="51C21086"/>
    <w:rsid w:val="51C71491"/>
    <w:rsid w:val="51C838E3"/>
    <w:rsid w:val="51CA025F"/>
    <w:rsid w:val="51CE3DE8"/>
    <w:rsid w:val="51CF6C71"/>
    <w:rsid w:val="51D2462F"/>
    <w:rsid w:val="51D34090"/>
    <w:rsid w:val="51D35A9F"/>
    <w:rsid w:val="51DB0D64"/>
    <w:rsid w:val="51DE2EDE"/>
    <w:rsid w:val="51DE6B69"/>
    <w:rsid w:val="51DF28D6"/>
    <w:rsid w:val="51E27A91"/>
    <w:rsid w:val="51E5039F"/>
    <w:rsid w:val="51E50D09"/>
    <w:rsid w:val="51E732F9"/>
    <w:rsid w:val="51E83CDC"/>
    <w:rsid w:val="51E91768"/>
    <w:rsid w:val="51EC318F"/>
    <w:rsid w:val="51ED625C"/>
    <w:rsid w:val="51F11CA6"/>
    <w:rsid w:val="51F712B8"/>
    <w:rsid w:val="51FC1B6B"/>
    <w:rsid w:val="51FD3F5E"/>
    <w:rsid w:val="51FF2114"/>
    <w:rsid w:val="52010037"/>
    <w:rsid w:val="520774F7"/>
    <w:rsid w:val="520B0763"/>
    <w:rsid w:val="520B6D6E"/>
    <w:rsid w:val="520B73AA"/>
    <w:rsid w:val="521265C8"/>
    <w:rsid w:val="52157172"/>
    <w:rsid w:val="5217598C"/>
    <w:rsid w:val="521E4261"/>
    <w:rsid w:val="5222097A"/>
    <w:rsid w:val="52263EE2"/>
    <w:rsid w:val="52265797"/>
    <w:rsid w:val="52280467"/>
    <w:rsid w:val="522B2D96"/>
    <w:rsid w:val="52316B3E"/>
    <w:rsid w:val="52352B08"/>
    <w:rsid w:val="52374280"/>
    <w:rsid w:val="523A157F"/>
    <w:rsid w:val="523A6B31"/>
    <w:rsid w:val="523C3645"/>
    <w:rsid w:val="523F1387"/>
    <w:rsid w:val="523F3135"/>
    <w:rsid w:val="523F4825"/>
    <w:rsid w:val="52410C5B"/>
    <w:rsid w:val="52427D9C"/>
    <w:rsid w:val="5244074B"/>
    <w:rsid w:val="52442D54"/>
    <w:rsid w:val="52471B6A"/>
    <w:rsid w:val="52481D3D"/>
    <w:rsid w:val="524B1ADA"/>
    <w:rsid w:val="524B7D2C"/>
    <w:rsid w:val="524D15AE"/>
    <w:rsid w:val="524E491B"/>
    <w:rsid w:val="52516D08"/>
    <w:rsid w:val="525314BC"/>
    <w:rsid w:val="525534F2"/>
    <w:rsid w:val="525A1D1D"/>
    <w:rsid w:val="526079A7"/>
    <w:rsid w:val="52612386"/>
    <w:rsid w:val="526C31B7"/>
    <w:rsid w:val="526D3444"/>
    <w:rsid w:val="526D37FE"/>
    <w:rsid w:val="526D776F"/>
    <w:rsid w:val="526F3629"/>
    <w:rsid w:val="52714676"/>
    <w:rsid w:val="5276383A"/>
    <w:rsid w:val="527706FC"/>
    <w:rsid w:val="52783E71"/>
    <w:rsid w:val="527D14CC"/>
    <w:rsid w:val="52862B12"/>
    <w:rsid w:val="52881CAE"/>
    <w:rsid w:val="52882A51"/>
    <w:rsid w:val="528C16EB"/>
    <w:rsid w:val="528C614E"/>
    <w:rsid w:val="528F2803"/>
    <w:rsid w:val="5294522F"/>
    <w:rsid w:val="5295500F"/>
    <w:rsid w:val="52957497"/>
    <w:rsid w:val="529704A2"/>
    <w:rsid w:val="529855FD"/>
    <w:rsid w:val="529A4104"/>
    <w:rsid w:val="52A47C0E"/>
    <w:rsid w:val="52A6710E"/>
    <w:rsid w:val="52B24C19"/>
    <w:rsid w:val="52B458D1"/>
    <w:rsid w:val="52BA5554"/>
    <w:rsid w:val="52BE04FE"/>
    <w:rsid w:val="52BE22AC"/>
    <w:rsid w:val="52C01350"/>
    <w:rsid w:val="52C14A1A"/>
    <w:rsid w:val="52C7304C"/>
    <w:rsid w:val="52C901FD"/>
    <w:rsid w:val="52C90449"/>
    <w:rsid w:val="52CC5E32"/>
    <w:rsid w:val="52CC76D1"/>
    <w:rsid w:val="52CF270B"/>
    <w:rsid w:val="52CF6267"/>
    <w:rsid w:val="52D6499F"/>
    <w:rsid w:val="52D65847"/>
    <w:rsid w:val="52D7511B"/>
    <w:rsid w:val="52D83D75"/>
    <w:rsid w:val="52D93A12"/>
    <w:rsid w:val="52E24E57"/>
    <w:rsid w:val="52E75B7C"/>
    <w:rsid w:val="52EA4FDB"/>
    <w:rsid w:val="52EC2116"/>
    <w:rsid w:val="52F21A03"/>
    <w:rsid w:val="52F537F4"/>
    <w:rsid w:val="52F757BE"/>
    <w:rsid w:val="52FD1026"/>
    <w:rsid w:val="52FF004D"/>
    <w:rsid w:val="53053B16"/>
    <w:rsid w:val="53053D0D"/>
    <w:rsid w:val="53072D70"/>
    <w:rsid w:val="530C1269"/>
    <w:rsid w:val="530E5635"/>
    <w:rsid w:val="530F4C88"/>
    <w:rsid w:val="531050EF"/>
    <w:rsid w:val="53105DAE"/>
    <w:rsid w:val="53154F7C"/>
    <w:rsid w:val="53193BE6"/>
    <w:rsid w:val="53195C14"/>
    <w:rsid w:val="531B2E61"/>
    <w:rsid w:val="531D7790"/>
    <w:rsid w:val="531E0F9C"/>
    <w:rsid w:val="531E532B"/>
    <w:rsid w:val="53225DE2"/>
    <w:rsid w:val="53233749"/>
    <w:rsid w:val="53284DB4"/>
    <w:rsid w:val="532A7941"/>
    <w:rsid w:val="53300549"/>
    <w:rsid w:val="53310CD0"/>
    <w:rsid w:val="53394028"/>
    <w:rsid w:val="533B38FC"/>
    <w:rsid w:val="533E6F18"/>
    <w:rsid w:val="53426BBF"/>
    <w:rsid w:val="5346218D"/>
    <w:rsid w:val="534D53DE"/>
    <w:rsid w:val="534E0309"/>
    <w:rsid w:val="534E311E"/>
    <w:rsid w:val="535126EC"/>
    <w:rsid w:val="5356226F"/>
    <w:rsid w:val="53564AF5"/>
    <w:rsid w:val="536912CC"/>
    <w:rsid w:val="53691933"/>
    <w:rsid w:val="53760DD8"/>
    <w:rsid w:val="537C15C1"/>
    <w:rsid w:val="537E7FD9"/>
    <w:rsid w:val="53861684"/>
    <w:rsid w:val="53874193"/>
    <w:rsid w:val="53874D93"/>
    <w:rsid w:val="5392563E"/>
    <w:rsid w:val="53952289"/>
    <w:rsid w:val="53987DB3"/>
    <w:rsid w:val="539B6029"/>
    <w:rsid w:val="539C4087"/>
    <w:rsid w:val="539D0113"/>
    <w:rsid w:val="53A258AB"/>
    <w:rsid w:val="53A32676"/>
    <w:rsid w:val="53A53847"/>
    <w:rsid w:val="53AE2320"/>
    <w:rsid w:val="53B25E52"/>
    <w:rsid w:val="53B4516A"/>
    <w:rsid w:val="53BA6F17"/>
    <w:rsid w:val="53BF0089"/>
    <w:rsid w:val="53C54664"/>
    <w:rsid w:val="53C61C25"/>
    <w:rsid w:val="53C658BC"/>
    <w:rsid w:val="53CC50EF"/>
    <w:rsid w:val="53D729C9"/>
    <w:rsid w:val="53DB6F34"/>
    <w:rsid w:val="53E150D9"/>
    <w:rsid w:val="53E421E6"/>
    <w:rsid w:val="53E45D42"/>
    <w:rsid w:val="53E64F60"/>
    <w:rsid w:val="53EC109A"/>
    <w:rsid w:val="53EC1857"/>
    <w:rsid w:val="53F70FE3"/>
    <w:rsid w:val="53FA5969"/>
    <w:rsid w:val="5400361E"/>
    <w:rsid w:val="540168F4"/>
    <w:rsid w:val="5406215C"/>
    <w:rsid w:val="54065CEC"/>
    <w:rsid w:val="540939FA"/>
    <w:rsid w:val="540B1521"/>
    <w:rsid w:val="540B7773"/>
    <w:rsid w:val="540F762E"/>
    <w:rsid w:val="54175EDF"/>
    <w:rsid w:val="54183C3E"/>
    <w:rsid w:val="5419426E"/>
    <w:rsid w:val="541F4FCC"/>
    <w:rsid w:val="542021A5"/>
    <w:rsid w:val="542D593B"/>
    <w:rsid w:val="54330F82"/>
    <w:rsid w:val="54333F3D"/>
    <w:rsid w:val="543511B8"/>
    <w:rsid w:val="54352C91"/>
    <w:rsid w:val="543672DA"/>
    <w:rsid w:val="543A0058"/>
    <w:rsid w:val="543A7B3B"/>
    <w:rsid w:val="543E3FE6"/>
    <w:rsid w:val="54414F42"/>
    <w:rsid w:val="54422A68"/>
    <w:rsid w:val="54462559"/>
    <w:rsid w:val="54487F8F"/>
    <w:rsid w:val="544C4D8B"/>
    <w:rsid w:val="544C7E09"/>
    <w:rsid w:val="545033D7"/>
    <w:rsid w:val="54534C76"/>
    <w:rsid w:val="545A462C"/>
    <w:rsid w:val="545A7086"/>
    <w:rsid w:val="546106DE"/>
    <w:rsid w:val="546926EB"/>
    <w:rsid w:val="546935EB"/>
    <w:rsid w:val="54694499"/>
    <w:rsid w:val="546C5D7F"/>
    <w:rsid w:val="546D1ABE"/>
    <w:rsid w:val="546D21DB"/>
    <w:rsid w:val="546E47F5"/>
    <w:rsid w:val="546F5CF7"/>
    <w:rsid w:val="54704386"/>
    <w:rsid w:val="54745318"/>
    <w:rsid w:val="54752E3E"/>
    <w:rsid w:val="54754BEC"/>
    <w:rsid w:val="547831AD"/>
    <w:rsid w:val="547A52F1"/>
    <w:rsid w:val="547E1797"/>
    <w:rsid w:val="547F1F0F"/>
    <w:rsid w:val="548337C0"/>
    <w:rsid w:val="54834A12"/>
    <w:rsid w:val="54853CAF"/>
    <w:rsid w:val="54877DC4"/>
    <w:rsid w:val="548A79DA"/>
    <w:rsid w:val="548D1E9D"/>
    <w:rsid w:val="548E2032"/>
    <w:rsid w:val="54914D2D"/>
    <w:rsid w:val="54920EE8"/>
    <w:rsid w:val="5493440E"/>
    <w:rsid w:val="54956660"/>
    <w:rsid w:val="54963DA0"/>
    <w:rsid w:val="54A31759"/>
    <w:rsid w:val="54A71D29"/>
    <w:rsid w:val="54A743C9"/>
    <w:rsid w:val="54AD1579"/>
    <w:rsid w:val="54AD4386"/>
    <w:rsid w:val="54AD78EA"/>
    <w:rsid w:val="54AE6D43"/>
    <w:rsid w:val="54AF757F"/>
    <w:rsid w:val="54B042CB"/>
    <w:rsid w:val="54B4022F"/>
    <w:rsid w:val="54B43966"/>
    <w:rsid w:val="54B47C57"/>
    <w:rsid w:val="54BA11FF"/>
    <w:rsid w:val="54BA6E1F"/>
    <w:rsid w:val="54C17112"/>
    <w:rsid w:val="54C227E0"/>
    <w:rsid w:val="54C64427"/>
    <w:rsid w:val="54C94F38"/>
    <w:rsid w:val="54D315C4"/>
    <w:rsid w:val="54D43BFA"/>
    <w:rsid w:val="54D6053B"/>
    <w:rsid w:val="54D9517B"/>
    <w:rsid w:val="54DC4C6B"/>
    <w:rsid w:val="54DC6E47"/>
    <w:rsid w:val="54DE52B3"/>
    <w:rsid w:val="54E2227B"/>
    <w:rsid w:val="54E30ACD"/>
    <w:rsid w:val="54E51D72"/>
    <w:rsid w:val="54E80C2F"/>
    <w:rsid w:val="54EF259B"/>
    <w:rsid w:val="54EF5661"/>
    <w:rsid w:val="54F10143"/>
    <w:rsid w:val="54F1212A"/>
    <w:rsid w:val="54F77CF7"/>
    <w:rsid w:val="54F975CB"/>
    <w:rsid w:val="550265A3"/>
    <w:rsid w:val="55097E56"/>
    <w:rsid w:val="550E48DE"/>
    <w:rsid w:val="550F63D1"/>
    <w:rsid w:val="5511469E"/>
    <w:rsid w:val="55114C5C"/>
    <w:rsid w:val="55124B31"/>
    <w:rsid w:val="55130130"/>
    <w:rsid w:val="55142657"/>
    <w:rsid w:val="55154190"/>
    <w:rsid w:val="551663CF"/>
    <w:rsid w:val="55182ABF"/>
    <w:rsid w:val="551B65FD"/>
    <w:rsid w:val="551C150B"/>
    <w:rsid w:val="55230AEC"/>
    <w:rsid w:val="55260B40"/>
    <w:rsid w:val="552A59D6"/>
    <w:rsid w:val="552F06BE"/>
    <w:rsid w:val="552F0B5C"/>
    <w:rsid w:val="55325A37"/>
    <w:rsid w:val="55371493"/>
    <w:rsid w:val="55371A2E"/>
    <w:rsid w:val="553D1E59"/>
    <w:rsid w:val="553F3C63"/>
    <w:rsid w:val="553F4D49"/>
    <w:rsid w:val="55410F0D"/>
    <w:rsid w:val="554476D3"/>
    <w:rsid w:val="55452F19"/>
    <w:rsid w:val="55455BF6"/>
    <w:rsid w:val="55540CA5"/>
    <w:rsid w:val="55545183"/>
    <w:rsid w:val="555604F2"/>
    <w:rsid w:val="55570796"/>
    <w:rsid w:val="555775BD"/>
    <w:rsid w:val="555D3FFE"/>
    <w:rsid w:val="555E06D4"/>
    <w:rsid w:val="556163B5"/>
    <w:rsid w:val="55617235"/>
    <w:rsid w:val="556A2277"/>
    <w:rsid w:val="556D1D67"/>
    <w:rsid w:val="556D4C19"/>
    <w:rsid w:val="556F7686"/>
    <w:rsid w:val="557355CF"/>
    <w:rsid w:val="55767EF4"/>
    <w:rsid w:val="557747EE"/>
    <w:rsid w:val="557943A5"/>
    <w:rsid w:val="557D34DF"/>
    <w:rsid w:val="557E54D7"/>
    <w:rsid w:val="55801A9A"/>
    <w:rsid w:val="55807CEC"/>
    <w:rsid w:val="55827588"/>
    <w:rsid w:val="55833339"/>
    <w:rsid w:val="55835045"/>
    <w:rsid w:val="55855303"/>
    <w:rsid w:val="55874F5B"/>
    <w:rsid w:val="558C490B"/>
    <w:rsid w:val="558F09D2"/>
    <w:rsid w:val="558F6181"/>
    <w:rsid w:val="55937A20"/>
    <w:rsid w:val="55945546"/>
    <w:rsid w:val="55957201"/>
    <w:rsid w:val="559612BE"/>
    <w:rsid w:val="55970198"/>
    <w:rsid w:val="559A5CA9"/>
    <w:rsid w:val="559C6EE0"/>
    <w:rsid w:val="559D301D"/>
    <w:rsid w:val="559F1B3B"/>
    <w:rsid w:val="55A57E73"/>
    <w:rsid w:val="55A6040A"/>
    <w:rsid w:val="55AB30F9"/>
    <w:rsid w:val="55AC0F0B"/>
    <w:rsid w:val="55AF565C"/>
    <w:rsid w:val="55B14516"/>
    <w:rsid w:val="55C1311B"/>
    <w:rsid w:val="55C44CFF"/>
    <w:rsid w:val="55C46700"/>
    <w:rsid w:val="55CA0F67"/>
    <w:rsid w:val="55CC3F76"/>
    <w:rsid w:val="55CF47D0"/>
    <w:rsid w:val="55D27455"/>
    <w:rsid w:val="55D342C0"/>
    <w:rsid w:val="55D3496E"/>
    <w:rsid w:val="55DA0456"/>
    <w:rsid w:val="55DB1802"/>
    <w:rsid w:val="55DB3175"/>
    <w:rsid w:val="55E50A19"/>
    <w:rsid w:val="55E93AE3"/>
    <w:rsid w:val="55F07611"/>
    <w:rsid w:val="55F348E9"/>
    <w:rsid w:val="55FA081A"/>
    <w:rsid w:val="55FC242E"/>
    <w:rsid w:val="55FD30EB"/>
    <w:rsid w:val="55FE163A"/>
    <w:rsid w:val="56035998"/>
    <w:rsid w:val="560439A2"/>
    <w:rsid w:val="56076315"/>
    <w:rsid w:val="560A2BB2"/>
    <w:rsid w:val="560B3258"/>
    <w:rsid w:val="56121EB3"/>
    <w:rsid w:val="5613290E"/>
    <w:rsid w:val="561870C5"/>
    <w:rsid w:val="561A1EEF"/>
    <w:rsid w:val="561F12B3"/>
    <w:rsid w:val="56237980"/>
    <w:rsid w:val="562B092C"/>
    <w:rsid w:val="562E14F6"/>
    <w:rsid w:val="562E7748"/>
    <w:rsid w:val="56300F2A"/>
    <w:rsid w:val="56344E50"/>
    <w:rsid w:val="56352885"/>
    <w:rsid w:val="56384D84"/>
    <w:rsid w:val="563B55EC"/>
    <w:rsid w:val="563E58EF"/>
    <w:rsid w:val="56446F6C"/>
    <w:rsid w:val="56491403"/>
    <w:rsid w:val="564B32F4"/>
    <w:rsid w:val="564D4072"/>
    <w:rsid w:val="565D3B8A"/>
    <w:rsid w:val="56617B1E"/>
    <w:rsid w:val="56632316"/>
    <w:rsid w:val="566363D6"/>
    <w:rsid w:val="5669176D"/>
    <w:rsid w:val="566B56EB"/>
    <w:rsid w:val="567009A0"/>
    <w:rsid w:val="56753C8D"/>
    <w:rsid w:val="567A0BDF"/>
    <w:rsid w:val="567A5D59"/>
    <w:rsid w:val="567A6FD2"/>
    <w:rsid w:val="568104EF"/>
    <w:rsid w:val="56851B83"/>
    <w:rsid w:val="5688390D"/>
    <w:rsid w:val="568B06F7"/>
    <w:rsid w:val="568D7467"/>
    <w:rsid w:val="568F066A"/>
    <w:rsid w:val="56920DDE"/>
    <w:rsid w:val="569277E8"/>
    <w:rsid w:val="56951575"/>
    <w:rsid w:val="56966AFF"/>
    <w:rsid w:val="56970914"/>
    <w:rsid w:val="56971AA4"/>
    <w:rsid w:val="5697353F"/>
    <w:rsid w:val="56991B10"/>
    <w:rsid w:val="569A52D2"/>
    <w:rsid w:val="569C3F31"/>
    <w:rsid w:val="56AE653C"/>
    <w:rsid w:val="56B40C1F"/>
    <w:rsid w:val="56C347E8"/>
    <w:rsid w:val="56C360E3"/>
    <w:rsid w:val="56C634EA"/>
    <w:rsid w:val="56CA2517"/>
    <w:rsid w:val="56CD0D0F"/>
    <w:rsid w:val="56CE4A87"/>
    <w:rsid w:val="56D76331"/>
    <w:rsid w:val="56D860A3"/>
    <w:rsid w:val="56DC4043"/>
    <w:rsid w:val="56E47444"/>
    <w:rsid w:val="56E71EC2"/>
    <w:rsid w:val="56E878F7"/>
    <w:rsid w:val="56EA5611"/>
    <w:rsid w:val="56F0190A"/>
    <w:rsid w:val="56F26B86"/>
    <w:rsid w:val="56F706AE"/>
    <w:rsid w:val="56F919E5"/>
    <w:rsid w:val="56FC7846"/>
    <w:rsid w:val="57037347"/>
    <w:rsid w:val="57037C29"/>
    <w:rsid w:val="57045951"/>
    <w:rsid w:val="57052050"/>
    <w:rsid w:val="57081581"/>
    <w:rsid w:val="570B199B"/>
    <w:rsid w:val="57105851"/>
    <w:rsid w:val="571100C3"/>
    <w:rsid w:val="571132F2"/>
    <w:rsid w:val="5714693E"/>
    <w:rsid w:val="57152D23"/>
    <w:rsid w:val="57154464"/>
    <w:rsid w:val="57160908"/>
    <w:rsid w:val="5717642E"/>
    <w:rsid w:val="57201787"/>
    <w:rsid w:val="57204FA9"/>
    <w:rsid w:val="57206913"/>
    <w:rsid w:val="5728063B"/>
    <w:rsid w:val="57322D7F"/>
    <w:rsid w:val="57327464"/>
    <w:rsid w:val="573B2778"/>
    <w:rsid w:val="57407733"/>
    <w:rsid w:val="574148B8"/>
    <w:rsid w:val="574952D1"/>
    <w:rsid w:val="57497DF5"/>
    <w:rsid w:val="574A6593"/>
    <w:rsid w:val="574C05C4"/>
    <w:rsid w:val="574D1084"/>
    <w:rsid w:val="57516EF7"/>
    <w:rsid w:val="575265BF"/>
    <w:rsid w:val="57566F57"/>
    <w:rsid w:val="576074E4"/>
    <w:rsid w:val="57634084"/>
    <w:rsid w:val="57647D46"/>
    <w:rsid w:val="57660CB1"/>
    <w:rsid w:val="57682C5C"/>
    <w:rsid w:val="576F1DC6"/>
    <w:rsid w:val="577473DD"/>
    <w:rsid w:val="57765C4C"/>
    <w:rsid w:val="577671FB"/>
    <w:rsid w:val="57794FE0"/>
    <w:rsid w:val="577C2E20"/>
    <w:rsid w:val="577C5427"/>
    <w:rsid w:val="57812AC9"/>
    <w:rsid w:val="57815251"/>
    <w:rsid w:val="57836066"/>
    <w:rsid w:val="57846D8C"/>
    <w:rsid w:val="5785783C"/>
    <w:rsid w:val="57877110"/>
    <w:rsid w:val="57884788"/>
    <w:rsid w:val="578C0BCA"/>
    <w:rsid w:val="578D1B23"/>
    <w:rsid w:val="57976C6F"/>
    <w:rsid w:val="5798745C"/>
    <w:rsid w:val="579E7AF2"/>
    <w:rsid w:val="57A06E5D"/>
    <w:rsid w:val="57A82ED1"/>
    <w:rsid w:val="57A852D8"/>
    <w:rsid w:val="57AA6F52"/>
    <w:rsid w:val="57AC661C"/>
    <w:rsid w:val="57AF48B9"/>
    <w:rsid w:val="57B020D0"/>
    <w:rsid w:val="57B10631"/>
    <w:rsid w:val="57B24E60"/>
    <w:rsid w:val="57B71519"/>
    <w:rsid w:val="57B86CDB"/>
    <w:rsid w:val="57BC6716"/>
    <w:rsid w:val="57BE3D95"/>
    <w:rsid w:val="57C06AC6"/>
    <w:rsid w:val="57C245EC"/>
    <w:rsid w:val="57C2639A"/>
    <w:rsid w:val="57C35F98"/>
    <w:rsid w:val="57CC0FC7"/>
    <w:rsid w:val="57CC546B"/>
    <w:rsid w:val="57D24779"/>
    <w:rsid w:val="57D305A7"/>
    <w:rsid w:val="57D80E3F"/>
    <w:rsid w:val="57D8796C"/>
    <w:rsid w:val="57DA1E7E"/>
    <w:rsid w:val="57DB745C"/>
    <w:rsid w:val="57E670C0"/>
    <w:rsid w:val="57E8209D"/>
    <w:rsid w:val="57E837D2"/>
    <w:rsid w:val="57EA769F"/>
    <w:rsid w:val="57EB172B"/>
    <w:rsid w:val="57EF2D2E"/>
    <w:rsid w:val="57EF5E2B"/>
    <w:rsid w:val="57F0691A"/>
    <w:rsid w:val="57F40292"/>
    <w:rsid w:val="57F81DBC"/>
    <w:rsid w:val="57F9479F"/>
    <w:rsid w:val="57FA3D86"/>
    <w:rsid w:val="58024877"/>
    <w:rsid w:val="580276A5"/>
    <w:rsid w:val="58062A08"/>
    <w:rsid w:val="58075BF2"/>
    <w:rsid w:val="5809221B"/>
    <w:rsid w:val="580A7D41"/>
    <w:rsid w:val="580B5F93"/>
    <w:rsid w:val="580B6844"/>
    <w:rsid w:val="580C1D0B"/>
    <w:rsid w:val="58102B5B"/>
    <w:rsid w:val="5813309A"/>
    <w:rsid w:val="581667FF"/>
    <w:rsid w:val="5818245E"/>
    <w:rsid w:val="581B1F4E"/>
    <w:rsid w:val="581B7ADB"/>
    <w:rsid w:val="581F3C8C"/>
    <w:rsid w:val="58253466"/>
    <w:rsid w:val="58270DB6"/>
    <w:rsid w:val="58272449"/>
    <w:rsid w:val="582D6BF0"/>
    <w:rsid w:val="58331046"/>
    <w:rsid w:val="58357E05"/>
    <w:rsid w:val="58366D88"/>
    <w:rsid w:val="583A23D4"/>
    <w:rsid w:val="583A5806"/>
    <w:rsid w:val="583B614D"/>
    <w:rsid w:val="583C666D"/>
    <w:rsid w:val="583D120E"/>
    <w:rsid w:val="583D7329"/>
    <w:rsid w:val="58404799"/>
    <w:rsid w:val="584A0F2F"/>
    <w:rsid w:val="584A30B0"/>
    <w:rsid w:val="584C1B15"/>
    <w:rsid w:val="584F2DA0"/>
    <w:rsid w:val="585131E6"/>
    <w:rsid w:val="58533AED"/>
    <w:rsid w:val="585B234B"/>
    <w:rsid w:val="585D0C27"/>
    <w:rsid w:val="585D4315"/>
    <w:rsid w:val="585D60C3"/>
    <w:rsid w:val="585E1DAA"/>
    <w:rsid w:val="58637017"/>
    <w:rsid w:val="58637C97"/>
    <w:rsid w:val="5866766D"/>
    <w:rsid w:val="586D5855"/>
    <w:rsid w:val="58730A74"/>
    <w:rsid w:val="587753D7"/>
    <w:rsid w:val="587C0C3F"/>
    <w:rsid w:val="58811218"/>
    <w:rsid w:val="58845D45"/>
    <w:rsid w:val="588505A7"/>
    <w:rsid w:val="5890016E"/>
    <w:rsid w:val="58937D37"/>
    <w:rsid w:val="5895218A"/>
    <w:rsid w:val="58977827"/>
    <w:rsid w:val="589939CD"/>
    <w:rsid w:val="58A17DC9"/>
    <w:rsid w:val="58A27F7A"/>
    <w:rsid w:val="58A36703"/>
    <w:rsid w:val="58AA5207"/>
    <w:rsid w:val="58AB1E75"/>
    <w:rsid w:val="58AC7A82"/>
    <w:rsid w:val="58AE74DA"/>
    <w:rsid w:val="58B001F9"/>
    <w:rsid w:val="58B54151"/>
    <w:rsid w:val="58B73C18"/>
    <w:rsid w:val="58B978CB"/>
    <w:rsid w:val="58BC3A8F"/>
    <w:rsid w:val="58BF15E9"/>
    <w:rsid w:val="58C54FCD"/>
    <w:rsid w:val="58C779E0"/>
    <w:rsid w:val="58C825A0"/>
    <w:rsid w:val="58C94A90"/>
    <w:rsid w:val="58C94DE9"/>
    <w:rsid w:val="58CF2EBE"/>
    <w:rsid w:val="58D34E52"/>
    <w:rsid w:val="58D9787E"/>
    <w:rsid w:val="58E56FAC"/>
    <w:rsid w:val="58ED0B01"/>
    <w:rsid w:val="58EE31BF"/>
    <w:rsid w:val="58EF37CF"/>
    <w:rsid w:val="58EF535C"/>
    <w:rsid w:val="58F346A1"/>
    <w:rsid w:val="58F46A27"/>
    <w:rsid w:val="58F509F1"/>
    <w:rsid w:val="58F702C5"/>
    <w:rsid w:val="58F928DB"/>
    <w:rsid w:val="58FA1F94"/>
    <w:rsid w:val="58FA2064"/>
    <w:rsid w:val="58FB12F4"/>
    <w:rsid w:val="58FC1D80"/>
    <w:rsid w:val="590040F1"/>
    <w:rsid w:val="59030A18"/>
    <w:rsid w:val="59036C6A"/>
    <w:rsid w:val="59051751"/>
    <w:rsid w:val="59060509"/>
    <w:rsid w:val="5907412F"/>
    <w:rsid w:val="590D5EE8"/>
    <w:rsid w:val="591075D9"/>
    <w:rsid w:val="591E4D6B"/>
    <w:rsid w:val="591E61AC"/>
    <w:rsid w:val="591F233E"/>
    <w:rsid w:val="5922006D"/>
    <w:rsid w:val="59263334"/>
    <w:rsid w:val="59284923"/>
    <w:rsid w:val="592C090B"/>
    <w:rsid w:val="592F36B6"/>
    <w:rsid w:val="59333E87"/>
    <w:rsid w:val="593357EB"/>
    <w:rsid w:val="59352755"/>
    <w:rsid w:val="593A4598"/>
    <w:rsid w:val="593D143C"/>
    <w:rsid w:val="593F3A1A"/>
    <w:rsid w:val="59444EC0"/>
    <w:rsid w:val="5947415A"/>
    <w:rsid w:val="594828CF"/>
    <w:rsid w:val="595003F6"/>
    <w:rsid w:val="59561FE9"/>
    <w:rsid w:val="59566F74"/>
    <w:rsid w:val="595A7CD7"/>
    <w:rsid w:val="595C45CC"/>
    <w:rsid w:val="595C7952"/>
    <w:rsid w:val="595F7F75"/>
    <w:rsid w:val="59641949"/>
    <w:rsid w:val="596A0A97"/>
    <w:rsid w:val="596A140C"/>
    <w:rsid w:val="596F2552"/>
    <w:rsid w:val="596F60AE"/>
    <w:rsid w:val="59715CD0"/>
    <w:rsid w:val="597B0D1F"/>
    <w:rsid w:val="597F55E4"/>
    <w:rsid w:val="5981515B"/>
    <w:rsid w:val="5983147C"/>
    <w:rsid w:val="5983761E"/>
    <w:rsid w:val="598558D1"/>
    <w:rsid w:val="59861649"/>
    <w:rsid w:val="59870F98"/>
    <w:rsid w:val="5988716F"/>
    <w:rsid w:val="598A5412"/>
    <w:rsid w:val="598B4E36"/>
    <w:rsid w:val="598E4111"/>
    <w:rsid w:val="59946511"/>
    <w:rsid w:val="5995090B"/>
    <w:rsid w:val="59971C6D"/>
    <w:rsid w:val="59997F3C"/>
    <w:rsid w:val="599B0D47"/>
    <w:rsid w:val="599B46D7"/>
    <w:rsid w:val="59A65B29"/>
    <w:rsid w:val="59B241EC"/>
    <w:rsid w:val="59B9557B"/>
    <w:rsid w:val="59BB5797"/>
    <w:rsid w:val="59BC4AE8"/>
    <w:rsid w:val="59BD150F"/>
    <w:rsid w:val="59C416EA"/>
    <w:rsid w:val="59C503C4"/>
    <w:rsid w:val="59C7413C"/>
    <w:rsid w:val="59C77C52"/>
    <w:rsid w:val="59C87211"/>
    <w:rsid w:val="59CA3C2C"/>
    <w:rsid w:val="59CA59DA"/>
    <w:rsid w:val="59CC2FFD"/>
    <w:rsid w:val="59D830CD"/>
    <w:rsid w:val="59DC2A13"/>
    <w:rsid w:val="59E01C2D"/>
    <w:rsid w:val="59E52B65"/>
    <w:rsid w:val="59EB3691"/>
    <w:rsid w:val="59F12572"/>
    <w:rsid w:val="59F91B3E"/>
    <w:rsid w:val="59FE5684"/>
    <w:rsid w:val="59FF57B4"/>
    <w:rsid w:val="5A012CB6"/>
    <w:rsid w:val="5A096502"/>
    <w:rsid w:val="5A0A008F"/>
    <w:rsid w:val="5A0A04CC"/>
    <w:rsid w:val="5A0A227A"/>
    <w:rsid w:val="5A0C1B4F"/>
    <w:rsid w:val="5A0F7891"/>
    <w:rsid w:val="5A132EDD"/>
    <w:rsid w:val="5A1A164E"/>
    <w:rsid w:val="5A1D7FB0"/>
    <w:rsid w:val="5A221372"/>
    <w:rsid w:val="5A2314FB"/>
    <w:rsid w:val="5A250154"/>
    <w:rsid w:val="5A275559"/>
    <w:rsid w:val="5A2E0E59"/>
    <w:rsid w:val="5A33357F"/>
    <w:rsid w:val="5A3522CD"/>
    <w:rsid w:val="5A3530DC"/>
    <w:rsid w:val="5A354E0B"/>
    <w:rsid w:val="5A3822B8"/>
    <w:rsid w:val="5A386E91"/>
    <w:rsid w:val="5A395C01"/>
    <w:rsid w:val="5A3C4CE4"/>
    <w:rsid w:val="5A3E2A82"/>
    <w:rsid w:val="5A3E53BB"/>
    <w:rsid w:val="5A3F2E62"/>
    <w:rsid w:val="5A4240B6"/>
    <w:rsid w:val="5A425850"/>
    <w:rsid w:val="5A456470"/>
    <w:rsid w:val="5A4861B3"/>
    <w:rsid w:val="5A4968FF"/>
    <w:rsid w:val="5A4E4978"/>
    <w:rsid w:val="5A503136"/>
    <w:rsid w:val="5A53079A"/>
    <w:rsid w:val="5A543C1B"/>
    <w:rsid w:val="5A5A57AD"/>
    <w:rsid w:val="5A5B4884"/>
    <w:rsid w:val="5A5D05FC"/>
    <w:rsid w:val="5A5F4374"/>
    <w:rsid w:val="5A603A55"/>
    <w:rsid w:val="5A6159BD"/>
    <w:rsid w:val="5A623E64"/>
    <w:rsid w:val="5A690A56"/>
    <w:rsid w:val="5A690D4F"/>
    <w:rsid w:val="5A6B3A0D"/>
    <w:rsid w:val="5A6E3292"/>
    <w:rsid w:val="5A6E34A8"/>
    <w:rsid w:val="5A705F4B"/>
    <w:rsid w:val="5A746DF2"/>
    <w:rsid w:val="5A7D2245"/>
    <w:rsid w:val="5A7E3FA7"/>
    <w:rsid w:val="5A7E4A56"/>
    <w:rsid w:val="5A81078E"/>
    <w:rsid w:val="5A843DDB"/>
    <w:rsid w:val="5A89319F"/>
    <w:rsid w:val="5A8B1A08"/>
    <w:rsid w:val="5A917E3A"/>
    <w:rsid w:val="5A9378D7"/>
    <w:rsid w:val="5A950619"/>
    <w:rsid w:val="5A951B44"/>
    <w:rsid w:val="5A963550"/>
    <w:rsid w:val="5A971D60"/>
    <w:rsid w:val="5A981634"/>
    <w:rsid w:val="5AA1213B"/>
    <w:rsid w:val="5AA64A5C"/>
    <w:rsid w:val="5AA81E47"/>
    <w:rsid w:val="5AB25AFB"/>
    <w:rsid w:val="5AB47ADA"/>
    <w:rsid w:val="5ABA77FD"/>
    <w:rsid w:val="5AC33A75"/>
    <w:rsid w:val="5ACD538E"/>
    <w:rsid w:val="5AD05272"/>
    <w:rsid w:val="5AD42DE5"/>
    <w:rsid w:val="5AD45B96"/>
    <w:rsid w:val="5AD55BA9"/>
    <w:rsid w:val="5AD60C24"/>
    <w:rsid w:val="5ADC6993"/>
    <w:rsid w:val="5ADF1011"/>
    <w:rsid w:val="5AE05E0B"/>
    <w:rsid w:val="5AE36348"/>
    <w:rsid w:val="5AE42ACB"/>
    <w:rsid w:val="5AEA3DC4"/>
    <w:rsid w:val="5AF56A87"/>
    <w:rsid w:val="5AF727FF"/>
    <w:rsid w:val="5AFF3461"/>
    <w:rsid w:val="5B002175"/>
    <w:rsid w:val="5B0373F5"/>
    <w:rsid w:val="5B0B3BA7"/>
    <w:rsid w:val="5B1218C7"/>
    <w:rsid w:val="5B124A58"/>
    <w:rsid w:val="5B12588A"/>
    <w:rsid w:val="5B1262B0"/>
    <w:rsid w:val="5B1423AF"/>
    <w:rsid w:val="5B1433B1"/>
    <w:rsid w:val="5B163AB0"/>
    <w:rsid w:val="5B176115"/>
    <w:rsid w:val="5B19789E"/>
    <w:rsid w:val="5B1D34AD"/>
    <w:rsid w:val="5B2264B1"/>
    <w:rsid w:val="5B2335F4"/>
    <w:rsid w:val="5B236D4A"/>
    <w:rsid w:val="5B2D4100"/>
    <w:rsid w:val="5B312BC1"/>
    <w:rsid w:val="5B327682"/>
    <w:rsid w:val="5B351579"/>
    <w:rsid w:val="5B352FD5"/>
    <w:rsid w:val="5B3556D2"/>
    <w:rsid w:val="5B3752F1"/>
    <w:rsid w:val="5B3B3C7D"/>
    <w:rsid w:val="5B3C46B5"/>
    <w:rsid w:val="5B41671D"/>
    <w:rsid w:val="5B43595A"/>
    <w:rsid w:val="5B440603"/>
    <w:rsid w:val="5B4B66A7"/>
    <w:rsid w:val="5B4E70A6"/>
    <w:rsid w:val="5B513FEB"/>
    <w:rsid w:val="5B516E2C"/>
    <w:rsid w:val="5B526759"/>
    <w:rsid w:val="5B5714EF"/>
    <w:rsid w:val="5B5B35B3"/>
    <w:rsid w:val="5B5F05D3"/>
    <w:rsid w:val="5B6101E1"/>
    <w:rsid w:val="5B612CF4"/>
    <w:rsid w:val="5B6210A0"/>
    <w:rsid w:val="5B677DCA"/>
    <w:rsid w:val="5B71764E"/>
    <w:rsid w:val="5B771124"/>
    <w:rsid w:val="5B7857D5"/>
    <w:rsid w:val="5B793214"/>
    <w:rsid w:val="5B7C2D39"/>
    <w:rsid w:val="5B87686F"/>
    <w:rsid w:val="5B8B1199"/>
    <w:rsid w:val="5B8B34BD"/>
    <w:rsid w:val="5B8D0623"/>
    <w:rsid w:val="5B962018"/>
    <w:rsid w:val="5B967EE3"/>
    <w:rsid w:val="5B991E70"/>
    <w:rsid w:val="5B9B13DC"/>
    <w:rsid w:val="5B9C6F02"/>
    <w:rsid w:val="5B9D4172"/>
    <w:rsid w:val="5BAB18A8"/>
    <w:rsid w:val="5BAD1A85"/>
    <w:rsid w:val="5BB24978"/>
    <w:rsid w:val="5BB40455"/>
    <w:rsid w:val="5BB4249E"/>
    <w:rsid w:val="5BB814B8"/>
    <w:rsid w:val="5BC16969"/>
    <w:rsid w:val="5BC80E6E"/>
    <w:rsid w:val="5BCA0056"/>
    <w:rsid w:val="5BCC4C8F"/>
    <w:rsid w:val="5BD609E6"/>
    <w:rsid w:val="5BD82630"/>
    <w:rsid w:val="5BDC19F5"/>
    <w:rsid w:val="5BDE39BF"/>
    <w:rsid w:val="5BE014E5"/>
    <w:rsid w:val="5BEC0C09"/>
    <w:rsid w:val="5BEC7E8A"/>
    <w:rsid w:val="5BED4FF5"/>
    <w:rsid w:val="5BF27F86"/>
    <w:rsid w:val="5BF3746A"/>
    <w:rsid w:val="5BFB5910"/>
    <w:rsid w:val="5BFD2097"/>
    <w:rsid w:val="5BFD55F8"/>
    <w:rsid w:val="5BFD6FCE"/>
    <w:rsid w:val="5BFE196B"/>
    <w:rsid w:val="5C013209"/>
    <w:rsid w:val="5C034B3A"/>
    <w:rsid w:val="5C0E2186"/>
    <w:rsid w:val="5C124FFE"/>
    <w:rsid w:val="5C1271C4"/>
    <w:rsid w:val="5C136DDF"/>
    <w:rsid w:val="5C1372DE"/>
    <w:rsid w:val="5C155957"/>
    <w:rsid w:val="5C273792"/>
    <w:rsid w:val="5C277114"/>
    <w:rsid w:val="5C286DA1"/>
    <w:rsid w:val="5C2B592A"/>
    <w:rsid w:val="5C2C0286"/>
    <w:rsid w:val="5C2C472A"/>
    <w:rsid w:val="5C2E2250"/>
    <w:rsid w:val="5C2F39B3"/>
    <w:rsid w:val="5C336CAB"/>
    <w:rsid w:val="5C381321"/>
    <w:rsid w:val="5C3D2493"/>
    <w:rsid w:val="5C4001D5"/>
    <w:rsid w:val="5C435566"/>
    <w:rsid w:val="5C471D06"/>
    <w:rsid w:val="5C4D7325"/>
    <w:rsid w:val="5C52616A"/>
    <w:rsid w:val="5C5920A1"/>
    <w:rsid w:val="5C593045"/>
    <w:rsid w:val="5C5E7002"/>
    <w:rsid w:val="5C5F3CDE"/>
    <w:rsid w:val="5C6904EE"/>
    <w:rsid w:val="5C6A7000"/>
    <w:rsid w:val="5C703E0D"/>
    <w:rsid w:val="5C735EB5"/>
    <w:rsid w:val="5C7669ED"/>
    <w:rsid w:val="5C8C5183"/>
    <w:rsid w:val="5C91181F"/>
    <w:rsid w:val="5C924690"/>
    <w:rsid w:val="5C94237E"/>
    <w:rsid w:val="5C952E62"/>
    <w:rsid w:val="5C953411"/>
    <w:rsid w:val="5C9C215C"/>
    <w:rsid w:val="5CA42512"/>
    <w:rsid w:val="5CA4528C"/>
    <w:rsid w:val="5CA455F4"/>
    <w:rsid w:val="5CA6278E"/>
    <w:rsid w:val="5CA93FCD"/>
    <w:rsid w:val="5CAA4F27"/>
    <w:rsid w:val="5CAA714B"/>
    <w:rsid w:val="5CAC586B"/>
    <w:rsid w:val="5CAE513F"/>
    <w:rsid w:val="5CB11BE9"/>
    <w:rsid w:val="5CB5471F"/>
    <w:rsid w:val="5CB91037"/>
    <w:rsid w:val="5CBC6124"/>
    <w:rsid w:val="5CBD35D4"/>
    <w:rsid w:val="5CC13302"/>
    <w:rsid w:val="5CC21CCA"/>
    <w:rsid w:val="5CC2508E"/>
    <w:rsid w:val="5CC35CA8"/>
    <w:rsid w:val="5CC45DBD"/>
    <w:rsid w:val="5CC53D16"/>
    <w:rsid w:val="5CC81BD5"/>
    <w:rsid w:val="5CCA2697"/>
    <w:rsid w:val="5CCC49F6"/>
    <w:rsid w:val="5CCE725A"/>
    <w:rsid w:val="5CCE758F"/>
    <w:rsid w:val="5CCF5C7E"/>
    <w:rsid w:val="5CD1112B"/>
    <w:rsid w:val="5CD56B70"/>
    <w:rsid w:val="5CDC4F0C"/>
    <w:rsid w:val="5CDC7EFE"/>
    <w:rsid w:val="5CDF3A03"/>
    <w:rsid w:val="5CE241EB"/>
    <w:rsid w:val="5CE32E02"/>
    <w:rsid w:val="5CE5561F"/>
    <w:rsid w:val="5CE9261B"/>
    <w:rsid w:val="5CE943C9"/>
    <w:rsid w:val="5CF201EA"/>
    <w:rsid w:val="5CF2558C"/>
    <w:rsid w:val="5CFD21A5"/>
    <w:rsid w:val="5CFF0D6B"/>
    <w:rsid w:val="5D02548B"/>
    <w:rsid w:val="5D08473E"/>
    <w:rsid w:val="5D120878"/>
    <w:rsid w:val="5D137C8F"/>
    <w:rsid w:val="5D157EB0"/>
    <w:rsid w:val="5D177188"/>
    <w:rsid w:val="5D180999"/>
    <w:rsid w:val="5D1D4073"/>
    <w:rsid w:val="5D1E5270"/>
    <w:rsid w:val="5D211DB5"/>
    <w:rsid w:val="5D2418A5"/>
    <w:rsid w:val="5D260644"/>
    <w:rsid w:val="5D283143"/>
    <w:rsid w:val="5D291694"/>
    <w:rsid w:val="5D321D86"/>
    <w:rsid w:val="5D3250A1"/>
    <w:rsid w:val="5D3513BC"/>
    <w:rsid w:val="5D35760E"/>
    <w:rsid w:val="5D382C1A"/>
    <w:rsid w:val="5D3970FE"/>
    <w:rsid w:val="5D3F223B"/>
    <w:rsid w:val="5D423AD9"/>
    <w:rsid w:val="5D4538A3"/>
    <w:rsid w:val="5D465E28"/>
    <w:rsid w:val="5D4B0BE0"/>
    <w:rsid w:val="5D5007AD"/>
    <w:rsid w:val="5D551A5E"/>
    <w:rsid w:val="5D577585"/>
    <w:rsid w:val="5D587747"/>
    <w:rsid w:val="5D5C103F"/>
    <w:rsid w:val="5D5E1CF1"/>
    <w:rsid w:val="5D616655"/>
    <w:rsid w:val="5D6213D4"/>
    <w:rsid w:val="5D6865BA"/>
    <w:rsid w:val="5D691E07"/>
    <w:rsid w:val="5D6D0B56"/>
    <w:rsid w:val="5D6E7128"/>
    <w:rsid w:val="5D6F2D39"/>
    <w:rsid w:val="5D705C14"/>
    <w:rsid w:val="5D714BFC"/>
    <w:rsid w:val="5D774C0D"/>
    <w:rsid w:val="5D791EC8"/>
    <w:rsid w:val="5D796D82"/>
    <w:rsid w:val="5D7D3FE1"/>
    <w:rsid w:val="5D7E7207"/>
    <w:rsid w:val="5D8562D2"/>
    <w:rsid w:val="5D861C18"/>
    <w:rsid w:val="5D8714F7"/>
    <w:rsid w:val="5D883BE2"/>
    <w:rsid w:val="5D884FD3"/>
    <w:rsid w:val="5D8A1834"/>
    <w:rsid w:val="5D8F6448"/>
    <w:rsid w:val="5D923908"/>
    <w:rsid w:val="5D924BBA"/>
    <w:rsid w:val="5D9407D9"/>
    <w:rsid w:val="5D96269B"/>
    <w:rsid w:val="5D9E282E"/>
    <w:rsid w:val="5DA100D5"/>
    <w:rsid w:val="5DA11B55"/>
    <w:rsid w:val="5DA1671E"/>
    <w:rsid w:val="5DA92DAA"/>
    <w:rsid w:val="5DAB167E"/>
    <w:rsid w:val="5DB1138B"/>
    <w:rsid w:val="5DB1142D"/>
    <w:rsid w:val="5DB66FAB"/>
    <w:rsid w:val="5DB90168"/>
    <w:rsid w:val="5DBD6C42"/>
    <w:rsid w:val="5DBE6248"/>
    <w:rsid w:val="5DBF512A"/>
    <w:rsid w:val="5DBF56D2"/>
    <w:rsid w:val="5DC10EA2"/>
    <w:rsid w:val="5DC94EAA"/>
    <w:rsid w:val="5DC9667E"/>
    <w:rsid w:val="5DD020DB"/>
    <w:rsid w:val="5DD11426"/>
    <w:rsid w:val="5DDC3F2E"/>
    <w:rsid w:val="5DDE1827"/>
    <w:rsid w:val="5DE023FF"/>
    <w:rsid w:val="5DE0344F"/>
    <w:rsid w:val="5DE11544"/>
    <w:rsid w:val="5DE137E5"/>
    <w:rsid w:val="5DE13B4B"/>
    <w:rsid w:val="5DE16DE1"/>
    <w:rsid w:val="5DE17815"/>
    <w:rsid w:val="5DEC7001"/>
    <w:rsid w:val="5DEF1EB3"/>
    <w:rsid w:val="5DEF3A36"/>
    <w:rsid w:val="5DF911E9"/>
    <w:rsid w:val="5DFE3466"/>
    <w:rsid w:val="5E021BE6"/>
    <w:rsid w:val="5E03770C"/>
    <w:rsid w:val="5E047B42"/>
    <w:rsid w:val="5E0F573E"/>
    <w:rsid w:val="5E164717"/>
    <w:rsid w:val="5E181FF2"/>
    <w:rsid w:val="5E1B66B2"/>
    <w:rsid w:val="5E2234E9"/>
    <w:rsid w:val="5E2C648C"/>
    <w:rsid w:val="5E300107"/>
    <w:rsid w:val="5E333B7F"/>
    <w:rsid w:val="5E365ACE"/>
    <w:rsid w:val="5E391380"/>
    <w:rsid w:val="5E3A5DC1"/>
    <w:rsid w:val="5E3D6048"/>
    <w:rsid w:val="5E473A9D"/>
    <w:rsid w:val="5E4C5828"/>
    <w:rsid w:val="5E4C6F4A"/>
    <w:rsid w:val="5E4F550B"/>
    <w:rsid w:val="5E503354"/>
    <w:rsid w:val="5E5249D9"/>
    <w:rsid w:val="5E5256BF"/>
    <w:rsid w:val="5E547F68"/>
    <w:rsid w:val="5E56783C"/>
    <w:rsid w:val="5E5E4943"/>
    <w:rsid w:val="5E5F681E"/>
    <w:rsid w:val="5E616929"/>
    <w:rsid w:val="5E650F0F"/>
    <w:rsid w:val="5E694493"/>
    <w:rsid w:val="5E6A0AC6"/>
    <w:rsid w:val="5E6D08DD"/>
    <w:rsid w:val="5E6F6EE3"/>
    <w:rsid w:val="5E741D96"/>
    <w:rsid w:val="5E742553"/>
    <w:rsid w:val="5E766130"/>
    <w:rsid w:val="5E79483C"/>
    <w:rsid w:val="5E79740E"/>
    <w:rsid w:val="5E7A0A4B"/>
    <w:rsid w:val="5E7B0BDE"/>
    <w:rsid w:val="5E7D43BC"/>
    <w:rsid w:val="5E7E5674"/>
    <w:rsid w:val="5E802B0B"/>
    <w:rsid w:val="5E843B4A"/>
    <w:rsid w:val="5E8545C5"/>
    <w:rsid w:val="5E856373"/>
    <w:rsid w:val="5E897C12"/>
    <w:rsid w:val="5E8A398A"/>
    <w:rsid w:val="5E8F1FF0"/>
    <w:rsid w:val="5E903AFB"/>
    <w:rsid w:val="5E904C2C"/>
    <w:rsid w:val="5E944335"/>
    <w:rsid w:val="5E954808"/>
    <w:rsid w:val="5E9655D3"/>
    <w:rsid w:val="5E9807B9"/>
    <w:rsid w:val="5E9F11E3"/>
    <w:rsid w:val="5E9F42CF"/>
    <w:rsid w:val="5E9F531B"/>
    <w:rsid w:val="5EA225BC"/>
    <w:rsid w:val="5EA51946"/>
    <w:rsid w:val="5EAA68A5"/>
    <w:rsid w:val="5EAC1A00"/>
    <w:rsid w:val="5EB06FC4"/>
    <w:rsid w:val="5EBA426F"/>
    <w:rsid w:val="5EBB1D95"/>
    <w:rsid w:val="5EBE3544"/>
    <w:rsid w:val="5EC1349B"/>
    <w:rsid w:val="5EC249B9"/>
    <w:rsid w:val="5EC7698C"/>
    <w:rsid w:val="5EC947A2"/>
    <w:rsid w:val="5ECC1F57"/>
    <w:rsid w:val="5ED341CD"/>
    <w:rsid w:val="5ED4696B"/>
    <w:rsid w:val="5ED644D8"/>
    <w:rsid w:val="5EE17A4E"/>
    <w:rsid w:val="5EE237C6"/>
    <w:rsid w:val="5EEC5A1A"/>
    <w:rsid w:val="5EEC6B72"/>
    <w:rsid w:val="5EEE5694"/>
    <w:rsid w:val="5EEE700D"/>
    <w:rsid w:val="5EF431E8"/>
    <w:rsid w:val="5EF51958"/>
    <w:rsid w:val="5EF760C9"/>
    <w:rsid w:val="5EF7621C"/>
    <w:rsid w:val="5EF945FE"/>
    <w:rsid w:val="5EFA466C"/>
    <w:rsid w:val="5EFD0650"/>
    <w:rsid w:val="5F014138"/>
    <w:rsid w:val="5F020816"/>
    <w:rsid w:val="5F027BDF"/>
    <w:rsid w:val="5F08322C"/>
    <w:rsid w:val="5F090D52"/>
    <w:rsid w:val="5F0E4F3A"/>
    <w:rsid w:val="5F11097E"/>
    <w:rsid w:val="5F114676"/>
    <w:rsid w:val="5F135AD9"/>
    <w:rsid w:val="5F181329"/>
    <w:rsid w:val="5F197E63"/>
    <w:rsid w:val="5F1C2834"/>
    <w:rsid w:val="5F1F0576"/>
    <w:rsid w:val="5F250216"/>
    <w:rsid w:val="5F2931A3"/>
    <w:rsid w:val="5F2E7186"/>
    <w:rsid w:val="5F3202A9"/>
    <w:rsid w:val="5F362A86"/>
    <w:rsid w:val="5F383A14"/>
    <w:rsid w:val="5F3A5E30"/>
    <w:rsid w:val="5F3B167C"/>
    <w:rsid w:val="5F3E6C4E"/>
    <w:rsid w:val="5F3F29C6"/>
    <w:rsid w:val="5F454B86"/>
    <w:rsid w:val="5F46283F"/>
    <w:rsid w:val="5F4726FA"/>
    <w:rsid w:val="5F480F41"/>
    <w:rsid w:val="5F49114F"/>
    <w:rsid w:val="5F4973A1"/>
    <w:rsid w:val="5F4D23F1"/>
    <w:rsid w:val="5F5070CC"/>
    <w:rsid w:val="5F557AF4"/>
    <w:rsid w:val="5F610B8F"/>
    <w:rsid w:val="5F6266B2"/>
    <w:rsid w:val="5F65288D"/>
    <w:rsid w:val="5F66156B"/>
    <w:rsid w:val="5F661CA7"/>
    <w:rsid w:val="5F661D01"/>
    <w:rsid w:val="5F666AAC"/>
    <w:rsid w:val="5F677827"/>
    <w:rsid w:val="5F681234"/>
    <w:rsid w:val="5F6E5059"/>
    <w:rsid w:val="5F6F5E8B"/>
    <w:rsid w:val="5F721709"/>
    <w:rsid w:val="5F742670"/>
    <w:rsid w:val="5F744410"/>
    <w:rsid w:val="5F7675D0"/>
    <w:rsid w:val="5F7A0D18"/>
    <w:rsid w:val="5F7F73C0"/>
    <w:rsid w:val="5F8139F4"/>
    <w:rsid w:val="5F8C3B27"/>
    <w:rsid w:val="5F8E6ACA"/>
    <w:rsid w:val="5F9216A3"/>
    <w:rsid w:val="5F965B22"/>
    <w:rsid w:val="5F9A0168"/>
    <w:rsid w:val="5F9B0B4A"/>
    <w:rsid w:val="5FA1107A"/>
    <w:rsid w:val="5FA171DD"/>
    <w:rsid w:val="5FA25E8E"/>
    <w:rsid w:val="5FA34062"/>
    <w:rsid w:val="5FAB3BB8"/>
    <w:rsid w:val="5FAE12AA"/>
    <w:rsid w:val="5FAF17A9"/>
    <w:rsid w:val="5FB071C9"/>
    <w:rsid w:val="5FB16619"/>
    <w:rsid w:val="5FB526DC"/>
    <w:rsid w:val="5FC7753F"/>
    <w:rsid w:val="5FCA6734"/>
    <w:rsid w:val="5FCD770E"/>
    <w:rsid w:val="5FCE26B8"/>
    <w:rsid w:val="5FCF3D4A"/>
    <w:rsid w:val="5FD14004"/>
    <w:rsid w:val="5FDA21E8"/>
    <w:rsid w:val="5FDF0776"/>
    <w:rsid w:val="5FE13D36"/>
    <w:rsid w:val="5FE557EC"/>
    <w:rsid w:val="5FEB0A47"/>
    <w:rsid w:val="5FEB68CA"/>
    <w:rsid w:val="5FEC07C1"/>
    <w:rsid w:val="5FED2422"/>
    <w:rsid w:val="5FEF6F25"/>
    <w:rsid w:val="5FF52D97"/>
    <w:rsid w:val="5FF55F4C"/>
    <w:rsid w:val="5FF600B7"/>
    <w:rsid w:val="5FF607C4"/>
    <w:rsid w:val="5FFB68ED"/>
    <w:rsid w:val="5FFC200D"/>
    <w:rsid w:val="600168C7"/>
    <w:rsid w:val="60022122"/>
    <w:rsid w:val="60093A2E"/>
    <w:rsid w:val="600E33F2"/>
    <w:rsid w:val="60117ECF"/>
    <w:rsid w:val="60145C01"/>
    <w:rsid w:val="60147DA4"/>
    <w:rsid w:val="60172FFB"/>
    <w:rsid w:val="601E4351"/>
    <w:rsid w:val="60222833"/>
    <w:rsid w:val="60237ECC"/>
    <w:rsid w:val="602F0186"/>
    <w:rsid w:val="60356D91"/>
    <w:rsid w:val="60361BAD"/>
    <w:rsid w:val="6037335C"/>
    <w:rsid w:val="60380C34"/>
    <w:rsid w:val="603D5158"/>
    <w:rsid w:val="603E7D7E"/>
    <w:rsid w:val="604031DB"/>
    <w:rsid w:val="60487659"/>
    <w:rsid w:val="604F4E8B"/>
    <w:rsid w:val="60513939"/>
    <w:rsid w:val="6055022A"/>
    <w:rsid w:val="6055507D"/>
    <w:rsid w:val="60561D75"/>
    <w:rsid w:val="6056540E"/>
    <w:rsid w:val="605D5E0D"/>
    <w:rsid w:val="605F17B4"/>
    <w:rsid w:val="60611002"/>
    <w:rsid w:val="6061643F"/>
    <w:rsid w:val="60623E1F"/>
    <w:rsid w:val="606647BC"/>
    <w:rsid w:val="606C1A01"/>
    <w:rsid w:val="607131BE"/>
    <w:rsid w:val="60714E01"/>
    <w:rsid w:val="60723264"/>
    <w:rsid w:val="607377E3"/>
    <w:rsid w:val="60763F7C"/>
    <w:rsid w:val="607641C6"/>
    <w:rsid w:val="60792FA8"/>
    <w:rsid w:val="607D470B"/>
    <w:rsid w:val="60864CCB"/>
    <w:rsid w:val="6086721E"/>
    <w:rsid w:val="60870E78"/>
    <w:rsid w:val="6087530D"/>
    <w:rsid w:val="608C5A13"/>
    <w:rsid w:val="60912DAE"/>
    <w:rsid w:val="60976E00"/>
    <w:rsid w:val="60A14479"/>
    <w:rsid w:val="60A64770"/>
    <w:rsid w:val="60AB2E08"/>
    <w:rsid w:val="60AB42FB"/>
    <w:rsid w:val="60AC0D1D"/>
    <w:rsid w:val="60AE0913"/>
    <w:rsid w:val="60AF4ADF"/>
    <w:rsid w:val="60AF76D8"/>
    <w:rsid w:val="60B160EA"/>
    <w:rsid w:val="60B3261B"/>
    <w:rsid w:val="60B33643"/>
    <w:rsid w:val="60BB459F"/>
    <w:rsid w:val="60BE0AE9"/>
    <w:rsid w:val="60C05441"/>
    <w:rsid w:val="60C60726"/>
    <w:rsid w:val="60C82547"/>
    <w:rsid w:val="60CB1591"/>
    <w:rsid w:val="60CF494B"/>
    <w:rsid w:val="60D246D0"/>
    <w:rsid w:val="60D430BC"/>
    <w:rsid w:val="60D72F78"/>
    <w:rsid w:val="60DF1762"/>
    <w:rsid w:val="60E00A1D"/>
    <w:rsid w:val="60E048D5"/>
    <w:rsid w:val="60E4354B"/>
    <w:rsid w:val="60F0649E"/>
    <w:rsid w:val="60F35816"/>
    <w:rsid w:val="60F97A9B"/>
    <w:rsid w:val="60FA7E7D"/>
    <w:rsid w:val="60FD1BF8"/>
    <w:rsid w:val="60FE3AFB"/>
    <w:rsid w:val="6109503A"/>
    <w:rsid w:val="610B2D58"/>
    <w:rsid w:val="610C5250"/>
    <w:rsid w:val="610C5B76"/>
    <w:rsid w:val="610C629B"/>
    <w:rsid w:val="610C70F8"/>
    <w:rsid w:val="610C76EE"/>
    <w:rsid w:val="610F6495"/>
    <w:rsid w:val="610F7ADC"/>
    <w:rsid w:val="6111263D"/>
    <w:rsid w:val="61127044"/>
    <w:rsid w:val="6114446C"/>
    <w:rsid w:val="61147A32"/>
    <w:rsid w:val="611A0837"/>
    <w:rsid w:val="611A2DA3"/>
    <w:rsid w:val="611A6F14"/>
    <w:rsid w:val="611B41D3"/>
    <w:rsid w:val="611F2AAF"/>
    <w:rsid w:val="611F7BBE"/>
    <w:rsid w:val="61264442"/>
    <w:rsid w:val="612719CE"/>
    <w:rsid w:val="612861BC"/>
    <w:rsid w:val="6129316A"/>
    <w:rsid w:val="612A4DC2"/>
    <w:rsid w:val="612A5EE5"/>
    <w:rsid w:val="612A7C83"/>
    <w:rsid w:val="612D6B7D"/>
    <w:rsid w:val="61334045"/>
    <w:rsid w:val="61335CDB"/>
    <w:rsid w:val="613B0F6B"/>
    <w:rsid w:val="61407C51"/>
    <w:rsid w:val="61483DB4"/>
    <w:rsid w:val="61492FD0"/>
    <w:rsid w:val="614D52B5"/>
    <w:rsid w:val="61540553"/>
    <w:rsid w:val="61543232"/>
    <w:rsid w:val="6155177A"/>
    <w:rsid w:val="6158248A"/>
    <w:rsid w:val="61587D6F"/>
    <w:rsid w:val="615A4EF5"/>
    <w:rsid w:val="615C785F"/>
    <w:rsid w:val="61644598"/>
    <w:rsid w:val="61644FE7"/>
    <w:rsid w:val="6164686A"/>
    <w:rsid w:val="616C4B58"/>
    <w:rsid w:val="616E4528"/>
    <w:rsid w:val="617050B9"/>
    <w:rsid w:val="61720E31"/>
    <w:rsid w:val="61736385"/>
    <w:rsid w:val="61750921"/>
    <w:rsid w:val="617701F5"/>
    <w:rsid w:val="61785BA4"/>
    <w:rsid w:val="617A2A42"/>
    <w:rsid w:val="617D1584"/>
    <w:rsid w:val="618017E9"/>
    <w:rsid w:val="61811074"/>
    <w:rsid w:val="61823612"/>
    <w:rsid w:val="61932B55"/>
    <w:rsid w:val="619A05C2"/>
    <w:rsid w:val="619A2136"/>
    <w:rsid w:val="619B1F32"/>
    <w:rsid w:val="619D39D4"/>
    <w:rsid w:val="619F0059"/>
    <w:rsid w:val="61A5642F"/>
    <w:rsid w:val="61A70152"/>
    <w:rsid w:val="61A82BC6"/>
    <w:rsid w:val="61A909F1"/>
    <w:rsid w:val="61AE197B"/>
    <w:rsid w:val="61AF5651"/>
    <w:rsid w:val="61B052CF"/>
    <w:rsid w:val="61B1749A"/>
    <w:rsid w:val="61B42529"/>
    <w:rsid w:val="61B73502"/>
    <w:rsid w:val="61BC04F6"/>
    <w:rsid w:val="61BD2B79"/>
    <w:rsid w:val="61BF394A"/>
    <w:rsid w:val="61C44A09"/>
    <w:rsid w:val="61C6117D"/>
    <w:rsid w:val="61C72126"/>
    <w:rsid w:val="61C92322"/>
    <w:rsid w:val="61CC480A"/>
    <w:rsid w:val="61CD42B9"/>
    <w:rsid w:val="61D712D5"/>
    <w:rsid w:val="61DC5AEA"/>
    <w:rsid w:val="61E15FB7"/>
    <w:rsid w:val="61E66DB0"/>
    <w:rsid w:val="61E82A7D"/>
    <w:rsid w:val="61E873DA"/>
    <w:rsid w:val="61F71336"/>
    <w:rsid w:val="61F77588"/>
    <w:rsid w:val="61F95869"/>
    <w:rsid w:val="62050C82"/>
    <w:rsid w:val="62065A1D"/>
    <w:rsid w:val="620C24D2"/>
    <w:rsid w:val="620C3034"/>
    <w:rsid w:val="620D2908"/>
    <w:rsid w:val="620D7CFC"/>
    <w:rsid w:val="6217502E"/>
    <w:rsid w:val="62195750"/>
    <w:rsid w:val="621A071E"/>
    <w:rsid w:val="621B3218"/>
    <w:rsid w:val="621B6CC8"/>
    <w:rsid w:val="621E0FA4"/>
    <w:rsid w:val="621E7ECE"/>
    <w:rsid w:val="62200A31"/>
    <w:rsid w:val="62221E0D"/>
    <w:rsid w:val="622358D0"/>
    <w:rsid w:val="62250FC8"/>
    <w:rsid w:val="62257C51"/>
    <w:rsid w:val="62293607"/>
    <w:rsid w:val="622D32B1"/>
    <w:rsid w:val="622D58D2"/>
    <w:rsid w:val="62335F3F"/>
    <w:rsid w:val="6236151B"/>
    <w:rsid w:val="62380C13"/>
    <w:rsid w:val="623B764F"/>
    <w:rsid w:val="62444A13"/>
    <w:rsid w:val="624812F3"/>
    <w:rsid w:val="6249158B"/>
    <w:rsid w:val="624B1FDE"/>
    <w:rsid w:val="624B61B2"/>
    <w:rsid w:val="625C73EB"/>
    <w:rsid w:val="62600BF4"/>
    <w:rsid w:val="62610804"/>
    <w:rsid w:val="6261590B"/>
    <w:rsid w:val="62632AC2"/>
    <w:rsid w:val="62634F10"/>
    <w:rsid w:val="62651E55"/>
    <w:rsid w:val="62660E3D"/>
    <w:rsid w:val="62687C46"/>
    <w:rsid w:val="62697E9C"/>
    <w:rsid w:val="626C2D78"/>
    <w:rsid w:val="626D397C"/>
    <w:rsid w:val="626E3CC8"/>
    <w:rsid w:val="626F35C2"/>
    <w:rsid w:val="627778A2"/>
    <w:rsid w:val="62781A05"/>
    <w:rsid w:val="62791D4B"/>
    <w:rsid w:val="627D3951"/>
    <w:rsid w:val="6285656B"/>
    <w:rsid w:val="628841B8"/>
    <w:rsid w:val="62890C71"/>
    <w:rsid w:val="628C2EB8"/>
    <w:rsid w:val="628E2CCB"/>
    <w:rsid w:val="62902C20"/>
    <w:rsid w:val="62913539"/>
    <w:rsid w:val="62920336"/>
    <w:rsid w:val="62994C73"/>
    <w:rsid w:val="629A7990"/>
    <w:rsid w:val="629E18EF"/>
    <w:rsid w:val="62A50D92"/>
    <w:rsid w:val="62A768B8"/>
    <w:rsid w:val="62AD67B6"/>
    <w:rsid w:val="62AE2023"/>
    <w:rsid w:val="62AE6062"/>
    <w:rsid w:val="62B937F7"/>
    <w:rsid w:val="62BA24A2"/>
    <w:rsid w:val="62BB77BB"/>
    <w:rsid w:val="62BE0F00"/>
    <w:rsid w:val="62BE43D2"/>
    <w:rsid w:val="62BF00A6"/>
    <w:rsid w:val="62BF5F4D"/>
    <w:rsid w:val="62C03E1E"/>
    <w:rsid w:val="62C217B6"/>
    <w:rsid w:val="62CD0E1C"/>
    <w:rsid w:val="62CD7748"/>
    <w:rsid w:val="62D2730F"/>
    <w:rsid w:val="62D30F8A"/>
    <w:rsid w:val="62D82519"/>
    <w:rsid w:val="62D86992"/>
    <w:rsid w:val="62D96C8E"/>
    <w:rsid w:val="62DA5E27"/>
    <w:rsid w:val="62DC4519"/>
    <w:rsid w:val="62DE42A4"/>
    <w:rsid w:val="62DF2ABE"/>
    <w:rsid w:val="62E013B1"/>
    <w:rsid w:val="62E01EC4"/>
    <w:rsid w:val="62E17727"/>
    <w:rsid w:val="62E278F0"/>
    <w:rsid w:val="62EA49F7"/>
    <w:rsid w:val="62EC5C38"/>
    <w:rsid w:val="62EF200D"/>
    <w:rsid w:val="62F4450F"/>
    <w:rsid w:val="62FD7F32"/>
    <w:rsid w:val="630162F6"/>
    <w:rsid w:val="630547C5"/>
    <w:rsid w:val="63076944"/>
    <w:rsid w:val="630A33CD"/>
    <w:rsid w:val="630B228C"/>
    <w:rsid w:val="630D6478"/>
    <w:rsid w:val="630F6C8D"/>
    <w:rsid w:val="63103306"/>
    <w:rsid w:val="631127C2"/>
    <w:rsid w:val="63147CC6"/>
    <w:rsid w:val="63184C6C"/>
    <w:rsid w:val="63190757"/>
    <w:rsid w:val="631A4A47"/>
    <w:rsid w:val="631C5D60"/>
    <w:rsid w:val="631D653F"/>
    <w:rsid w:val="631D68C6"/>
    <w:rsid w:val="631F6B73"/>
    <w:rsid w:val="63272EBA"/>
    <w:rsid w:val="632A4016"/>
    <w:rsid w:val="632A5E8A"/>
    <w:rsid w:val="632C223A"/>
    <w:rsid w:val="632C3261"/>
    <w:rsid w:val="632D08AA"/>
    <w:rsid w:val="63311F80"/>
    <w:rsid w:val="633B1E87"/>
    <w:rsid w:val="633E3785"/>
    <w:rsid w:val="63401365"/>
    <w:rsid w:val="63414F5F"/>
    <w:rsid w:val="63475591"/>
    <w:rsid w:val="634821C8"/>
    <w:rsid w:val="634B5E1D"/>
    <w:rsid w:val="635330EC"/>
    <w:rsid w:val="635922C6"/>
    <w:rsid w:val="63595381"/>
    <w:rsid w:val="635C686E"/>
    <w:rsid w:val="63652B79"/>
    <w:rsid w:val="636B11B1"/>
    <w:rsid w:val="636C7B02"/>
    <w:rsid w:val="636D2D43"/>
    <w:rsid w:val="636E440A"/>
    <w:rsid w:val="63702418"/>
    <w:rsid w:val="63706C05"/>
    <w:rsid w:val="63750765"/>
    <w:rsid w:val="63773E7B"/>
    <w:rsid w:val="637830FB"/>
    <w:rsid w:val="637916C8"/>
    <w:rsid w:val="637C6F72"/>
    <w:rsid w:val="637D1D0F"/>
    <w:rsid w:val="63816E79"/>
    <w:rsid w:val="63877A66"/>
    <w:rsid w:val="63904AD5"/>
    <w:rsid w:val="63921E8A"/>
    <w:rsid w:val="639318AD"/>
    <w:rsid w:val="63956E21"/>
    <w:rsid w:val="639B1BC7"/>
    <w:rsid w:val="639C53D2"/>
    <w:rsid w:val="63A252D2"/>
    <w:rsid w:val="63A37553"/>
    <w:rsid w:val="63A47706"/>
    <w:rsid w:val="63A73190"/>
    <w:rsid w:val="63A80370"/>
    <w:rsid w:val="63AA1345"/>
    <w:rsid w:val="63AF02B3"/>
    <w:rsid w:val="63B34D1F"/>
    <w:rsid w:val="63B36AD9"/>
    <w:rsid w:val="63B73B5B"/>
    <w:rsid w:val="63BC6393"/>
    <w:rsid w:val="63C10369"/>
    <w:rsid w:val="63C83BAD"/>
    <w:rsid w:val="63C84CDC"/>
    <w:rsid w:val="63CF22B0"/>
    <w:rsid w:val="63D41FBE"/>
    <w:rsid w:val="63D77671"/>
    <w:rsid w:val="63DD6924"/>
    <w:rsid w:val="63DD7B2A"/>
    <w:rsid w:val="63DE7DC0"/>
    <w:rsid w:val="63E2149B"/>
    <w:rsid w:val="63EB4ECB"/>
    <w:rsid w:val="63F90139"/>
    <w:rsid w:val="63FC77FF"/>
    <w:rsid w:val="63FF1866"/>
    <w:rsid w:val="6401024A"/>
    <w:rsid w:val="64015A35"/>
    <w:rsid w:val="64025CCB"/>
    <w:rsid w:val="64077E60"/>
    <w:rsid w:val="640819C5"/>
    <w:rsid w:val="640C2128"/>
    <w:rsid w:val="640F079D"/>
    <w:rsid w:val="640F290B"/>
    <w:rsid w:val="6412307A"/>
    <w:rsid w:val="641A130C"/>
    <w:rsid w:val="641B3078"/>
    <w:rsid w:val="641C0181"/>
    <w:rsid w:val="6420379D"/>
    <w:rsid w:val="64257BD1"/>
    <w:rsid w:val="642C4A3E"/>
    <w:rsid w:val="6432146B"/>
    <w:rsid w:val="64322AF9"/>
    <w:rsid w:val="643423CE"/>
    <w:rsid w:val="6438165D"/>
    <w:rsid w:val="64393E88"/>
    <w:rsid w:val="643B585D"/>
    <w:rsid w:val="643C6145"/>
    <w:rsid w:val="643E324C"/>
    <w:rsid w:val="643E4FFA"/>
    <w:rsid w:val="64436AB5"/>
    <w:rsid w:val="64492F21"/>
    <w:rsid w:val="644D3D14"/>
    <w:rsid w:val="6451723D"/>
    <w:rsid w:val="64554895"/>
    <w:rsid w:val="64573C08"/>
    <w:rsid w:val="64587970"/>
    <w:rsid w:val="645962D8"/>
    <w:rsid w:val="645C1877"/>
    <w:rsid w:val="645C2E28"/>
    <w:rsid w:val="645D1DB9"/>
    <w:rsid w:val="645D628E"/>
    <w:rsid w:val="645E651F"/>
    <w:rsid w:val="64623690"/>
    <w:rsid w:val="6464424D"/>
    <w:rsid w:val="646507D9"/>
    <w:rsid w:val="64693CD7"/>
    <w:rsid w:val="6469735E"/>
    <w:rsid w:val="646A4041"/>
    <w:rsid w:val="647543EB"/>
    <w:rsid w:val="647924D6"/>
    <w:rsid w:val="647A7DFB"/>
    <w:rsid w:val="647B7FFD"/>
    <w:rsid w:val="647E1479"/>
    <w:rsid w:val="648619C5"/>
    <w:rsid w:val="648C2202"/>
    <w:rsid w:val="64916FED"/>
    <w:rsid w:val="64924634"/>
    <w:rsid w:val="649578F3"/>
    <w:rsid w:val="649752E4"/>
    <w:rsid w:val="649864A1"/>
    <w:rsid w:val="649C10AD"/>
    <w:rsid w:val="64A01811"/>
    <w:rsid w:val="64A05E79"/>
    <w:rsid w:val="64A2280B"/>
    <w:rsid w:val="64A258CD"/>
    <w:rsid w:val="64A63434"/>
    <w:rsid w:val="64A663D1"/>
    <w:rsid w:val="64AB3381"/>
    <w:rsid w:val="64AB40A0"/>
    <w:rsid w:val="64B40B31"/>
    <w:rsid w:val="64B67287"/>
    <w:rsid w:val="64B81EB5"/>
    <w:rsid w:val="64BD699D"/>
    <w:rsid w:val="64C20C65"/>
    <w:rsid w:val="64C30C1E"/>
    <w:rsid w:val="64C64FF0"/>
    <w:rsid w:val="64C82500"/>
    <w:rsid w:val="64C94FF0"/>
    <w:rsid w:val="64CA01B0"/>
    <w:rsid w:val="64CA0F84"/>
    <w:rsid w:val="64CA3DD2"/>
    <w:rsid w:val="64CD45D0"/>
    <w:rsid w:val="64D21BE7"/>
    <w:rsid w:val="64D36C14"/>
    <w:rsid w:val="64E022C0"/>
    <w:rsid w:val="64E03F34"/>
    <w:rsid w:val="64E3322A"/>
    <w:rsid w:val="64E35BA2"/>
    <w:rsid w:val="64E53367"/>
    <w:rsid w:val="64EA6F30"/>
    <w:rsid w:val="64EB370D"/>
    <w:rsid w:val="64ED7C96"/>
    <w:rsid w:val="64EF322F"/>
    <w:rsid w:val="64F93617"/>
    <w:rsid w:val="64FE1FA8"/>
    <w:rsid w:val="6502063C"/>
    <w:rsid w:val="65033B84"/>
    <w:rsid w:val="65051FBC"/>
    <w:rsid w:val="65065AB6"/>
    <w:rsid w:val="6512149A"/>
    <w:rsid w:val="65132ADF"/>
    <w:rsid w:val="651422DA"/>
    <w:rsid w:val="651D26A1"/>
    <w:rsid w:val="651F307E"/>
    <w:rsid w:val="65202952"/>
    <w:rsid w:val="65261425"/>
    <w:rsid w:val="652A3402"/>
    <w:rsid w:val="652C356B"/>
    <w:rsid w:val="652C579B"/>
    <w:rsid w:val="652F3F54"/>
    <w:rsid w:val="653914B1"/>
    <w:rsid w:val="65415223"/>
    <w:rsid w:val="654628C9"/>
    <w:rsid w:val="65467B16"/>
    <w:rsid w:val="654776BB"/>
    <w:rsid w:val="654A0B91"/>
    <w:rsid w:val="654A5B37"/>
    <w:rsid w:val="654E322D"/>
    <w:rsid w:val="654F4FE5"/>
    <w:rsid w:val="655645C6"/>
    <w:rsid w:val="6556794C"/>
    <w:rsid w:val="65577F0D"/>
    <w:rsid w:val="655C0752"/>
    <w:rsid w:val="656124B3"/>
    <w:rsid w:val="656909FE"/>
    <w:rsid w:val="656B71BD"/>
    <w:rsid w:val="6578278E"/>
    <w:rsid w:val="657D1B52"/>
    <w:rsid w:val="6581322A"/>
    <w:rsid w:val="65820F0E"/>
    <w:rsid w:val="65855B94"/>
    <w:rsid w:val="6587477F"/>
    <w:rsid w:val="65886CE5"/>
    <w:rsid w:val="65915CCD"/>
    <w:rsid w:val="65930D07"/>
    <w:rsid w:val="659A2704"/>
    <w:rsid w:val="65A7180E"/>
    <w:rsid w:val="65A73C7A"/>
    <w:rsid w:val="65AA2625"/>
    <w:rsid w:val="65AD6874"/>
    <w:rsid w:val="65AF5970"/>
    <w:rsid w:val="65B31A18"/>
    <w:rsid w:val="65B337C6"/>
    <w:rsid w:val="65B47EDF"/>
    <w:rsid w:val="65B70D83"/>
    <w:rsid w:val="65BA2DA7"/>
    <w:rsid w:val="65BF03BD"/>
    <w:rsid w:val="65BF6897"/>
    <w:rsid w:val="65CB6D62"/>
    <w:rsid w:val="65D33E68"/>
    <w:rsid w:val="65D427DB"/>
    <w:rsid w:val="65D827AA"/>
    <w:rsid w:val="65DE4CE7"/>
    <w:rsid w:val="65DE7A94"/>
    <w:rsid w:val="65DF19BC"/>
    <w:rsid w:val="65E01371"/>
    <w:rsid w:val="65E252EE"/>
    <w:rsid w:val="65E5228A"/>
    <w:rsid w:val="65E676F8"/>
    <w:rsid w:val="65E95DEF"/>
    <w:rsid w:val="65F04A1A"/>
    <w:rsid w:val="65F34BCA"/>
    <w:rsid w:val="65FC5586"/>
    <w:rsid w:val="65FE557F"/>
    <w:rsid w:val="65FE7137"/>
    <w:rsid w:val="660109D5"/>
    <w:rsid w:val="66020D12"/>
    <w:rsid w:val="66073482"/>
    <w:rsid w:val="660C0B62"/>
    <w:rsid w:val="660D1128"/>
    <w:rsid w:val="660E6FC0"/>
    <w:rsid w:val="66110EC7"/>
    <w:rsid w:val="66154481"/>
    <w:rsid w:val="661A02DA"/>
    <w:rsid w:val="661C1A68"/>
    <w:rsid w:val="662356C6"/>
    <w:rsid w:val="662A2516"/>
    <w:rsid w:val="662C36BF"/>
    <w:rsid w:val="66307D70"/>
    <w:rsid w:val="66341D23"/>
    <w:rsid w:val="66365FD9"/>
    <w:rsid w:val="663A5C95"/>
    <w:rsid w:val="663A7A43"/>
    <w:rsid w:val="663C7C5F"/>
    <w:rsid w:val="663D3A56"/>
    <w:rsid w:val="663E374A"/>
    <w:rsid w:val="664002BE"/>
    <w:rsid w:val="66410DD2"/>
    <w:rsid w:val="66456B14"/>
    <w:rsid w:val="6646766D"/>
    <w:rsid w:val="66475879"/>
    <w:rsid w:val="664870DE"/>
    <w:rsid w:val="66562A63"/>
    <w:rsid w:val="66582E23"/>
    <w:rsid w:val="665931F4"/>
    <w:rsid w:val="665A4EDB"/>
    <w:rsid w:val="665E75A0"/>
    <w:rsid w:val="665F78C7"/>
    <w:rsid w:val="66612387"/>
    <w:rsid w:val="66631C4F"/>
    <w:rsid w:val="666431AD"/>
    <w:rsid w:val="66646249"/>
    <w:rsid w:val="66682803"/>
    <w:rsid w:val="666F4237"/>
    <w:rsid w:val="66723681"/>
    <w:rsid w:val="66723DA6"/>
    <w:rsid w:val="66741416"/>
    <w:rsid w:val="66761EE6"/>
    <w:rsid w:val="667E3DD4"/>
    <w:rsid w:val="667E4280"/>
    <w:rsid w:val="6681678C"/>
    <w:rsid w:val="66835660"/>
    <w:rsid w:val="66861029"/>
    <w:rsid w:val="66877EC6"/>
    <w:rsid w:val="66897701"/>
    <w:rsid w:val="668C4743"/>
    <w:rsid w:val="668D6CDE"/>
    <w:rsid w:val="668F5FE1"/>
    <w:rsid w:val="66931BEC"/>
    <w:rsid w:val="6697225E"/>
    <w:rsid w:val="669C6179"/>
    <w:rsid w:val="669D352A"/>
    <w:rsid w:val="66A15D14"/>
    <w:rsid w:val="66A454F2"/>
    <w:rsid w:val="66A74F3F"/>
    <w:rsid w:val="66A7764C"/>
    <w:rsid w:val="66A96D21"/>
    <w:rsid w:val="66AF4D91"/>
    <w:rsid w:val="66AF79A6"/>
    <w:rsid w:val="66B30BD3"/>
    <w:rsid w:val="66B650CD"/>
    <w:rsid w:val="66B912B0"/>
    <w:rsid w:val="66B96DA9"/>
    <w:rsid w:val="66BB7AE0"/>
    <w:rsid w:val="66BC2339"/>
    <w:rsid w:val="66BD5B8A"/>
    <w:rsid w:val="66BD75B0"/>
    <w:rsid w:val="66C03632"/>
    <w:rsid w:val="66C20E7C"/>
    <w:rsid w:val="66C304E6"/>
    <w:rsid w:val="66C70092"/>
    <w:rsid w:val="66CB1165"/>
    <w:rsid w:val="66CE3A79"/>
    <w:rsid w:val="66D04A39"/>
    <w:rsid w:val="66D165FA"/>
    <w:rsid w:val="66D53FF1"/>
    <w:rsid w:val="66E83943"/>
    <w:rsid w:val="66E873C2"/>
    <w:rsid w:val="66EB03AE"/>
    <w:rsid w:val="66EC277A"/>
    <w:rsid w:val="66ED0FFC"/>
    <w:rsid w:val="66ED4AB6"/>
    <w:rsid w:val="66F422E8"/>
    <w:rsid w:val="66F57630"/>
    <w:rsid w:val="66F7221C"/>
    <w:rsid w:val="66FB3677"/>
    <w:rsid w:val="66FC2F4B"/>
    <w:rsid w:val="66FE3167"/>
    <w:rsid w:val="670342D9"/>
    <w:rsid w:val="6705488D"/>
    <w:rsid w:val="670A34FC"/>
    <w:rsid w:val="670A63F8"/>
    <w:rsid w:val="670D5DDA"/>
    <w:rsid w:val="670E2E3D"/>
    <w:rsid w:val="670E33AA"/>
    <w:rsid w:val="6712276E"/>
    <w:rsid w:val="671473D7"/>
    <w:rsid w:val="671604E7"/>
    <w:rsid w:val="67194F00"/>
    <w:rsid w:val="6727127D"/>
    <w:rsid w:val="672A0297"/>
    <w:rsid w:val="672C7CD4"/>
    <w:rsid w:val="672E40D5"/>
    <w:rsid w:val="672E57FA"/>
    <w:rsid w:val="6737032F"/>
    <w:rsid w:val="673821D5"/>
    <w:rsid w:val="6739288B"/>
    <w:rsid w:val="6747066A"/>
    <w:rsid w:val="675016AD"/>
    <w:rsid w:val="675375CF"/>
    <w:rsid w:val="67542D87"/>
    <w:rsid w:val="675826C2"/>
    <w:rsid w:val="67584625"/>
    <w:rsid w:val="67587852"/>
    <w:rsid w:val="6759039D"/>
    <w:rsid w:val="675A2070"/>
    <w:rsid w:val="675C63DC"/>
    <w:rsid w:val="67604DBC"/>
    <w:rsid w:val="676776F7"/>
    <w:rsid w:val="676E209B"/>
    <w:rsid w:val="676F196F"/>
    <w:rsid w:val="67717495"/>
    <w:rsid w:val="677526EE"/>
    <w:rsid w:val="677531D6"/>
    <w:rsid w:val="6776387B"/>
    <w:rsid w:val="67803B7C"/>
    <w:rsid w:val="678278F4"/>
    <w:rsid w:val="67836389"/>
    <w:rsid w:val="67845968"/>
    <w:rsid w:val="67854E2C"/>
    <w:rsid w:val="678846A7"/>
    <w:rsid w:val="678C0773"/>
    <w:rsid w:val="6791279C"/>
    <w:rsid w:val="67950A6A"/>
    <w:rsid w:val="67966EFB"/>
    <w:rsid w:val="679A69EC"/>
    <w:rsid w:val="679B2764"/>
    <w:rsid w:val="67A1421E"/>
    <w:rsid w:val="67A506CD"/>
    <w:rsid w:val="67AD27D7"/>
    <w:rsid w:val="67AE06E9"/>
    <w:rsid w:val="67B0620F"/>
    <w:rsid w:val="67BA5C01"/>
    <w:rsid w:val="67C3109B"/>
    <w:rsid w:val="67C31806"/>
    <w:rsid w:val="67C47F0C"/>
    <w:rsid w:val="67C62FB3"/>
    <w:rsid w:val="67CC0B6F"/>
    <w:rsid w:val="67CC0BD6"/>
    <w:rsid w:val="67CD5013"/>
    <w:rsid w:val="67CF2647"/>
    <w:rsid w:val="67CF4726"/>
    <w:rsid w:val="67D16931"/>
    <w:rsid w:val="67D31EFE"/>
    <w:rsid w:val="67DB6D92"/>
    <w:rsid w:val="67DD5F1A"/>
    <w:rsid w:val="67E51B87"/>
    <w:rsid w:val="67E902FD"/>
    <w:rsid w:val="67E97065"/>
    <w:rsid w:val="67F634C9"/>
    <w:rsid w:val="68000819"/>
    <w:rsid w:val="68021F70"/>
    <w:rsid w:val="68037FDF"/>
    <w:rsid w:val="68091DC3"/>
    <w:rsid w:val="68092AD1"/>
    <w:rsid w:val="680F301B"/>
    <w:rsid w:val="68114159"/>
    <w:rsid w:val="68127979"/>
    <w:rsid w:val="681361C5"/>
    <w:rsid w:val="68142C42"/>
    <w:rsid w:val="68151AB0"/>
    <w:rsid w:val="6815774F"/>
    <w:rsid w:val="68172D5E"/>
    <w:rsid w:val="681D261C"/>
    <w:rsid w:val="68202928"/>
    <w:rsid w:val="6828621E"/>
    <w:rsid w:val="682A7C88"/>
    <w:rsid w:val="683851C9"/>
    <w:rsid w:val="683C524E"/>
    <w:rsid w:val="683D600D"/>
    <w:rsid w:val="683E7EEC"/>
    <w:rsid w:val="683F57E5"/>
    <w:rsid w:val="6841155D"/>
    <w:rsid w:val="684352D5"/>
    <w:rsid w:val="684611D7"/>
    <w:rsid w:val="68464DC5"/>
    <w:rsid w:val="68511756"/>
    <w:rsid w:val="685230BB"/>
    <w:rsid w:val="68544A88"/>
    <w:rsid w:val="6855791D"/>
    <w:rsid w:val="68585A0D"/>
    <w:rsid w:val="685A28EA"/>
    <w:rsid w:val="685B786B"/>
    <w:rsid w:val="685E23F3"/>
    <w:rsid w:val="685E6B05"/>
    <w:rsid w:val="68670F13"/>
    <w:rsid w:val="686E699A"/>
    <w:rsid w:val="686F3ED2"/>
    <w:rsid w:val="686F7842"/>
    <w:rsid w:val="687078B0"/>
    <w:rsid w:val="68720205"/>
    <w:rsid w:val="68727AEC"/>
    <w:rsid w:val="68731391"/>
    <w:rsid w:val="68747FC1"/>
    <w:rsid w:val="68752A81"/>
    <w:rsid w:val="687731D1"/>
    <w:rsid w:val="688348E0"/>
    <w:rsid w:val="688467F2"/>
    <w:rsid w:val="688651C2"/>
    <w:rsid w:val="68925915"/>
    <w:rsid w:val="689948DA"/>
    <w:rsid w:val="68994EF5"/>
    <w:rsid w:val="68A57FC2"/>
    <w:rsid w:val="68AA7102"/>
    <w:rsid w:val="68AA78F2"/>
    <w:rsid w:val="68B2190A"/>
    <w:rsid w:val="68B2519B"/>
    <w:rsid w:val="68B63144"/>
    <w:rsid w:val="68B852C3"/>
    <w:rsid w:val="68BD3BC7"/>
    <w:rsid w:val="68BD52C3"/>
    <w:rsid w:val="68BE495C"/>
    <w:rsid w:val="68C161FA"/>
    <w:rsid w:val="68C53B3E"/>
    <w:rsid w:val="68D53926"/>
    <w:rsid w:val="68D92A15"/>
    <w:rsid w:val="68DB4723"/>
    <w:rsid w:val="68DC11D9"/>
    <w:rsid w:val="68DC4739"/>
    <w:rsid w:val="68DD1DE6"/>
    <w:rsid w:val="68E04191"/>
    <w:rsid w:val="68E36170"/>
    <w:rsid w:val="68E47FED"/>
    <w:rsid w:val="68EA74FF"/>
    <w:rsid w:val="68EB4E0B"/>
    <w:rsid w:val="68ED60DB"/>
    <w:rsid w:val="68EF077E"/>
    <w:rsid w:val="68F0088D"/>
    <w:rsid w:val="68FC7232"/>
    <w:rsid w:val="68FE11FC"/>
    <w:rsid w:val="6901203E"/>
    <w:rsid w:val="69036A27"/>
    <w:rsid w:val="69116ACA"/>
    <w:rsid w:val="69132EFA"/>
    <w:rsid w:val="691C62D0"/>
    <w:rsid w:val="69210824"/>
    <w:rsid w:val="69260A14"/>
    <w:rsid w:val="692D5624"/>
    <w:rsid w:val="6934422B"/>
    <w:rsid w:val="69344839"/>
    <w:rsid w:val="6935288E"/>
    <w:rsid w:val="69371955"/>
    <w:rsid w:val="69385685"/>
    <w:rsid w:val="693C5FA2"/>
    <w:rsid w:val="69402BF8"/>
    <w:rsid w:val="6941314D"/>
    <w:rsid w:val="694442E9"/>
    <w:rsid w:val="69531548"/>
    <w:rsid w:val="69551A76"/>
    <w:rsid w:val="695E1C9B"/>
    <w:rsid w:val="695E52B7"/>
    <w:rsid w:val="69600855"/>
    <w:rsid w:val="69640903"/>
    <w:rsid w:val="696A4AE4"/>
    <w:rsid w:val="696C6F94"/>
    <w:rsid w:val="696E0130"/>
    <w:rsid w:val="696E7ABF"/>
    <w:rsid w:val="696F3EA8"/>
    <w:rsid w:val="696F5446"/>
    <w:rsid w:val="69744294"/>
    <w:rsid w:val="6975577E"/>
    <w:rsid w:val="69757BD6"/>
    <w:rsid w:val="69783528"/>
    <w:rsid w:val="69784FBE"/>
    <w:rsid w:val="697F233D"/>
    <w:rsid w:val="698010DB"/>
    <w:rsid w:val="6984483D"/>
    <w:rsid w:val="69845BA5"/>
    <w:rsid w:val="69915149"/>
    <w:rsid w:val="69951B60"/>
    <w:rsid w:val="69992CD3"/>
    <w:rsid w:val="699A2669"/>
    <w:rsid w:val="699F077D"/>
    <w:rsid w:val="699F2B6C"/>
    <w:rsid w:val="699F7F40"/>
    <w:rsid w:val="69AA5BBC"/>
    <w:rsid w:val="69B12607"/>
    <w:rsid w:val="69B1626F"/>
    <w:rsid w:val="69B25B26"/>
    <w:rsid w:val="69B266DE"/>
    <w:rsid w:val="69B44B75"/>
    <w:rsid w:val="69B615C2"/>
    <w:rsid w:val="69B8584F"/>
    <w:rsid w:val="69B87885"/>
    <w:rsid w:val="69B913D2"/>
    <w:rsid w:val="69BA11A7"/>
    <w:rsid w:val="69BA2751"/>
    <w:rsid w:val="69C30AC0"/>
    <w:rsid w:val="69C40803"/>
    <w:rsid w:val="69C43AEF"/>
    <w:rsid w:val="69C650CD"/>
    <w:rsid w:val="69C66504"/>
    <w:rsid w:val="69C66CD0"/>
    <w:rsid w:val="69C906D2"/>
    <w:rsid w:val="69C96CE2"/>
    <w:rsid w:val="69CC6D31"/>
    <w:rsid w:val="69D53AF9"/>
    <w:rsid w:val="69D64DD2"/>
    <w:rsid w:val="69DB0968"/>
    <w:rsid w:val="69DC7D20"/>
    <w:rsid w:val="69DC7ED6"/>
    <w:rsid w:val="69DD0FAB"/>
    <w:rsid w:val="69DE2152"/>
    <w:rsid w:val="69E06B54"/>
    <w:rsid w:val="69E54278"/>
    <w:rsid w:val="69EF253C"/>
    <w:rsid w:val="69F04FE9"/>
    <w:rsid w:val="69F109A3"/>
    <w:rsid w:val="69F543AD"/>
    <w:rsid w:val="69FA7C16"/>
    <w:rsid w:val="6A0067D7"/>
    <w:rsid w:val="6A035DA4"/>
    <w:rsid w:val="6A060AF0"/>
    <w:rsid w:val="6A1047C4"/>
    <w:rsid w:val="6A1265C0"/>
    <w:rsid w:val="6A1973EB"/>
    <w:rsid w:val="6A1A27ED"/>
    <w:rsid w:val="6A1E7E12"/>
    <w:rsid w:val="6A221DF4"/>
    <w:rsid w:val="6A2313FB"/>
    <w:rsid w:val="6A26111C"/>
    <w:rsid w:val="6A291911"/>
    <w:rsid w:val="6A3F0348"/>
    <w:rsid w:val="6A41193D"/>
    <w:rsid w:val="6A413A96"/>
    <w:rsid w:val="6A435E96"/>
    <w:rsid w:val="6A44663C"/>
    <w:rsid w:val="6A4838D4"/>
    <w:rsid w:val="6A49718E"/>
    <w:rsid w:val="6A4C271E"/>
    <w:rsid w:val="6A4F2E1A"/>
    <w:rsid w:val="6A5469E4"/>
    <w:rsid w:val="6A5549A3"/>
    <w:rsid w:val="6A5A325D"/>
    <w:rsid w:val="6A5B3471"/>
    <w:rsid w:val="6A694087"/>
    <w:rsid w:val="6A6A5225"/>
    <w:rsid w:val="6A6A6101"/>
    <w:rsid w:val="6A6E0176"/>
    <w:rsid w:val="6A7157A9"/>
    <w:rsid w:val="6A793769"/>
    <w:rsid w:val="6A802C6E"/>
    <w:rsid w:val="6A8246F4"/>
    <w:rsid w:val="6A883473"/>
    <w:rsid w:val="6A883982"/>
    <w:rsid w:val="6A8D6CDC"/>
    <w:rsid w:val="6A8E57CD"/>
    <w:rsid w:val="6A9811DC"/>
    <w:rsid w:val="6A9D144E"/>
    <w:rsid w:val="6A9E2C97"/>
    <w:rsid w:val="6A9F2904"/>
    <w:rsid w:val="6AA61BD5"/>
    <w:rsid w:val="6AA75BA8"/>
    <w:rsid w:val="6AA86AB1"/>
    <w:rsid w:val="6ABB79F7"/>
    <w:rsid w:val="6ABD4DBC"/>
    <w:rsid w:val="6ACB4E31"/>
    <w:rsid w:val="6ACB678B"/>
    <w:rsid w:val="6ACE029F"/>
    <w:rsid w:val="6AD17B23"/>
    <w:rsid w:val="6AD22940"/>
    <w:rsid w:val="6AD246EE"/>
    <w:rsid w:val="6AD55800"/>
    <w:rsid w:val="6AD71D05"/>
    <w:rsid w:val="6AD77E2D"/>
    <w:rsid w:val="6AD77F57"/>
    <w:rsid w:val="6AD903BB"/>
    <w:rsid w:val="6ADC1E9D"/>
    <w:rsid w:val="6ADC37BF"/>
    <w:rsid w:val="6ADE3832"/>
    <w:rsid w:val="6ADF06DE"/>
    <w:rsid w:val="6AE30927"/>
    <w:rsid w:val="6AE74869"/>
    <w:rsid w:val="6AE82164"/>
    <w:rsid w:val="6AEC5EBB"/>
    <w:rsid w:val="6AED777A"/>
    <w:rsid w:val="6AF00EE6"/>
    <w:rsid w:val="6AF24D91"/>
    <w:rsid w:val="6AF77361"/>
    <w:rsid w:val="6AF9611F"/>
    <w:rsid w:val="6AFE2A42"/>
    <w:rsid w:val="6B025A6F"/>
    <w:rsid w:val="6B046E59"/>
    <w:rsid w:val="6B066991"/>
    <w:rsid w:val="6B0D1BCA"/>
    <w:rsid w:val="6B1116BB"/>
    <w:rsid w:val="6B1940CB"/>
    <w:rsid w:val="6B1A00EF"/>
    <w:rsid w:val="6B1C4F90"/>
    <w:rsid w:val="6B1D0465"/>
    <w:rsid w:val="6B1F0677"/>
    <w:rsid w:val="6B25268C"/>
    <w:rsid w:val="6B273C50"/>
    <w:rsid w:val="6B2A452A"/>
    <w:rsid w:val="6B2A5874"/>
    <w:rsid w:val="6B2B3DFF"/>
    <w:rsid w:val="6B385EB4"/>
    <w:rsid w:val="6B3C1670"/>
    <w:rsid w:val="6B4372AD"/>
    <w:rsid w:val="6B43739A"/>
    <w:rsid w:val="6B4638B1"/>
    <w:rsid w:val="6B476C2D"/>
    <w:rsid w:val="6B496724"/>
    <w:rsid w:val="6B4B1036"/>
    <w:rsid w:val="6B4F5D3F"/>
    <w:rsid w:val="6B4F61BF"/>
    <w:rsid w:val="6B507294"/>
    <w:rsid w:val="6B5216DD"/>
    <w:rsid w:val="6B546645"/>
    <w:rsid w:val="6B554422"/>
    <w:rsid w:val="6B5C220A"/>
    <w:rsid w:val="6B5E41D4"/>
    <w:rsid w:val="6B684B4C"/>
    <w:rsid w:val="6B6A3D5A"/>
    <w:rsid w:val="6B6A4927"/>
    <w:rsid w:val="6B73503F"/>
    <w:rsid w:val="6B81028B"/>
    <w:rsid w:val="6B822EE9"/>
    <w:rsid w:val="6B845F39"/>
    <w:rsid w:val="6B87197D"/>
    <w:rsid w:val="6B895BD2"/>
    <w:rsid w:val="6B8A0AC6"/>
    <w:rsid w:val="6B91660C"/>
    <w:rsid w:val="6B95347C"/>
    <w:rsid w:val="6B9853AF"/>
    <w:rsid w:val="6BA348FB"/>
    <w:rsid w:val="6BA4038A"/>
    <w:rsid w:val="6BAA0D42"/>
    <w:rsid w:val="6BAA5BA6"/>
    <w:rsid w:val="6BAB7BC3"/>
    <w:rsid w:val="6BAC7340"/>
    <w:rsid w:val="6BAD30F8"/>
    <w:rsid w:val="6BAE6F0A"/>
    <w:rsid w:val="6BB7368E"/>
    <w:rsid w:val="6BBB3E48"/>
    <w:rsid w:val="6BC26511"/>
    <w:rsid w:val="6BC37D58"/>
    <w:rsid w:val="6BC63F3A"/>
    <w:rsid w:val="6BCC5210"/>
    <w:rsid w:val="6BD050D2"/>
    <w:rsid w:val="6BD065D4"/>
    <w:rsid w:val="6BD525D8"/>
    <w:rsid w:val="6BD54C99"/>
    <w:rsid w:val="6BD9385B"/>
    <w:rsid w:val="6BDD0389"/>
    <w:rsid w:val="6BDD2F6C"/>
    <w:rsid w:val="6BDE1541"/>
    <w:rsid w:val="6BDE4E99"/>
    <w:rsid w:val="6BE12084"/>
    <w:rsid w:val="6BEE3567"/>
    <w:rsid w:val="6BF110CF"/>
    <w:rsid w:val="6BF26915"/>
    <w:rsid w:val="6BF637E3"/>
    <w:rsid w:val="6BF84E53"/>
    <w:rsid w:val="6BF8798E"/>
    <w:rsid w:val="6BFB1A23"/>
    <w:rsid w:val="6BFD39ED"/>
    <w:rsid w:val="6BFF1513"/>
    <w:rsid w:val="6C001882"/>
    <w:rsid w:val="6C0139F0"/>
    <w:rsid w:val="6C052128"/>
    <w:rsid w:val="6C090C57"/>
    <w:rsid w:val="6C1270FF"/>
    <w:rsid w:val="6C13669E"/>
    <w:rsid w:val="6C164AAF"/>
    <w:rsid w:val="6C190CFF"/>
    <w:rsid w:val="6C1A00FB"/>
    <w:rsid w:val="6C1C314D"/>
    <w:rsid w:val="6C1C3356"/>
    <w:rsid w:val="6C1F36D1"/>
    <w:rsid w:val="6C2008BD"/>
    <w:rsid w:val="6C21592D"/>
    <w:rsid w:val="6C220D52"/>
    <w:rsid w:val="6C256AA0"/>
    <w:rsid w:val="6C2934E8"/>
    <w:rsid w:val="6C2B3640"/>
    <w:rsid w:val="6C2C1662"/>
    <w:rsid w:val="6C2C6080"/>
    <w:rsid w:val="6C341537"/>
    <w:rsid w:val="6C3746D6"/>
    <w:rsid w:val="6C3876CA"/>
    <w:rsid w:val="6C3C2767"/>
    <w:rsid w:val="6C3C4515"/>
    <w:rsid w:val="6C3D203B"/>
    <w:rsid w:val="6C3F3781"/>
    <w:rsid w:val="6C3F3F7C"/>
    <w:rsid w:val="6C414E16"/>
    <w:rsid w:val="6C4242DA"/>
    <w:rsid w:val="6C431C4F"/>
    <w:rsid w:val="6C4367F5"/>
    <w:rsid w:val="6C4476FA"/>
    <w:rsid w:val="6C453A26"/>
    <w:rsid w:val="6C467464"/>
    <w:rsid w:val="6C4D0140"/>
    <w:rsid w:val="6C4F47B7"/>
    <w:rsid w:val="6C504377"/>
    <w:rsid w:val="6C547DE8"/>
    <w:rsid w:val="6C57134F"/>
    <w:rsid w:val="6C5775A1"/>
    <w:rsid w:val="6C5A6D52"/>
    <w:rsid w:val="6C5C4BB7"/>
    <w:rsid w:val="6C64761B"/>
    <w:rsid w:val="6C67479B"/>
    <w:rsid w:val="6C6B559C"/>
    <w:rsid w:val="6C6E6699"/>
    <w:rsid w:val="6C7041BF"/>
    <w:rsid w:val="6C7308D9"/>
    <w:rsid w:val="6C74510B"/>
    <w:rsid w:val="6C76021C"/>
    <w:rsid w:val="6C77797C"/>
    <w:rsid w:val="6C793DDF"/>
    <w:rsid w:val="6C7C0DB6"/>
    <w:rsid w:val="6C8D09BE"/>
    <w:rsid w:val="6C917A19"/>
    <w:rsid w:val="6C971DBA"/>
    <w:rsid w:val="6C992C0F"/>
    <w:rsid w:val="6C9A748E"/>
    <w:rsid w:val="6C9C1458"/>
    <w:rsid w:val="6CA10BDB"/>
    <w:rsid w:val="6CA218CA"/>
    <w:rsid w:val="6CA336E2"/>
    <w:rsid w:val="6CAA7EAD"/>
    <w:rsid w:val="6CAB51F7"/>
    <w:rsid w:val="6CAE643E"/>
    <w:rsid w:val="6CB0430A"/>
    <w:rsid w:val="6CB26F15"/>
    <w:rsid w:val="6CB347D0"/>
    <w:rsid w:val="6CB669EB"/>
    <w:rsid w:val="6CB66F45"/>
    <w:rsid w:val="6CBE13CE"/>
    <w:rsid w:val="6CBE15F3"/>
    <w:rsid w:val="6CCA67F5"/>
    <w:rsid w:val="6CD429A0"/>
    <w:rsid w:val="6CD44D6B"/>
    <w:rsid w:val="6CD53438"/>
    <w:rsid w:val="6CDB1910"/>
    <w:rsid w:val="6CE36B4B"/>
    <w:rsid w:val="6CE46DF0"/>
    <w:rsid w:val="6CEC150E"/>
    <w:rsid w:val="6CED6E0A"/>
    <w:rsid w:val="6CF9021D"/>
    <w:rsid w:val="6CFB26FD"/>
    <w:rsid w:val="6CFE5E7F"/>
    <w:rsid w:val="6D013E44"/>
    <w:rsid w:val="6D0D0841"/>
    <w:rsid w:val="6D1234C8"/>
    <w:rsid w:val="6D1254AA"/>
    <w:rsid w:val="6D1763FC"/>
    <w:rsid w:val="6D181AF9"/>
    <w:rsid w:val="6D1E1E6D"/>
    <w:rsid w:val="6D212ED6"/>
    <w:rsid w:val="6D221D5A"/>
    <w:rsid w:val="6D287DD7"/>
    <w:rsid w:val="6D2F1E6A"/>
    <w:rsid w:val="6D303E5D"/>
    <w:rsid w:val="6D350F65"/>
    <w:rsid w:val="6D413DAD"/>
    <w:rsid w:val="6D454822"/>
    <w:rsid w:val="6D475C2D"/>
    <w:rsid w:val="6D4F2026"/>
    <w:rsid w:val="6D524541"/>
    <w:rsid w:val="6D595FFF"/>
    <w:rsid w:val="6D5C2995"/>
    <w:rsid w:val="6D5D5F11"/>
    <w:rsid w:val="6D5E47ED"/>
    <w:rsid w:val="6D5F0B7D"/>
    <w:rsid w:val="6D602485"/>
    <w:rsid w:val="6D60461E"/>
    <w:rsid w:val="6D652AF4"/>
    <w:rsid w:val="6D6539A0"/>
    <w:rsid w:val="6D655CEE"/>
    <w:rsid w:val="6D6B4264"/>
    <w:rsid w:val="6D6C1375"/>
    <w:rsid w:val="6D6D1651"/>
    <w:rsid w:val="6D7221B9"/>
    <w:rsid w:val="6D74033C"/>
    <w:rsid w:val="6D780E19"/>
    <w:rsid w:val="6D793229"/>
    <w:rsid w:val="6D7D063D"/>
    <w:rsid w:val="6D7D22A5"/>
    <w:rsid w:val="6D7F296A"/>
    <w:rsid w:val="6D83643A"/>
    <w:rsid w:val="6D851682"/>
    <w:rsid w:val="6D85612D"/>
    <w:rsid w:val="6D8D489C"/>
    <w:rsid w:val="6D967B0A"/>
    <w:rsid w:val="6D9867F5"/>
    <w:rsid w:val="6D986F75"/>
    <w:rsid w:val="6D99568D"/>
    <w:rsid w:val="6D9E6B0A"/>
    <w:rsid w:val="6DA22D00"/>
    <w:rsid w:val="6DA47B21"/>
    <w:rsid w:val="6DA61459"/>
    <w:rsid w:val="6DA76C84"/>
    <w:rsid w:val="6DB02FDD"/>
    <w:rsid w:val="6DB427D1"/>
    <w:rsid w:val="6DB47310"/>
    <w:rsid w:val="6DBA3482"/>
    <w:rsid w:val="6DBB6A0D"/>
    <w:rsid w:val="6DBC1D8B"/>
    <w:rsid w:val="6DBD764E"/>
    <w:rsid w:val="6DBE13AC"/>
    <w:rsid w:val="6DC5678C"/>
    <w:rsid w:val="6DC5712B"/>
    <w:rsid w:val="6DC9627D"/>
    <w:rsid w:val="6DCB3599"/>
    <w:rsid w:val="6DCD5EEB"/>
    <w:rsid w:val="6DD30A37"/>
    <w:rsid w:val="6DDF3059"/>
    <w:rsid w:val="6DE44E65"/>
    <w:rsid w:val="6DE63034"/>
    <w:rsid w:val="6DE704B1"/>
    <w:rsid w:val="6DF13F1B"/>
    <w:rsid w:val="6DF2036B"/>
    <w:rsid w:val="6DF55674"/>
    <w:rsid w:val="6DF63C69"/>
    <w:rsid w:val="6DFA6436"/>
    <w:rsid w:val="6E022344"/>
    <w:rsid w:val="6E030F2D"/>
    <w:rsid w:val="6E05486B"/>
    <w:rsid w:val="6E0E2CA1"/>
    <w:rsid w:val="6E0E5A3E"/>
    <w:rsid w:val="6E1010AF"/>
    <w:rsid w:val="6E193B7A"/>
    <w:rsid w:val="6E2214E9"/>
    <w:rsid w:val="6E226710"/>
    <w:rsid w:val="6E233ABF"/>
    <w:rsid w:val="6E250FD9"/>
    <w:rsid w:val="6E260C96"/>
    <w:rsid w:val="6E27620E"/>
    <w:rsid w:val="6E281C6D"/>
    <w:rsid w:val="6E2C0469"/>
    <w:rsid w:val="6E331948"/>
    <w:rsid w:val="6E3A26AB"/>
    <w:rsid w:val="6E3B7BBF"/>
    <w:rsid w:val="6E3E600B"/>
    <w:rsid w:val="6E433472"/>
    <w:rsid w:val="6E4334F3"/>
    <w:rsid w:val="6E4574F2"/>
    <w:rsid w:val="6E4870A7"/>
    <w:rsid w:val="6E492F1A"/>
    <w:rsid w:val="6E494CC8"/>
    <w:rsid w:val="6E4A6B8C"/>
    <w:rsid w:val="6E4F6056"/>
    <w:rsid w:val="6E587601"/>
    <w:rsid w:val="6E590265"/>
    <w:rsid w:val="6E674A87"/>
    <w:rsid w:val="6E697E96"/>
    <w:rsid w:val="6E6A4E4D"/>
    <w:rsid w:val="6E70000E"/>
    <w:rsid w:val="6E737F96"/>
    <w:rsid w:val="6E744072"/>
    <w:rsid w:val="6E825C33"/>
    <w:rsid w:val="6E851A78"/>
    <w:rsid w:val="6E871B8D"/>
    <w:rsid w:val="6E891649"/>
    <w:rsid w:val="6E957F0D"/>
    <w:rsid w:val="6E972A43"/>
    <w:rsid w:val="6E9A19C7"/>
    <w:rsid w:val="6E9E4EA3"/>
    <w:rsid w:val="6E9F7FE1"/>
    <w:rsid w:val="6EA14B04"/>
    <w:rsid w:val="6EA42846"/>
    <w:rsid w:val="6EAA516E"/>
    <w:rsid w:val="6EAC5256"/>
    <w:rsid w:val="6EB071D1"/>
    <w:rsid w:val="6EB21F32"/>
    <w:rsid w:val="6EB45302"/>
    <w:rsid w:val="6EB72EEC"/>
    <w:rsid w:val="6EBA7973"/>
    <w:rsid w:val="6EBC5733"/>
    <w:rsid w:val="6EC42B5A"/>
    <w:rsid w:val="6EC440DF"/>
    <w:rsid w:val="6EC648B3"/>
    <w:rsid w:val="6EC67389"/>
    <w:rsid w:val="6EC84F2F"/>
    <w:rsid w:val="6EC978BE"/>
    <w:rsid w:val="6ECA29CD"/>
    <w:rsid w:val="6ECD58F9"/>
    <w:rsid w:val="6ED22F0F"/>
    <w:rsid w:val="6ED26EEB"/>
    <w:rsid w:val="6ED3187C"/>
    <w:rsid w:val="6EDC1FE0"/>
    <w:rsid w:val="6EDF0F11"/>
    <w:rsid w:val="6EDF6383"/>
    <w:rsid w:val="6EE113A4"/>
    <w:rsid w:val="6EE87822"/>
    <w:rsid w:val="6EEB6902"/>
    <w:rsid w:val="6EEB6CE5"/>
    <w:rsid w:val="6EEE2A89"/>
    <w:rsid w:val="6EEF378D"/>
    <w:rsid w:val="6EF16C22"/>
    <w:rsid w:val="6EF274D9"/>
    <w:rsid w:val="6EF83DD7"/>
    <w:rsid w:val="6EF95E62"/>
    <w:rsid w:val="6EFA07C6"/>
    <w:rsid w:val="6EFA4214"/>
    <w:rsid w:val="6EFC7F8C"/>
    <w:rsid w:val="6EFE2749"/>
    <w:rsid w:val="6EFF09BF"/>
    <w:rsid w:val="6F011A46"/>
    <w:rsid w:val="6F030D06"/>
    <w:rsid w:val="6F030FB4"/>
    <w:rsid w:val="6F05121A"/>
    <w:rsid w:val="6F0859D8"/>
    <w:rsid w:val="6F092045"/>
    <w:rsid w:val="6F094CB0"/>
    <w:rsid w:val="6F0E0990"/>
    <w:rsid w:val="6F1103E5"/>
    <w:rsid w:val="6F1654F2"/>
    <w:rsid w:val="6F1756D8"/>
    <w:rsid w:val="6F212C5E"/>
    <w:rsid w:val="6F255C0E"/>
    <w:rsid w:val="6F291EEA"/>
    <w:rsid w:val="6F2B6AC3"/>
    <w:rsid w:val="6F2C03CD"/>
    <w:rsid w:val="6F3040D9"/>
    <w:rsid w:val="6F3A4D84"/>
    <w:rsid w:val="6F3D79CF"/>
    <w:rsid w:val="6F410095"/>
    <w:rsid w:val="6F42621A"/>
    <w:rsid w:val="6F466A9E"/>
    <w:rsid w:val="6F466B9E"/>
    <w:rsid w:val="6F4877D5"/>
    <w:rsid w:val="6F502482"/>
    <w:rsid w:val="6F502CE5"/>
    <w:rsid w:val="6F505649"/>
    <w:rsid w:val="6F51652A"/>
    <w:rsid w:val="6F543924"/>
    <w:rsid w:val="6F63000B"/>
    <w:rsid w:val="6F6948C0"/>
    <w:rsid w:val="6F6A0833"/>
    <w:rsid w:val="6F6A6667"/>
    <w:rsid w:val="6F6E31AE"/>
    <w:rsid w:val="6F73194A"/>
    <w:rsid w:val="6F741C1C"/>
    <w:rsid w:val="6F7C731F"/>
    <w:rsid w:val="6F7D30DE"/>
    <w:rsid w:val="6F7E47DB"/>
    <w:rsid w:val="6F80261F"/>
    <w:rsid w:val="6F8306AD"/>
    <w:rsid w:val="6F830CBF"/>
    <w:rsid w:val="6F836FCE"/>
    <w:rsid w:val="6F855C67"/>
    <w:rsid w:val="6F875DE5"/>
    <w:rsid w:val="6F881820"/>
    <w:rsid w:val="6F917C7D"/>
    <w:rsid w:val="6F946416"/>
    <w:rsid w:val="6F955B30"/>
    <w:rsid w:val="6F962654"/>
    <w:rsid w:val="6F9A176F"/>
    <w:rsid w:val="6FA22496"/>
    <w:rsid w:val="6FA43C2D"/>
    <w:rsid w:val="6FA67EF8"/>
    <w:rsid w:val="6FAB19FA"/>
    <w:rsid w:val="6FAB6B7E"/>
    <w:rsid w:val="6FAE0037"/>
    <w:rsid w:val="6FAF13ED"/>
    <w:rsid w:val="6FB25798"/>
    <w:rsid w:val="6FB44055"/>
    <w:rsid w:val="6FB447C9"/>
    <w:rsid w:val="6FBA295A"/>
    <w:rsid w:val="6FBD133A"/>
    <w:rsid w:val="6FBF1211"/>
    <w:rsid w:val="6FBF3A3B"/>
    <w:rsid w:val="6FC12511"/>
    <w:rsid w:val="6FC1608F"/>
    <w:rsid w:val="6FC463B9"/>
    <w:rsid w:val="6FC50CC6"/>
    <w:rsid w:val="6FC575C6"/>
    <w:rsid w:val="6FC628AC"/>
    <w:rsid w:val="6FC70FEC"/>
    <w:rsid w:val="6FC80D63"/>
    <w:rsid w:val="6FCB2F5F"/>
    <w:rsid w:val="6FD02E8D"/>
    <w:rsid w:val="6FD430CB"/>
    <w:rsid w:val="6FE253D4"/>
    <w:rsid w:val="6FE253E5"/>
    <w:rsid w:val="6FE426E6"/>
    <w:rsid w:val="6FE46D0A"/>
    <w:rsid w:val="6FE5484F"/>
    <w:rsid w:val="6FEC5DB0"/>
    <w:rsid w:val="6FED55F9"/>
    <w:rsid w:val="6FF70753"/>
    <w:rsid w:val="6FFD1E01"/>
    <w:rsid w:val="6FFE6DB7"/>
    <w:rsid w:val="70017C18"/>
    <w:rsid w:val="70027205"/>
    <w:rsid w:val="7003718F"/>
    <w:rsid w:val="70045CAD"/>
    <w:rsid w:val="700A3022"/>
    <w:rsid w:val="700D6055"/>
    <w:rsid w:val="70124AF0"/>
    <w:rsid w:val="7013537A"/>
    <w:rsid w:val="701557A9"/>
    <w:rsid w:val="70157426"/>
    <w:rsid w:val="701B617F"/>
    <w:rsid w:val="701B7D3D"/>
    <w:rsid w:val="701D27F2"/>
    <w:rsid w:val="701F74FE"/>
    <w:rsid w:val="70223A22"/>
    <w:rsid w:val="70251764"/>
    <w:rsid w:val="702552C0"/>
    <w:rsid w:val="702A3ADC"/>
    <w:rsid w:val="702D0C71"/>
    <w:rsid w:val="702F1BCD"/>
    <w:rsid w:val="702F5A17"/>
    <w:rsid w:val="70313C65"/>
    <w:rsid w:val="70351797"/>
    <w:rsid w:val="703839EF"/>
    <w:rsid w:val="70391526"/>
    <w:rsid w:val="70397B2E"/>
    <w:rsid w:val="703C1AF2"/>
    <w:rsid w:val="703D5F48"/>
    <w:rsid w:val="703E6382"/>
    <w:rsid w:val="703F47CD"/>
    <w:rsid w:val="704020FA"/>
    <w:rsid w:val="70476155"/>
    <w:rsid w:val="70521BB1"/>
    <w:rsid w:val="70530695"/>
    <w:rsid w:val="70547325"/>
    <w:rsid w:val="705C0686"/>
    <w:rsid w:val="70624AA5"/>
    <w:rsid w:val="706347FA"/>
    <w:rsid w:val="706A076E"/>
    <w:rsid w:val="706B15E0"/>
    <w:rsid w:val="706B72E9"/>
    <w:rsid w:val="7073427E"/>
    <w:rsid w:val="707521BC"/>
    <w:rsid w:val="707703C6"/>
    <w:rsid w:val="70785D38"/>
    <w:rsid w:val="707924DE"/>
    <w:rsid w:val="707A7240"/>
    <w:rsid w:val="707F70C6"/>
    <w:rsid w:val="707F724D"/>
    <w:rsid w:val="70820965"/>
    <w:rsid w:val="708A2490"/>
    <w:rsid w:val="708C2FB6"/>
    <w:rsid w:val="7093000E"/>
    <w:rsid w:val="70967F6C"/>
    <w:rsid w:val="70983ACB"/>
    <w:rsid w:val="70A22892"/>
    <w:rsid w:val="70A42689"/>
    <w:rsid w:val="70A86F08"/>
    <w:rsid w:val="70AC2F98"/>
    <w:rsid w:val="70B12FF8"/>
    <w:rsid w:val="70B166D1"/>
    <w:rsid w:val="70B22511"/>
    <w:rsid w:val="70B452BC"/>
    <w:rsid w:val="70B67777"/>
    <w:rsid w:val="70BA4772"/>
    <w:rsid w:val="70BA5E8F"/>
    <w:rsid w:val="70BC3377"/>
    <w:rsid w:val="70BD1913"/>
    <w:rsid w:val="70BF65BA"/>
    <w:rsid w:val="70C155BC"/>
    <w:rsid w:val="70C51232"/>
    <w:rsid w:val="70CA108C"/>
    <w:rsid w:val="70D31FDB"/>
    <w:rsid w:val="70D3259D"/>
    <w:rsid w:val="70D37EBE"/>
    <w:rsid w:val="70D46DE8"/>
    <w:rsid w:val="70D5314C"/>
    <w:rsid w:val="70D6480D"/>
    <w:rsid w:val="70E20405"/>
    <w:rsid w:val="70E46F2A"/>
    <w:rsid w:val="70E970B4"/>
    <w:rsid w:val="70ED2282"/>
    <w:rsid w:val="70F31F6D"/>
    <w:rsid w:val="70F33611"/>
    <w:rsid w:val="70FA4428"/>
    <w:rsid w:val="710203C4"/>
    <w:rsid w:val="71031AA6"/>
    <w:rsid w:val="7104581E"/>
    <w:rsid w:val="71084C3D"/>
    <w:rsid w:val="710870BC"/>
    <w:rsid w:val="710B1736"/>
    <w:rsid w:val="710F044A"/>
    <w:rsid w:val="711549FE"/>
    <w:rsid w:val="711B4EA6"/>
    <w:rsid w:val="711B69C2"/>
    <w:rsid w:val="711F4406"/>
    <w:rsid w:val="71201650"/>
    <w:rsid w:val="71233EF6"/>
    <w:rsid w:val="712612F0"/>
    <w:rsid w:val="712C0089"/>
    <w:rsid w:val="712E7A17"/>
    <w:rsid w:val="71333A0D"/>
    <w:rsid w:val="713420C5"/>
    <w:rsid w:val="71367F51"/>
    <w:rsid w:val="71421DD4"/>
    <w:rsid w:val="714734AD"/>
    <w:rsid w:val="714D2290"/>
    <w:rsid w:val="714F0A66"/>
    <w:rsid w:val="715043AA"/>
    <w:rsid w:val="71527EB0"/>
    <w:rsid w:val="71594887"/>
    <w:rsid w:val="715D5E53"/>
    <w:rsid w:val="715E302B"/>
    <w:rsid w:val="71635F5C"/>
    <w:rsid w:val="716562BC"/>
    <w:rsid w:val="71672F07"/>
    <w:rsid w:val="716C7B4C"/>
    <w:rsid w:val="71766B9D"/>
    <w:rsid w:val="71771B57"/>
    <w:rsid w:val="71782674"/>
    <w:rsid w:val="717F1456"/>
    <w:rsid w:val="717F7BE0"/>
    <w:rsid w:val="718A4E8A"/>
    <w:rsid w:val="718B3849"/>
    <w:rsid w:val="718C06C8"/>
    <w:rsid w:val="718F0882"/>
    <w:rsid w:val="71920FB5"/>
    <w:rsid w:val="71930BD3"/>
    <w:rsid w:val="7195377D"/>
    <w:rsid w:val="719721EE"/>
    <w:rsid w:val="71975A9D"/>
    <w:rsid w:val="719F6E44"/>
    <w:rsid w:val="71A07496"/>
    <w:rsid w:val="71AC656D"/>
    <w:rsid w:val="71AF5F44"/>
    <w:rsid w:val="71B72099"/>
    <w:rsid w:val="71B92C84"/>
    <w:rsid w:val="71BA53B9"/>
    <w:rsid w:val="71BF04AE"/>
    <w:rsid w:val="71C006C3"/>
    <w:rsid w:val="71C019AC"/>
    <w:rsid w:val="71CD3E62"/>
    <w:rsid w:val="71CE21E8"/>
    <w:rsid w:val="71DB1776"/>
    <w:rsid w:val="71E15445"/>
    <w:rsid w:val="71E27F8C"/>
    <w:rsid w:val="71E35433"/>
    <w:rsid w:val="71E37FE1"/>
    <w:rsid w:val="71E759E0"/>
    <w:rsid w:val="71E76837"/>
    <w:rsid w:val="71EA492E"/>
    <w:rsid w:val="71F00B3D"/>
    <w:rsid w:val="71F41151"/>
    <w:rsid w:val="71F41C95"/>
    <w:rsid w:val="71FB20C0"/>
    <w:rsid w:val="71FC5476"/>
    <w:rsid w:val="72030A57"/>
    <w:rsid w:val="72090944"/>
    <w:rsid w:val="72097936"/>
    <w:rsid w:val="720D5015"/>
    <w:rsid w:val="720E1DF4"/>
    <w:rsid w:val="7210243F"/>
    <w:rsid w:val="72113D4E"/>
    <w:rsid w:val="72170A72"/>
    <w:rsid w:val="721C3A9F"/>
    <w:rsid w:val="721F7EEB"/>
    <w:rsid w:val="72200435"/>
    <w:rsid w:val="722315F1"/>
    <w:rsid w:val="722570B1"/>
    <w:rsid w:val="722F3262"/>
    <w:rsid w:val="72317208"/>
    <w:rsid w:val="723414D5"/>
    <w:rsid w:val="72363559"/>
    <w:rsid w:val="72392E45"/>
    <w:rsid w:val="72395C10"/>
    <w:rsid w:val="723C2892"/>
    <w:rsid w:val="723D3896"/>
    <w:rsid w:val="723E2669"/>
    <w:rsid w:val="72421353"/>
    <w:rsid w:val="72426FFA"/>
    <w:rsid w:val="724B6069"/>
    <w:rsid w:val="7251239D"/>
    <w:rsid w:val="72513250"/>
    <w:rsid w:val="72567431"/>
    <w:rsid w:val="725A0E4E"/>
    <w:rsid w:val="725C503F"/>
    <w:rsid w:val="725F5C27"/>
    <w:rsid w:val="726245AA"/>
    <w:rsid w:val="72653947"/>
    <w:rsid w:val="726B29A6"/>
    <w:rsid w:val="727049DE"/>
    <w:rsid w:val="727131F3"/>
    <w:rsid w:val="727147ED"/>
    <w:rsid w:val="72743CEF"/>
    <w:rsid w:val="7275396F"/>
    <w:rsid w:val="7276127B"/>
    <w:rsid w:val="727E27EB"/>
    <w:rsid w:val="727E6B96"/>
    <w:rsid w:val="7280260A"/>
    <w:rsid w:val="72846009"/>
    <w:rsid w:val="728E35F1"/>
    <w:rsid w:val="72904389"/>
    <w:rsid w:val="7298612F"/>
    <w:rsid w:val="72995877"/>
    <w:rsid w:val="729A01E8"/>
    <w:rsid w:val="72A07A51"/>
    <w:rsid w:val="72A65382"/>
    <w:rsid w:val="72A7755F"/>
    <w:rsid w:val="72AC3873"/>
    <w:rsid w:val="72AD76B6"/>
    <w:rsid w:val="72B33057"/>
    <w:rsid w:val="72BC20E7"/>
    <w:rsid w:val="72C139C6"/>
    <w:rsid w:val="72D728E3"/>
    <w:rsid w:val="72D93D15"/>
    <w:rsid w:val="72DF191D"/>
    <w:rsid w:val="72DF5BFA"/>
    <w:rsid w:val="72E0339F"/>
    <w:rsid w:val="72E133AF"/>
    <w:rsid w:val="72E40B34"/>
    <w:rsid w:val="72EC0317"/>
    <w:rsid w:val="72EC2688"/>
    <w:rsid w:val="72F01BB6"/>
    <w:rsid w:val="72F072B0"/>
    <w:rsid w:val="72F07E08"/>
    <w:rsid w:val="72F1282E"/>
    <w:rsid w:val="72F43A0C"/>
    <w:rsid w:val="72F6757D"/>
    <w:rsid w:val="72FC67AC"/>
    <w:rsid w:val="73025C98"/>
    <w:rsid w:val="730438B3"/>
    <w:rsid w:val="73076EFF"/>
    <w:rsid w:val="731037D9"/>
    <w:rsid w:val="73187D7A"/>
    <w:rsid w:val="731955B0"/>
    <w:rsid w:val="731B7B5F"/>
    <w:rsid w:val="731E2BC7"/>
    <w:rsid w:val="731F249B"/>
    <w:rsid w:val="732855E2"/>
    <w:rsid w:val="732A300A"/>
    <w:rsid w:val="732C1FC1"/>
    <w:rsid w:val="733158E0"/>
    <w:rsid w:val="73353A6C"/>
    <w:rsid w:val="733D7717"/>
    <w:rsid w:val="73426189"/>
    <w:rsid w:val="7349598F"/>
    <w:rsid w:val="734C5836"/>
    <w:rsid w:val="734D708D"/>
    <w:rsid w:val="735071F1"/>
    <w:rsid w:val="73507CCF"/>
    <w:rsid w:val="73526806"/>
    <w:rsid w:val="73547391"/>
    <w:rsid w:val="73556C1C"/>
    <w:rsid w:val="735E082A"/>
    <w:rsid w:val="735F6D3B"/>
    <w:rsid w:val="735F7B4C"/>
    <w:rsid w:val="73644352"/>
    <w:rsid w:val="7364685B"/>
    <w:rsid w:val="736A56BF"/>
    <w:rsid w:val="736B313E"/>
    <w:rsid w:val="736D76AA"/>
    <w:rsid w:val="736F421A"/>
    <w:rsid w:val="73740A39"/>
    <w:rsid w:val="73760918"/>
    <w:rsid w:val="73824229"/>
    <w:rsid w:val="738362F2"/>
    <w:rsid w:val="73845231"/>
    <w:rsid w:val="738661CC"/>
    <w:rsid w:val="738B3C5C"/>
    <w:rsid w:val="738D2E91"/>
    <w:rsid w:val="739001B7"/>
    <w:rsid w:val="739F6DA7"/>
    <w:rsid w:val="73A01530"/>
    <w:rsid w:val="73A0182E"/>
    <w:rsid w:val="73A61D75"/>
    <w:rsid w:val="73AB3FFD"/>
    <w:rsid w:val="73AE4F1D"/>
    <w:rsid w:val="73AF56DD"/>
    <w:rsid w:val="73B10181"/>
    <w:rsid w:val="73B15730"/>
    <w:rsid w:val="73B16901"/>
    <w:rsid w:val="73B21561"/>
    <w:rsid w:val="73B726D3"/>
    <w:rsid w:val="73BE4B6D"/>
    <w:rsid w:val="73C3551C"/>
    <w:rsid w:val="73C8044D"/>
    <w:rsid w:val="73CB1645"/>
    <w:rsid w:val="73CE0806"/>
    <w:rsid w:val="73D47729"/>
    <w:rsid w:val="73D5257E"/>
    <w:rsid w:val="73DF71AA"/>
    <w:rsid w:val="73E25A74"/>
    <w:rsid w:val="73E76F91"/>
    <w:rsid w:val="73E819A5"/>
    <w:rsid w:val="73EB05CF"/>
    <w:rsid w:val="73EB6821"/>
    <w:rsid w:val="73ED4347"/>
    <w:rsid w:val="73EE1A27"/>
    <w:rsid w:val="73F112D6"/>
    <w:rsid w:val="73F15E96"/>
    <w:rsid w:val="73F36140"/>
    <w:rsid w:val="73F54526"/>
    <w:rsid w:val="73F73D09"/>
    <w:rsid w:val="73F90394"/>
    <w:rsid w:val="73FB5727"/>
    <w:rsid w:val="73FD79FC"/>
    <w:rsid w:val="74012809"/>
    <w:rsid w:val="74031DBD"/>
    <w:rsid w:val="7405426D"/>
    <w:rsid w:val="740852E8"/>
    <w:rsid w:val="74105C0A"/>
    <w:rsid w:val="741337FF"/>
    <w:rsid w:val="74165C25"/>
    <w:rsid w:val="7418684A"/>
    <w:rsid w:val="741D2E7E"/>
    <w:rsid w:val="742A3671"/>
    <w:rsid w:val="742D6E39"/>
    <w:rsid w:val="7438503D"/>
    <w:rsid w:val="743D5B60"/>
    <w:rsid w:val="744228E5"/>
    <w:rsid w:val="744463E4"/>
    <w:rsid w:val="74455F31"/>
    <w:rsid w:val="74493F52"/>
    <w:rsid w:val="744C72C0"/>
    <w:rsid w:val="745078D0"/>
    <w:rsid w:val="7453031D"/>
    <w:rsid w:val="7456013E"/>
    <w:rsid w:val="74573C7D"/>
    <w:rsid w:val="745A0297"/>
    <w:rsid w:val="745D0743"/>
    <w:rsid w:val="745D1DF2"/>
    <w:rsid w:val="746335E0"/>
    <w:rsid w:val="746748B4"/>
    <w:rsid w:val="7469245C"/>
    <w:rsid w:val="746B02DE"/>
    <w:rsid w:val="746C4DC6"/>
    <w:rsid w:val="746D0255"/>
    <w:rsid w:val="746D7236"/>
    <w:rsid w:val="7470070A"/>
    <w:rsid w:val="74716D26"/>
    <w:rsid w:val="74746816"/>
    <w:rsid w:val="74747483"/>
    <w:rsid w:val="747616AC"/>
    <w:rsid w:val="74793E2D"/>
    <w:rsid w:val="747C0427"/>
    <w:rsid w:val="747C7B03"/>
    <w:rsid w:val="747D7FB4"/>
    <w:rsid w:val="747F4194"/>
    <w:rsid w:val="748050C8"/>
    <w:rsid w:val="7481100B"/>
    <w:rsid w:val="74861C89"/>
    <w:rsid w:val="74863F93"/>
    <w:rsid w:val="74883614"/>
    <w:rsid w:val="749312CB"/>
    <w:rsid w:val="74940D67"/>
    <w:rsid w:val="749C48A6"/>
    <w:rsid w:val="74A144D3"/>
    <w:rsid w:val="74A83017"/>
    <w:rsid w:val="74A92DB1"/>
    <w:rsid w:val="74AD2004"/>
    <w:rsid w:val="74AD2FE1"/>
    <w:rsid w:val="74B2748C"/>
    <w:rsid w:val="74B43B24"/>
    <w:rsid w:val="74B65081"/>
    <w:rsid w:val="74BB61F3"/>
    <w:rsid w:val="74C652C4"/>
    <w:rsid w:val="74C96D9D"/>
    <w:rsid w:val="74CC1C8A"/>
    <w:rsid w:val="74D05E32"/>
    <w:rsid w:val="74D06143"/>
    <w:rsid w:val="74D3353D"/>
    <w:rsid w:val="74D53759"/>
    <w:rsid w:val="74D703E1"/>
    <w:rsid w:val="74D73693"/>
    <w:rsid w:val="74D95A94"/>
    <w:rsid w:val="74DB75F9"/>
    <w:rsid w:val="74DC5D39"/>
    <w:rsid w:val="74DD0693"/>
    <w:rsid w:val="74E03F9D"/>
    <w:rsid w:val="74E66303"/>
    <w:rsid w:val="74E71189"/>
    <w:rsid w:val="74E77FFF"/>
    <w:rsid w:val="74EC6A40"/>
    <w:rsid w:val="74F11BE7"/>
    <w:rsid w:val="74F35C97"/>
    <w:rsid w:val="74F37229"/>
    <w:rsid w:val="74F45B9C"/>
    <w:rsid w:val="74FC6F38"/>
    <w:rsid w:val="74FF2FA7"/>
    <w:rsid w:val="75035007"/>
    <w:rsid w:val="75037125"/>
    <w:rsid w:val="7504746A"/>
    <w:rsid w:val="750556C0"/>
    <w:rsid w:val="750F179B"/>
    <w:rsid w:val="750F1A37"/>
    <w:rsid w:val="751128FC"/>
    <w:rsid w:val="75145A45"/>
    <w:rsid w:val="751634FE"/>
    <w:rsid w:val="751E4096"/>
    <w:rsid w:val="75211CF0"/>
    <w:rsid w:val="75241FEA"/>
    <w:rsid w:val="752B7F16"/>
    <w:rsid w:val="752C0889"/>
    <w:rsid w:val="752C0E9F"/>
    <w:rsid w:val="753016A8"/>
    <w:rsid w:val="75327821"/>
    <w:rsid w:val="75436915"/>
    <w:rsid w:val="75497CA3"/>
    <w:rsid w:val="754C5594"/>
    <w:rsid w:val="75560FE8"/>
    <w:rsid w:val="755634B9"/>
    <w:rsid w:val="755A2E0E"/>
    <w:rsid w:val="755C1784"/>
    <w:rsid w:val="75610B49"/>
    <w:rsid w:val="75640917"/>
    <w:rsid w:val="75662603"/>
    <w:rsid w:val="75671ED7"/>
    <w:rsid w:val="756A7000"/>
    <w:rsid w:val="756D573F"/>
    <w:rsid w:val="75747288"/>
    <w:rsid w:val="75751540"/>
    <w:rsid w:val="75774810"/>
    <w:rsid w:val="75787C5A"/>
    <w:rsid w:val="75790B8C"/>
    <w:rsid w:val="75805BB6"/>
    <w:rsid w:val="758354A2"/>
    <w:rsid w:val="75862D2A"/>
    <w:rsid w:val="75893930"/>
    <w:rsid w:val="75894543"/>
    <w:rsid w:val="758A21BC"/>
    <w:rsid w:val="759712C6"/>
    <w:rsid w:val="75976523"/>
    <w:rsid w:val="759B72E6"/>
    <w:rsid w:val="759C4EF4"/>
    <w:rsid w:val="759E7102"/>
    <w:rsid w:val="75A05205"/>
    <w:rsid w:val="75A2213D"/>
    <w:rsid w:val="75A37EBA"/>
    <w:rsid w:val="75AA5497"/>
    <w:rsid w:val="75AB479D"/>
    <w:rsid w:val="75AD0232"/>
    <w:rsid w:val="75B144DC"/>
    <w:rsid w:val="75B65A81"/>
    <w:rsid w:val="75BC5701"/>
    <w:rsid w:val="75BF1BC5"/>
    <w:rsid w:val="75BF3AC1"/>
    <w:rsid w:val="75C128B8"/>
    <w:rsid w:val="75C22A91"/>
    <w:rsid w:val="75C61709"/>
    <w:rsid w:val="75C90A12"/>
    <w:rsid w:val="75CB0AC7"/>
    <w:rsid w:val="75CB19AE"/>
    <w:rsid w:val="75CC4039"/>
    <w:rsid w:val="75CD5A50"/>
    <w:rsid w:val="75D05CCE"/>
    <w:rsid w:val="75D06D38"/>
    <w:rsid w:val="75D37A22"/>
    <w:rsid w:val="75D637A2"/>
    <w:rsid w:val="75D8385C"/>
    <w:rsid w:val="75DA32E5"/>
    <w:rsid w:val="75DC28C5"/>
    <w:rsid w:val="75E05554"/>
    <w:rsid w:val="75E35A02"/>
    <w:rsid w:val="75E55DBE"/>
    <w:rsid w:val="75E85738"/>
    <w:rsid w:val="75EA1F29"/>
    <w:rsid w:val="75ED6880"/>
    <w:rsid w:val="75EF463B"/>
    <w:rsid w:val="75F251E4"/>
    <w:rsid w:val="75F96221"/>
    <w:rsid w:val="75FD10F2"/>
    <w:rsid w:val="76004806"/>
    <w:rsid w:val="760140DA"/>
    <w:rsid w:val="7606408C"/>
    <w:rsid w:val="76071E66"/>
    <w:rsid w:val="76082766"/>
    <w:rsid w:val="760870B2"/>
    <w:rsid w:val="760950A4"/>
    <w:rsid w:val="760B4F58"/>
    <w:rsid w:val="760E58F2"/>
    <w:rsid w:val="760F3042"/>
    <w:rsid w:val="761C3A1F"/>
    <w:rsid w:val="761C7D99"/>
    <w:rsid w:val="761F544A"/>
    <w:rsid w:val="76214099"/>
    <w:rsid w:val="76261D92"/>
    <w:rsid w:val="762656E4"/>
    <w:rsid w:val="76277FE4"/>
    <w:rsid w:val="762A18ED"/>
    <w:rsid w:val="762D3121"/>
    <w:rsid w:val="763025FA"/>
    <w:rsid w:val="76312C11"/>
    <w:rsid w:val="76315454"/>
    <w:rsid w:val="76316710"/>
    <w:rsid w:val="76367EA1"/>
    <w:rsid w:val="76373058"/>
    <w:rsid w:val="76397D18"/>
    <w:rsid w:val="763B3D06"/>
    <w:rsid w:val="763C3364"/>
    <w:rsid w:val="763E6E67"/>
    <w:rsid w:val="763F7C1C"/>
    <w:rsid w:val="76417211"/>
    <w:rsid w:val="764741E2"/>
    <w:rsid w:val="76477EF3"/>
    <w:rsid w:val="764A2D47"/>
    <w:rsid w:val="764A7757"/>
    <w:rsid w:val="764C7A4B"/>
    <w:rsid w:val="764E6BCF"/>
    <w:rsid w:val="764F3097"/>
    <w:rsid w:val="76507A9D"/>
    <w:rsid w:val="76524935"/>
    <w:rsid w:val="76533F0B"/>
    <w:rsid w:val="765661D4"/>
    <w:rsid w:val="76580A47"/>
    <w:rsid w:val="765B2E6F"/>
    <w:rsid w:val="76614845"/>
    <w:rsid w:val="76654E7F"/>
    <w:rsid w:val="76671D59"/>
    <w:rsid w:val="76675C3B"/>
    <w:rsid w:val="766F3739"/>
    <w:rsid w:val="767228B5"/>
    <w:rsid w:val="767814E2"/>
    <w:rsid w:val="76794EAF"/>
    <w:rsid w:val="76796985"/>
    <w:rsid w:val="767E1BCE"/>
    <w:rsid w:val="7682647B"/>
    <w:rsid w:val="768C6099"/>
    <w:rsid w:val="769A6A08"/>
    <w:rsid w:val="769D2054"/>
    <w:rsid w:val="769F1C96"/>
    <w:rsid w:val="769F6864"/>
    <w:rsid w:val="76A165B6"/>
    <w:rsid w:val="76A32642"/>
    <w:rsid w:val="76A42B08"/>
    <w:rsid w:val="76AB3F46"/>
    <w:rsid w:val="76AD3CD2"/>
    <w:rsid w:val="76B25017"/>
    <w:rsid w:val="76B44B7C"/>
    <w:rsid w:val="76B51574"/>
    <w:rsid w:val="76B52298"/>
    <w:rsid w:val="76B949B4"/>
    <w:rsid w:val="76BB279C"/>
    <w:rsid w:val="76BE5FD4"/>
    <w:rsid w:val="76BF071E"/>
    <w:rsid w:val="76CD072A"/>
    <w:rsid w:val="76CD3907"/>
    <w:rsid w:val="76CF109E"/>
    <w:rsid w:val="76CF6530"/>
    <w:rsid w:val="76D12520"/>
    <w:rsid w:val="76D23B71"/>
    <w:rsid w:val="76D2457D"/>
    <w:rsid w:val="76D34F81"/>
    <w:rsid w:val="76D64A64"/>
    <w:rsid w:val="76D860BA"/>
    <w:rsid w:val="76DD31DC"/>
    <w:rsid w:val="76DF08BF"/>
    <w:rsid w:val="76E01F41"/>
    <w:rsid w:val="76E40E51"/>
    <w:rsid w:val="76E77696"/>
    <w:rsid w:val="76E77774"/>
    <w:rsid w:val="76EC08E6"/>
    <w:rsid w:val="76EC6B38"/>
    <w:rsid w:val="76ED4281"/>
    <w:rsid w:val="76EE6E72"/>
    <w:rsid w:val="76EF6C97"/>
    <w:rsid w:val="76F529A6"/>
    <w:rsid w:val="76F6287A"/>
    <w:rsid w:val="770611C6"/>
    <w:rsid w:val="77091483"/>
    <w:rsid w:val="770944E2"/>
    <w:rsid w:val="770B11D8"/>
    <w:rsid w:val="770C0F88"/>
    <w:rsid w:val="770C6193"/>
    <w:rsid w:val="77104CB6"/>
    <w:rsid w:val="771137B1"/>
    <w:rsid w:val="77126D41"/>
    <w:rsid w:val="771527C9"/>
    <w:rsid w:val="771D5CCB"/>
    <w:rsid w:val="771F2FA1"/>
    <w:rsid w:val="772306F8"/>
    <w:rsid w:val="77275DC2"/>
    <w:rsid w:val="772938E8"/>
    <w:rsid w:val="772E7150"/>
    <w:rsid w:val="772F0647"/>
    <w:rsid w:val="7730030E"/>
    <w:rsid w:val="77343E56"/>
    <w:rsid w:val="7735770E"/>
    <w:rsid w:val="77366005"/>
    <w:rsid w:val="773E47C6"/>
    <w:rsid w:val="77453F58"/>
    <w:rsid w:val="77495D38"/>
    <w:rsid w:val="774C3A9F"/>
    <w:rsid w:val="774C7610"/>
    <w:rsid w:val="774E334F"/>
    <w:rsid w:val="77520274"/>
    <w:rsid w:val="775841CD"/>
    <w:rsid w:val="775E3C1A"/>
    <w:rsid w:val="776112D4"/>
    <w:rsid w:val="77644920"/>
    <w:rsid w:val="77647CB6"/>
    <w:rsid w:val="776F2028"/>
    <w:rsid w:val="7770350F"/>
    <w:rsid w:val="777613EC"/>
    <w:rsid w:val="777A1857"/>
    <w:rsid w:val="777D59E2"/>
    <w:rsid w:val="777F0496"/>
    <w:rsid w:val="7782124A"/>
    <w:rsid w:val="778422CE"/>
    <w:rsid w:val="778721B7"/>
    <w:rsid w:val="778D692D"/>
    <w:rsid w:val="778E13D9"/>
    <w:rsid w:val="778E4BDC"/>
    <w:rsid w:val="778E7BEF"/>
    <w:rsid w:val="778F3379"/>
    <w:rsid w:val="77901C9E"/>
    <w:rsid w:val="7798319D"/>
    <w:rsid w:val="779B57ED"/>
    <w:rsid w:val="77A10D47"/>
    <w:rsid w:val="77A35292"/>
    <w:rsid w:val="77A64F39"/>
    <w:rsid w:val="77A73B7B"/>
    <w:rsid w:val="77A80CB1"/>
    <w:rsid w:val="77A91023"/>
    <w:rsid w:val="77AE0291"/>
    <w:rsid w:val="77B164B3"/>
    <w:rsid w:val="77B4189C"/>
    <w:rsid w:val="77B661C7"/>
    <w:rsid w:val="77B77146"/>
    <w:rsid w:val="77C217CE"/>
    <w:rsid w:val="77C47A51"/>
    <w:rsid w:val="77C60F55"/>
    <w:rsid w:val="77C67389"/>
    <w:rsid w:val="77CD4D9A"/>
    <w:rsid w:val="77D35B3C"/>
    <w:rsid w:val="77D4784B"/>
    <w:rsid w:val="77DC6F3D"/>
    <w:rsid w:val="77E07A92"/>
    <w:rsid w:val="77E51202"/>
    <w:rsid w:val="77EA418E"/>
    <w:rsid w:val="77EE068E"/>
    <w:rsid w:val="77EE25AC"/>
    <w:rsid w:val="77F14D19"/>
    <w:rsid w:val="77F22330"/>
    <w:rsid w:val="77F42F94"/>
    <w:rsid w:val="77F521E0"/>
    <w:rsid w:val="77FC0FFD"/>
    <w:rsid w:val="77FE4D75"/>
    <w:rsid w:val="77FF5B8E"/>
    <w:rsid w:val="78007550"/>
    <w:rsid w:val="780250F0"/>
    <w:rsid w:val="78054355"/>
    <w:rsid w:val="780659D7"/>
    <w:rsid w:val="780675B9"/>
    <w:rsid w:val="780A04FC"/>
    <w:rsid w:val="780A42B6"/>
    <w:rsid w:val="780B305C"/>
    <w:rsid w:val="780C20BB"/>
    <w:rsid w:val="780D6D66"/>
    <w:rsid w:val="78177BE5"/>
    <w:rsid w:val="781C0E7F"/>
    <w:rsid w:val="781C169F"/>
    <w:rsid w:val="781E5B7E"/>
    <w:rsid w:val="7820118F"/>
    <w:rsid w:val="782555FC"/>
    <w:rsid w:val="782B5E90"/>
    <w:rsid w:val="7833750B"/>
    <w:rsid w:val="78370287"/>
    <w:rsid w:val="78380F8C"/>
    <w:rsid w:val="783B3D54"/>
    <w:rsid w:val="78473460"/>
    <w:rsid w:val="78476B80"/>
    <w:rsid w:val="78482112"/>
    <w:rsid w:val="78482494"/>
    <w:rsid w:val="784C0116"/>
    <w:rsid w:val="784D1858"/>
    <w:rsid w:val="785030F6"/>
    <w:rsid w:val="7855070D"/>
    <w:rsid w:val="78565D1D"/>
    <w:rsid w:val="785B0E59"/>
    <w:rsid w:val="785B3F75"/>
    <w:rsid w:val="785B7AEC"/>
    <w:rsid w:val="785C7CED"/>
    <w:rsid w:val="785E5813"/>
    <w:rsid w:val="78633BB9"/>
    <w:rsid w:val="7866480C"/>
    <w:rsid w:val="78695D2B"/>
    <w:rsid w:val="78697340"/>
    <w:rsid w:val="786E205E"/>
    <w:rsid w:val="787119EB"/>
    <w:rsid w:val="787225AD"/>
    <w:rsid w:val="78723A52"/>
    <w:rsid w:val="78782D79"/>
    <w:rsid w:val="787A08FC"/>
    <w:rsid w:val="787B2C3A"/>
    <w:rsid w:val="787C1597"/>
    <w:rsid w:val="787E7C64"/>
    <w:rsid w:val="788208F8"/>
    <w:rsid w:val="7883171E"/>
    <w:rsid w:val="78852DA0"/>
    <w:rsid w:val="788B2898"/>
    <w:rsid w:val="788D60F9"/>
    <w:rsid w:val="78917805"/>
    <w:rsid w:val="78931961"/>
    <w:rsid w:val="78931D48"/>
    <w:rsid w:val="78965E4A"/>
    <w:rsid w:val="789E6309"/>
    <w:rsid w:val="789F47A8"/>
    <w:rsid w:val="789F646C"/>
    <w:rsid w:val="78AA493F"/>
    <w:rsid w:val="78AD22F7"/>
    <w:rsid w:val="78B25709"/>
    <w:rsid w:val="78B82941"/>
    <w:rsid w:val="78BA00D2"/>
    <w:rsid w:val="78BA152E"/>
    <w:rsid w:val="78C22246"/>
    <w:rsid w:val="78C563D4"/>
    <w:rsid w:val="78C57641"/>
    <w:rsid w:val="78C65643"/>
    <w:rsid w:val="78CA10FB"/>
    <w:rsid w:val="78CC4E73"/>
    <w:rsid w:val="78CD0377"/>
    <w:rsid w:val="78D36A6B"/>
    <w:rsid w:val="78D45AB3"/>
    <w:rsid w:val="78D6038F"/>
    <w:rsid w:val="78D74152"/>
    <w:rsid w:val="78DD498A"/>
    <w:rsid w:val="78DF4BA6"/>
    <w:rsid w:val="78DF7AD0"/>
    <w:rsid w:val="78E46179"/>
    <w:rsid w:val="78E8332F"/>
    <w:rsid w:val="78E8667F"/>
    <w:rsid w:val="78EF2783"/>
    <w:rsid w:val="78EF290F"/>
    <w:rsid w:val="78F1327B"/>
    <w:rsid w:val="78F166CE"/>
    <w:rsid w:val="78F16E83"/>
    <w:rsid w:val="78F87697"/>
    <w:rsid w:val="78F9553C"/>
    <w:rsid w:val="78FB12B4"/>
    <w:rsid w:val="78FF5307"/>
    <w:rsid w:val="7904460D"/>
    <w:rsid w:val="790B2036"/>
    <w:rsid w:val="790E2D96"/>
    <w:rsid w:val="790E7A95"/>
    <w:rsid w:val="7915054A"/>
    <w:rsid w:val="79166140"/>
    <w:rsid w:val="791B7630"/>
    <w:rsid w:val="791F5C70"/>
    <w:rsid w:val="792151BF"/>
    <w:rsid w:val="7929584B"/>
    <w:rsid w:val="793119E3"/>
    <w:rsid w:val="79312F28"/>
    <w:rsid w:val="79361772"/>
    <w:rsid w:val="793A1D16"/>
    <w:rsid w:val="793B5291"/>
    <w:rsid w:val="793B7903"/>
    <w:rsid w:val="793D7B1F"/>
    <w:rsid w:val="793E6D9E"/>
    <w:rsid w:val="79404F19"/>
    <w:rsid w:val="79433E60"/>
    <w:rsid w:val="79444A09"/>
    <w:rsid w:val="79515378"/>
    <w:rsid w:val="795378C2"/>
    <w:rsid w:val="79553815"/>
    <w:rsid w:val="79580D8B"/>
    <w:rsid w:val="795D0A33"/>
    <w:rsid w:val="796138D7"/>
    <w:rsid w:val="7961683A"/>
    <w:rsid w:val="79651524"/>
    <w:rsid w:val="7969129E"/>
    <w:rsid w:val="796A2308"/>
    <w:rsid w:val="796B47EC"/>
    <w:rsid w:val="796D7F54"/>
    <w:rsid w:val="796F62A7"/>
    <w:rsid w:val="797A48CF"/>
    <w:rsid w:val="79821614"/>
    <w:rsid w:val="79831161"/>
    <w:rsid w:val="7985274B"/>
    <w:rsid w:val="79872B48"/>
    <w:rsid w:val="79892D64"/>
    <w:rsid w:val="79892F17"/>
    <w:rsid w:val="798B2638"/>
    <w:rsid w:val="798E36DA"/>
    <w:rsid w:val="79902D65"/>
    <w:rsid w:val="79947930"/>
    <w:rsid w:val="799559BB"/>
    <w:rsid w:val="79975481"/>
    <w:rsid w:val="79976421"/>
    <w:rsid w:val="79991008"/>
    <w:rsid w:val="799B65F3"/>
    <w:rsid w:val="799B7BCE"/>
    <w:rsid w:val="79A95AD2"/>
    <w:rsid w:val="79AC6AC3"/>
    <w:rsid w:val="79B34430"/>
    <w:rsid w:val="79B9330B"/>
    <w:rsid w:val="79C36345"/>
    <w:rsid w:val="79C91AFC"/>
    <w:rsid w:val="79CC6F2F"/>
    <w:rsid w:val="79D24C8C"/>
    <w:rsid w:val="79DA536E"/>
    <w:rsid w:val="79DD1412"/>
    <w:rsid w:val="79DF5CBF"/>
    <w:rsid w:val="79E4516F"/>
    <w:rsid w:val="79E462FC"/>
    <w:rsid w:val="79E81839"/>
    <w:rsid w:val="79E8408D"/>
    <w:rsid w:val="79E9404F"/>
    <w:rsid w:val="79EB279B"/>
    <w:rsid w:val="79EF0484"/>
    <w:rsid w:val="79F22848"/>
    <w:rsid w:val="79F44681"/>
    <w:rsid w:val="79F672EA"/>
    <w:rsid w:val="79F857F4"/>
    <w:rsid w:val="79FE7282"/>
    <w:rsid w:val="7A02130C"/>
    <w:rsid w:val="7A0423EA"/>
    <w:rsid w:val="7A0554A4"/>
    <w:rsid w:val="7A0917AF"/>
    <w:rsid w:val="7A093C81"/>
    <w:rsid w:val="7A0D129F"/>
    <w:rsid w:val="7A0D1C3D"/>
    <w:rsid w:val="7A1E1264"/>
    <w:rsid w:val="7A227B5B"/>
    <w:rsid w:val="7A25475F"/>
    <w:rsid w:val="7A262361"/>
    <w:rsid w:val="7A2A2604"/>
    <w:rsid w:val="7A2B7BB1"/>
    <w:rsid w:val="7A2E1215"/>
    <w:rsid w:val="7A2E5DB1"/>
    <w:rsid w:val="7A2F7D3E"/>
    <w:rsid w:val="7A326F58"/>
    <w:rsid w:val="7A38281E"/>
    <w:rsid w:val="7A3902E6"/>
    <w:rsid w:val="7A3B11AA"/>
    <w:rsid w:val="7A3E07D4"/>
    <w:rsid w:val="7A3E76AA"/>
    <w:rsid w:val="7A401675"/>
    <w:rsid w:val="7A421A85"/>
    <w:rsid w:val="7A43089A"/>
    <w:rsid w:val="7A433E64"/>
    <w:rsid w:val="7A481196"/>
    <w:rsid w:val="7A49604F"/>
    <w:rsid w:val="7A4B0019"/>
    <w:rsid w:val="7A4B0EF9"/>
    <w:rsid w:val="7A4D4300"/>
    <w:rsid w:val="7A4E5630"/>
    <w:rsid w:val="7A524A5B"/>
    <w:rsid w:val="7A552C46"/>
    <w:rsid w:val="7A5769BE"/>
    <w:rsid w:val="7A5C4692"/>
    <w:rsid w:val="7A5D7C6A"/>
    <w:rsid w:val="7A5F3089"/>
    <w:rsid w:val="7A667AB5"/>
    <w:rsid w:val="7A6A2192"/>
    <w:rsid w:val="7A732256"/>
    <w:rsid w:val="7A7415D3"/>
    <w:rsid w:val="7A7632E8"/>
    <w:rsid w:val="7A770E0E"/>
    <w:rsid w:val="7A773114"/>
    <w:rsid w:val="7A7A27B8"/>
    <w:rsid w:val="7A7A4CFD"/>
    <w:rsid w:val="7A7B4F6C"/>
    <w:rsid w:val="7A7C43AE"/>
    <w:rsid w:val="7A7F0AE4"/>
    <w:rsid w:val="7A815907"/>
    <w:rsid w:val="7A841936"/>
    <w:rsid w:val="7A867D67"/>
    <w:rsid w:val="7A88301C"/>
    <w:rsid w:val="7A88520F"/>
    <w:rsid w:val="7A885287"/>
    <w:rsid w:val="7A8A5729"/>
    <w:rsid w:val="7A8D23E0"/>
    <w:rsid w:val="7A950079"/>
    <w:rsid w:val="7A95198B"/>
    <w:rsid w:val="7A990535"/>
    <w:rsid w:val="7A995229"/>
    <w:rsid w:val="7A9B107F"/>
    <w:rsid w:val="7A9D6AC7"/>
    <w:rsid w:val="7AA41AC2"/>
    <w:rsid w:val="7AA54607"/>
    <w:rsid w:val="7AA84137"/>
    <w:rsid w:val="7AB124AD"/>
    <w:rsid w:val="7AB404E5"/>
    <w:rsid w:val="7AB5380E"/>
    <w:rsid w:val="7AB61937"/>
    <w:rsid w:val="7ABA0452"/>
    <w:rsid w:val="7ABA46F2"/>
    <w:rsid w:val="7ABB7A96"/>
    <w:rsid w:val="7AC1208A"/>
    <w:rsid w:val="7AC207D8"/>
    <w:rsid w:val="7ACA7190"/>
    <w:rsid w:val="7ACF0C4A"/>
    <w:rsid w:val="7AD55005"/>
    <w:rsid w:val="7AD973D3"/>
    <w:rsid w:val="7ADB7996"/>
    <w:rsid w:val="7ADC1408"/>
    <w:rsid w:val="7ADE2C3C"/>
    <w:rsid w:val="7AE21AF2"/>
    <w:rsid w:val="7AE446F6"/>
    <w:rsid w:val="7AE502BA"/>
    <w:rsid w:val="7AE56F93"/>
    <w:rsid w:val="7AE575DB"/>
    <w:rsid w:val="7AEA3436"/>
    <w:rsid w:val="7AEB48C6"/>
    <w:rsid w:val="7AEF6BF7"/>
    <w:rsid w:val="7AEF7254"/>
    <w:rsid w:val="7AF34B9C"/>
    <w:rsid w:val="7AF52785"/>
    <w:rsid w:val="7AF74DA8"/>
    <w:rsid w:val="7AFB37ED"/>
    <w:rsid w:val="7B042D84"/>
    <w:rsid w:val="7B053505"/>
    <w:rsid w:val="7B0749C7"/>
    <w:rsid w:val="7B0D5E20"/>
    <w:rsid w:val="7B1651F8"/>
    <w:rsid w:val="7B1C747A"/>
    <w:rsid w:val="7B1D68AD"/>
    <w:rsid w:val="7B1E74DC"/>
    <w:rsid w:val="7B203F27"/>
    <w:rsid w:val="7B29035B"/>
    <w:rsid w:val="7B2C01F1"/>
    <w:rsid w:val="7B2C55A1"/>
    <w:rsid w:val="7B333078"/>
    <w:rsid w:val="7B354F51"/>
    <w:rsid w:val="7B38119B"/>
    <w:rsid w:val="7B38715D"/>
    <w:rsid w:val="7B387BB6"/>
    <w:rsid w:val="7B3F5F83"/>
    <w:rsid w:val="7B3F7B7E"/>
    <w:rsid w:val="7B4026D1"/>
    <w:rsid w:val="7B492D83"/>
    <w:rsid w:val="7B4F44A7"/>
    <w:rsid w:val="7B501B68"/>
    <w:rsid w:val="7B501CA8"/>
    <w:rsid w:val="7B537186"/>
    <w:rsid w:val="7B561FE1"/>
    <w:rsid w:val="7B581051"/>
    <w:rsid w:val="7B582367"/>
    <w:rsid w:val="7B583E02"/>
    <w:rsid w:val="7B585622"/>
    <w:rsid w:val="7B590514"/>
    <w:rsid w:val="7B630405"/>
    <w:rsid w:val="7B630A59"/>
    <w:rsid w:val="7B6326CC"/>
    <w:rsid w:val="7B68568E"/>
    <w:rsid w:val="7B6B277F"/>
    <w:rsid w:val="7B6B280D"/>
    <w:rsid w:val="7B6C46EB"/>
    <w:rsid w:val="7B71585E"/>
    <w:rsid w:val="7B732647"/>
    <w:rsid w:val="7B736506"/>
    <w:rsid w:val="7B7B3D39"/>
    <w:rsid w:val="7B80272C"/>
    <w:rsid w:val="7B8321F9"/>
    <w:rsid w:val="7B84600B"/>
    <w:rsid w:val="7B86488F"/>
    <w:rsid w:val="7B8D1796"/>
    <w:rsid w:val="7B8D60F3"/>
    <w:rsid w:val="7B8E2477"/>
    <w:rsid w:val="7B9C5216"/>
    <w:rsid w:val="7BA1528F"/>
    <w:rsid w:val="7BAE03BE"/>
    <w:rsid w:val="7BAE4F8D"/>
    <w:rsid w:val="7BAF1D95"/>
    <w:rsid w:val="7BB81656"/>
    <w:rsid w:val="7BB91A25"/>
    <w:rsid w:val="7BC00C7D"/>
    <w:rsid w:val="7BC2255D"/>
    <w:rsid w:val="7BC2401A"/>
    <w:rsid w:val="7BC60F81"/>
    <w:rsid w:val="7BC65BA9"/>
    <w:rsid w:val="7BC77904"/>
    <w:rsid w:val="7BC80791"/>
    <w:rsid w:val="7BC91660"/>
    <w:rsid w:val="7BCB431A"/>
    <w:rsid w:val="7BCE4A5E"/>
    <w:rsid w:val="7BD42F30"/>
    <w:rsid w:val="7BD55DED"/>
    <w:rsid w:val="7BDB33AA"/>
    <w:rsid w:val="7BDC717B"/>
    <w:rsid w:val="7BDF0A19"/>
    <w:rsid w:val="7BE1054E"/>
    <w:rsid w:val="7BE239A7"/>
    <w:rsid w:val="7BE64FBE"/>
    <w:rsid w:val="7BED44D0"/>
    <w:rsid w:val="7BEE7A3A"/>
    <w:rsid w:val="7BF30969"/>
    <w:rsid w:val="7BF57AED"/>
    <w:rsid w:val="7BF72207"/>
    <w:rsid w:val="7BFB5E4A"/>
    <w:rsid w:val="7BFC15CB"/>
    <w:rsid w:val="7BFE016D"/>
    <w:rsid w:val="7BFE12FC"/>
    <w:rsid w:val="7C016BE2"/>
    <w:rsid w:val="7C0E7382"/>
    <w:rsid w:val="7C1259B6"/>
    <w:rsid w:val="7C143AD8"/>
    <w:rsid w:val="7C15504B"/>
    <w:rsid w:val="7C156B31"/>
    <w:rsid w:val="7C171BBE"/>
    <w:rsid w:val="7C1E1418"/>
    <w:rsid w:val="7C1F03DB"/>
    <w:rsid w:val="7C1F175E"/>
    <w:rsid w:val="7C1F387A"/>
    <w:rsid w:val="7C2449E1"/>
    <w:rsid w:val="7C286BC1"/>
    <w:rsid w:val="7C323A24"/>
    <w:rsid w:val="7C343E10"/>
    <w:rsid w:val="7C350F81"/>
    <w:rsid w:val="7C376AA7"/>
    <w:rsid w:val="7C384D5B"/>
    <w:rsid w:val="7C4371FA"/>
    <w:rsid w:val="7C440BE5"/>
    <w:rsid w:val="7C442F72"/>
    <w:rsid w:val="7C4458CC"/>
    <w:rsid w:val="7C460A98"/>
    <w:rsid w:val="7C4660A6"/>
    <w:rsid w:val="7C484880"/>
    <w:rsid w:val="7C4D1E27"/>
    <w:rsid w:val="7C4E5882"/>
    <w:rsid w:val="7C5219EE"/>
    <w:rsid w:val="7C521B7C"/>
    <w:rsid w:val="7C540B05"/>
    <w:rsid w:val="7C5546E4"/>
    <w:rsid w:val="7C596A1E"/>
    <w:rsid w:val="7C5E4757"/>
    <w:rsid w:val="7C5F1B5A"/>
    <w:rsid w:val="7C635583"/>
    <w:rsid w:val="7C66368D"/>
    <w:rsid w:val="7C6860B0"/>
    <w:rsid w:val="7C6879D4"/>
    <w:rsid w:val="7C690BD8"/>
    <w:rsid w:val="7C6B04FF"/>
    <w:rsid w:val="7C75137E"/>
    <w:rsid w:val="7C814335"/>
    <w:rsid w:val="7C860296"/>
    <w:rsid w:val="7C86306F"/>
    <w:rsid w:val="7C8A2035"/>
    <w:rsid w:val="7C8A4E29"/>
    <w:rsid w:val="7C8A620E"/>
    <w:rsid w:val="7C8D2B6B"/>
    <w:rsid w:val="7C936F49"/>
    <w:rsid w:val="7C9712F4"/>
    <w:rsid w:val="7C9865C8"/>
    <w:rsid w:val="7C992B5F"/>
    <w:rsid w:val="7C9F01CF"/>
    <w:rsid w:val="7CA05373"/>
    <w:rsid w:val="7CA22456"/>
    <w:rsid w:val="7CA2697F"/>
    <w:rsid w:val="7CA53A11"/>
    <w:rsid w:val="7CAA5868"/>
    <w:rsid w:val="7CAA7CA6"/>
    <w:rsid w:val="7CB023B6"/>
    <w:rsid w:val="7CB26CCA"/>
    <w:rsid w:val="7CB579CC"/>
    <w:rsid w:val="7CBA5DA3"/>
    <w:rsid w:val="7CBC5361"/>
    <w:rsid w:val="7CBC5583"/>
    <w:rsid w:val="7CBD6B2A"/>
    <w:rsid w:val="7CC124B0"/>
    <w:rsid w:val="7CC529AF"/>
    <w:rsid w:val="7CC77678"/>
    <w:rsid w:val="7CCA16C9"/>
    <w:rsid w:val="7CCD4D16"/>
    <w:rsid w:val="7CCE7D48"/>
    <w:rsid w:val="7CCF0A8E"/>
    <w:rsid w:val="7CD267D0"/>
    <w:rsid w:val="7CD80082"/>
    <w:rsid w:val="7CDE3CF8"/>
    <w:rsid w:val="7CE96E67"/>
    <w:rsid w:val="7CF77FE5"/>
    <w:rsid w:val="7CF93D5D"/>
    <w:rsid w:val="7CFB604F"/>
    <w:rsid w:val="7D072780"/>
    <w:rsid w:val="7D083FA0"/>
    <w:rsid w:val="7D0C76D0"/>
    <w:rsid w:val="7D0F17D2"/>
    <w:rsid w:val="7D124E1E"/>
    <w:rsid w:val="7D132D54"/>
    <w:rsid w:val="7D1634EE"/>
    <w:rsid w:val="7D197F35"/>
    <w:rsid w:val="7D197F5B"/>
    <w:rsid w:val="7D203B81"/>
    <w:rsid w:val="7D225061"/>
    <w:rsid w:val="7D242CD4"/>
    <w:rsid w:val="7D2569AA"/>
    <w:rsid w:val="7D2B2DDE"/>
    <w:rsid w:val="7D2D069E"/>
    <w:rsid w:val="7D2E7EAA"/>
    <w:rsid w:val="7D2F2F60"/>
    <w:rsid w:val="7D31109D"/>
    <w:rsid w:val="7D317177"/>
    <w:rsid w:val="7D31799A"/>
    <w:rsid w:val="7D320E55"/>
    <w:rsid w:val="7D33726F"/>
    <w:rsid w:val="7D342FE7"/>
    <w:rsid w:val="7D4476CE"/>
    <w:rsid w:val="7D461A2A"/>
    <w:rsid w:val="7D465FC8"/>
    <w:rsid w:val="7D49070E"/>
    <w:rsid w:val="7D4A0A5C"/>
    <w:rsid w:val="7D4A1D97"/>
    <w:rsid w:val="7D4C6582"/>
    <w:rsid w:val="7D4C731A"/>
    <w:rsid w:val="7D4E22FA"/>
    <w:rsid w:val="7D4E2E80"/>
    <w:rsid w:val="7D4F0A19"/>
    <w:rsid w:val="7D570CB6"/>
    <w:rsid w:val="7D5C1608"/>
    <w:rsid w:val="7D5D253D"/>
    <w:rsid w:val="7D5D30F3"/>
    <w:rsid w:val="7D5E4D55"/>
    <w:rsid w:val="7D5F5CD7"/>
    <w:rsid w:val="7D60586B"/>
    <w:rsid w:val="7D6661D9"/>
    <w:rsid w:val="7D68318B"/>
    <w:rsid w:val="7D684AEE"/>
    <w:rsid w:val="7D6B2EAC"/>
    <w:rsid w:val="7D6D130D"/>
    <w:rsid w:val="7D731D61"/>
    <w:rsid w:val="7D732FF0"/>
    <w:rsid w:val="7D7734B7"/>
    <w:rsid w:val="7D79534F"/>
    <w:rsid w:val="7D7A3DA6"/>
    <w:rsid w:val="7D7F0706"/>
    <w:rsid w:val="7D831878"/>
    <w:rsid w:val="7D8442EE"/>
    <w:rsid w:val="7D8A7D63"/>
    <w:rsid w:val="7D8E26F7"/>
    <w:rsid w:val="7D913F95"/>
    <w:rsid w:val="7D937BB3"/>
    <w:rsid w:val="7D947DEE"/>
    <w:rsid w:val="7D97102F"/>
    <w:rsid w:val="7D973F15"/>
    <w:rsid w:val="7D9A2A39"/>
    <w:rsid w:val="7D9C4475"/>
    <w:rsid w:val="7D9D488E"/>
    <w:rsid w:val="7D9F3AB7"/>
    <w:rsid w:val="7DA15827"/>
    <w:rsid w:val="7DA57A41"/>
    <w:rsid w:val="7DA9663A"/>
    <w:rsid w:val="7DAB4365"/>
    <w:rsid w:val="7DB0591E"/>
    <w:rsid w:val="7DB54EBB"/>
    <w:rsid w:val="7DB63F5A"/>
    <w:rsid w:val="7DB67EA0"/>
    <w:rsid w:val="7DB85A82"/>
    <w:rsid w:val="7DBA173E"/>
    <w:rsid w:val="7DBE3BDC"/>
    <w:rsid w:val="7DBF41DB"/>
    <w:rsid w:val="7DC1182B"/>
    <w:rsid w:val="7DC20AAD"/>
    <w:rsid w:val="7DC35DA7"/>
    <w:rsid w:val="7DC907E3"/>
    <w:rsid w:val="7DC9372F"/>
    <w:rsid w:val="7DCD4F88"/>
    <w:rsid w:val="7DCD75AF"/>
    <w:rsid w:val="7DCE51E9"/>
    <w:rsid w:val="7DD23BEB"/>
    <w:rsid w:val="7DD302BC"/>
    <w:rsid w:val="7DD30A52"/>
    <w:rsid w:val="7DD353FE"/>
    <w:rsid w:val="7DD86A7B"/>
    <w:rsid w:val="7DD86DC5"/>
    <w:rsid w:val="7DD9051A"/>
    <w:rsid w:val="7DDB16B4"/>
    <w:rsid w:val="7DDB3462"/>
    <w:rsid w:val="7DDC7906"/>
    <w:rsid w:val="7DDF5BA7"/>
    <w:rsid w:val="7DE868A5"/>
    <w:rsid w:val="7DF157F3"/>
    <w:rsid w:val="7DF26EF2"/>
    <w:rsid w:val="7DF85D02"/>
    <w:rsid w:val="7DF86410"/>
    <w:rsid w:val="7DFC1A33"/>
    <w:rsid w:val="7DFD1722"/>
    <w:rsid w:val="7E015BC0"/>
    <w:rsid w:val="7E0547FB"/>
    <w:rsid w:val="7E0667DF"/>
    <w:rsid w:val="7E08550C"/>
    <w:rsid w:val="7E0E3764"/>
    <w:rsid w:val="7E0F5C0B"/>
    <w:rsid w:val="7E1150D6"/>
    <w:rsid w:val="7E165D60"/>
    <w:rsid w:val="7E176B90"/>
    <w:rsid w:val="7E192908"/>
    <w:rsid w:val="7E1E0FAA"/>
    <w:rsid w:val="7E222493"/>
    <w:rsid w:val="7E285E41"/>
    <w:rsid w:val="7E2F7B38"/>
    <w:rsid w:val="7E325778"/>
    <w:rsid w:val="7E343B5B"/>
    <w:rsid w:val="7E372D8F"/>
    <w:rsid w:val="7E37679A"/>
    <w:rsid w:val="7E377F1E"/>
    <w:rsid w:val="7E3A287F"/>
    <w:rsid w:val="7E3D5ECB"/>
    <w:rsid w:val="7E3D783E"/>
    <w:rsid w:val="7E3E132F"/>
    <w:rsid w:val="7E413C0D"/>
    <w:rsid w:val="7E422725"/>
    <w:rsid w:val="7E462FD2"/>
    <w:rsid w:val="7E467CE8"/>
    <w:rsid w:val="7E470AF8"/>
    <w:rsid w:val="7E4B1B41"/>
    <w:rsid w:val="7E4B683A"/>
    <w:rsid w:val="7E4C2D4A"/>
    <w:rsid w:val="7E4F377D"/>
    <w:rsid w:val="7E507057"/>
    <w:rsid w:val="7E5533A9"/>
    <w:rsid w:val="7E5C4EFF"/>
    <w:rsid w:val="7E5C7A06"/>
    <w:rsid w:val="7E627DC8"/>
    <w:rsid w:val="7E66788B"/>
    <w:rsid w:val="7E696CC0"/>
    <w:rsid w:val="7E6D5828"/>
    <w:rsid w:val="7E6E1C40"/>
    <w:rsid w:val="7E6E7AAC"/>
    <w:rsid w:val="7E700D50"/>
    <w:rsid w:val="7E715FA3"/>
    <w:rsid w:val="7E7538B7"/>
    <w:rsid w:val="7E790FDA"/>
    <w:rsid w:val="7E7C4F2E"/>
    <w:rsid w:val="7E7D156B"/>
    <w:rsid w:val="7E7F64E4"/>
    <w:rsid w:val="7E834E22"/>
    <w:rsid w:val="7E841750"/>
    <w:rsid w:val="7E867872"/>
    <w:rsid w:val="7E876F14"/>
    <w:rsid w:val="7E8A55B4"/>
    <w:rsid w:val="7E8B6C36"/>
    <w:rsid w:val="7E8E266E"/>
    <w:rsid w:val="7E906943"/>
    <w:rsid w:val="7E9149BA"/>
    <w:rsid w:val="7E921852"/>
    <w:rsid w:val="7E940BC6"/>
    <w:rsid w:val="7E9975A5"/>
    <w:rsid w:val="7E9C0E44"/>
    <w:rsid w:val="7E9F0934"/>
    <w:rsid w:val="7E9F26E2"/>
    <w:rsid w:val="7EA05563"/>
    <w:rsid w:val="7EA6334F"/>
    <w:rsid w:val="7EA63DDD"/>
    <w:rsid w:val="7EAA6A11"/>
    <w:rsid w:val="7EAE3786"/>
    <w:rsid w:val="7EAF6449"/>
    <w:rsid w:val="7EB03CDB"/>
    <w:rsid w:val="7EB22A1D"/>
    <w:rsid w:val="7EB663A9"/>
    <w:rsid w:val="7EB83D78"/>
    <w:rsid w:val="7EB95BF8"/>
    <w:rsid w:val="7EBB0200"/>
    <w:rsid w:val="7EBB2475"/>
    <w:rsid w:val="7EBD1E63"/>
    <w:rsid w:val="7EBD69B8"/>
    <w:rsid w:val="7EBE700C"/>
    <w:rsid w:val="7EC67538"/>
    <w:rsid w:val="7EC825E4"/>
    <w:rsid w:val="7ECC286F"/>
    <w:rsid w:val="7ECD54A1"/>
    <w:rsid w:val="7ED16DE7"/>
    <w:rsid w:val="7ED33D79"/>
    <w:rsid w:val="7ED40141"/>
    <w:rsid w:val="7EDC4BBA"/>
    <w:rsid w:val="7EDD70CE"/>
    <w:rsid w:val="7EDF0647"/>
    <w:rsid w:val="7EE011E6"/>
    <w:rsid w:val="7EE10361"/>
    <w:rsid w:val="7EE53694"/>
    <w:rsid w:val="7EF11EAA"/>
    <w:rsid w:val="7EF421D6"/>
    <w:rsid w:val="7EF46ED2"/>
    <w:rsid w:val="7EF649F8"/>
    <w:rsid w:val="7EFE4B8C"/>
    <w:rsid w:val="7EFF28BB"/>
    <w:rsid w:val="7F00043A"/>
    <w:rsid w:val="7F017854"/>
    <w:rsid w:val="7F053EE9"/>
    <w:rsid w:val="7F0F1615"/>
    <w:rsid w:val="7F10538E"/>
    <w:rsid w:val="7F112C33"/>
    <w:rsid w:val="7F116CAB"/>
    <w:rsid w:val="7F141322"/>
    <w:rsid w:val="7F17534F"/>
    <w:rsid w:val="7F1949EB"/>
    <w:rsid w:val="7F1B445E"/>
    <w:rsid w:val="7F1D501C"/>
    <w:rsid w:val="7F226EA1"/>
    <w:rsid w:val="7F241D59"/>
    <w:rsid w:val="7F2514E7"/>
    <w:rsid w:val="7F257827"/>
    <w:rsid w:val="7F2712C4"/>
    <w:rsid w:val="7F293D20"/>
    <w:rsid w:val="7F2A2345"/>
    <w:rsid w:val="7F2E04CD"/>
    <w:rsid w:val="7F3345C7"/>
    <w:rsid w:val="7F3602D3"/>
    <w:rsid w:val="7F365E18"/>
    <w:rsid w:val="7F3924D3"/>
    <w:rsid w:val="7F3A1854"/>
    <w:rsid w:val="7F3E639F"/>
    <w:rsid w:val="7F495E20"/>
    <w:rsid w:val="7F4F2308"/>
    <w:rsid w:val="7F4F5EB6"/>
    <w:rsid w:val="7F517421"/>
    <w:rsid w:val="7F590614"/>
    <w:rsid w:val="7F5931D8"/>
    <w:rsid w:val="7F6310E9"/>
    <w:rsid w:val="7F651B7D"/>
    <w:rsid w:val="7F670D60"/>
    <w:rsid w:val="7F6A2CF0"/>
    <w:rsid w:val="7F6C4CBA"/>
    <w:rsid w:val="7F6E4F2C"/>
    <w:rsid w:val="7F6E52F3"/>
    <w:rsid w:val="7F6F47AA"/>
    <w:rsid w:val="7F731EA8"/>
    <w:rsid w:val="7F77092E"/>
    <w:rsid w:val="7F7D572F"/>
    <w:rsid w:val="7F7E5056"/>
    <w:rsid w:val="7F83401D"/>
    <w:rsid w:val="7F85081C"/>
    <w:rsid w:val="7F8759F2"/>
    <w:rsid w:val="7F8C0830"/>
    <w:rsid w:val="7F912972"/>
    <w:rsid w:val="7F935CC2"/>
    <w:rsid w:val="7F9F3437"/>
    <w:rsid w:val="7F9F4D2B"/>
    <w:rsid w:val="7FA8300C"/>
    <w:rsid w:val="7FAE1EEA"/>
    <w:rsid w:val="7FB126CD"/>
    <w:rsid w:val="7FB55C1C"/>
    <w:rsid w:val="7FBA7D0A"/>
    <w:rsid w:val="7FBD5515"/>
    <w:rsid w:val="7FC248DA"/>
    <w:rsid w:val="7FC5755B"/>
    <w:rsid w:val="7FC71EF0"/>
    <w:rsid w:val="7FC95C68"/>
    <w:rsid w:val="7FCC605A"/>
    <w:rsid w:val="7FD7685E"/>
    <w:rsid w:val="7FDE05EA"/>
    <w:rsid w:val="7FE021F4"/>
    <w:rsid w:val="7FE31053"/>
    <w:rsid w:val="7FE7641E"/>
    <w:rsid w:val="7FEA0CD3"/>
    <w:rsid w:val="7FEC059A"/>
    <w:rsid w:val="7FEC1642"/>
    <w:rsid w:val="7FEF3629"/>
    <w:rsid w:val="7FF32C78"/>
    <w:rsid w:val="7FF4549F"/>
    <w:rsid w:val="7FF4774B"/>
    <w:rsid w:val="7FF705ED"/>
    <w:rsid w:val="7FF8654D"/>
    <w:rsid w:val="7FF90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35" w:semiHidden="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宋体" w:cstheme="minorBidi"/>
      <w:b/>
      <w:kern w:val="2"/>
      <w:sz w:val="24"/>
      <w:szCs w:val="24"/>
      <w:lang w:val="en-US" w:eastAsia="zh-CN" w:bidi="ar-SA"/>
    </w:rPr>
  </w:style>
  <w:style w:type="paragraph" w:styleId="4">
    <w:name w:val="heading 1"/>
    <w:basedOn w:val="1"/>
    <w:next w:val="1"/>
    <w:qFormat/>
    <w:uiPriority w:val="0"/>
    <w:pPr>
      <w:keepNext/>
      <w:keepLines/>
      <w:outlineLvl w:val="0"/>
    </w:pPr>
    <w:rPr>
      <w:kern w:val="44"/>
      <w:sz w:val="30"/>
    </w:rPr>
  </w:style>
  <w:style w:type="paragraph" w:styleId="5">
    <w:name w:val="heading 2"/>
    <w:basedOn w:val="1"/>
    <w:next w:val="1"/>
    <w:unhideWhenUsed/>
    <w:qFormat/>
    <w:uiPriority w:val="0"/>
    <w:pPr>
      <w:keepNext/>
      <w:keepLines/>
      <w:outlineLvl w:val="1"/>
    </w:pPr>
    <w:rPr>
      <w:sz w:val="28"/>
    </w:rPr>
  </w:style>
  <w:style w:type="paragraph" w:styleId="6">
    <w:name w:val="heading 3"/>
    <w:basedOn w:val="1"/>
    <w:next w:val="1"/>
    <w:unhideWhenUsed/>
    <w:qFormat/>
    <w:uiPriority w:val="0"/>
    <w:pPr>
      <w:keepNext/>
      <w:keepLines/>
      <w:spacing w:line="360" w:lineRule="auto"/>
      <w:outlineLvl w:val="2"/>
    </w:pPr>
  </w:style>
  <w:style w:type="paragraph" w:styleId="7">
    <w:name w:val="heading 4"/>
    <w:basedOn w:val="1"/>
    <w:next w:val="1"/>
    <w:unhideWhenUsed/>
    <w:qFormat/>
    <w:uiPriority w:val="0"/>
    <w:pPr>
      <w:keepNext/>
      <w:keepLines/>
      <w:spacing w:line="360" w:lineRule="auto"/>
      <w:outlineLvl w:val="3"/>
    </w:pPr>
    <w:rPr>
      <w:bCs/>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index heading"/>
    <w:basedOn w:val="1"/>
    <w:next w:val="3"/>
    <w:semiHidden/>
    <w:qFormat/>
    <w:uiPriority w:val="0"/>
    <w:pPr>
      <w:widowControl w:val="0"/>
      <w:adjustRightInd w:val="0"/>
      <w:snapToGrid w:val="0"/>
      <w:ind w:firstLine="200" w:firstLineChars="200"/>
    </w:pPr>
    <w:rPr>
      <w:rFonts w:ascii="Arial" w:hAnsi="Arial" w:eastAsia="宋体" w:cs="Arial"/>
      <w:bCs/>
      <w:kern w:val="2"/>
      <w:sz w:val="24"/>
      <w:szCs w:val="24"/>
      <w:lang w:val="en-US" w:eastAsia="zh-CN" w:bidi="ar-SA"/>
    </w:rPr>
  </w:style>
  <w:style w:type="paragraph" w:styleId="3">
    <w:name w:val="index 1"/>
    <w:basedOn w:val="1"/>
    <w:next w:val="1"/>
    <w:unhideWhenUsed/>
    <w:qFormat/>
    <w:uiPriority w:val="0"/>
    <w:pPr>
      <w:widowControl w:val="0"/>
      <w:adjustRightInd w:val="0"/>
      <w:snapToGrid w:val="0"/>
      <w:ind w:firstLine="200" w:firstLineChars="200"/>
    </w:pPr>
    <w:rPr>
      <w:rFonts w:ascii="宋体" w:hAnsi="宋体" w:eastAsia="宋体" w:cs="宋体"/>
      <w:kern w:val="2"/>
      <w:sz w:val="24"/>
      <w:szCs w:val="22"/>
      <w:lang w:val="en-US" w:eastAsia="zh-CN" w:bidi="ar-SA"/>
    </w:rPr>
  </w:style>
  <w:style w:type="paragraph" w:styleId="8">
    <w:name w:val="Note Heading"/>
    <w:basedOn w:val="1"/>
    <w:next w:val="1"/>
    <w:qFormat/>
    <w:uiPriority w:val="0"/>
    <w:pPr>
      <w:jc w:val="center"/>
    </w:pPr>
    <w:rPr>
      <w:rFonts w:ascii="宋体"/>
      <w:szCs w:val="20"/>
    </w:rPr>
  </w:style>
  <w:style w:type="paragraph" w:styleId="9">
    <w:name w:val="Normal Indent"/>
    <w:basedOn w:val="1"/>
    <w:next w:val="1"/>
    <w:qFormat/>
    <w:uiPriority w:val="0"/>
    <w:pPr>
      <w:ind w:firstLine="420" w:firstLineChars="200"/>
    </w:pPr>
  </w:style>
  <w:style w:type="paragraph" w:styleId="10">
    <w:name w:val="caption"/>
    <w:basedOn w:val="1"/>
    <w:next w:val="1"/>
    <w:qFormat/>
    <w:uiPriority w:val="35"/>
    <w:pPr>
      <w:jc w:val="center"/>
    </w:pPr>
    <w:rPr>
      <w:szCs w:val="20"/>
    </w:rPr>
  </w:style>
  <w:style w:type="paragraph" w:styleId="11">
    <w:name w:val="annotation text"/>
    <w:basedOn w:val="1"/>
    <w:link w:val="72"/>
    <w:qFormat/>
    <w:uiPriority w:val="0"/>
  </w:style>
  <w:style w:type="paragraph" w:styleId="12">
    <w:name w:val="Body Text"/>
    <w:basedOn w:val="1"/>
    <w:next w:val="13"/>
    <w:qFormat/>
    <w:uiPriority w:val="0"/>
    <w:pPr>
      <w:widowControl/>
      <w:snapToGrid w:val="0"/>
      <w:spacing w:before="60" w:after="160" w:line="259" w:lineRule="auto"/>
      <w:ind w:right="113"/>
    </w:pPr>
    <w:rPr>
      <w:kern w:val="0"/>
      <w:sz w:val="18"/>
      <w:szCs w:val="20"/>
    </w:rPr>
  </w:style>
  <w:style w:type="paragraph" w:customStyle="1" w:styleId="13">
    <w:name w:val="Body Text 21"/>
    <w:basedOn w:val="1"/>
    <w:qFormat/>
    <w:uiPriority w:val="0"/>
    <w:pPr>
      <w:spacing w:after="120" w:line="480" w:lineRule="auto"/>
    </w:pPr>
  </w:style>
  <w:style w:type="paragraph" w:styleId="14">
    <w:name w:val="Body Text Indent"/>
    <w:basedOn w:val="1"/>
    <w:next w:val="15"/>
    <w:qFormat/>
    <w:uiPriority w:val="0"/>
    <w:pPr>
      <w:spacing w:after="120"/>
      <w:ind w:left="420" w:leftChars="200"/>
    </w:pPr>
    <w:rPr>
      <w:kern w:val="0"/>
      <w:szCs w:val="20"/>
    </w:rPr>
  </w:style>
  <w:style w:type="paragraph" w:styleId="15">
    <w:name w:val="Body Text First Indent 2"/>
    <w:basedOn w:val="14"/>
    <w:next w:val="12"/>
    <w:qFormat/>
    <w:uiPriority w:val="0"/>
    <w:pPr>
      <w:ind w:firstLine="420"/>
    </w:pPr>
    <w:rPr>
      <w:rFonts w:ascii="Calibri" w:hAnsi="Calibri"/>
      <w:sz w:val="28"/>
      <w:szCs w:val="22"/>
    </w:rPr>
  </w:style>
  <w:style w:type="paragraph" w:styleId="16">
    <w:name w:val="Plain Text"/>
    <w:basedOn w:val="1"/>
    <w:qFormat/>
    <w:uiPriority w:val="0"/>
    <w:rPr>
      <w:rFonts w:hAnsi="Courier New" w:cs="Courier New"/>
      <w:szCs w:val="21"/>
    </w:rPr>
  </w:style>
  <w:style w:type="paragraph" w:styleId="17">
    <w:name w:val="List Bullet 5"/>
    <w:basedOn w:val="1"/>
    <w:qFormat/>
    <w:uiPriority w:val="0"/>
    <w:pPr>
      <w:numPr>
        <w:ilvl w:val="0"/>
        <w:numId w:val="1"/>
      </w:numPr>
    </w:pPr>
  </w:style>
  <w:style w:type="paragraph" w:styleId="18">
    <w:name w:val="Body Text Indent 2"/>
    <w:basedOn w:val="1"/>
    <w:next w:val="1"/>
    <w:qFormat/>
    <w:uiPriority w:val="99"/>
    <w:pPr>
      <w:spacing w:after="120" w:line="480" w:lineRule="auto"/>
      <w:ind w:left="420" w:leftChars="200"/>
    </w:pPr>
  </w:style>
  <w:style w:type="paragraph" w:styleId="19">
    <w:name w:val="Balloon Text"/>
    <w:basedOn w:val="1"/>
    <w:semiHidden/>
    <w:qFormat/>
    <w:uiPriority w:val="0"/>
    <w:rPr>
      <w:kern w:val="0"/>
      <w:sz w:val="18"/>
      <w:szCs w:val="20"/>
    </w:rPr>
  </w:style>
  <w:style w:type="paragraph" w:styleId="20">
    <w:name w:val="footer"/>
    <w:basedOn w:val="1"/>
    <w:qFormat/>
    <w:uiPriority w:val="99"/>
    <w:pPr>
      <w:tabs>
        <w:tab w:val="center" w:pos="4153"/>
        <w:tab w:val="right" w:pos="8306"/>
      </w:tabs>
      <w:snapToGrid w:val="0"/>
    </w:pPr>
    <w:rPr>
      <w:kern w:val="0"/>
      <w:sz w:val="18"/>
      <w:szCs w:val="20"/>
    </w:rPr>
  </w:style>
  <w:style w:type="paragraph" w:styleId="21">
    <w:name w:val="header"/>
    <w:basedOn w:val="1"/>
    <w:next w:val="1"/>
    <w:link w:val="7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2">
    <w:name w:val="List Number 5"/>
    <w:basedOn w:val="1"/>
    <w:qFormat/>
    <w:uiPriority w:val="0"/>
    <w:pPr>
      <w:numPr>
        <w:ilvl w:val="0"/>
        <w:numId w:val="2"/>
      </w:numPr>
    </w:pPr>
  </w:style>
  <w:style w:type="paragraph" w:styleId="23">
    <w:name w:val="List"/>
    <w:basedOn w:val="1"/>
    <w:next w:val="1"/>
    <w:unhideWhenUsed/>
    <w:qFormat/>
    <w:uiPriority w:val="0"/>
    <w:pPr>
      <w:widowControl w:val="0"/>
      <w:wordWrap w:val="0"/>
      <w:autoSpaceDE w:val="0"/>
      <w:autoSpaceDN w:val="0"/>
      <w:adjustRightInd w:val="0"/>
      <w:spacing w:line="360" w:lineRule="auto"/>
      <w:ind w:left="-2" w:leftChars="-1" w:right="-108" w:rightChars="-45" w:firstLine="420" w:firstLineChars="200"/>
      <w:jc w:val="left"/>
    </w:pPr>
    <w:rPr>
      <w:rFonts w:ascii="黑体" w:hAnsi="Times New Roman" w:eastAsia="黑体" w:cs="Times New Roman"/>
      <w:kern w:val="0"/>
      <w:sz w:val="20"/>
      <w:szCs w:val="20"/>
      <w:lang w:val="zh-CN" w:eastAsia="zh-CN" w:bidi="zh-CN"/>
    </w:rPr>
  </w:style>
  <w:style w:type="paragraph" w:styleId="24">
    <w:name w:val="table of figures"/>
    <w:basedOn w:val="1"/>
    <w:next w:val="1"/>
    <w:semiHidden/>
    <w:qFormat/>
    <w:uiPriority w:val="99"/>
    <w:pPr>
      <w:jc w:val="center"/>
    </w:pPr>
    <w:rPr>
      <w:rFonts w:eastAsia="楷体_GB2312"/>
      <w:color w:val="000000"/>
      <w:spacing w:val="-4"/>
      <w:szCs w:val="20"/>
    </w:rPr>
  </w:style>
  <w:style w:type="paragraph" w:styleId="25">
    <w:name w:val="Body Text 2"/>
    <w:basedOn w:val="1"/>
    <w:link w:val="78"/>
    <w:unhideWhenUsed/>
    <w:qFormat/>
    <w:uiPriority w:val="99"/>
    <w:pPr>
      <w:spacing w:line="360" w:lineRule="auto"/>
      <w:ind w:firstLine="602" w:firstLineChars="200"/>
    </w:pPr>
    <w:rPr>
      <w:b w:val="0"/>
    </w:rPr>
  </w:style>
  <w:style w:type="paragraph" w:styleId="26">
    <w:name w:val="Normal (Web)"/>
    <w:basedOn w:val="1"/>
    <w:link w:val="63"/>
    <w:qFormat/>
    <w:uiPriority w:val="0"/>
    <w:pPr>
      <w:widowControl/>
      <w:spacing w:before="100" w:beforeAutospacing="1" w:after="100" w:afterAutospacing="1"/>
    </w:pPr>
    <w:rPr>
      <w:rFonts w:ascii="宋体" w:hAnsi="宋体"/>
      <w:kern w:val="0"/>
      <w:szCs w:val="20"/>
    </w:rPr>
  </w:style>
  <w:style w:type="paragraph" w:styleId="27">
    <w:name w:val="annotation subject"/>
    <w:basedOn w:val="11"/>
    <w:next w:val="11"/>
    <w:link w:val="73"/>
    <w:qFormat/>
    <w:uiPriority w:val="0"/>
    <w:rPr>
      <w:bCs/>
    </w:rPr>
  </w:style>
  <w:style w:type="paragraph" w:styleId="28">
    <w:name w:val="Body Text First Indent"/>
    <w:basedOn w:val="12"/>
    <w:next w:val="1"/>
    <w:qFormat/>
    <w:uiPriority w:val="0"/>
    <w:pPr>
      <w:ind w:firstLine="420" w:firstLineChars="1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0"/>
    <w:rPr>
      <w:b/>
    </w:rPr>
  </w:style>
  <w:style w:type="character" w:styleId="33">
    <w:name w:val="page number"/>
    <w:basedOn w:val="31"/>
    <w:qFormat/>
    <w:uiPriority w:val="0"/>
  </w:style>
  <w:style w:type="character" w:styleId="34">
    <w:name w:val="Hyperlink"/>
    <w:basedOn w:val="31"/>
    <w:qFormat/>
    <w:uiPriority w:val="0"/>
    <w:rPr>
      <w:color w:val="0000FF"/>
      <w:u w:val="single"/>
    </w:rPr>
  </w:style>
  <w:style w:type="character" w:styleId="35">
    <w:name w:val="annotation reference"/>
    <w:basedOn w:val="31"/>
    <w:qFormat/>
    <w:uiPriority w:val="0"/>
    <w:rPr>
      <w:sz w:val="21"/>
      <w:szCs w:val="21"/>
    </w:rPr>
  </w:style>
  <w:style w:type="paragraph" w:customStyle="1" w:styleId="36">
    <w:name w:val="样式 首行缩进:  2 字符1"/>
    <w:basedOn w:val="1"/>
    <w:qFormat/>
    <w:uiPriority w:val="0"/>
    <w:pPr>
      <w:adjustRightInd w:val="0"/>
      <w:snapToGrid w:val="0"/>
      <w:spacing w:line="360" w:lineRule="auto"/>
      <w:ind w:firstLine="480" w:firstLineChars="200"/>
    </w:pPr>
    <w:rPr>
      <w:rFonts w:cs="宋体"/>
      <w:sz w:val="24"/>
      <w:lang w:val="en-US" w:eastAsia="zh-CN"/>
    </w:rPr>
  </w:style>
  <w:style w:type="paragraph" w:customStyle="1" w:styleId="37">
    <w:name w:val="默认段落"/>
    <w:basedOn w:val="1"/>
    <w:qFormat/>
    <w:uiPriority w:val="0"/>
  </w:style>
  <w:style w:type="paragraph" w:customStyle="1" w:styleId="38">
    <w:name w:val="表头字体"/>
    <w:basedOn w:val="1"/>
    <w:qFormat/>
    <w:uiPriority w:val="0"/>
    <w:pPr>
      <w:spacing w:line="360" w:lineRule="auto"/>
      <w:jc w:val="center"/>
    </w:pPr>
  </w:style>
  <w:style w:type="paragraph" w:customStyle="1" w:styleId="39">
    <w:name w:val="表格内容"/>
    <w:next w:val="40"/>
    <w:link w:val="76"/>
    <w:qFormat/>
    <w:uiPriority w:val="0"/>
    <w:pPr>
      <w:jc w:val="center"/>
    </w:pPr>
    <w:rPr>
      <w:rFonts w:ascii="Times New Roman" w:hAnsi="Times New Roman" w:eastAsia="宋体" w:cs="Times New Roman"/>
      <w:kern w:val="2"/>
      <w:sz w:val="21"/>
      <w:szCs w:val="24"/>
      <w:lang w:val="zh-TW" w:eastAsia="zh-TW" w:bidi="ar-SA"/>
    </w:rPr>
  </w:style>
  <w:style w:type="paragraph" w:customStyle="1" w:styleId="40">
    <w:name w:val="文本正文"/>
    <w:basedOn w:val="1"/>
    <w:qFormat/>
    <w:uiPriority w:val="0"/>
    <w:pPr>
      <w:ind w:firstLine="480"/>
    </w:pPr>
  </w:style>
  <w:style w:type="paragraph" w:customStyle="1" w:styleId="41">
    <w:name w:val="xl2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42">
    <w:name w:val="Default"/>
    <w:basedOn w:val="43"/>
    <w:qFormat/>
    <w:uiPriority w:val="0"/>
    <w:pPr>
      <w:autoSpaceDE w:val="0"/>
      <w:autoSpaceDN w:val="0"/>
      <w:adjustRightInd w:val="0"/>
    </w:pPr>
    <w:rPr>
      <w:rFonts w:hAnsi="Times New Roman" w:cs="宋体"/>
      <w:color w:val="000000"/>
      <w:sz w:val="24"/>
      <w:szCs w:val="24"/>
    </w:rPr>
  </w:style>
  <w:style w:type="paragraph" w:customStyle="1" w:styleId="43">
    <w:name w:val="1 表头"/>
    <w:basedOn w:val="1"/>
    <w:qFormat/>
    <w:uiPriority w:val="0"/>
    <w:pPr>
      <w:adjustRightInd w:val="0"/>
      <w:snapToGrid w:val="0"/>
      <w:jc w:val="center"/>
    </w:pPr>
    <w:rPr>
      <w:color w:val="000000"/>
      <w:sz w:val="21"/>
      <w:szCs w:val="21"/>
    </w:rPr>
  </w:style>
  <w:style w:type="paragraph" w:customStyle="1" w:styleId="44">
    <w:name w:val="纯文本1"/>
    <w:basedOn w:val="1"/>
    <w:qFormat/>
    <w:uiPriority w:val="0"/>
    <w:rPr>
      <w:rFonts w:ascii="宋体" w:hAnsi="Courier New" w:cs="Courier New"/>
      <w:sz w:val="21"/>
      <w:szCs w:val="21"/>
    </w:rPr>
  </w:style>
  <w:style w:type="paragraph" w:customStyle="1" w:styleId="45">
    <w:name w:val="正文1"/>
    <w:basedOn w:val="9"/>
    <w:next w:val="9"/>
    <w:qFormat/>
    <w:uiPriority w:val="0"/>
    <w:pPr>
      <w:ind w:firstLine="0" w:firstLineChars="0"/>
      <w:jc w:val="center"/>
    </w:pPr>
    <w:rPr>
      <w:b w:val="0"/>
      <w:sz w:val="21"/>
    </w:rPr>
  </w:style>
  <w:style w:type="paragraph" w:customStyle="1" w:styleId="46">
    <w:name w:val="表格字体"/>
    <w:basedOn w:val="38"/>
    <w:qFormat/>
    <w:uiPriority w:val="0"/>
    <w:pPr>
      <w:spacing w:line="240" w:lineRule="auto"/>
    </w:pPr>
    <w:rPr>
      <w:b w:val="0"/>
    </w:rPr>
  </w:style>
  <w:style w:type="paragraph" w:customStyle="1" w:styleId="47">
    <w:name w:val="正文格式"/>
    <w:basedOn w:val="1"/>
    <w:qFormat/>
    <w:uiPriority w:val="0"/>
    <w:pPr>
      <w:spacing w:before="78" w:beforeLines="25" w:after="78" w:afterLines="25" w:line="360" w:lineRule="auto"/>
      <w:ind w:firstLine="40"/>
    </w:pPr>
  </w:style>
  <w:style w:type="paragraph" w:customStyle="1" w:styleId="48">
    <w:name w:val="正文首行缩进 21"/>
    <w:basedOn w:val="49"/>
    <w:next w:val="12"/>
    <w:qFormat/>
    <w:uiPriority w:val="0"/>
    <w:pPr>
      <w:spacing w:after="120"/>
      <w:ind w:left="420" w:leftChars="200" w:firstLine="420" w:firstLineChars="200"/>
    </w:pPr>
    <w:rPr>
      <w:sz w:val="21"/>
    </w:rPr>
  </w:style>
  <w:style w:type="paragraph" w:customStyle="1" w:styleId="49">
    <w:name w:val="正文文本缩进1"/>
    <w:basedOn w:val="1"/>
    <w:qFormat/>
    <w:uiPriority w:val="0"/>
    <w:pPr>
      <w:ind w:firstLine="538" w:firstLineChars="192"/>
    </w:pPr>
    <w:rPr>
      <w:kern w:val="0"/>
      <w:sz w:val="28"/>
    </w:rPr>
  </w:style>
  <w:style w:type="paragraph" w:customStyle="1" w:styleId="50">
    <w:name w:val="1"/>
    <w:basedOn w:val="1"/>
    <w:qFormat/>
    <w:uiPriority w:val="0"/>
    <w:pPr>
      <w:ind w:firstLine="720" w:firstLineChars="200"/>
    </w:pPr>
    <w:rPr>
      <w:rFonts w:hint="eastAsia" w:cs="Times New Roman"/>
      <w:szCs w:val="32"/>
    </w:rPr>
  </w:style>
  <w:style w:type="paragraph" w:customStyle="1" w:styleId="51">
    <w:name w:val="样式 正文缩进正文缩进2正文缩进 Char Char正文缩进 Char Char Char Char正文缩进 Char ..."/>
    <w:basedOn w:val="9"/>
    <w:qFormat/>
    <w:uiPriority w:val="0"/>
    <w:pPr>
      <w:tabs>
        <w:tab w:val="left" w:pos="840"/>
      </w:tabs>
      <w:spacing w:line="360" w:lineRule="auto"/>
      <w:ind w:firstLine="200"/>
      <w:jc w:val="both"/>
    </w:pPr>
  </w:style>
  <w:style w:type="paragraph" w:customStyle="1" w:styleId="52">
    <w:name w:val="表头"/>
    <w:basedOn w:val="53"/>
    <w:next w:val="1"/>
    <w:qFormat/>
    <w:uiPriority w:val="0"/>
    <w:pPr>
      <w:ind w:firstLine="0" w:firstLineChars="0"/>
      <w:jc w:val="center"/>
    </w:pPr>
    <w:rPr>
      <w:bCs/>
      <w:sz w:val="21"/>
      <w:szCs w:val="21"/>
    </w:rPr>
  </w:style>
  <w:style w:type="paragraph" w:customStyle="1" w:styleId="53">
    <w:name w:val="表格"/>
    <w:basedOn w:val="23"/>
    <w:qFormat/>
    <w:uiPriority w:val="0"/>
    <w:pPr>
      <w:adjustRightInd w:val="0"/>
      <w:snapToGrid w:val="0"/>
      <w:spacing w:beforeLines="10" w:afterLines="10" w:line="259" w:lineRule="auto"/>
      <w:jc w:val="center"/>
    </w:pPr>
  </w:style>
  <w:style w:type="paragraph" w:customStyle="1" w:styleId="54">
    <w:name w:val="正文001"/>
    <w:basedOn w:val="1"/>
    <w:qFormat/>
    <w:uiPriority w:val="0"/>
    <w:pPr>
      <w:spacing w:before="60" w:line="460" w:lineRule="exact"/>
      <w:ind w:firstLine="482"/>
    </w:pPr>
    <w:rPr>
      <w:szCs w:val="20"/>
    </w:rPr>
  </w:style>
  <w:style w:type="paragraph" w:customStyle="1" w:styleId="55">
    <w:name w:val="表格001"/>
    <w:basedOn w:val="1"/>
    <w:qFormat/>
    <w:uiPriority w:val="0"/>
    <w:pPr>
      <w:jc w:val="center"/>
    </w:pPr>
    <w:rPr>
      <w:szCs w:val="20"/>
    </w:rPr>
  </w:style>
  <w:style w:type="paragraph" w:customStyle="1" w:styleId="56">
    <w:name w:val="M正文"/>
    <w:basedOn w:val="1"/>
    <w:qFormat/>
    <w:uiPriority w:val="0"/>
    <w:pPr>
      <w:ind w:firstLine="200"/>
    </w:pPr>
    <w:rPr>
      <w:szCs w:val="21"/>
    </w:rPr>
  </w:style>
  <w:style w:type="paragraph" w:customStyle="1" w:styleId="57">
    <w:name w:val="德源报告表表格"/>
    <w:qFormat/>
    <w:uiPriority w:val="0"/>
    <w:pPr>
      <w:adjustRightInd w:val="0"/>
      <w:snapToGrid w:val="0"/>
      <w:spacing w:line="360" w:lineRule="exact"/>
      <w:jc w:val="center"/>
    </w:pPr>
    <w:rPr>
      <w:rFonts w:ascii="Times New Roman" w:hAnsi="Times New Roman" w:eastAsia="宋体" w:cs="Times New Roman"/>
      <w:snapToGrid w:val="0"/>
      <w:sz w:val="21"/>
      <w:szCs w:val="21"/>
      <w:lang w:val="en-US" w:eastAsia="zh-CN" w:bidi="ar-SA"/>
    </w:rPr>
  </w:style>
  <w:style w:type="paragraph" w:customStyle="1" w:styleId="58">
    <w:name w:val="表中文字"/>
    <w:next w:val="1"/>
    <w:qFormat/>
    <w:uiPriority w:val="0"/>
    <w:pPr>
      <w:jc w:val="center"/>
    </w:pPr>
    <w:rPr>
      <w:rFonts w:ascii="Times New Roman" w:hAnsi="Times New Roman" w:eastAsia="宋体" w:cstheme="minorBidi"/>
      <w:color w:val="000000"/>
      <w:kern w:val="2"/>
      <w:sz w:val="21"/>
      <w:szCs w:val="24"/>
      <w:lang w:val="en-US" w:eastAsia="zh-CN" w:bidi="ar-SA"/>
    </w:rPr>
  </w:style>
  <w:style w:type="paragraph" w:customStyle="1" w:styleId="59">
    <w:name w:val="图表后空行"/>
    <w:next w:val="1"/>
    <w:qFormat/>
    <w:uiPriority w:val="0"/>
    <w:pPr>
      <w:ind w:firstLine="200"/>
    </w:pPr>
    <w:rPr>
      <w:rFonts w:ascii="Times New Roman" w:hAnsi="Times New Roman" w:eastAsia="宋体" w:cstheme="minorBidi"/>
      <w:kern w:val="2"/>
      <w:sz w:val="18"/>
      <w:szCs w:val="24"/>
      <w:lang w:val="en-US" w:eastAsia="zh-CN" w:bidi="ar-SA"/>
    </w:rPr>
  </w:style>
  <w:style w:type="paragraph" w:customStyle="1" w:styleId="60">
    <w:name w:val="表格1"/>
    <w:basedOn w:val="1"/>
    <w:qFormat/>
    <w:uiPriority w:val="0"/>
    <w:pPr>
      <w:adjustRightInd w:val="0"/>
      <w:snapToGrid w:val="0"/>
      <w:jc w:val="center"/>
    </w:pPr>
    <w:rPr>
      <w:rFonts w:eastAsia="方正仿宋_GBK"/>
      <w:color w:val="000000"/>
      <w:kern w:val="0"/>
    </w:rPr>
  </w:style>
  <w:style w:type="paragraph" w:customStyle="1" w:styleId="61">
    <w:name w:val="表格正文"/>
    <w:basedOn w:val="62"/>
    <w:qFormat/>
    <w:uiPriority w:val="0"/>
    <w:pPr>
      <w:wordWrap w:val="0"/>
    </w:pPr>
    <w:rPr>
      <w:b w:val="0"/>
    </w:rPr>
  </w:style>
  <w:style w:type="paragraph" w:customStyle="1" w:styleId="62">
    <w:name w:val="表格标题"/>
    <w:basedOn w:val="52"/>
    <w:qFormat/>
    <w:uiPriority w:val="0"/>
  </w:style>
  <w:style w:type="character" w:customStyle="1" w:styleId="63">
    <w:name w:val="普通(网站) Char"/>
    <w:link w:val="26"/>
    <w:qFormat/>
    <w:uiPriority w:val="0"/>
    <w:rPr>
      <w:rFonts w:ascii="宋体" w:hAnsi="宋体"/>
      <w:kern w:val="0"/>
      <w:sz w:val="24"/>
      <w:szCs w:val="20"/>
    </w:rPr>
  </w:style>
  <w:style w:type="character" w:customStyle="1" w:styleId="64">
    <w:name w:val="正文文本 2 Char"/>
    <w:link w:val="25"/>
    <w:qFormat/>
    <w:uiPriority w:val="99"/>
    <w:rPr>
      <w:rFonts w:ascii="Times New Roman" w:hAnsi="Times New Roman" w:eastAsia="宋体"/>
      <w:sz w:val="24"/>
    </w:rPr>
  </w:style>
  <w:style w:type="character" w:customStyle="1" w:styleId="65">
    <w:name w:val="font31"/>
    <w:qFormat/>
    <w:uiPriority w:val="0"/>
    <w:rPr>
      <w:rFonts w:hint="eastAsia" w:ascii="宋体" w:hAnsi="宋体" w:eastAsia="宋体" w:cs="宋体"/>
      <w:b/>
      <w:color w:val="FF0000"/>
      <w:sz w:val="21"/>
      <w:szCs w:val="21"/>
      <w:u w:val="none"/>
    </w:rPr>
  </w:style>
  <w:style w:type="character" w:customStyle="1" w:styleId="66">
    <w:name w:val="font51"/>
    <w:qFormat/>
    <w:uiPriority w:val="0"/>
    <w:rPr>
      <w:rFonts w:hint="eastAsia" w:ascii="宋体" w:hAnsi="宋体" w:eastAsia="宋体" w:cs="宋体"/>
      <w:color w:val="FF0000"/>
      <w:sz w:val="21"/>
      <w:szCs w:val="21"/>
      <w:u w:val="none"/>
    </w:rPr>
  </w:style>
  <w:style w:type="paragraph" w:customStyle="1" w:styleId="67">
    <w:name w:val="正文样式"/>
    <w:basedOn w:val="1"/>
    <w:qFormat/>
    <w:uiPriority w:val="0"/>
    <w:pPr>
      <w:adjustRightInd w:val="0"/>
      <w:snapToGrid w:val="0"/>
      <w:spacing w:line="360" w:lineRule="auto"/>
      <w:ind w:firstLine="542" w:firstLineChars="225"/>
      <w:jc w:val="center"/>
    </w:pPr>
    <w:rPr>
      <w:color w:val="FF0000"/>
    </w:rPr>
  </w:style>
  <w:style w:type="paragraph" w:customStyle="1" w:styleId="68">
    <w:name w:val="正文（缩进）"/>
    <w:basedOn w:val="1"/>
    <w:next w:val="1"/>
    <w:qFormat/>
    <w:uiPriority w:val="99"/>
    <w:pPr>
      <w:spacing w:line="360" w:lineRule="auto"/>
      <w:ind w:firstLine="480" w:firstLineChars="200"/>
    </w:pPr>
    <w:rPr>
      <w:rFonts w:cs="Times New Roman"/>
    </w:rPr>
  </w:style>
  <w:style w:type="table" w:customStyle="1" w:styleId="69">
    <w:name w:val="网格型3"/>
    <w:basedOn w:val="29"/>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0">
    <w:name w:val="环评正文"/>
    <w:basedOn w:val="1"/>
    <w:qFormat/>
    <w:uiPriority w:val="0"/>
    <w:pPr>
      <w:autoSpaceDE w:val="0"/>
      <w:autoSpaceDN w:val="0"/>
      <w:adjustRightInd w:val="0"/>
      <w:snapToGrid w:val="0"/>
      <w:spacing w:line="360" w:lineRule="auto"/>
      <w:ind w:firstLine="200" w:firstLineChars="200"/>
    </w:pPr>
    <w:rPr>
      <w:rFonts w:cs="宋体"/>
      <w:kern w:val="0"/>
      <w:szCs w:val="21"/>
    </w:rPr>
  </w:style>
  <w:style w:type="paragraph" w:customStyle="1" w:styleId="71">
    <w:name w:val="！正文"/>
    <w:basedOn w:val="1"/>
    <w:qFormat/>
    <w:uiPriority w:val="0"/>
    <w:pPr>
      <w:spacing w:line="500" w:lineRule="exact"/>
      <w:ind w:firstLine="200" w:firstLineChars="200"/>
    </w:pPr>
    <w:rPr>
      <w:kern w:val="0"/>
    </w:rPr>
  </w:style>
  <w:style w:type="character" w:customStyle="1" w:styleId="72">
    <w:name w:val="批注文字 Char"/>
    <w:basedOn w:val="31"/>
    <w:link w:val="11"/>
    <w:qFormat/>
    <w:uiPriority w:val="0"/>
    <w:rPr>
      <w:rFonts w:cstheme="minorBidi"/>
      <w:b/>
      <w:kern w:val="2"/>
      <w:sz w:val="24"/>
      <w:szCs w:val="24"/>
    </w:rPr>
  </w:style>
  <w:style w:type="character" w:customStyle="1" w:styleId="73">
    <w:name w:val="批注主题 Char"/>
    <w:basedOn w:val="72"/>
    <w:link w:val="27"/>
    <w:qFormat/>
    <w:uiPriority w:val="0"/>
    <w:rPr>
      <w:rFonts w:cstheme="minorBidi"/>
      <w:bCs/>
      <w:kern w:val="2"/>
      <w:sz w:val="24"/>
      <w:szCs w:val="24"/>
    </w:rPr>
  </w:style>
  <w:style w:type="character" w:customStyle="1" w:styleId="74">
    <w:name w:val="正文文本 (2)_"/>
    <w:basedOn w:val="31"/>
    <w:link w:val="75"/>
    <w:qFormat/>
    <w:uiPriority w:val="0"/>
    <w:rPr>
      <w:rFonts w:ascii="仿宋" w:eastAsia="仿宋"/>
      <w:kern w:val="0"/>
      <w:sz w:val="13"/>
      <w:szCs w:val="13"/>
    </w:rPr>
  </w:style>
  <w:style w:type="paragraph" w:customStyle="1" w:styleId="75">
    <w:name w:val="正文文本 (2)1"/>
    <w:basedOn w:val="1"/>
    <w:link w:val="74"/>
    <w:qFormat/>
    <w:uiPriority w:val="0"/>
    <w:pPr>
      <w:shd w:val="clear" w:color="auto" w:fill="FFFFFF"/>
      <w:spacing w:line="259" w:lineRule="exact"/>
      <w:ind w:firstLine="300"/>
      <w:jc w:val="distribute"/>
    </w:pPr>
    <w:rPr>
      <w:rFonts w:ascii="仿宋" w:eastAsia="仿宋"/>
      <w:kern w:val="0"/>
      <w:sz w:val="13"/>
      <w:szCs w:val="13"/>
    </w:rPr>
  </w:style>
  <w:style w:type="character" w:customStyle="1" w:styleId="76">
    <w:name w:val="表格内容 Char"/>
    <w:link w:val="39"/>
    <w:qFormat/>
    <w:uiPriority w:val="0"/>
    <w:rPr>
      <w:rFonts w:ascii="Times New Roman" w:hAnsi="Times New Roman" w:eastAsia="宋体" w:cs="Times New Roman"/>
      <w:kern w:val="2"/>
      <w:sz w:val="21"/>
      <w:szCs w:val="24"/>
      <w:lang w:val="zh-TW" w:eastAsia="zh-TW" w:bidi="ar-SA"/>
    </w:rPr>
  </w:style>
  <w:style w:type="character" w:customStyle="1" w:styleId="77">
    <w:name w:val="页眉 Char"/>
    <w:link w:val="21"/>
    <w:qFormat/>
    <w:uiPriority w:val="0"/>
    <w:rPr>
      <w:sz w:val="18"/>
    </w:rPr>
  </w:style>
  <w:style w:type="character" w:customStyle="1" w:styleId="78">
    <w:name w:val="正文文本 2 Char1"/>
    <w:link w:val="25"/>
    <w:qFormat/>
    <w:uiPriority w:val="99"/>
    <w:rPr>
      <w:rFonts w:ascii="Times New Roman" w:hAnsi="Times New Roman" w:eastAsia="宋体"/>
      <w:sz w:val="24"/>
    </w:rPr>
  </w:style>
  <w:style w:type="character" w:customStyle="1" w:styleId="79">
    <w:name w:val="textbig1"/>
    <w:basedOn w:val="31"/>
    <w:qFormat/>
    <w:uiPriority w:val="0"/>
    <w:rPr>
      <w:sz w:val="18"/>
      <w:szCs w:val="18"/>
    </w:rPr>
  </w:style>
  <w:style w:type="paragraph" w:customStyle="1" w:styleId="80">
    <w:name w:val="正文样式1"/>
    <w:basedOn w:val="1"/>
    <w:qFormat/>
    <w:uiPriority w:val="0"/>
    <w:pPr>
      <w:adjustRightInd w:val="0"/>
      <w:spacing w:line="480" w:lineRule="atLeast"/>
      <w:ind w:firstLine="567"/>
      <w:jc w:val="left"/>
      <w:textAlignment w:val="baseline"/>
    </w:pPr>
    <w:rPr>
      <w:kern w:val="0"/>
      <w:sz w:val="28"/>
      <w:szCs w:val="20"/>
    </w:rPr>
  </w:style>
  <w:style w:type="paragraph" w:customStyle="1" w:styleId="81">
    <w:name w:val="正文新"/>
    <w:basedOn w:val="1"/>
    <w:qFormat/>
    <w:uiPriority w:val="0"/>
    <w:pPr>
      <w:spacing w:line="460" w:lineRule="exact"/>
      <w:ind w:firstLine="480" w:firstLineChars="200"/>
    </w:pPr>
    <w:rPr>
      <w:sz w:val="24"/>
    </w:rPr>
  </w:style>
  <w:style w:type="paragraph" w:customStyle="1" w:styleId="82">
    <w:name w:val="表格内"/>
    <w:basedOn w:val="1"/>
    <w:qFormat/>
    <w:uiPriority w:val="0"/>
    <w:pPr>
      <w:adjustRightInd w:val="0"/>
      <w:snapToGrid w:val="0"/>
      <w:spacing w:line="360" w:lineRule="exact"/>
      <w:jc w:val="center"/>
    </w:pPr>
    <w:rPr>
      <w:rFonts w:ascii="Times New Roman" w:hAnsi="Times New Roman" w:cs="Times New Roman"/>
      <w:snapToGrid w:val="0"/>
      <w:kern w:val="0"/>
      <w:szCs w:val="21"/>
    </w:rPr>
  </w:style>
  <w:style w:type="paragraph" w:customStyle="1" w:styleId="83">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84">
    <w:name w:val="报告1"/>
    <w:basedOn w:val="1"/>
    <w:qFormat/>
    <w:uiPriority w:val="0"/>
    <w:pPr>
      <w:adjustRightInd w:val="0"/>
      <w:spacing w:line="360" w:lineRule="auto"/>
      <w:ind w:firstLine="505"/>
      <w:jc w:val="left"/>
      <w:textAlignment w:val="baseline"/>
    </w:pPr>
    <w:rPr>
      <w:kern w:val="0"/>
      <w:sz w:val="24"/>
    </w:rPr>
  </w:style>
  <w:style w:type="paragraph" w:customStyle="1" w:styleId="85">
    <w:name w:val="@正文缩进"/>
    <w:basedOn w:val="1"/>
    <w:qFormat/>
    <w:uiPriority w:val="0"/>
    <w:pPr>
      <w:pBdr>
        <w:top w:val="none" w:color="auto" w:sz="0" w:space="3"/>
        <w:left w:val="none" w:color="auto" w:sz="0" w:space="4"/>
        <w:bottom w:val="none" w:color="auto" w:sz="0" w:space="1"/>
        <w:right w:val="none" w:color="auto" w:sz="0" w:space="4"/>
      </w:pBdr>
      <w:spacing w:line="360" w:lineRule="auto"/>
      <w:ind w:firstLine="420" w:firstLineChars="200"/>
      <w:textAlignment w:val="baseline"/>
    </w:pPr>
    <w:rPr>
      <w:sz w:val="24"/>
    </w:rPr>
  </w:style>
  <w:style w:type="paragraph" w:customStyle="1" w:styleId="86">
    <w:name w:val="3博创正文"/>
    <w:basedOn w:val="1"/>
    <w:unhideWhenUsed/>
    <w:qFormat/>
    <w:uiPriority w:val="0"/>
  </w:style>
  <w:style w:type="paragraph" w:customStyle="1" w:styleId="87">
    <w:name w:val="Table Text"/>
    <w:basedOn w:val="1"/>
    <w:semiHidden/>
    <w:qFormat/>
    <w:uiPriority w:val="0"/>
    <w:rPr>
      <w:rFonts w:ascii="宋体" w:hAnsi="宋体" w:eastAsia="宋体" w:cs="宋体"/>
      <w:sz w:val="24"/>
      <w:szCs w:val="24"/>
      <w:lang w:val="en-US" w:eastAsia="en-US" w:bidi="ar-SA"/>
    </w:rPr>
  </w:style>
  <w:style w:type="table" w:customStyle="1" w:styleId="88">
    <w:name w:val="Table Normal"/>
    <w:semiHidden/>
    <w:unhideWhenUsed/>
    <w:qFormat/>
    <w:uiPriority w:val="0"/>
    <w:tblPr>
      <w:tblCellMar>
        <w:top w:w="0" w:type="dxa"/>
        <w:left w:w="0" w:type="dxa"/>
        <w:bottom w:w="0" w:type="dxa"/>
        <w:right w:w="0" w:type="dxa"/>
      </w:tblCellMar>
    </w:tblPr>
  </w:style>
  <w:style w:type="paragraph" w:customStyle="1" w:styleId="8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theme" Target="theme/theme1.xml"/><Relationship Id="rId59" Type="http://schemas.openxmlformats.org/officeDocument/2006/relationships/image" Target="media/image52.jpe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jpeg"/><Relationship Id="rId51" Type="http://schemas.openxmlformats.org/officeDocument/2006/relationships/image" Target="media/image44.jpeg"/><Relationship Id="rId50" Type="http://schemas.openxmlformats.org/officeDocument/2006/relationships/image" Target="media/image43.jpeg"/><Relationship Id="rId5" Type="http://schemas.openxmlformats.org/officeDocument/2006/relationships/footer" Target="footer3.xml"/><Relationship Id="rId49" Type="http://schemas.openxmlformats.org/officeDocument/2006/relationships/image" Target="media/image42.jpe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footer" Target="footer2.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jpe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wmf"/><Relationship Id="rId16" Type="http://schemas.openxmlformats.org/officeDocument/2006/relationships/oleObject" Target="embeddings/oleObject1.bin"/><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g4MDQ2ODUwMzM4IiwKCSJHcm91cElkIiA6ICI3MzIwMjI4NTIiLAoJIkltYWdlIiA6ICJpVkJPUncwS0dnb0FBQUFOU1VoRVVnQUFCRndBQUFGN0NBWUFBQUR2NkovZ0FBQUFBWE5TUjBJQXJzNGM2UUFBSUFCSlJFRlVlSnpzM1hsOEZPWDlCL0RQTXpON1pCT1NrSU5jRUFJRXdoVkNPTHhBNVRDZ2lIaWd0ZlV1RlZRcUhxMUtQYkZxNGFlSWVDc2llSUFpMWxZcFJRNFZGUlM1ajREaENoQWdCRUpDQ0NUWnpXWjM1dm45UWJKTklHQ0FoZGxOUHUvWHkxZloyZG5odTJrKzdNNTM1bmtlZ0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BRUNZWFFBUmtSK0kxcDA2eGNOalNSQ2FFbTUyTWNGSWw5NXkxVzNrNStYbEhBUmdtRjBQRVJFUkVWR3dZOE9GaUlLVjBqSTEvVkpWRTdjS29mUVdVb1pBd0NFQmk5bUZCU01CZUtTRUU4QlJTR3cwcE9lRFBkdHlmZ0dnbTEwYjFVc2tKeWRIU210NEZCUXRTaHE2UTlOVWZxWTNZbDZ2THFFb0x1amVFcmhSa3AvL2F5bWJvNlpUa3BPVEk2UTFQRW9xYWpRTUk0UTViTnlZUXlJNlhmeFFJS0tnRXBXYUdoNm1PZ2FwRUE5S2dVdUVFSXFpS05BMERSYUxCa1ZSekM0eEtFbERvc3JqZ2RmcmhXRVlrRklhZ0ZoaFNPK3JUbmptRjIvZFdtWjJqUVFBRUszU3VsMmpDVEZTQ3RFV2dFMUlhWk5DcUlEa1ozb2pKeVM4VWdnM0FEY003SlpDdnI5N3k0WXZBVWl6YTJ0aVJLdTBidGVvaW5JdmdOYk1ZZFBDSEJMUjZlQ0hBaEVGalpTVWppbkNibnNaQXRjQXd0cThlU1F1NjNNeE9xWjFRSFJVRkdLaW8yQzMyODB1TXlpNTNXNFVGUjlDeWVIRDJMcHRPMzVZOGpNT2w1WUNnTmVRK0VyM2VCN1AzL0ZycnRsMU5sMmRyYTA3cUZjb2l2Si9FQ0lkQUlRUXNHZ2FMQllMRkpXTnhxYkEwQTE0dkY1NFBCNUllZXpjVGtxNTFZQjhkTThXNzBJZ3A4cnNHaHUzenRhVUR1b1FvU2pQTVlkTkYzTklSS2VERFJjaUNnb3RPNmFuYTFLZEFZR3VRa0M5Y3RCQTNIM1g3ZWlRMmc1aFlXRm1sOWVvbEZkVVlPdTJYSHcwY3hiK08zOGhwSVF1SUhPcWRNOGQrN2JuckRlN3ZxYW1lZHUyRVJIV1puK0R3TDBDSXRKdXMrR2lDM3VqUjBZM3hNYkdJQ1k2Q2c2SEEwTHdJNzB4azFMQzVYS2grRkFKaW9xTHNYN0RSdnl5WWhXY0xoY2djZFNReG50bHV2UDVrdHpjbzJiWDJoalY1RkJBaklaQXVOMW1RNTlMTGtKRzF5NklqWTFCYkV3MFFrSkNtTU5Hampra290UEZUd1VpQ25odDJuUkxNMnppdjRvUXFlSGh6ZkRvUTJOdzYrOXZNcnVzSm1IMkYvL0doSW12NG1oWkdhU1UrN3hWVmYzemQyN2ViblpkVFVWY3UyNHRRaXppWFNIRVVBQ1dnZjB2eDcxMzM0VTJLYTBSR1JIQklYUk5sSlFTcFVlT1lPZXUzWmd5N1VOOHUvZ0hBTExLTU1TM1RuZlZuNHJ5Y2c2WVhXTmowaW90TFZFVjlqZVB6MkhiTmltSUNBOW5EcHNvNXBDSUdrSTF1d0Fpb2xPSlNVdHJadFVzYndxSWk1bzNqMUJlZk9GWkRMMXFNRlRldW4xZWRFcnJnTFp0VXJCcXpWcFVWRGpERkZWdEdSclQvTHV5NG1LWDJiVTFlcW1wdGhpTGRad0E3ckphcmRxTjF3L0QrTDgvalpUa1pGNUpiK0tFRUFpeDI1R1lFSThyK3ZkRDZaRlNiTjIrUTlWMWJ6dWJxb1E2Yk9vUFpXVmxIclByYkJSU1UyMVJxdU5GQUxkWXJWYnR0ai84RHM4OS9maXhITnJ0ekdFVHhod1NVVU93NFVKRUFTMHVwdVZZb2VCdUlZVGxtY2NmdzlDckJrUFROTFBMYWpJVVJVRks2MlJFUlVYaDI4VS9DQUcwRTFMekhqbFUrTDNadFRWMnlUR3RibEVGbmxZVXhmN2c2SHN3WnZRb05PUHdPVHFPeGFMaGdsNDlFR0lQd2ZKVnE0U1U2S2hZSEFWSERoV3VOYnUyeGlBNXB0VXRRc0hqaXFMWUhoeDlELzU4ejkwSUN3MDF1eXdLTU13aEVaME1HeTVFRkxDU08zUWJxS2pLQjRxaXFzT3ZHNGFIeDl6SFc3ZE5vQ2dLT25kS1ErSEJJdVJzMmFZQ3VEdzhObWJaa2VLRE84MnVyYkZxMWE1VFYxWFRQaE5DUk41MHc3VjQ1T0V4Y0lTRW1GMFdCU2lyMVlwdVhidWd1S1FFbTNJMjI2U1FmY0pqbzc0K1dseDgwT3phZ2xtdEhFYlU1REFraEJPelUvMllReUtxRDg5Y2lDZ2dKU2VuTjFkVTVSa0E2TlVqRXc4L2NKL1pKVFY1anp4MFAzcjE2QTRBVUtUNmY4bko2YzNOcnFtUnNxZ1c2MFFoRUozYXJpMGVHSDBQYkZhcjJUVlJnTFBackhqa3dUK2pjOGMwS0VLSjFxVDFYYUF6ZjNIT1dHZHJUUTQ3cFhWZ0RxbEJtRU1pT2g0YkxrUVVrSlJRWlJDQWJqYWJGY092SFlxNDJGaXpTMnJ5bWtkRzRvWnJoOExoY0FCQ3BDRkV5VEs3cHNZb3VYMzY1UkNpdDkxdXgxMjMvUUVKOFhGbWwwUkJvbmxrSlA1MDEyMElDd3NGZ0c3SkhiWEJadGNVck5xa2FWZlc1UER1UDk3QkhGS0RNWWRFVkJzYkxrUVVjQklURXgwQXJoZEFaSHhjSEs0WTJKOURpUUtBRUFKWkEvc2pKYmtWQkJDcUNIRnRWR3BxdU5sMU5TWXRXN1lNVVJUMUJralpQQ0UrRGxkZk9ZaS8rOVJnUWdnTTZIY1pVbG9uUXdKaENzUU5NVEZwemN5dUs5aTBiTmt5UkFwbGVFME9yK2gvR1hOSURjWWNFbEZ0L1BRZ29zQVRFaFVOb0I4QTNIL3ZTRFNQakRDN0lxcFdjK1d1V24rN0VwSm9ia1dOakNNNkNncXVGa0lvOTQwY2dZZ0k5clBvOUVTRWgyUEVIYmRDQ0NHRXdFQnJ0STBaUFYyTzZDaEFYbEdUdzJiTmVLNU1wNGM1SktJYWJMZ1FVY0N4V01TbGtHalJxbVVTaGc3aG5iaUJac2pnTExSTVNnSWc0eTFDdWNUc2Vob1RUY3JMSUdXcitMZzRYTVBmZlRwRFZ3MjZBdkZ4TFNBbFdsb055WXllSmszS3l3QWtNSWQwTnBoRElnSWJMa1FVaUFURTdVSUlNYkQvNVp5a01BRFpiRFlNemhwUWMrWHVaclByYVV5RWloRkNDSEhWb0lHdzJXeG1sME5CeW1helllaVFLNDlsVkZGdU5idWVZTU1ja2o4d2gwUUVObHlJS05DMGFOTTFUa0FNMERRTkEvdGRablk1UGg5Ly9ESG16NTlmNzNNclY2N0U5T25UZlkrblQ1K09WYXRXbmRieHQyL2ZEcS9YZTlaMW5pOVhEUm9JVlZVaGdINXg3ZHExTUx1ZXhpQTJwWE84aEJpb3FpcUdET1o4eFA3azlYcXhjT0ZDSERwMHlPeFN6cHNiaGcyRnFxcVFRdlNMaTJOR0c2b21oNXFtTVllMUZCVVYvZVpuVkdscEtTb3JLeHQwdkIwN2RrRFhkVDlWRjdpWVF5TFN6QzZBaUtpMkVFM3JCUUZyWWtJOFdpWUZ6cERuWmN1V0lUVTFGVmRkZGRVSnorM2F0UXMvL2ZRVFJvd1lBUUQ0NmFlZkVCNGVqdDY5ZXpmbzJBVUZCYmpsbGxzd2N1UklqQm8xeXUrMW53dXRrcEtRRUIrSC9IMEZWcHNTZGdHQS81cGRVN0FMdFd2OWhSQ2lYWnNVSkNURW0xM09hWnN6Wnc3c2Rqc0dELzdmRUF5MzI5M2cxNnVxQ2swN04xOUxYQzRYbm5qaUNiejk5dHVJam81R1ZWVVZWcTFhQmJmYmpjcktTcmpkYnJqZGJyaGNMcFNWbGFHc3JBeEhqeDVGV1ZrWlltTmo4ZmUvLy8yYzFIVXV0V2dSZ3c3dFU3RjV5MWJWRmhrMkNJV1lhWFpOd2FBbWgya2RVb015aCtmS0k0ODhBcXZWaXFsVHA1NTBuNnV2dmhwMzNua25CZzBhaENWTGx1Q09PKzZvZDc5RGh3N2hEMy80QTY2NTVobzgvZlRUNTdCcTh6R0hSTVNHQ3hFRkZFWFJld0FxV2lZbUl0VGhNTHVjZXVYbDVTRTNOOWYzZU92V3JUaHk1QWkrL2ZaYkFNQ1JJMGV3ZGV0VzMyTUFTRTlQUjF4Yy9jdUt6cGd4QTFhckZiLzczZS9PUS9YK1liUFprSlNZZ1B4OUJSQUttbVRESlMwdExWRlZWUzBuSjJlUFA0NG5KVEtGQUJJUzRoRWFHcGkvKzZleVpNa1NMRjI2RktHaG9lamJ0eS9LeXNyUXIxKy9Ccjkrd0lBQm1EaHhvdS94UGZmY2cwMmJOcDF4UFhmZGRSZEdqaHhaNzNPcXF1TDExMStIcnV1dzIrMncyV3pJeTh0RFdGZ1lMcm5rRWtSR1JpSXBLUW1ob2FHSWlZazU0eHJNWkxQWjBLcGxJalp2MlFwRmtiMkF4bnVpMTYxYnR3c3RGc3ZhTld2V2VNNzJXRFU1Yk5XeVpWRG04UEhISDhlU0pVdk8rUFVaR1JsNCsrMjM2Mnpic1dNSE5tM2FoTUdEQitQNzc3LzNiYmZiN2JqNDRvdDlqdzNEZ0JBQ0JRVUZlUGZkZDVHWGw0Y25ubmppaEVicXZIbnpvT3M2TWpJeVVGQlFjRnIxdFdqUjRwdzFacytGcHBSRElxcGY4UHlMUlVSTmdoUktid0VnS1NrQmpnQnR1S3hkdXhhelpzM3lQVDU2OUNqS3k4c3haY29VQU1DQkF3ZXdaTWtTckYrLzNyZlB3dzgvakxpNE9LeGJ0NjdPc0FiRE1QQ2YvL3dIblRwMXd1clZxeHYwOTE5d3dRVUlEemQzOVJxYnpZcVdTWWxZc1dvTmhNQkZwaFpqRXJ2ZDNsZFJsT21abVpsckFIeWs2L3IzVHFmelVHNXViamtBNDNTUEo0VElBSUFXc1RFSXNZZWNrNXJQcFJkZWVBRi8vT01mOGJlLy9RM1RwazFEWXVLeE85UkdqaHlKek14TTMzNU9weE9hcHNGYWEzNm1OOTU0NDRUalZWWld3bTYzbjNFanNudjM3aWQ5VGxWVnpKNDkyL2ZZNC9GZzdOaXhVRlVWTjkxMEV5b3FLdUJ5dVZCUlVZR3dzTEF6K3Z2TlpyTmFrUkIvN0E0TklVVXZzK3M1bHpSTis2OWhHSWN6TXpObkdJYnhiOE13Q2padTNGZ0c0TFRIYWRia01DR3VSVkRtc0YrL2ZraEpTYW4zdWMyYk4yUHAwcVVZTW1RSVdyWnNXZTgrOGZFbjN0WHp3UWNmQUFBV0xseUloUXNYK3JiSHhzWml3WUlGdnNlR1lVQlZWVnh5eVNWNDg4MDM4Y0FERDZCang0NTFNdXp4ZUh5Zm4yZHk1OWpjdVhOOS83WUVnNmFVUXlLcUh4c3VSQlF3WXRMU21na2dCUURpNCtKZ3Q1czdXV0ZwYVNseWNuS0E2cnRXOXUvZmoyWExscUZyMTY3NDV6Ly82ZHR2OXV6WldMaHdvVzhlbHhFalJtRElrQ0c0OGNZYlR6am10R25UOE1zdnY1eXdmZDI2ZFZpM2JsMkQ2cG94WXdZNmQrNThGdS9zN0Zrcy8vc1NDU0ExTWJHbm82QmdqZFBVb2t3Z2hGQUJYQ2FsdkZUVHRFUGg0ZUZyZXZUb3Nkd3dqSldxcXE1Y3MyWk5jVU9PRXhjWEZ3cUJKRlZSa0JBZkI2dlZjdTZMOTdPUWtCQzg5TkpMdU8yMjIvREZGMS9nZ1FjZUFBQ2twcWJpd2dzdjlPMTM3YlhYWXNpUUliam5ubnQ4MjJiTW1GSHZNYU9pb3Vyc1Y5dlBQLytNZ29JQzNIVFRUU2V0NmRkZmY4VjMzMzBIaitmWWpROWZmZlVWVnF4WWdhdXZ2aHIzMzM4L1hDNFhYQzZYYjI0S3E5V0tuSndjaElTRXdPRnd3T0Z3b0d2WHJnMGVIaGhJVkZWRlFud2NWRldGcm51VFkyTTdoeFVWNVpTYlhkYzVJb1FRN1FFOHA2cnFFNnFxcnUvUm84Y0tBTDk0dmQ2VjJkblp1eHB5a0ppMHRHWTFPVXhNaUEvS0hOWWUwbmU4Zi8vNzMxaTZkQ21HRGgxYUo1T25rcGVYaDRVTEYyTDA2TkYxR2ljUFBmU1FMMWNBSUtXRTErdUZ4WExzWjlhalJ3L01talhyaE1iT25EbHpjUERnUVR6NDRJTjFHckVORld4M25EV3hIQkpSUGRod0lhS0EwVXhSb2dBUm9ta2FvcU9qb0NqbXp1dTlmZnQyakJzM0RnQlFVbEtDUFh2MklEczcyemRNNHV1dnZ3YXFKK1RVZFIxOSt2UUJxdWV0eU1uSndlVEprd0VBdi92ZDcvRGdndzhDQU1hUEg0K3FxaXFnK3M2WTIyKy9IWU1IRDhibzBhTUJBQWNQSHNUNDhlUHh4ei8rRVJrWkdmWFdGUmtaZWM3ZisyOVJGSUdvNXBHd1dDeW84bmpzQ0hGSEEyaHlEWmNhUWdnQklBYkFZQUFERlVVcGxWSVc5ZWpSNDN1djEvdFpkbmIyejZlNjYwVzNSNFVMQ1l0bXNhQkZiT3o1TGQ2UGtwT1RNVzNhTkxScjF3NFZGUlcrN2ZuNStkaTNieDlRZmVkS2ZuNCtWcXhZQWZ6R25TaW44dC8vL2hmTGxpMDdaY05sMjdadCtPaWpqM3lQRnkxYUJBQVlOR2dRM24zM1hZU0VoUGorZS96eHgrRndPSUp5dnBiNkNDRVFFeDBGbTgyR2lncGR0ZHYxY0FDTjhrUlBTbGtkUVFDQUhjQkYxZi9kcFdsYVVZOGVQZGJwdXY1WlpXWGxOMXUzYmkwNzJYRnN1aTFDaUdNNWpJNktPbS8xbnkrR2NleWZvTlA1Ykowd1lRSVNFeE9SbVptSkJRc1dZUGp3NFhDNVhNakp5Y0dWVjE2SkFRTUcxTm4vM1hmZjlkMFJVMlA2OU9sSVNVbkJrU05IOE00Nzc2Qno1ODY0L2ZiYlVldi9zMGFyS2VXUWlPckhoZ3NSQlF5cGF5RlFwS29vQ2h3TzgyL2w3dDI3Tjc3NTVodVVsSlFnS3lzTDExOS9QUjU1NUJFQXdMaHg0M0RCQlJmZ3VlZWV3NWRmZm9uRml4Zjdoa1dNR1RNR1dWbFpHRFpzR0NaTW1GRG5LbUR0b1VDZmZQSUp2RjR2Um8wYTVidHFWMTVlanMyYk4wTktHZkJYOGh3T0J6Uk5nOGRUcFNoV3pXNTJQV2FTVXRaK3FBR0lFVUxFQU9pa2Fkcm96TXpNM1ZMS21ZcWlmTzUydS9QdGRudFo3ZmttUXUwV3V3UTBSVkVRWWcvdUgyWDc5dTFQMkRaLy9ueDgrT0dIUUhYRFpkR2lSVmk4ZURFQTRGLy8rdGM1cStXYWE2N0I0TUdEVVY1ZWpxdXV1Z3F2dnZvcWV2YnNpYU5IajhMbGNxR29xQWhPcHhNdWx3c0hEeDVFUlVVRkpreVlBS2ZUNmZ2UDVYTEI2WFJpNHNTSmFOMjY5VG1yOVZ5dzIrM1FWQlZDU0ZWYXRjQWNvK2tIUWdpSkUzTUlBQkZDaUFnQXFhcXEzdVJ3T0lveU16Ty9BUEFaZ00xbFpXVkhjM056L3plenN5WWNOVG0wQjNrTzYxT3pLbEROWFNpLzVjc3Z2OFRxMWFzeGVmSmtsSmFXNG8wMzNzQ2NPWFBRclZzM1ZGVlZZY2lRSVdqVHBnMVFmYkZnMXF4WmlJNk9QdUh1enBxTEJLKzk5aHBLUzB2eHlpdXZZTlNvVVZpN2RtMkRhejkranFkZzBsUnlTRVQxWThPRmlBS0gxTzFDcUtxcUtuQ0VtTjl3cWJGeTVjcDZ0M3M4SHBTV2x2cUdKSlNXbGdMVmQ3dzRuVTZVbHBiNjdtWTVYbEZSRVdiUG5vMXJyNzIyM2pIendjQVJFZ0pOVlNFTktDSENtOTY5ZS9ja3MyczZueFJGNlN5bFZHcXUwdGI4YisyVHZscC9icTBveXBNQUhyWmFyWnVrbEtzek16TTNHWWJ4M1lZTkc3WkxYVGdVaTlBVVJRVGRpZDd5NWN2eDBFTVArUjUvK3VtbmFOdTJiWjE5Um80YzZadkF0cjRoUmVlS3BtblFOTTEzb21tMVd1RndPSEQ5OWRmRDZYVEM0WEFnTkRRVURvY0QrL2Z2UjBoSUNDb3JLeEVXRm9hNHVEaUVob1ppNzk2OU9IandJSm8zYjM3TzYvVTNtODBHUlZVQUE0ckRLbnAyNzk2OS9vazdncCt2Zy9BYk9Zd1ZRdHdINEc0QVc4UER3MWQxNzk1OWc5ZnIvWG5UcGsxck5DOUNSWFVPYlRickNYOUpzS3RaTmF3aGs4NXUzNzRkRXlkT3hOQ2hROUc2ZFd1MGJ0MGFYYnAwd2ZqeDR6Rjc5bXlrcEtTZ2QrL2V2dUYybjM3NktWRDkyVFo4K0hDRWhvYldPZDZpUllzd1o4NGNYSGZkZGNqSXlNQ1lNV053NU1pUkJ0Y2U2QmNnVHNXWFF5a1VpeWJZY0NGcVl0aHdJYUxBb1dsMktZL2Q0UklTUUEyWG1sVVppb3FLc0diTkd2VHMyUk1Bc0hIalJqejY2S01vTFMxRldWa1pIbjMwVVFEQTNyMTdjZWpRSVh6MzNYYzRjT0FBaGc0ZGVzSXgzM3Z2UGFENlJEUlloWVNFUU5WVVFFakZZZGYrcUNoS2s1b1FVRXBwcjMyaVYrTmt0OGxYbi9RNWhCQVhTQ2w3Q3lFcVZWWGRuNW1adWFuUzYxM2w4aWdXUlNpd21UeDMwZWxxMjdZdG5uamlDZVRuNTJQYXRHbStZUXMxZEYzSHNtWExmSThyS3l1eGQrOWUzN2FvVXd6ZHFQbFo1dVhsK2VaWnFWRldWZ2JETU9xc0dGYkRack9oVmF0V0p6MXU3WWsvYXp6OTlOUFl2SGt6K3ZmdkQxVlZnZXFtNnVyVnEyR3oyVXlmcVBwTTJLeFdxSW9LS0xBNGJOb1lSVkhhbVYzVHVXQVlSdGp4dzJSK0k0Y1dJVVJYQUYyRkVHNnIxWG93TXpOemwwZlhWMVpVd2FvSUJUWmJjT1VRMWZPcXJGcTE2cVRQMTJSbzFLaFJweHpPMDd0M2J3d2JOZ3h4Y1hFWU1XSUVicjc1Wmd3Wk1nUi8rY3RmMExOblQvejAwMCs0Kys2NzY3eG00Y0tGNk5tekp6WnYzb3lGQ3hmaWhodHVxUFA4VzIrOWhRNGRPdUN4eHg0RGpxMHNkWmJ2Tm5qVTVGQUtxVXF2Q0czQVM0aW9FV0hEaFlnQ2hxN0RvaXBDVVlRQ1c0Qk1WdWgwT3ZIVFR6OGhQajRldTNidHd2MzMzNDkvL09NZlFQVnFRUk1uVGp6bHBMazFjOERVZHVqUUljeVpNd2NkT25Ud0RhdW8vUndBTEZ1MnJNNXFSZ0FRRVJHQks2Kzg4aHkrMjlOanMxbWhIanZKVVFCWXF4c1FUY2taL1pMV3V0cXVBUWlYVXNZcFVFSUJRQUtReG1rdmNHU3FGaTFhWU5pd1lkaTRjU09tVFp0Mnd2TXVsd3ZqeDQrdnMyM3AwcVZZdW5RcEFLQnYzNzcxSGxmWGRWL2o0OTU3NzBWUlVWRzkrOTE4ODgwbmJHdmJ0bTJkaWExckhEaHdBSjk4OGdrNmQrN3NtN0RUTUF6azUrZmoybXV2UlZGUkVkNS8vMzNmL3BxbUlTa3BDZmZkZDk5di9CUUNuWVNFYUlvWlBTa3BKWVFRRUVKb1Vzb3dBQW1BRWdvWWtMWG1Pd2ttVjF4eEJUcDE2blRTNStmT25ZdjkrL2VqUTRjT2RaWnpQbDVTVWhJR0RCaUFpeSsrR0NFaElaZzZkU3FlZU9JSjNIenp6U2d0TFVWbVptYWR6Nks1YytkaTA2Wk5tRHg1TW43NjZTZTg4ODQ3eU1yS1FyTm16WHo3WEhYVlZSZzZkT2dKYzc0MHhPREJnL0hNTTgrYzl1c0NrVlFOY3llbkk2THpqZzBYSWdvWXFrU1ZnTlFOS1ZGVjVXbkFLODY5cjcvK0drbEpTWWlLaWtKcWFpcUdEQm1DYjc3NUJoYUxCVC84OEFQNjlPbHp5a2x6UFI3UENjdmFscGVYdzJLeFlOZXVYWGo5OWRmci9Ydm56NTkvd2xYNHRtM2JCbFREeGVQMXdqQWtKR0NVdTQwUG10bVVDV2JYZEo3MUUwSThEcURPMklPYWhzcnhWNUNGRUpCU2VnQnNrVkt1bGxKbUEvaGgvZnIxRzVNN1ozUlVCVzZWaGdGWFplWDVmUmZuV0xObXpmRGpqeitlY3AvNzc3Ly9oRzFlcjllM2RQUkxMNzEwd3ZDOHFWT25ZdE9tVFhqdHRkZE9lRzNOSFhKT3B4TnIxNjdGenovL0RBQjQ3cm5uRUJNVGc3UzBOSHoyMldmWXMyY1A4dlB6RVJzYmkzSGp4dUhkZDkrRngrUEJnUU1Ic0cvZlB1elpzd2U3ZHUwSzJxV2hLeXNyancybk1vVFhXV2xNRHJVcis4MnU2VndRUXN3QlVPY1dwRlBsRUlBdXBjd0RzTm93akxXR1lmeGlzVmlXbDFWNjBoVWhoa3JEOEEyL0NTYjEzVTFadytQeDRKTlBQZ0VBVkZSVU5HaElYMDJPMHRQVE1XblNKTngyMjIwSURRM0ZzODgrNi91NWJ0bXlCWk1tVGNMRkYxK015eTY3RE8zYnQ4ZThlZlB3L1BQUFk4S0VDWFdhcGdBd2R1elkwM3BQcjc3NjZrbUg1Z2FMbWh3S0tReWhhMDEyY25taXBvb05GeUlLR0Y3RmNGbUVwaHVHZ2NvQStMSnJHQVptelpxRm9VT0grbFpVdWV1dXV3QUEzM3p6RFhyMTZvWCsvZnVmOGhoTGx5NnRjNVVQQUZxM2J1MDdBVHhlWGw0ZWhnOGZqdWVmZng1WFhIR0YzOTdMdVZEekpWS0JZcmpkK3E4N05xL2ZhSFpONTFOR1JrWUxSVkY4bDhIcm1iQ3o5c2xlc1dFWS85WjEvWjllcjNlN3hXSXB6czdPOWkzalk3aTlic1dpZVEzRFFHVWphYmpVbkxEYTdYYnMzcjBidDl4eXl3bjdEQmt5QkU4KytXUzlyM2M2bmI1NVUrb2JmdkN2Zi8wTG1xYWhWNjlqSTlsV3JseUpDeTY0b000K2MrZk94VXN2dmVTYjJIUGN1SEc0NXBwck1IUG1UTVRGeFdIOCtQRjQ3cm5uZkRuKy9lOS9qNEtDQXVpNmpwaVlHUFR2M3g5cGFXbStrOFpnVStsMkgydTRDQmdlUTY1YnYzNzlGck5yT2hjeU16TzkrRjlUODRUbmErV3d6RENNQlZMS0wzUmRYMk96MllyWHIxL3ZtMGlrZGZ1dUxxbXEza0Q1RFBLbitmUG5vNktpQW5mZWVTYysrdWdqTEZ1MkRKZGNja21EWHJ0OSszYU1HVE1HbXFiaDVaZGY5aTMxdkhIalJvd1pNd1loSVNHK3V6a1RFaEx3NXovL0daTW1UY0l6enp5RGNlUEcrUnFuQURCczJMRFRxbnZhdEdtK09aaUNsUytIa0laUURKZlo5UkRSK2NXR0N4RUZEa1YzU2FrZWE3aFVtdjlsZC9IaXhjalB6OGMxMTF6amE3alV5TXJLd3FaTm0rcWRQNksybEpRVWRPN2MrUnhYYWc3ZjFYTWhEYUhJSm5mVnJucGxGRm5yTVhDczhXSUlJU29BbEVrcGwrbTYvbkYyZHZiWEFFNTYxaUNGV2ltRTBBM0RnTXNWL0EyWFE0Y08rU2Fiam9pSWdKUVNsWldWZU9xcHA1Q1ltQWdBZU9PTk4wNTU1YnEwdExUQjJjbkp5Y0Y5OTkySE8rNjR3N2NFT3dEMDc5OGZmZnYyUlhoNE9QcjE2NGU0dURnWWhvSHUzYnRqNzk2OTBIVWRIMy84TVQ3ODhFUGNldXV0bUQ1OU9od09CeDU5OUZGb21vWUJBd2Jnd0lFRHlNdkxRM3A2K2xuL1hNNjNtb3hLSVhTM3g5dVlUL1FNMUJvbVZJdExTbmtVd0RZQUg3bGNycSsyYk5seTZHUUhjWHU4cmhCTkM1alBJSDl4dVZ4NDc3MzNFQmNYaC92dXV3OXIxcXpCYTYrOWh0NjllNTl5eFNMRE1QREZGMS9nalRmZWdLcXFlT3V0dDVDWm1RbVB4NFAzM25zUEgzMzBFV0pqWXpGbHloVEUxbHJPL3BaYmJrRitmajVtejU2Tm5Kd2N2UERDQytqU3Bjc1oxVzYxV2h2TkhTNU5JSWRFVkE4MlhJZ29ZRWlQeFNVMGVBUGxkdTdvNkdnTUdUTGtwS3NqUFB6d3c5QjEvYVFUL05hc2dqSnYzcnh6WEtrNUtpdmQwQTBkVWdvZHFxZkpmWW1VVWdvQUF2KzdzbDRDWUkwUVlxVmhHS3VFRUt2V3JWdFgwSkJqcVZXeVFscmc4WGk5S0N3cXF1L0VNV2pzM0xrVHI3Lyt1dSt1a3BpWUdOOWRPK25wNlVoTlRRVUF6Smd4NDZUSEtDMHRSVVZGUllOWDhPcmN1VFB1dWVjZVRKa3lCYzJhTmNPSUVTT0E2dmxsVUQzQmJnMWQxekZwMGlRa0pTWEJNQXgwN2RvVkF3Y09SSWNPSFRCMjdGams1dWFpcUtnSUlTRWgyTGR2SHhJU0VwQ1ZsUlYwRFJjcEpZcUxTK0N1Y2tOSXFkdWtyZUZMd2dRWlVSMlc2aHk2QVd3UVFxd0VzTUl3akpVYk5telkxcERqcUhhVVNSekxZZkdoUTBHZHc5b21USmlBL2Z2M1k5eTRjYkJZTEhqd3dRY3hjdVJJdlBMS0t5Y2Q0cVBydXE4NWs1NmVqdkhqeC91YXBRVUZCZmowMDAvUnQyOWZQUFhVVS9WT2ZQM29vNDhpUGo0ZW4zLytPYUtqbzgrNDltYk5tdmxXTTNLNVhGQlZ0YzRkTTRHdUtlV1FpT3JIaGdzUkJReHZHUTVibTR0S3I2N2pjR21wNlY5MnUzZnZqdVRrNUZQdU0yYk1HRngvL2ZYMVBqZDc5bXg4L1BISHZzZWZmLzU1dmZOTjFPZnBwNSt1ZDhKZEFJaU1qRFM5aVNPbFJNbmh3OVZYSHFWNzcxYTEyTlNDVENLbE5BQXNOd3pqY3lIRTkwS0lmV3ZYcmowTXdOdUFsL3ZzMmJPeHRIWEhqQkxETUZCWWVCQlZIZzlzUVhSU0FRQ0hEeDhHQUR6MTFGTytZVGl4c2JHSWo0OUhYbDRlQUtDa3BBU0ZoWVVBY01xcjFwczJiUUlBdEd2WDhFVjFSbzBhaFYyN2R1R3R0OTVDNzk2OVQ5b2dzVnF0K1BEREQrRjJ1N0Y4K1hKWXJWYms1T1JnOSs3ZEdEMTZOTUxEd3pGcDBpUkVSMGZqb1ljZVFtRmhJUTRjT0ZCbkV0OWc0UFY2c2Y5QUlYVGRnQVFLOC9MV04rb1RQU25sTGlubEZ3RG1TQ256S2lvcWluTnpjMCtyYzc5dnk1YkROVGs4Y0tBd0tITjR2TW1USjJQZXZIbTQ5TkpMZmNONWV2VG9nVC84NFErWU5Xc1dJaUlpZlBPcjFLYXFLbTY5OVZiMDc5OGZIVHAwUUVKQ2d1KzUrUGg0ZlBiWlo3NlZ3Tnh1TjZxcXFuekRaNDhjT1lJcFU2Wmd4SWdSdU9XV1d4cTBEUFhKeE1mSFkrUEdZNk5WVjZ4WWdTZWZmQkx6NXMxRFpHVGtHUi96ZkdwcU9TU2lFN0hoUWtRQm83QXd1NkoxODR3ZE1JeHVCUVVwak9ROEFBQWdBRWxFUVZUNzRhNnFndDNFcFRtRkVMOTVaZTdGRjEvRXl5Ky9YTzl6WHErM3p0MHg2ZW5wdnpsUjRlSERoL0h4eHg4akt5dkxkeWZBOGV4Mjh4Y2E4WGc4S0NnNEFNT1FBTEFWeUFudWU3N1B6TTlTeWk3cjE2L1A4OE94SkF5c2hZbytCNHVLNFhLNWd1NUViLzc4K1VEMVBDaWpSbzNDOE9IRFQ1aFQ1ZmpWZms0MnlXZk42bDI5ZS9jK3JSckdqUnVId1lNSG4vSnVsS1ZMbCtLRkYxNUFlWGs1M0c0MzFxOWZqMjdkdWlFbUpnWmZmZlVWOXUvZmorenNiTGhjTGl4WnNnVHg4ZkdJajQ5SDkrN2Q0WEE0VHFzZU0xVlZlYkMvdXJrbElkZldIdjdXMkJpR01heXFxbXAxVHM1Wi96dGsxT1J3ZjJGaFVPYXdSbmw1T2Y3eGozOWcwYUpGNk5peG8yOTF2Um9QUGZRUWR1L2VqYWxUcDJMMzd0MzQyOS8raG9pSWlEcjdYSDc1NWZqNjY2OHhhdFFvZlBqaGgwaFBUOGRiYjcyRlpjdVdZZWJNbWI3OTdyenpUcVNscGVIdmYvODdVUDM1TUhmdVhCdzhlUENrbjQ4TmxacWFpb1VMRjZLc3JBeUhEeCtHMiswT3FrbXNtMUlPaWFoK2JMZ1FVVUFSQnRaRHhmWDVCZnZoZERwTmJiZzB4T2pSb3pGNDhPQjZuNXM3ZHk2Ky9QSkwzK05PblRxZGNzbE9WRSthKy9ISEgrT3l5eTRMNkVsejNWVlYyTGYvMklJblVzZzFadGRqaGcwYk51eno1L0VVVmE0R0JBcjJIMEJGaFJPUng1MzhCTHE3N3JvTEF3WU1RRlpXRm1iTW1JSGk0bUxma3MxMnV4MFpHUmw0K09HSGZjTjhVR3NWRksvWDY3dWJyYmk0R0FzV0xFQm1aaWJpNHVKT09yeXdadG5lMnM4TElYRHh4UmZEN1haRFZWWGZsZlhhazI1bVptWmk1c3laaUltSlFWWldGbTY3N1RaMDZkSUZWVlZWcUt5c3hCVlhYSUVQUHZnQVNVbEp2Z2w5Ly9TblAySExsaTNvMGFQSE9makpuUnR1dHh0NzkrWWZleUNONVdiWGN5NnRYNzkrbWIrT1ZaUERQWHYzQldVT0FXREpraVdZT0hFaUNnb0swTE5uVDd6eXlpc0lEUTJ0czQrbWFaZzBhUktlZlBKSkxGcTBDS3RXcmNLSUVTTnd3dzAzK0pyNlVrck1uRGtUWGJ0MjlUVXhlL1hxaGVuVHArT2JiNzdCb0VHREFBRERody9IaXkrK2lEdnV1QVB0MnJWRFRFd003cm5uSGt5ZVBCbmZmZmNkQmc0Y2VNYnZwV2ZQbmdDQVgzNzVCZm41K1VoS1NqcXJPMmJPdDZhVVF5S3FYL0Q4aTBWRVRZSXVqQTBhVk93cjJBK24wNFdvNmxWS0FsVlZWUlZjcnZxbkx3bjJpZjVPcGNwZGhYMEZ4eG91aGk1WG0xMVBZK0IyZTMrdzJhell2V2N2OWg4NGdLVEVoQWE4S25Da3BhVWhMUzBONjlhdHc1dHZ2b2xMTDcwVVhidDJCYXFIQlV5ZlB0MjM3N3AxNjdCdDJ6YUVoSVNndkx3Y0d6ZHV4TlZYWHcwQWVQdnR0K0YydTNIbm5YZGl4NDRkdnFiTnlaeHNwWlZycjcwV045eHdBMzcrK1dmczJiTUhBT0J3T0JBV0ZvYXdzRENzVzdjT2h3OGZ4a3N2dllUaTRtSzgvUExMdmlFWFgzMzFGVFp1M0loNTgrYkI2WFFpT3p2N2xKT0xCcUtpUThYWXNTc1BVa3JwOFJqZm1sMVBzS2pKNFk0ZE80TXVoOHVYTDhmMDZkT3haczBhcUtxS0VTTkc0TjU3N3ozcFVEaXIxWXFYWG5vSnMyYk53bHR2dllWSmt5Wmh5cFFwR0Q1OE9CNTQ0QUVzV0xBQVc3ZHVyVE1VOXNJTEwwU1hMbDB3ZGVwVVpHVmxRUWlCNjY2N0R0T21UY09iYjc2SnlaTW5BOVYzdW4zNTVaZVlPSEVpTHJyb29oTWFQZzJWa1pHQk5tM2ErUDc5eU1qSU9LUGptSVU1SkNJMlhJZ29vTGdxdlN1Yk9WVHY3ajE3dFQxNzg5RXlLZEhza2s3cC9mZmZ4d2NmZkZEdmM4Y1BLV3BNOXVidnc1Njlld0VwcXlxcmRGNjE4NE9DblRsN1VqcDIrOFhyOVY3OC9ZOC9vVmVQVExOTE9pUEZ4Y1dJaTR2RHM4OCtlOUo5Q2dvS01ISGlSTjhTdm9tSmlianBwcHVBNnFFUXZYcjF3cVdYWG9xalI0L2lxYWVlT3FNNlVsSlNVRlpXaHZmZWV3K0tvcUJQbno1MVZqMWF0V29WNHVMaWNPT05OMkxZc0dGMXNucmRkZGZobFZkZXdYdnZ2ZWM3b2F4cEhnV0wrUXUvaGRmckJZQVZCVHR6OXBoZFQ3Q295YUVuQ0hPNGN1VktyRm16QnIxNzk4WmYvL3BYdEcvZi9qZGZJNFRBTGJmY2dvRURCMkxLbENsWXRHZ1IrdlRwQXdENDk3Ly9qZTdkdTZOdjM3NTFYblBiYmJmaHl5Ky94T0hEaHhFVkZRV0x4WUxSbzBmalVLMkpoalZOdzJPUFBZWVZLMVpBVVpTemVsOVBQZlVVeG80ZEM3dmRqai85NlU5bmRhenpqVGtrb3VDZmVwMklHcDJVamhtTGhSRDk3N3I5Rmp6eitLTm1sMFAxR0QveEZiei93UXhJUTM2ZnQzWERBTFByYVN4UzBqTCtLQlF4dlZYTEpIejM5VmRCZGV0OGJXVmxaYjRKTkUrbCtrU2t6dnVzcXFwQ1NVbEpnMWNvK2kyR1lVQUljY0lFM0M2WEM0cWl3QmJnd3hiUGhOZnJ4UlZYWDQ4OWUvTWhEV04wM3Ric2Q4eXVLWmdFYXc0Tnc4Q1dMVnNhdkp4NmZTb3JLMzFEaW5SZHg5R2pSOUU4d084MERWVE1JUkVCd05tMW5JbUl6Z0VEOGlNcHBheDFaWWdDaU1mcnhaZi9tUWNwcFlRd1BqTzdua1pGaU8rbGxBZjM1dS9EajB0L05ydWFNOWFRWmd1cUd5M0huOHhhclZhL05Wc0FRRkdVZWxjN0N3a0phWlRORmdCWSt2TXYyTE0zSDVDeVNQZGlxZG4xQkIwaHZvZEVjYkRsVUZHVXMycTI0TGhKMlZWVlpiUGxMRENIUkFRMlhJZ29FT2xlZkFlQndzS0RCL0hONGgvTUxvZU84OTMzUCtMUW9SSUEyRjhseFk5bTE5T1l1QTRiUllDWUw2V1VyN3orRHB6Tyt1Y0hJam9acDlPRmQ2Wk9oNVJTU29uRlpmclJmTE5yQ2phdXcwYVJGUEw3bWh5NlhKVm1sMFJCaGpra29ocHN1QkJSd0pITzRoSUFTd0RnN2ZlbW9hTENhWFpKVksyOHZBTFRQcXhaRGxUK1VLazc5NXRjVXFOU1dKaGRBY2haRURpY3QzczMvdlAxZk45cVBFUy9SVXFKUmQ4dXhwWnR1UkFDRlZKaWRtbGVYcW5aZFFXYndzTHNDaW54V1UwT0YzMzNQWE5JRGNZY0VsRnRiTGdRVWNBcEtDaHdTaW5tUU9Mb3pwMTVXUHpERXQva21tUWVLU1crL2Y1SGJOMitIUktvZ0NIK1U1S2JlOVRzdWhvYmIvbWhKWkRJZGxWV1l1YW5uNlB3WUpIWkpWR1FLRDF5QkIvT25JWHk4bkpJQXptNjg5QUNzMnNLVnA2alJRdHFjdmpoakUrWlEyb3c1cENJYW1QRGhZZ0NrblRxOHlXdzNsVlppVTgvLzRKZmRnTkE2WkVqK095Zi8wSjVlUVVnWlE2cXhFS3phMnFNOHZQelhWNnBQeWlsUEpLelpTdmVtVG9kSGcvbk1xSlQ4M2k4ZU9PZHFjamU5Q3VrbEVkMXIveFRmbjQreDZTZG9ZS0NBbWRORGpkczNNUWNVb013aDBSMFBOWHNBb2lJNm5Qa3lNSEtpS2pZZzBKUmJqMVFlQkJlandlWFg5ckg3TEthdEZmZmZCZGZML2dHVWtvWWtQZnR6dDJRYlhaTmpkWFJRd2NMbTBlMzJDR0Z1T0xYbk0waG1xYWljNmMwMkt4V3MwdWpBRlJlWG9FUFozeUtkNlpPQnlTT0dJWjhjRzl1OWpkbTF4WHNhbklJS0lNMjVlVFlOVTFGMTg2ZFlMVmF6QzZOQWhCelNFVDFZY09GaUFMV2tVTUh0MGRFdFdnbUpTN2NzSEdUMHI1OUt0cTFTYWwzeFJFNmR3ekR3TUp2RitQNUNSTmhHRktYa0cvdDJaTDltdGwxTlhhbHpjTjNSQXBydUpTNGVOMkdqY3JSbzJYbzNiTUhUL2FvanNyS1NreCs0eDFNKzJnbXFqd2VRd0xUdkdYRnI1V1ZsWG5NcnEweEtHMGV2aU5Dc1NSSWlaN3JObXhVM0c0M01qTzZNWWRVQjNOSVJDZkRoZ3NSQmJiUUZxdENMS0lIZ0hZclY2OFI3VlBib1ZYTEpDZ0tSMFNlRDdxdTQ4ZWxQK1BaZjd5SXNySnlDZUFibDF2L1MwWHB3UXF6YTJ2MFNrcDBHZHBpamQyQzlvYXVwMjdZK0t1NmIvOStaR1owZzZJbzBEU056Y2NtU2txSnlzcEtsQnd1eGZNVEp1TFR6LzhGcjlmamtjQUM2VFFleU0vZlVXWjJqWTFHU1lrZUZ0TjhoUUlsMWREMTFEWHJOdmh5cURLSFRScHpTRVFOd1U4SUlncDRyVHAwdTFSVmxNK0VRR0pzVEF6KzhzQm8zSHpqOVdhWDFTVE0vdUpMdlBMNld5Z3FQZ1FwY1VoNjlXdDI1MjVjRG9DekdKOHZLU24yRkZ2RWcxRHdrSUNJajQySlJxK2VtZWljbG9hWW1HakVSRWZCNFhEd3BLK1JrMUxDNVhLaCtGQUppb3NQWWZPMmJWaTFlaDBPRmhVQkVrVVM4czA4YjhXTHlNMTFtMTFybzFTZFF5SEVYeUVRR3hzVGpRdDc5MEphKzFURXhFUWpOaVlhSVNFaHpHRWp4eHdTMGVuaXB3SVJCWVhrOXVsWEtLcjZNU0RqaEJES0JiMTZZc3g5STlHMWN5ZUVoanFnYVpyWkpUWUtYcThYVHFjTEd6WnV3cnZ2ZjRCZlZxeUNsTklBVUdqb3loMTd0cS83MXV3YW15aEw2N1NNdmdKNFNpaGlBQUFvaWdLYjFRcWJ6Y2JmL3liQ3EzdmhkbGZCN1hiN2xpbVdFa3QweUgvczlWYjh5Sk84Yzg3U3FtTkdmMVZpN0FrNXROdWdxY3hoVThBY0V0SHBZTU9GaUlKRzYvWmRPd2xGbXlRVVhBSEFZclZhMGIxYlYzVHAzQkV0azVMUU1pa1J6Y0xDekM0ektCMHRLMFArdmdJVUZPekg1cTNic0diZEJsUlZWUUdBRjFJdXJESzhUKzdiOXVzR3Mrc2tJTGxEdDRHS0lwNFFRQWNwWUlFVUdvUlVBRjVhYjl3a0FLRUQwaXNrUEJKeWh6VGtTN3UzYmZ6YTdNcWFvbU01eERNQ29xMFVzQUJDQTVwT0RxVWhmU2NSRW9CUW1zVGJaZzZKNkxRMWxYOGRpYWlSaUUzcEhCOWl0OXlrQUg4UlFxVFViTGRZTEFoMThFNlhNK1h4ZXVCME91c3NleW9sOGlEMDE1MlY4dE9EdXpZVm1sb2dIVThrSnlkSFNtdDRGQlF0U2hxNlE5TlVmcVkzWWw2dkxxRW9MdWplRXJoUmtwLy9heWtBdyt5Nm1qZ2xPVGs1UWxyRG82U2lSc013UXBwS0RtMmEwYzZtS1hjb1FsaGNIbjJhMjZ2c01MdW04NEU1SktMVDFTUStGSWlvRVVwTnRhV29ZZmRCa1hkRElsSUlhQkpDNDJUZ1owb2FBdkJJQ1MrQWNnTjR5MzM0d1BUQ3drSk9qa3RFUkhWa1ptWmVMb1Q0VEVwcEIzRGR1blhyZmpTN0ppS2lRTVJMd1VRVW5ISnozWG5BcXdEZVNPelFvYmxRUXFLRWJqVFhWQ1hFN05LQ2tWZVhMcW1LdzlKd2xSUnMyM1lZZ0c1MlRVUkVSRVJFd1l3TkZ5SUtkbnJCdG0zRkFJck5Mb1NJaUlpSWlLaUdZbllCUkVSRVJFUkVSRVNORFJzdVJFUkVSRVJFUkVSK3hvWUxFUkVSRVJFUkVaR2ZzZUZDUkVSRVJFUkVST1JuYkxnUUVSRVJFUkVSRWZrWkd5NUVSRVJFUkVSRVJIN0doZ3NSRVJFUkVSRVJrWit4NFVKRVJFUkVSRVJFNUdkc3VCQVJFUkVSRVJFUitSa2JMa1JFUkVSRVJFUkVmc2FHQ3hFUkVSRVJFUkdSbjdIaFFrUkVSRVJFUkVUa1oyeTRFQkVSRVJFUkVSSDVHUnN1UkVSRVJFUkVSRVIreG9ZTEVSRVJFUkVSRVpHZnNlRkNSRVJFUkVSRVJPUm5iTGdRRVJFUkVSRVJFZmtaR3k1RVJFUkVSRVJFUkg3R2hnc1JFUkVSRVJFUmtaK3g0VUpFUkVSRVJFUkU1R2RzdUJBUkVSRVJFUkVSK1JrYkxrUkVSRVJFUkVSRWZzYUdDeEVSRVJFUkVSR1JuN0hoUWtSRVJFUkVSRVRrWjJ5NEVCRVJFUkVSRVJINUdSc3VSRVJFUkVSRVJFUit4b1lMRVJFUkVSRVJFWkdmc2VGQ1JFUkVSRVJFUk9SbmJMZ1FFUkVSRVJFUkVma1pHeTVFUkVSRVJFUkVSSDdHaGdzUkVSRVJFUkVSa1oreDRVSkVSRVJFUkVSRTVHZHN1QkFSRVJFUkVSRVIrUmtiTGtSRVJFUkVSRVJFZnNhR0N4RVJFUkVSRVJHUm43SGhRa1JFUkVSRVJFVGtaMnk0RUJFUkVSRVJFUkg1R1JzdVJFUkVSRVJFUkVSK3hvWUxFUkVSRVJFUkVaR2ZzZUZDUkVSRVJFUkVST1JuYkxnUUVSRVJFUkVSRWZrWkd5NUVSRVJFUkVSRVJIN0doZ3NSRVJFUkVSRVJrWit4NFVKRVJFUkVSRVJFNUdkc3VCQVJFUkVSRVJFUitSa2JMa1JFUkVSRVJFUkVmc2FHQ3hFUkVSRVJFUkdSbjdIaFFrUkVSRVJFUkVUa1oyeTRFQkVSRVJFUkVSSDVHUnN1UkVSRVJFUkVSRVIreG9ZTEVSRVJFUkVSRVpHZnNlRkNSRVJFUkVSRVJPUm5iTGdRRVJFUkVSRVJFZmtaR3k1RVJFUkVSRVJFUkg3R2hnc1JFUkVSRVJFUmtaK3g0VUpFUkVSRVJFUkU1R2RzdUJBUkVSRVJFUkVSK1JrYkxrUkVSRVJFUkVSRWZzYUdDeEVSRVJFUkVSR1JuN0hoUWtSRVJFUkVSRVRrWjJ5NEVCRVJFUkVSRVJINUdSc3VSRVJFUkVSRVJFUit4b1lMRVJFUkVSRVJFWkdmc2VGQ1JFUkVSRVJFUk9Sbm10a0ZFQkVSRVJGUllPclpzNmZETUl6WTJ0dUVFUEZTU2xVSW9RQ0l6OHpNYkYzN2VWM1hpN096c3l2T2U3RkVSQUdHRFJjaUlpSWlJcXFYMSt0TlUxVjE3ZkhiaFJBMWYveXMxcDhCQUlxaVhBQmcxWGtxa1lnb1lIRklFUkVSRVJFUjFXdkRoZzNaVXNxTkRkMWZTcmw1L2ZyMUp6Um9pSWlhSWpaY2lJaUlpSWpvWkhRcDVVd2NhNlpBU25uQ0RyVzNTeWsvQjZDZi96S0ppQUlQR3k1RVJFUkVSSFJTaG1ITUFYQzBBYnNlOVhxOS96MFBKUkVSQlFVMlhJaUlpSWlJNktRVVJTa0VzT0g0dVZwcXEzNXVnNjdyKzg1bmJVUkVnWXdORnlJaUlpSWlPcW4xNjllWEFWZ3VwVFJRUFlTb1JxMmhSQkxBOHMyYk54ZWJWeWtSVVdCaHc0V0lpSWlJaUU1RmwxS3VBSERrRlBzNHEvZnhuTWU2aUlnQ0doc3VSRVJFUkVSMFNycXVyd0JRVlBQNCtBbDBoUkJIUFI3UFNyUHFJeUlLUkd5NEVCRVJFUkhSS1dWblorY0RXRnZmUEM3VjI5WnUyclJwcnhtMUVSRUZLalpjaUlpSWlJam9OM205M285UDlweGhHTytmMzJxSWlBSWZHeTVFUkVSRVJQU2JYQzdYWWlsbDRmSGJwWlJGcGFXbEM4eXBpb2dvY0xIaFFrUkVSRVJFdnlrM045Y3RoSmhWTTZ4SUNBRWhCS1NVWCtibDVWV2FYUjhSVWFCaHc0V0lpSWlJaUJwRTEvVlpVc3FxbXNmVmYvN0MzS3FJaUFJVEd5NUVSRVJFUk5RZ0xwZHJKNEROdGU1eTJhS3E2bGF6NnlJaUNrUnN1QkFSRVJFUlVZTVlobEVHWUpYOG4xVWVqK2VRMlhVUkVRVWlObHlJaUlpSWlLaEJjbk56M1ZMS0ZRQ2NBS3FrbEN1eXM3TXJ6SzZMaUNnUWFXWVhRRVJFUkVSRXdVTUlzUXhBRVlCUXd6QitNYnNlSWlJaUlpSWlJcUxHUUdSbVpuNmJtWm01aW5mTUV4R2RuREM3QUNJaUlpS2lZQmNYMXkxVURUT2lWQ2dScXFJMCtydkl3MEp3blJEQ1Z1YVVzODJ1NVZ6VERjT3JTKzlSVHhsS2lvcHl5czJ1cHlscmFqbHJTaHByenRod0lTSWlJaUk2QXkwN2RXcXZTZXR3Q1hRVlFDd0VJaUJGR0NCVnMyczdEMnJlbzI1eUhlZUREb0Z5SVhIRUVEZ29wTXp4UVB4cjM1WU4yOHd1ckNsbzRqbHJTaHBsenRod0lTSWlJaUk2RFMzYWRJMXoyTFFYQVhtekVNSnVkajFrQmxrbERjelVuWlZQNzkyN3RjRHNhaG9qNW93YVE4N1ljQ0VpSWlJaWFvRGs1UFRtY0NnM3FjQkVDQkd1cVNyYXRXdUQxSFp0RVIvWEFpMWlZeEVUSFExTjVZWDN4c1NyNnlncEtVRmhVUkgyN3kvRXpsMTUyTDVqQjd4ZUhWTGlDS1R4T056S3JMeTg5YVZtMTlvWU1HZE5VMlBOR1JzdVJFUkVSRVMvSVNtcFk3UTEzUGFxaExoQkVjS1IzcVV6YnYzOVRiaXdkMCswVEVxRW9uRHUyS2JBTUF6c0s5aVAxV3ZYNDhPWm4rTFhuQzNRZGIxU0NueGhHSlZqOTI0TnpxdndnWUk1SXpTeW5MSGhRa1JFUkVSMENxM1MwaElWRWZLaklwQUtBRmRmTlFndmozOE9OcHZON05MSVJLN0tTanc1N2dWOE5YY2VBRUJLdWRQamxaZnZ5ODNPTjd1MllNU2NVWDJDUFdlOEQ0dUlpSWlJNkNSYXAzVnJvd2pMSEVXSUxuRXRXdUQrZSsvR2s0LzlGUmFMeGV6U3lHUVdUVVBXd0g0SUR3L0gxbTNiVWVGME5sY1VEQWxwRnZYZjh0TGlJMmJYRjB5WU16cVpZTThaR3k1RVJFUkVSUFZKVGJVMTF5eFBDU0dHaElXR3FjOCtPUlkzWG44dE5JMnIwZEl4UWdpa2QrbU1GckV4V0xsNkRTcmQ3a2hOVmFWTnhjOFZGUlVlcytzTENzd1ovWVpnemxtait5MU9UazV2TGtORmt0QVJwd2l3SmRwSVNhQktGN0lJNWNhKy9QeGZTOHl1aC82SEdXeThtTHZBVlpNN3hVQUxBVmpOcm9mOGg3a3pWNHB3ZEFmRTNZQ3cvbTc0ZFJoeVpSWlVUdFJKeDlFMERkY011UkpidCsvQWxQYy8wS1RBdlZwa3pEd1VGbjV2ZG0zQmdEbWpoZ2pXbkRXS09WeVNPNmIzRkZBZUZoQjlCZEJjQ3FsQ0NnV1FqZUw5VVgyRWhKQ0drRUtYa0NYU2tMOFl3bmhsNzlaTnE4MnVyQ2xpQnBzSzVpNlEvQzkzdUVSQVJETjNqUlZ6WjVhV0xidEVhV0hhS2lGRTIvNlhYNHAzWDUvRTRRMTBTbFZWVlJqejE3SDQ1cnNmSUtYYzVZRzc5NzR0V3c2WlhWY2dZODdvZEFWYnpvTDJTMWxjWExkUWU3alNUNmh5akJEb0R3aXJxaWl3MmUwSXNkdGdzOWtnUk5DK1Bmb05Va3E0M1ZXb3JLeUVxN0lTaG1FQWdFY2F4amM2TUtXeXhMdTRxQ2luM093Nkd6Tm1zT2xoN3N4WGt6dW84bDVGWUJBZ3JJcWl3TTdjTlZyTW5YbVNPMlk4b3dyeDk1VFd5WGh6OGt2bzNESE43SklvQ096SzI0MC8zVHNHZVh2MndqRGtDN3UzYm5qYTdKb0NHWE5HWnlLWWNoYVUzOHFTMjZlM1ZUVGxTU0Z4QzRTdzIyMDJETW9hZ0VzdnVSaVJFZUVJQ3d0RHFNUEJaY01hTWNNdzRIUTZVVlpSZ2RMU1V2eXlZaFcrWHZnTktpdmRrRkpXU29sL0FuTGM3cTNadTh5dXRURmlCcHNtNXM1Y2lXMDdKMXR0bG5ISDU2N3Z4UmVoZVdRRXdzTEM0SENFUUZWNEczWmp3dHlaSTZWajl4UUJ1UUJDcEkwYWNTZisrdUNmZWRXZEdzU3I2NWo0eW11WStzRU1RTXA4ZDVXblQ4SE9uRDFtMXhXSW1ETTZVOEdVczZCcnVMUnFsWmFvaFliTWtaQTlWRVZSTHUxekNjWSs4aURhcHJTR3hXTGhsYjBtU0VvSmo4ZUQvSDBGZUc3Q1JQeTBiRGwwWFRjRXhGcVB4L09IL0IyLzVwcGRZMlBDREJLWXUvT3VWYXUwUkRVMDVKK0F2RWhWRk9YQ0Mzcmg2Y2NmWmU2YUdPYnV2RkZhZDh4NFNBRC9hTjQ4MGo3dDdkZVIyYjJiMlRWUkVGbXpiZ1B1Lzh0aktEeFE2SlpTUHBhM05mdE5BSWJaZFFVWTVvek9TckRrTEpndWd5bkpIYnNOVmEzV3VVSWdMU0UrWHZ6NTNydnh6T09QSXE1RkxGUlY1UmZPSmtvSUFWVlYwYng1SklZTXprSkVlRGgyN053bHlzckxFeFZWdVRtaWVmek9JeVdGVzQvTlBVaG5nUmtrSCtidXZLbWR1ODQxdVh2MnliR0lhOUdDdVd0aW1MdnpvM25idHVFaG11MHBJVVNIZ2Ywdnh4MjMvcDUzYk5KcGlZMkp4dmJjSGRpOGRac0dRTFZITmx0UVhsTGlOTHV1UU1LYzBka0tscHdGVGNNbE9hM0xKWXBRM3hOQ3RNcEk3NHFueHY0Vk4xdzdsRE5ZVXgycXFxSjdSam82cFhYQWpwMjdVSGl3S0F3Q2ZTT2J4LzFVV2xLNHorejZnaGt6U0NmRDNKMDd5ZTNTZXlpcU1sMEkwYXB6eHc1NDVvbkhjTU8xUTdsVUpqRjM1MUR6eVBoNFZkUCtUd0NXMXlmOUgxckV4cGhkRWdVWlZWWFJ1bFVyZlBMWlB3RWhFb1N1elRwNnVQQ2cyWFVGRXVhTXpsYXc1Q3dvMm9peG5UdUhLY0x5bUJDaVRWUlVjMHljOEJ3dXY3UVByK3BSdllRUXVPU2lDekRoK1hGSVRFaUFFQ0lKbWhpYm5KemUzT3phZ2hVelNMK0Z1Zk8vMk02ZHd4U0w4a2hON2w2ZThEeHpSM1V3ZCtlRzFhSU5GWUFqdFcwYnBMVlBOYnNjQ2xKcEhWTFJyazBLQk9CUUxIS1EyZlVFR3VhTS9DRVljaFlVRFpkUTNYS2JFSEtJM1c3RDMvNzZFRkxidGpHN0pBb0NIVHUweDE4Zi9EUHNkanNFY0ExQ3hKMW0xeFNzbUVGcUtPYk9mNDdsRHNOcmN0Y3hyWVBaSlZHQVl1NzhTeWpLN1FCdzlaVUIrZDJkZ3NoMXc2NEdBQWlJbTh5dUpkQXdaK1F2Z1o2emdHKzRwSFJJN3dnRkU0UlF0SHZ1L2lOdXVIYW8yU1ZSRUJsMjlaVjQ4TS8zUUFoRlU0VHliSEpxbDg1bTF4UnNtRUU2WGN6ZDJhdVZPd3R6UnczQjNQbEhZbUtIR0VEMHNtZ2FMcitzajlubFVKQWJuRFd3ZW1KenBWZkxMbDJpeks0blVEQm41RStCbnJPQWI3aEFFZU1FUkdSbTkyNzQvWTAzY0RJbE9pMnFxdUxtRzY5SFprWTZoRUNFMExUbnpLNHA2RENEZEpxWU96K296bDJYVGgyWk8yb1E1czQvdERCN2hoQlFXeWUzUWt4VVlIMXZkenFkMkxmdnhPbDV2RjV2dmZzWEZ4ZkQ1WEtkOHBnZWp3ZDVlWGxuWFp1dTYyZDlqRE5SVkZSa3l0L2JVSkVSRVdpVmxBZ0FtdUpSTTgydUoxQUVjczdPMXNxVksvSDk5OStiWFFZT0hUcUU0dUppczhzNEx3STlad0g5RGE1Tmg0d0xCRVJmVGROd1pkWkF4RVEzcmtEUytSSGVyQmtHWncyQTFXcUJnT2pYS3Exckw3TnJDaGJNSUowcDV1N010ZW5RSmFNbWR3UDdYODdjVVlNeGQzNGdaRThBU0V4SVFJZ2p4T3hxNmxpNmRDbHV2LzMyT3R0MFhjZmd3WU14Zi83OEUvYS8rZWFic1dqUklxeGV2UnA3OXV5cDk1aExsaXpCOE9IRDhmWFhYNTlWYmVQSGo4ZmRkOTk5d3ZaVnExWmgyYkpscC95dnNyTHloTmR0M3J3WldWbFoyTGx6NTBuL3ptWExsbUhvMEtGWXRtelpXZFYrTHRtc1ZpUW1KQUFBaE1CRlp0Y1RNQUk0WjJmcmswOCt3UnR2dkhIR3IxKzVjaVZHamh4NXduYW4wNGtSSTBZZ0p5ZW5RY2Q1Ly8zM2NlV1ZWK0xBZ1FOblhFdXdDUFNjQmZBeUJ6MHRVTHczUTRqNG1PZ29EQm1jeGRWUTZJd29pb0tyQm1WaDloZGZZc2ZPM1pFcTFCdVJtcm9SdWJsdXMyc0xiTXdnblRubTdrejF0RWpGZTRPb3poMVhBcVBUd2R5ZFBVV0lUQUJJU0lpREl5VHdUd1J6Y25KUVdscUs5UFQwZXArM1dxMTQvLzMzVVZ4Y2pCa3paaURrdVBmMG4vLzhCNXFtb1gzNzlpZ29LR2p3MzZ1cUt1TGk0Z0FBVWtvc1g3NGNmZnFjT0RSazdOaXhPSExreUNtUE5YZnVYQ1FtSnRiWjV2RjRVRkpTY3NvN1ozcjM3bzAyYmRyZzZhZWZ4dXpac3hFVEUzaXIzRml0VmlRa0hQczVDVVhwYlhZOVp5b3RMUzFSVlZVdEp5ZW4vczdkYVFxMm5KMHJ5NVl0dzk2OWUrdHMyN0psQzlhdFc0ZlpzMmZYMmU1MnU3Rmh3d2JNblRzWEd6ZHVyUE5jcTFhdGNNa2xsL2dlVjFWVlljR0NCVWhOVFlWaEdLZVZiWWZEZ2NqSXlETitUMllJOUp3RmJNTWxzVU5aQkJBeUNJRDJ1eHV2UjJKQ3ZOa2xVUkJybVpTSTY0Y054YVRYM2xJbHhKV0podlh0QXNBdkh4cU5GVE5JWjR1NU8zM1Z1UnRhazd0V0xaUE1Mb21DREhOM1ZqUkkwUkVDU0lpTGc5MXVON3NlQUVCNWVUbWNUbWVkYlQvLy9ETjY5ZXFGSlV1V0FOVjNzd0NBeldiRDRzV0xnZXFoUm5hN0hjODk5eHh1dXVrbVRKMDZGUTg4OElEdkdEdDI3TUJQUC8wRUFQajk3MzkvV2pYRng4ZGozcng1QUlEVnExZmp3SUVEQ0FzTHc5S2xTd0VBZHJzZHZYc2ZPKzk1K09HSDZ6MytoZzBiTUdyVXFIcVBMNlVFcWxmaXFtMzU4dVVvTHkvM1BlN1hyeCtXTGwySzFhdFhROU9PbmRaWUxCWmNmdm5scC9WK3poV3IxWUtFNnU5UEFySkw5ZWdDdyt5NlRwZmRidStyS01yMHpNek1OUUNtU1NtWGxKZVhsK1RtNXBhZndmdjVmL2JPUEt5SmEvM2ozek5KMkRjVlVNQXFkYWxhcTRES2RiblZ1dHRhUzZ0V3FtaGJONjVWeEIzRTFvcTdvZ2hGUmJRV0JSY1VXN0ZXcjFiclV2VWlJb29JZ3Z1R3lBNGlJR1NkOC92RFpINEpTVEJzRW0wK3orTkRtTXhNVGpEZnpKejN2Ty8zMVV1ZDFTZUt6MjlWaEVJaGpJeU11RExoYytmT2NScFUzb2RTaWwyN2Rtazg1NmxUcDJCa1pLVHkzSWNmZnFnU2NQbjk5OTlSV2xxSzB0SlNmUGJaWnpVYSs0Z1JJN0JzMmJJYUhkUFk2THZPOURiZ3dvUGdYUkRTd2NUWUdPTy8rckt4aDJQZ0xXRE1xQyt3T1dJN1JHTHgrMFpHUm0xZ3VBR3RGb01HRGRRSEJ0M1ZEQjRFN3hLZ2kwRjNCdXFDUVhlMXc2bGpSMnNRWWl3UUNHQm5aNnMzTGRnakl5TlJVbEtDWHIxZVpzb1hGaFppOXV6Wk9IWHFGSTRkTzRieDQ4ZkQzZDBkbHk1ZHd1SERoN25qRkpNN2V3Y1ZZL0lBQUNBQVNVUkJWSHQ3QkFVRm9XUEhqaXJuL2VXWFg4RG44eEVTRWdJcks2c2FqVWtnRUhDUGQrL2VEUUNJam81R2RIUTBBS0JseTViY1dCaUc0WUloeWxUMXBpb3NMRVJjWEp4S0VJWVFnb3FLQ3F4WXNRSXpaODdFaGcwYk5KWVovZkRERDl4akN3c0xuRHQzcmtidnA2RWdoTUN1V1RNWUd4dERKQlNhdEdyVnhUb3pNKzFaWTQrck5oQkNlQUQ2VVVyN0VrSUtyS3lzcm5YcjF1MFNnRXNTaVNReExVMjM5Nld2T3F0UG5qeDVncHljSERqSXkxd2dENEF1V0xBQUZoWVdXTGx5SmZoOFBoWXRXcVIyN0lrVEo3QjQ4V0l1b0ttZ3JLd00vZnYzeDhxVks5R3paMCt0cnkyUlNCQWRIWTFXclZwaCtmS2FXM2sxYWRLa3hzYzBOdnF1TS8wTnVCRCtsd0FFN2oyNndVNFBVd1FOdkhuWTI5bWlwM3NQbkkrL0tDQ2dud0g0dTdISHBNOFlOR2lnUGpEb3JtYndDUDlMRUdMUW5ZRTZZZEJkN2FBU3Zoa3hvbndldzhETXpLeXhoOFBoNE9DQUd6ZHVjTDhuSnllalhidDJTRTlQUjJscEthWk5td1p6YzNPa3BxYkMyTmdZSjA2Y2dFd21nMVFxeGZYcjE3bU1rTVRFUkF3Y09CQUNnUURKeWNrNGVmSWtKa3lZb0xFVVNGZVNrNU1SSHgrUFdiTm1ZZno0OGR6MjJreWluejkvam0zYnR1R2pqejRDeTc1Y25HWVlCb21KaVRoMTZoUVdMbHdJeUZmZ0ZZK3JzbWZQSHV6ZHU3Zlc3NmNoTURNekE1L1BneENFeDVvd1pnRDBaaUpZRzhqTC8xeDdBTU1BREtLVVB1UHorUVhkdW5YN1d5cVY3azlOVFkydkxydEFYM1dtS3djT0hNQ3paK3IvaFU1T1RoZ3g0bVZIUVVvcDR1TGk0T1Bqdy8yK2RPbFNKQ1FrWU9oUTlUYllFb21FeTB3ckxpN0d5SkVqY2VMRUNaVjlaRElaUm8wYWhjek1USlNVbEtCbno1NGFTMytpb3FLUW01dUxuMzc2U1d1cDRkdUlQdXRNWHdNdUJNQWtBUGhzK01lTlBSWURieEdqUm42RzgvRVhRWUd4QUJZQTBKenpaOENnUVFQMWhrRjNPbVBRbllGNnc2QzdtbVBNWjh3b0JaOHdESXlOalhRNDR2WGc1T1NrNHNGdzdkbzFkTy9lSFpHUmtmanNzOC93My8vK0Y2NnVybmo0OENIS3lzcXdmUGx5cnZ4ZzE2NWRLajVRUFh2MmhKbVpHVmF2WGcwYkd4dDRlM3VqZS9mdU5ScVB2NzgvVjhJVUdob0tHeHNiZUhwNmFzeGlBWURZMkZpTlhWdVVTNE1Bb0czYnRyQzF0VVY4ZkR4Y1hWMEJlY0Rsd29VTGNIVjE1U2FYUEI1UDYwUmRPZk5HWHpBMk5nS1A0WUVReWxDcHlMeXh4MU5YcXBUTDhBSFlFVUxzQUx6UDUvTm51TG01UGFhVTdtUVk1cEJJSk1veU1URXB1M3IxcWtSeGdMN3FURmVPSERtaWxtVWxFb25nN3U3T0JWd0E0T0RCZzVnOGVUS01qSXl3Y3VWS0hEOStITU9IRDhmU3BVdlZ2TmtxS2lvUUhCeXNzazJUWmxpV1JWeGNIQ0RQVUhOelUyM0lrNW1aaVIwN2RxQlhyMTR3TlRXdHNiWmpZMlBScmwyN0doMmpMK2l6enZReTROS3lUYWQyaENGMk50Wlc2TnFsYzJNUDU3VlJYbDRPQ3d1TGF2ZGhXUllTaVFRQ2dhREdiVUtQSFR1R2xpMWJvbXZYcmpVNnJyS3lFaUtSQ05iVzFocFhMR1F5R2NyS3ltQnFhZ3BqWStNYW5mdDEwOFBORmRaV1ZuaGVXdXI0VHJzUDJqeTVkK04rWTQ5Skgya3NEZWJuNTZPa3BBUnQyN1pWdXhnSmhVSThmUGdRSFRwMDBKc1d1U1VsSlRoLy9qeTZkKzhPSjZlYWVXMUlwVkt0TjZkdkd3YmQ2WVpDZDFhV2xucDU3YnQzN3g1TVRFelFzbVZMdGVmeTh2SWdrVWcwUHRkWTNMOS9IK25wNlJnNmRHaU5QUUx5OHZMQTQvRzBtbkNXbEpTZ29xSUNEZzRPZXBzT2I5QmR6V0ZseEl3UkVCN0RFTDI2bjNGeWNrSkJRUUdrVWlrSUllalRwdzl1M3J5SjlQUjBMRisrSERFeE1kaXdZUU9Nakl3d1o4NGNlSGw1NGErLy9rSkFRQUM4dkx4VWZGc2c3eWowOE9GRHJGaXhBaFlXRnZqcHA1OXFOSjYyYmR0eWozMThmUER6eno5ajhPREJLdnRFUmtaeUpVeXRXN2ZtN2oyM2I5K08vdjM3bzMzNzlzak56Y1dkTzNkVWp2dlh2LzZGK1BoNGJtVmVKcFBoOU9uVG1ENTllZzMvYXZxRHNiRXhHQjREVU1Jek0rSi8wSzFidCtZc3k3S0VFRlltazdFTXczQS9HWVpocFZJcHl6QU15K1B4dU1mSzJ5UVNpZUtuak0vbnMwS2hrQlVJQkt4QUlHREx5OHRaSXlNajF0VFVsQzBxS21MTnpNellqSXdNRm9EbTN1RzFSUEc5cHh4OFVYcmNtbUdZcFFEOGpZeU1ickFzZTluVjFmVVNnTXNwS1NuMzlGVm51cUlvb1ZNZ2tVZ3dlUEJnZE9yVWlkdG1ibTZPMHRKUzdOMjdGN2R1M2NMWnMyZmg2ZWtKUHo4L2pmZXcxdGJXK091dnY3Uys1cTFidDNEOCtIR2NPblVLL2ZyMXcyZWZmWVl1WGJyZ3dZTUhlUEhpQmJwMDZRS3hXSXlBZ0FBd0RBTS9Qei9ZMk5qVVdOdktKVkJ2R3NvNkUvQVl2VXFkMHN1N2ZXSXM2QTRBclZxOUE4dFhCQ0IwNGRHalIzVTYzdHpjSEhaMmRuVWVSM1ZRU3VIbDVZVUJBd1pnN3R5NUFJQmV2WHJoczg4K1U2bEx2WFRwRW54OWZiRnAweVlWY3lSZFdMVnFGWVlQSDE2amdNdno1OC9oNmVrSloyZG5iTnUyVGVNKzBkSFJDQThQeDk2OWU5WHFneFVJaFVLMWxZeWF3REFNbWphdGUydFVVMU1UdlBPT0U1Nm5sNExoazU0QUREZWdHcWh2RGVyS3dZTUhFUlVWaFZPblRzSFMwbExsdVhQbnp1SDc3Ny9INXMyYjBidDNiNTNQdVdqUklraWxVcXhaczRZTGNDUW1KaUkyTmhZelpzeW9VeVEvT3pzYnk1WXR3K3JWcTJzVWNDa3BLY0d3WWNNd2JkbzBUSjQ4V2VNK1k4YU1nWTJORGJadjMxN2pjUW1GUWtna2tsZnVWOTBxWVgxaTBKMXVLSFRuNU9qd1duV25LMnZYcm9WWUxGWXo4b044cGUzbzBhUDQ2NisvWHJsd29FQWlrY0RMeXd0RGhneFI4V3lJaVluQmxTdFhFQklTVXFmeHhzZkhJeXdzREgzNjlLbFJ3Q1V4TVJFelpzekFuRGx6MUZyd1FoNHNuVEJoQXBvM2I0N0l5TWc2amJFaE1laXU1bENlMUl4U0FaOGhESXlOOUdmbDNkSFJFZlBuejhlTEZ5L0E0L0hnN3U2T2RldldZZXpZc1dqV3JCbjgvZjNoNk9pSTBOQlFEQnc0RUpDM1kyWVlCaWRPbklDdnJ5ODNRYzdQejhmQmd3Y3hhdFFvREI4K0hBRFF0Mi9mV28rdFY2OWVjSFIwUkd4c0xQYnYzNC9Bd0VEdytYeHU0alpod2dUMDZORkRKZUF5Yk5nd0RCdzRFTG01dVdqU3BJbks5YjVuejU1WXMyWU5kOCtZbFpVRkhvK0hRWU1HMWVFdjJMZ1lHNzFjZWFlRU1tYkcvTWtBdWhGQ0tBREs0L0VvWG1ibVVFVVdHcC9QcHkrbkJwVEtIOFBJeUlqYkpzL2lvU1ltSmhRQXRiQ3dvUEpnQjdXMHRLU0VFRW9wUmRPbVRTa0E2dWJtUnBVejNPVFBDd2toTWtxcERJQ01VaW9GSUNXRXlCVGJDU0ZTbG1WbGhCQVpnRllBMU5LSHRBV2M1ZU14STRUOGkxTHF6akRNTndBSzNkemNib2pFMHBRWFVrYnZkRlpiTGw2OGlQTHljZ3daTW9UYlptdHJpODZkT3lNaUlnS0VFSzNYa3dNSERpQXNMRXpqZVdOalk5R3laVXZNbkRrVHFhbXBNRE16Zzd1N08xYXNXQUVBT0hueUpKWXZYNDZPSFR0aSsvYnRPSFhxRkc3ZnZvM1ZxMWZEMmRrWnFLTzIzelNVZFVZTkFaZFh3Mk9KR3hqQW9VV0xPcmNLazBxbEdEMTZkSjNPTVhUb1VLeFpzd2FRVDVRKy9mVFRPcDF2L2ZyMWFzR1NsSlFVUEgzNkZKMDc2OWVxNXFwVnExQllXQWd2THk5Y3ZIaFI1VGs3T3pzNE9EaGc5KzdkY0haMlJuRnhzZG8rVFpvMFFhZE9uWER5NU1rNk9WNWJXMXR6dFkxMXdjaklDQTR0V3VCRytrMVFTdHdCeE5UNXBIcUFzN096aVlXRnhiczNidHk0WFIrdTNQV3B3WnFRbUppSW5qMTdxZ1ZiQU9EUFAvK0V2YjE5dFVaaFZTa3VMc2JwMDZmUnMyZFBsV3lTN094c25EdDNEbDVlWHZVMjlwcHcvZnAxU0tWU3RHL2Z2dGJuT0h2MkxNckt5dFMydDJqUkF1ZlBuOGUrZmZ0ZWVRNFhGeGZzMkxHajFtUFFsYmRaZDFaV1Z1MVNVMU16NmxOM2RuYTJldGNtczZLaUFtbHBhVnc5dWpKU3FSU25UNS9Hd0lFRGRRNjJBTUQ1OCtmeDRNRUR0UlhPakl5TVJqTzhmUEhpQlpZdlh3NXpjM084Ly83N2FxMDNXN1ZxaGFOSGp5SW5Kd2RmZlBHRjJ2TUEwTDU5ZTczb3V2RzI2azRiNzczM25wT3BxU211WDcvK3ROWW5vWHdDK2Z4Ulc1ZVJ4c0RJeUFoZmZmVVZZbUppSUJBSUlKVkswYXhaTXd3ZVBCZ2pSb3pBNHNXTGNlN2NPZlRwMHdjdFdyU0FVQ2pFbVRObjRPWGx4Wlh6S0FJeDl2YjI4UER3d09EQmcydmwzUklRRUtEVzlhUlZxMVp3YzNQRC92MzdNV3pZTUU3VHQyL2Y1bDdqOXUzYm5LOU1RVUVCYnQrK0RRQVlQSGd3c3JPejRlVGtCQXNMQ3d3ZVBCZ0RCdzVFWW1JaUFLQnIxNjQ0ZWZLa3lqVmNJcEdncEtSRTQvaUVRbUdOMzlQcmdVSmVOaXFnbEpxUy80OVVxUHlrbEdyY3J2aEpYa1pMVlBZbEw2bjJYS1JLWkVUeGE5V2ZWWjlYWkdOUVNrRXByWEZHbjF4SEJJQTVBREdsdERuRFk4d2g1Y1pZby9QcEk0cTI1c29aTGdBd2JkbzBuRGh4QXU3dTdocURMUURRcjE4L3RHN2RtdnU5cUtnSVFVRkJjSEJ3UUxObXpRQjV4dVhJa1NQeDhjY2ZZK0xFaVhqbm5YZVFrNU9EbzBlUFlzS0VDWmcrZlRvSUllamR1emU4dkx6dzlPblRXbWxiRWVCNXMzbjVlVlA2N09zRmVobHdvWVIySXlCd2NtZ0JNN1A2dWVtY09IR2lScE9pVjdGa3lSSzFiVUtoRUowN2QwYVBIajFxTlJaSFIwZTFiWWNPSFlLbHBTWDY5KzlmcTNQV2xZcUtDcldWN3UzYnQrUDA2ZE5vMXF3WlZ3T3NuQVkzWk1nUUZCVVZvYnk4SE1iR3hsaTBhQkZNcTB3U2V2YnNxUkpvQ1E0T3JuSDY0TEZqeDlRQ09iWEYyTWdJVG80dlYxMFlRdjVWTHlmVkE2eXNyR3o1Zkg2Q201dmJQVXJwSG9aaGpySXNXNWlTa2xJR1FGYlQ4eldFQnJYeDRNRURQSDM2RkJLSkJEZHUzTURJa1NPNXRwSUEwTGx6WjBna0VzVEh4K1B6eno5SGJtNnV4dlB3K1h6WTI5dXJiUHZ2Zi84TG1VeUdNV1BHNkRRV1NpbU9IRG1DVHo3NXBFWjE0TnB1R0RUcEN2SUFLOE13YXJXM05lR1hYMzdCbzBlUHdMSXN4R0l4TjhINzk3Ly9EWHQ3ZXpnNk9uTHU5Tm5aMlZpeVpBa0NBZ0s0ako1ZmZ2a0ZsWldWdFg3OW12QTI2NDdINDExd2MzTzdUeW5kUXlrOVJnakpyNnZ1bXR2Yk43anVkT1hhdFdzb0x5L0hyVnUzdUJhenl2cnMwNmNQVHA4K2plZlBuNk5uejU0cVBoUEttSm1acVpuN0hUbHlCQUtCQUI0ZUhqcU5wYlMwRkFrSkNSZzJiRmdkMzlWTEtpc3JWYTVaRW9rRWdZR0J5TTNOaFltSkNXYk5tcVUyd2ZqdXUrL3c4ODgvZzgvblkrZk9uZGk1YzZmYWVmZnMyWU4zMzMyM1hzWllGOTVXM1duRDFOUjBLTU13Mjl6YzNQNGloT3dTaThVWFdaWjlscEdSOFVKbi94cUdyU1NFa2JFc3E1Y1RkNkZRQ0hOemMxaFlXSEFkaHFaTW1ZS0ZDeGRDSnBOeDJXZUhEeDlHYVdrcHhvd1pnNEtDQW9TSGg2TmZ2MzVjMENJd01CQ0ZoWVZhaldjMVVWSlNnckN3TUVpbHVsZW1hRnZVV0xkdW5kcTJuMzc2Q1gzNzl1V3VaUVVGQmNETDcxbVZlOCtLaWdvY08zWU14NDRkMC9xNk5Rbjh2ZzZFUWlGa01oYUVFdGtMc2V3WE16NVp4ekFNUXlrbERNUHdLS1VNd3pDRVpWbkZZNFpTeWlnL0pvU29iVlA4QktEMm5Qd1ludnduWHlrWUEwb3BYM0UreFQ0YWptVmVmblVReFd1MEpZVDBCYUJTNzYydGZiZjhkeG1sdEFCQU5zdXlHVEtaN0tlMHRMU1VWaDI3dVBJWXhsTmZkVllUN3R5NWc3Tm56MkxldkhscXo3VnMyUkxqeG8zRG5qMTdjT0xFQ1kzWHJoWXRXcUJGaTVmdGpOUFQwN0Z5NVVvNE9EZ2dJaUpDYlU3VnFWTW4vUERERDFpK2ZEbjRmRDYyYnQycTR0SFNwRWtUeko4L0g3ZHYzOVphRHF1SmxKUVVIRDU4K0kwUGZpbnJqREM4MTNPRHF5TjZGM0N4czN2ZmdnRnB3V01ZdEdqUnZONDhEdXp0N2RHaFE0Y2FINmR0bGNyTnpRMnpaczFDUlVVRnlzdkwxU1o2eXB3OWV4WlNxVlFsMVV5WmdvSUNuRGh4QWw1ZVhtcDkxZXVieTVjdnE5MUE1dWZuWS9Ma3lmRHk4b0tYbHhjb3BRZ09Ec2IrL2Z2aDQrT0R5Wk1uWS9yMDZUQXlNc0xhdFd0aGFtcUsxTlJVNU9mblk4V0tGZkR6ODhQUW9VTXhjdVJJakI0OUd0N2UzbHBmWDJIV1ZoTTByU0RXRmg2UGh4Yk43Y0hqOFNDVnlad2NIUjNOc3JPeksrcnRCUm9YaGhEU0hVQTNTbWtnSVNURnpjMHRrVko2aWNmakpWNjllalZIbDVNMGxBYTFjZVRJRVJ3NGNBQlNxUlNVVXJVYnFmWHIxK1BhdFd1UXlXU0lpNHZqek1LcTBycDFhNVhucEZJcDl1M2JoOWF0VytQRER6L1VhU3dSRVJHSWpJekV2WHYzTkY0OHRaR1ltSWlQUDFZMU9VMUtTa0pBUUFEV3IxK1BidDI2cVR4MzRjSUYyTnZiNDlxMWF5cmJ6YzNOMWZiVmhxSUx3OFdMRitIcjY0dGZmLzJWQytZR0J3ZkR4TVNFQytnb01vYmF0V3ZIYld2U3BNbHJDN2k4emJxVDM1UjJCOUNOWVpobGxOSmtOemUzUkVMSVpVSklncTY2YzNSME5GUG96cUdGdmQ3NCs0U0ZoZUh1M2JzUWlVVGc4WGhxcWMrblRwM0MvdjM3QWFEYUxNWlJvMGFwbE1jK2VQQUFGeTVjd01pUkkzVnFRU21WU3VIdjc0K2twQ1NZbXBxaVg3OStPcitIeE1SRXRjelVYMzc1QlNkT25NQ1dMVnRnWjJjSG9WQ0lCUXNXSUNFaEFUTm56c1NrU1pNUUZCU0UrL2Z2SXlnb0NFMmFORUY1ZVRtbVRwMEtBUGoxMTE5UlZsYUcrZlBuWThtU0pUVXU4WDBkdk0yNjB3WWhSQUJnT0tYMEV5TWpvMXdBaWE2dXJwY0pJWmRGSWxGaVJrWkc5YlhOVXJhUzh1VUJGNUhvdFkxYlYvTHo4N255YXNWM2hJdUxDL2g4UGthTkdvWE9uVHZqNmRPbjJMSmxDejcvL0hPMGJOa1MvL25QZnpCbXpCaUVob2JDejgrUE81ZXRyYTNPd1U3SVY5bkR3c0s0N2tFS3BrMmJoaHMzYm5EYkZaazBpcEpBWDE5ZnJnejQxS2xUMkxGakIzYnMyTUhkWDVlVmxXSGF0R2xxcjZkWVhEbDQ4S0RLb2tsNWVUbUdEaDJxbG1XajRLKy8vcXFYak9qNnBGSW9na3dtQTBCWnFSUnBxUm1wdHhwNVNLVEtQM1R2M3AxVVZsWVNBQkNMeFVRcWxSS3BWRW9Bb0huejVvUmwyUzhCOUZJRVhEUk56cFhtRm9Vc3l4NlFTcVcvTXd5VHliSnNCU0drbkdzYnJlYzZxd2tSRVJHd3NiSEJxRkdqTkQ0L1k4WU14TWZIWS9YcTFXalhycDJLLzVHQzh2SnlSRVpHSWlZbUJoOSsrQ0ZYTWlTVHlWQmNYSXpjM0Z4dTd1VGg0UUZUVTFNRUJnWmk2ZEtsOFBYMXhjQ0JBMVh1R1RwMDZGQ2pPUytmejhmaHc0ZmxuOUUzRjJXZEVSblZxMnVkZnR6UktXRnVEZ3NLQ1BnQ1BwbzJzYWwzTTdxcFU2Zmk1czJicjl4djl1elo4UFQwZk9WK0N4Y3V4SjA3ZHhBYUdvcjMzMzlmN2ZrblQ1NGdNREFReHNiRzZObXpKNnlzck5UMmlZbUpnVXdtZzZlbkorTGk0ckJod3daQXZ0cDIrUEJobGNtbjRvSTJmLzU4THVJZkh4OFBvVkNJNk9ob2pXTjBkM2ZuSm5GWldWbElURXhFcjE2OUFQbUtvWStQRDNKeWNyanpTYVZTRkJVVllkMjZkVnpON0E4Ly9JQ3BVNmNpUGo0ZWd3WU53czgvLzR4SGp4NWg3OTY5WFByWjRzV0xFUklTZ3M4Kys0eUwxbGJsK3ZYcnlNcks0aTZlTXBrTTMzenpEZjd6bi8vZ280OCtVdGwzNTg2ZE92bFExQVJDQ0pvMnNZR3hrUkdrRlpWOG1hbXRCZkIyM0lCU1Nna2hSTkd1endaQWYwcHBQMEpJQ2FXMHdNM043VEtsZExkWUxENlhrWkVoMW5hZWh0WmdWV2JQbm8zWnMyZGp4b3daTURVMXhiQmh3NUNmbjQ4SkV5WUE4cy9vb2tXTE1HalFJRXlaTWdXWExsMENuOC9uTXN6eTgvTXhkKzVjTlNmMlk4ZU9JUzh2RDB1V0xOSEpaUGY0OGVPSWpJeEVxMWF0T0QrSkJ3OGVhRFV4Ky96eno3bkhKMCtleFB6NTg3bFZ0WnMzYjJMZXZIa2doS2laL3o1NThnUVBIejRFQU15Wk0wZmx1VFp0MnVEWFgzL1Y2ZS8yS2lvcUtyak1zSnljbDNQK0d6ZHVjRUdXd3NMQ2Vua2RYWGliZGFkQXJqc3JRa2gvU21rL1N1bHpBUGx1Ym02WEFld1RpVVNucTlNZGE5YmNuSUlWOEFWOE5HdldURytNV0tPaW9pQVNpVEJreUJCODk5MTNlUEhpQlRwMjdNalZoU2NsSlNFMU5SVyt2cjdvMWFzWGpoOC9qbzRkTzZKTm16YUEzSHRwMjdadGFobWgwZEhSSUlUZ20yKyswV2tjUVVGQlNFcEt3cEFoUTdoZ3kvLys5eitrcDZlcjdVc0lVZkdFK2UyMzMxUUNMbkZ4Y1lpSWlFQ2JObTI0NzRiLy9lOS9TRWhJd05kZmY4MU5Uc2VNR1lNMWE5YmcwcVZMK09TVFQxQlI4ZklqdTNMbFNyUnExUW9BTUhic1dBUUZCU0VtSmdibTVuclZGT0Vmb1R0dHlQWG9RQ245bkJEeUtZQmlZMlBqWEZkWDE1T1UwdWpyMTYrcmYzQUFFQjZ2VXU1YkFhRlEveWFDbVptWlNFMU54YU5IaitEczdJeTdkKzlpenB3NWFOV3FGZWJPbll2UzBsTDQrL3ZEd3NJQ00yZk9CRjZXUG1MU3BFbUlqSXhFczJiTnRQcUd2UXBGZHJLb3lnUjU0c1NKZVBic0dkTFQwN0YvLzM0c1hMZ1FmRDZmbTFnNk9EaWdRNGNPa01sa1dMNThPUWdodUhyMUtpWk9uQWlHWWJTV0JtVm1ab0lRZ3BDUUVMaTV1YUZkdTNZUWk4VjQ4ZUlGWEZ4Y3RBWTUyN1JwVTZOQTB1dmc1Y3E3REpTQUZVbWsrckR5VHF0bWZWMjllbFhyemxsWldYQjFkYTJVKzg0QXFxYTVMQ0hrQmFXMERNQkZtVXkyS3pVMTlWaDFXWjc2cmpOZE9YbnlKTTZmUHc5ZlgxKzFiQlFGeHNiR1dMRmlCU1pObWdSZlgxOUVSVVdwTE5MLzhzc3ZpSW1KZ1VRaXdjS0ZDN25BellRSkU3ajVLcC9QVi9tOER4a3lCSjA2ZGNMYXRXdXhhTkVpV0ZwYXdzdkxTK1c2VnhNVWkvMWlzZFpibERjQ1BkUVpoOTRGWEZnQno0d2hoRThJQXlPaituZXVuakpsQ2twTFMxKzVuemJ6MTZyTW1UTUhQajQrOFBiMnhzcVZLekZnd0FEdU9hRlFDSDkvZjRoRUlvU0ZoV2tNdHVUbTVpSTJOaGJtNXVad2NIQ0FpNHNMWjVxN2J0MDZkTzNhVldYbC9NR0RCNGlOamNYSWtTTzVHMXJGYTJreU1oUUtoZUR6K1NxcjVudjI3RUd2WHIxUVVsS0NtVE5uNHNHREIxaTBhQkcrL1BKTFFONVNyMCtmUGxpL2ZqM1dyMS9QSFNjV2l4RWNISXpnNEdDSVJDS1VscGJpNjYrL1Zpa1Jra2drbURoeElpQmZQZG16WjQvS2VQTHo4N0YrL1hwMDdkb1ZIVHAwd01XTEYzSDc5bTFZV1ZuQno4OFBQL3p3QTJ4c2JDQ1JTTEJueng2dTdXQjlZbVFrZDdFbWxFZGtZcjB5VmFvTGlndGhsVlVIQmtCVEFFMEpJUjBJSVY4Ykd4cy9kWE56aTZXVTdoY0toUThZaGlsVG5nZzJ0QVkxVVZSVWhLU2tKS3hmdng2SmlZbTRkKzhlRjNDSmpvNUdSVVVGZkh4ODBMcDFhNnhkdXhhV2xwWVlQMzQ4QUdELy92MHdOalpXV1NFVENvV2N5Yk11dmtqeDhmRll0bXdabWpScGdwOSsrb2tMbkR4Ky9GaE5WNG9TbnA0OWUzSVhLYUZRaU45Kyt3MFRKMDVFZW5vNmZIMTl3VEFNd3NQRDhjRUhINmdjcndqZ2hJZUhxd1FtQXdJQ05FN1lUcDQ4aWQ2OWUydjB0YW1PM054Y0xrdEg4Wm5ZdkhremQ1TWtsVXByM0xHc0xyeXR1bE9nUVhkTkFEUWhoSFFBd09sT0pwUDlLaGFMNzFiVkhVTWxKaUI4UGlFTVRQU3NhOFA1OCtjaEVva3dmUGh3ZUh0N2cyVlo5TzNiRjVSU2hJZUh3OG5KaWRQcm5qMTdNSHYyYkh6eXlTZVFTcVVJQ0FoQXAwNmRWRXA2Nzk2OWkyUEhqc0hLeW9vTFhGVEh0bTNiRUJjWEJ4Y1hGeXhkdXBUYmZ2bnlaUnc4ZUZCbFgwV21uUEtOWjJwcUt0TFMwdENsU3hjY09uUUlxMWV2UnZ2MjdSRVJFY0ZsMXd3ZVBCaWhvYUhvMTY4Zjh2THlzR2ZQSHZUdjM1OHpyVmFjTnpRMEZBekRJQzh2RHdEd3lTZWZvSC8vL2lndkwwZDVlVGxzYlczVmdxeU55ZHV1TzJXVXI0R0VFR1h2Q0FHQTVnQ2FNd3pqQXNDdlc3ZHVhWlRTYUpabGo0aEVvcUxTMHRMSzdPeHNNUkZKSzZtSlFDWmpXUzdBcGs4OGZ2d1lNcGtNUC96d0EzYnUzSW5seTVmRDB0SVNtemR2aGtRaXdlVEprNUdibTR0dDI3YkIydHFhTzI3YXRHbkl5TWhBZUhnNDNOM2R1UTVBTlVGeGZWTGNRNWVXbHNMUzBwTExYakV5TWxMemNGSG01NTkveHExYnQvRHR0OTlpNTg2ZFNFaEl3T3JWcXpXVzcxSktrWnljakMrLy9CS0ppWW40L3Z2dnNXZlBIdHkvZngrVVVxMkxlcWhTb3FFdlZGUlV2Q3pGb2tUR01nSzltZ2pxaXR3VFErRVpBd0JGbE5Ka1FzaGxBSmNrRWtuU2pSczM4blE1bDc3clRCY0tDd3V4WnMwYXRHdlhqcnYrYWFOVHAwNVl2bnc1RmkxYUJHOXZiMnpac29WcnRHQmlZc0laeHlzOFd5QnYrSkNmbncvSU0xYXEybEcwYk5rU216ZHZSbnA2T2c0ZVBGaW5FblhGL2VYejU4OEJlZmxnMVJMZ053RjkxcG5lQlZ3b1M4eEF3V01ZQmlZTjBKdTlKdDFOZEtGdDI3YUlpb3FDajQ4UC9Qejg0Ty92RDA5UFQxQks4ZU9QUCtMT25UdjQvdnZ2dFFvaFBEd2NJcEdJdStDMGJkdVdXeFVJRGc3R3UrKyt5d1ZDSUM4ZmlJMk54WWNmZnFnUzdiU3hzVUY4Zkx6S3VkUFMwakJ4NGtRVkV5ZExTMHNrSkNUZzlPblRDQThQeDlPblQ3Rml4UXJPcVY1QlpXVWxDZ29Lc0hUcDBscVZPZjN4eHgrNGYxKzlJY0tRSVVQdzU1OS9ZdVhLbFlpT2prWnNiQ3o2OWV1SDk5OS9IN2R1M1VKb2FDaVdMVnVHNDhlUFF5Z1V3dFBURTdHeHNUVisvZW93a2ZkcEIwc1pHeE4rTjhkdTNkNnAycDZQRUVJVmp6VzE1MU51eXljV2kxbUdZYWppTVkvSFl3VUNBVnRaV2NrS0JBTFd5TWlJTFM4dlo0Mk5qZG5pNG1LV3orZlRobXJUcCtBVjdmcWNDQ0h6Q0NFenpNek1ibEpLTDd1NnVsNGloRnkrZHUzYXpZYldvQ2IrL1BOUFdGbFo0Y01QUCtTTThnRGc0Y09IMkxObkQ3NzQ0Z3ZPVkl4U3lxMUszN3QzRDBlT0hNR1VLVk5VNmxWMzdkcWwxZXRGMDJzSEJnYkMxTlFVRVJFUkt1WmxBd1lNVU5QVnpwMDdzWFhyVnJScjF3NlptWm1BWEZlN2QrOUdtelp0OFAzMzM4UGMzQndSRVJGcUtaMlVVdnorKysrd3RiWGxzc3dVRkJVVnFRVm5jbkp5OE9PUFA2SnAwNlpZdm53NTNOM2RkWHBQcUpJdGMrL2VQWHoxMVZmWXVuVXI5MTIwZVBGaXJYNGJEWUd5N3F5TWlPcy9WWGM4SHMvSHpNd3NnMUo2MmMzTkxRbEF3clZyMTI0U3lqUGxkR2VpWHdHWFk4ZU80Y01QUDFTN0FUdDgrRERTMHRLd2F0VXE4UGw4Ym5WTThYYzRkT2dRTWpNenNYWHJWcFdNblEwYk5xaVZKV2lDVW9yMTY5Y2pOallXSFR0MnhNYU5HMVhLZk9mTm02ZFcramR6NWt3MU0ybExTMHRzMzc0ZDNidDN4OGFORytIcTZvcVFrQkNWQ1NuazVvWGF5TXJLMHNtQS8vZmZmOGM3Nzd6enl2MWVGOHE2TXhXUVZsMjZkR0VFQWdIRHNpeGhXWmJoOC9tTVRDWmpLS1dFeitjekxNc3k4dTFFOFpqSDR6R1VVbExGNDRFbyt6M3dlRHpDc214Vkh3aWliWCtGZndVaGhDYzNPT1MyVlhuTVl4aUdWUEdWVU95ak1sT25sS3JjYUNrRlhaVDNVVHpYaFJBU3pERE1Vak16czd1bXBxWjNtamR2bmw1YVdycVBoVUFzbFVwUldGUU1sbVYxeXBCOEhlVGs1Q0EzTnhjTEZ5NUVXRmdZSWlNakVSSVN3blg2NGZGNDZOKy9QLzc5NzMramMrZk9LcE9tM054Y0xGdTJES2RPbmFwVnNBWHl4VGhiVzFzdTJMaDkrM2FrcHFacXpLNld5V1JjTmlXbEZELy8vRE4rK2VVWFRKdzRFYjYrdnZqMDAwOHhkKzVjakJzM0R2NysvbXJIMzdwMWkvT0ZHanAwS0x5OXZiRnAweWJPRzZtcU9hayt3N0lzQ291S0laWklBRkJKM3YxVXpTazlid0NVVWhiQUpaWmw5OHBrc3ZNQ2dTQW5PVG41V1UydnFWSnA2WE1CbXVtbHpuUkJVWUphWGw2TzhQQnduVXFBaHc0ZGlzTENRbXpZc0FHVEowL0d1blhyc1YxRDRRQUFJQUJKUkVGVTRPTGl3Z1ZyQ2dvS2FteDAyNjlmUDZ4WnM2Yk9EVmNVQVVxRnRtZk1tSUZldlhxcHRaUFhaL1JkWjNvWGNBR1BNU1dnL0lib3paNlptVm1qMXNTNk9qVzNhTkVDa1pHUm1EVnJGb0tDZ3BDYm13dEtLYzZjT1lOdnZ2bEc2MDFhWW1JaWpoMDcxbUMxK2lkUG5vU2xwU1grOWEvLzk4b2JNR0FBcmw2OXlxV2Nob2VIVjJ2K08yREFnQnFaaC9MNWZQQjRQS1NrcEdnTXVFQmVodlhWVjE5aDdkcTFTRWhJd0xadDIyQnNiSXo1OCtkai92ejVHREZpQktLaW9qQnk1TWdHaWJBYUtmcTBBM3dqWTU0UGdFNUs3ZmtBZ0JKQ3FQei9oVlp0MWFmWVZ5QVFnRkpLalkyTkZYZDAxTlRVbE50WDhaaGxXWmlabVZGQ0NMVzN0K2YyMWRLbVR5UlB3NVFCa01yYjhyR1VVcFZXZmZLTEc2dG81VWNJTWFXVW1taHptYStLL0tiVGhCRGlCc0NWRURJZVFLR3JxK3Nkc1l4ZXFoQ3pnb2JRb0RZT0h6Nk00Y09IcTJtQlpWbTR1N3VyZEVhUlNxWGNmcFdWbFJnMWFwUktXY0xqeDQ4UkhSME5obUZlT2FtTGk0dkRpUk1uWUd0cmk4MmJOK3ZVTmVpdnYvNUM3OTY5VlV6NXZMeThzSDM3ZHN5ZE94ZnQyclZEV0ZpWXhoVzJoSVFFUEgzNnNvSEdzMmZQdU5YMW9xSWlGQmNYcTdXb2RuQnd3TnExYXhFUUVJRHAwNmRqMHFSSm1ENTlPaGlHUVdKaUlwNDhlWUlIRHg0QThwSW9hMnZyV25sVnZRNlVkV2RxYXZJZGdLNzZxRHVsTnBnTnBUdGpBRzRBWEFGTUFGRGc2dXA2UjhxeUNlVWlLbUFZQWhQanh1OXdvNkNvcUFqeDhmRWFUUzZiTkdtQ1ljT0djVm1ZaXZwdnhUWEQwdElTVTZaTVVRa1VIanQyakd0WCt5cCsvUEZISEQ5K0hHNXViZ2dORFgybEVXWkpTUWt1WDc0TVgxOWZsZTFmZi8wMXRtelpndmo0ZUF3ZE9oVExsaTFUVzBnUUNvVmNSdWFMRnk4QXVlbjIxYXRYWVc5dnoyV0RyVnk1VXVOazc4YU5Hd2dNREh6bGUzcmRLSFJIR01LM05qVUpZQmp5SGw1MkhpSHliaWRnR0liclpNSXdERkg4VGdnaGNtMFNRZ2lSLzU5eDNVN2tBUk1pRDJ3UTVmUDhmMVVQdUgySVVpc1ZaZThJNVhOVzNVY3hSaTNIdnZKRHBLeEZMWUZRQzdrZTNRZ2hsZGJXMXVORkVwbVpTRWJ4TkRzSGxVSWh6R3ZvTzlkUVhMaHdBUXpENE9PUFAwWmxaU1cyYk5tQ2tTTkhZdTNhdGVqV3JSdUdEUnVHbEpRVXpKZ3hBOWV1WGNQMDZkTng1TWdSMk5yYVl0cTBhUmc1Y2lTbVRKbFNwekcwYmRzV3QyNjl0Qjk1OXV5Wnh2dkRuSndjckZpeGdydjNqWXFLd3IxNzl6QjkrblRPQTZsdDI3Yll0V3NYRmk5ZXJORUw1T0RCZ3pBMU5VWHYzcjFoWW1LQ0w3LzhFaXpMNHZUcDAzQjBkRVR6NXMzcjlENWVKMktKQkRuL3Z3QjBGOENiV3JjUlR5bnRuSktTOHFpdUo4ckt5cXAwN3RqMElRSHBrcDJUcTFjNmV4VXN5Mkx4NHNWSVMwdkR2SG56Tk5wSmFNUEx5d3NNd3lBNE9CamUzdDRJQ2dyQ2dBRUR3TElzNTVPcGpkTFNVc2hrTWpYUHMvb0lWams1T2NIRXhBUzNiOS9HaUJFalVGeGNYS081bno2Zzd6clR1NEFMQVRXbUlBeUJ1dmRCWFZtM2JoMFNFaEowM2o4b0tFam5mVzFzYkxCdDJ6YjQrZmx4MGY2aFE0ZHFqUTRxV2srMmFORUM3dTd1T0h2MnJNNnZwUXRpc1JnblQ1N0VnQUVEVkNheGZENGYzdDdlV0xwMEtiNzk5bHV0d1pZdnZ2Z0N3NFlOUTNwNk9tYk1tS0h6NnlyTUJtZlBucTJ4ZlNqazljUVRKa3hBVkZRVTJyZHZ6NDJoZi8vKzZOT25EK2JObXdlUlNQVEtGTDNhSXVEendSQUdBQmlHTUNZMWFjOVhkVC9sRzArb3RyOVQyN2NtYmZxcS9xNjhYZE0rdFhVV1Y0eFhQbkcwSW9TMDRCRllnYUJCTktpSm16ZHY0djc5K3hnOWVqU3VYTG1DL1B4OGxKV1Y0Y3FWSzREY2lGTTU4RlpSVWNGZENMcDA2YUt5V2llVlN2SGpqeitDWVJpTUdUUG1sZGxSSjA2Y1FMdDI3UkFhR3FxeGUxaFY3dDY5aTl1M2I2dDFYbWpkdWpVKy9mUlRIRGx5QkQvODhJUFdkT2JJeUVoWVdGaWdvcUlDQ1FrSlhHYVpvblphVXdiTEJ4OThnSmlZR0N4WnNnUTdkdXhBV2xvYTFxeFpnei8vL0JObnpwemhPa1pFUlVXQllSaXVESys4dkJ3blRwd0FsRll0a3BLU3VCUlZoYS9MNjBKWmR3QTFwaFI2cXp2RnpVdEQ2dzZBcWR6M3BRVUJyRUZlWHZ2MHhUQVg4Z0FKajhlRGlZa0pybHk1Z3NyS1NtUm5aK1BLbFNzd056ZFhLZkZSQkNvVStxeHFKSjJibTR1Z29DQjA2TkFCelpvMTAraS9vc3p4NDhjeFpNZ1FMRnUyVEtmZzcvSGp4eUdUeVRCNDhHQ1Y3U05Hak1DUkkwZncvUGx6TEZteVJHUFdKc3V5ZVBUbzVUeENrYm1XazVQRDFZUXJBaTR0V3JTQXM3T3oydkd2MHhPcEppanJqb0kwQmFENG9xUHl6ekFYakpRSE5sU0NrWXJubFBlcDR2MUFOZXhMNVlGTWxlUHAvMTl3RkQ5cmMyNU5ZMWVNMXdLQTdxMDVWSFd0Q01SYTh4aFNTbVFVMlRrNXFLeXMxSnVKNElrVEo5QzllM2RZV1ZsaC9QanhjSEp5UW5GeE1XN2R1b1VWSzFiQTFOUVUxNjVkUTBaR0JycDI3WXFtVFp2aXdJRUQ4UEh4Z2Flbko2S2pvK0hsNWFYVmEwSVhldlRvZ1lpSUNCUVVGQ0FySzB2RkFGU2hnUWtUSnFCNzkrN28yYk1uSUo5a3RtN2RHaTR1TGlybnNyR3h3ZWJObTdscmt1Sjd0N0N3RU1lT0hjT3dZY080akxhQWdBQVVGaFppK1BEaFdqc2Y2U3Rpa1JqWk9ZcUpJS3Y3SkVUUHFGTzdkUTFRU3BJSWdVZE9icTVlNmV4VkZCY1g0K2JObXhnelpneFgybDZWL1B4OHJRMUN4bzRkQ3djSEIremJ0MC9GVEhyVnFsVTRjT0FBbWpkdmp2ajRlR3pjdUJIUjBkR2NCc2FPSFF0SFIwZk9qTHEwdEJSZmZQRUZoZzhmamdVTEZ0VHBQZkg1ZkxpNHVPRGl4WXZ3OGZGQlFVR0JTcmIzbTRDKzYweC83dXJrTUpSS0ZCZmUralpNWGIxNk5aZnl2SFRwVWdpRlFpNmFPSFBtVExSdDI1YnpUNEc4RmQzdTNidDFQcitwcVNtNmQrL09CWFZFSWhFa0VvbkdtenVKUklMaTRtS0VoWVhWZTdBRjh0V0J3c0pDalI0b3c0Y1B4NisvL29vZE8zWmd5SkFoR3RPZmpZMk5WVzV3dzhMQ1hybjZQMkxFQ082eHR1NU9DdnIzNzQrb3FDaXVobEhCN05tejhkVlhYNkZ2Mzc0TlZvTXJrVWpBVWhhVVFGWXVaaVBNK0RTYngrTnhxZE5WMDZJVlAxbVdaWmlYZHdSRXVVV2ZmSnRhU3ozRk52a0VUMjNmNnRyMGFXb0ZxSHdlNVZaOThuMHRLS1ZmeUd2Vm9YUk9vUHAyZmNVQW5ySXNld2RBUkVwS3l2K2MyM2Z0RGg0WjB4QWExSVFpNDZQcUNyckNrNlZxeVZ0ZVhwN1dESUtrcENTa3A2Y2pNREJRYXpaYlVsSVNGeFFkTW1RSWxpNWQrc3JQcTRKdDI3YWhhZE9tR2p1T1RaOCtIV2ZQbnNYcTFhdXhhOWN1TmQybnBLUWdKU1VGMDZkUHg1VXJWM0Q2OUdudWZaMCtmUnAyZG5ZYTNlc2gveTRLQ1FuQnBrMmJFQmNYaHhjdlhpQXdNQkNCZ1lGY2w2TFkyRmlWTGtVRkJRVmNXMmpGNXlBcUtvcjcyMGtrRXJVU3BvWkVXWGRsSXRsMkN5T1MyMUM2cTI3Zm11aXU2bm0wNk81ekFDci8yZFhwVHA2U1hRVGdLWUQ3bE5MTkwzWDMvZ2ZnQ2NaUVNpRVc2NCtKWUhaMk5zUmlzVW9BL2VqUm96aDY5Q2dnRDhnb1Zwc1ZFNmM3ZCs1b1BOZHZ2LzBHc1ZpTWxTdFhZdlBteldyUFUwcHg4T0JCbkQ5L0hwQmZEM1ExMVJXSlJJaUtpa0svZnYzZzRPQ2c4aHlQeDhPOGVmTXdkKzVjaElTRXFIUkxVbUJtWm9hVksxY0NBUHo5L1pHZW5vNnBVNmR5SlhpS1lNeUNCUXMwcnZ5OWp1L0sycURRSFV1cFRDaVd4cGdaODhMbEpwZXNQQk5NVWM3SHNpekwwcGNmYkZaUjdxZGM1aWZmaHlydkQ0QXlES08xTEpBUVFuazhIdmU3dkFTUUtrb0VSU0lSNWZQNWlzZXMvREZWTGcxOC92dzVOVEl5WWsxTlRkbWlvaUtXeitkVGEydHJOams1V2VXUDd1cnFPcEZoR0pVKzNkcUNva3JhcktTVXBnRklCSEFad0tYaWNsbDdnUkh2V0g1QkFTb3I5YU5sN2FWTGw1Q1Nrc0oxTCtIeitSZzhlREQ4L2YzUnAwOGZ6dE92WmN1V3VIVHBFajc0NEFONGVIZ2dMaTRPMDZaTnc2aFJvN0I5KzNiRXhjVnBuU1Rxd29nUkk3QnQyellFQlFYaDd0MjdLcDFaVHAwNkJUNmZEMTlmWDVWN1QyTmpZN1ZneTdadDI3ajc0NVNVRkc3c2tHZVJ5V1F5bFd3Y1FnZzJidHdJbG1WMUt1M1RKOFJpTVhKeVh5NTZVTUs3M05qajBSc29jeFdneU0zTDB4dWQ2WUt0clMyaW9xSzRibUdRZDYxTFRVMkZxYWtwTWpNemNlZk9uV28vcHg5OTlCSFhLSVJTaXVqb2FIVG8wSUc3bHJadDJ4YVBIajFDVEV3TVozTHQ3ZTBOZjM5L25EMTdGZ01HRElDVmxSVW1USmlBOFBCd3RHblRSbXVYSkYzNTRvc3ZzR2pSSXF4YXRRb0FYcXZIWDMyZzd6clR1NENMbEdFckJZVGZJTTdWeXFhMTVlWGxjSEJ3NEh3ZitIdytqSTJOdWQ4VEVoTFUwdnRmUlhoNE9IYnMyQUYzZDNkWVcxdmoxS2xUbURWckZrSkNRdFFpblRZMk50aTBhUk42OU9qQkJWeWtVcW5LalNxbEZNK2VQVU5HUmdhM1RiSHlscG1aeWEzNlcxbFpxWlEvVlZaV0lpb3FDbjM2OU5Gby9zdmo4YkI4K1hKNGVYbkIzOThma1pHUnIyelZiR0ppVXVOMnp0VVJIaDRPQ3dzTC9QMzMzMGhPVHVaTWZjK2RPd2NvcmNSWDEyNjd0aWhXTEJrd3JKQ1ZYYitYV285OXArc0dxYklxVHdDUTd0MjdReWdVRXJGWVRQRHljMEtrVWlsaFdaWTRPRGhBSXBFUWxtVmI4bmk4VHhRQmwrcmE5VkZLbjFGS2o3SXNlNEJsMlhzeW1heUNFRktlbnA1ZUFvQnRTQTFxWXRDZ1FTcStMY0hCd2JoMzd4NjJidDBLeUQrdkNoNDllZ1NoVUloSGp4N2h5Wk1uYXNGQ2QzZDNlSHA2d3NQREF6RXhNU3JQNWVYbElTSWlBa2VPSE9HMmZmbmxsem9IVzI3ZXZJbXpaODlpMXF4WkdsZmJtemR2RGo4L1B3UUdCbUx0MnJWWXNtU0p5dlB2di84Kyt2WHJoN0ZqeDZKcDA2Wll1M1l0Q2dvS0lCQUljTzdjdVZkbWRERU1nOW16WjJQOCtQRXFmaldhNk55NU15Wk5tc1JOa2hVZUx1SGg0ZHdFTWk0dVRtdDNpSVpBV1hkaXlOSlNVMVAxWG5lVmxaV3YxQjJmei85WUVYRFJSWGVVMGppWlRIWkxKcE5Wc0N6NzR0YXRXODhBc0NBOG9hSnJRNlVlZFczdzgvUEQvUG56dWQvSGpSdUhnUU1Id3R2YkcxQnFUUXVBdTFaZHVIQUJBUUVCYWdHbmp6LytHTGEydGlxRzd3cHUzTGlCRFJzMklEVTFsZHVtYTdBRjhtQk9ZV0doMWc0cy9mcjE0eWFncnE2dWFtMmlGZVRtNW5MWG9YMzc5a0VrRXFuNExVMmNPRkZqWVBUdTNidll1SEdqenVOOVhTanI3Z1VyTzN2NzJqVjkwVjI5bzVURnB2aGRiUjhsUFQ2bWxCNlF5V1NIR0liSmZQNzhlZEdqUjQrRUFPRHMvSDQ1cFF6N09ET0xLU3dxeGpzdG5kVE84N3A1OHVRSkhCMGRWY3luYjl5NGdkT25UeU1pSW9MYjFxMWJOMXk1Y2dWVHAwNkZoNGNIa3BLU1VGSlNBbHRiVzN6KytlZll0Mjhmdkx5OGF0MEZ6ZDdlSHZQbno4ZkdqUnZSdFd0WERCczJqSHZ1aHg5K1FHRmhvVTVlWTArZlBrVktTZ29JSWJDd3NNRGN1WFBSdW5WclBIdjJETW5KeVpnOGViTEtmVzF4Y1RGT256NE5EdzhQbll5MjlZbVM1NlhJZXBvTlNpa3JsTkNreGg2UHZrREVvbXZVUktCWE90TVZPenM3bGQrbFVpblhVZGJNekF3ZmZmUVJwaytmcnRPNURoOCtqRnUzYm5HTkhpRFBwQnd4WWdTaW82UGg2ZWtKQ3dzTERCbzBDRjI2ZE1IKy9mdTVCaTJUSmsxQ2NuSXkxcTFiaHk1ZHV1aFVGcStOSVVPRzRNS0ZDemh6NWd5Ky9mWmJuVzAxOUFWOTE1bmVCVnpBOENzcHBmTGU3QTBUOFJTSlJMaDc5NjdXbG5LUW0yNHF1MFZYaDB3bVExQlFFQTRlUElpK2Zmc2lLQ2dJUEI0UExNdml6Smt6K082Nzd4QWVIcTdXWmFScU9VOVJVUkcrL3ZwcmxXMW56NTdWbUFHajNEMW82TkNoV0xObURmZDdhR2dvQ2dzTFZmYXBpck96TStiTW1ZT2dvQ0Q0Ky92anA1OStxamFOWGJrRFRGMDVjK1lNa3BLU0VCa1ppZlhyMTJQZHVuV0lpWWxCZm40K2R1ellnZkhqeCtPLy8vMHZRa05EVmQ1WGZjSDFhU2VVaFpqVkp4ZHJ0VFo5ZUVXclBvWHBhZGV1WFYvSVZ5d0IxWnRLQ3FBQ1FDbkxzbW1VMHNpQ2dvS2oyZG5WdEFaOURScFVoaERWRWdwNXJiL0d6Nk5pNWR2UzBoSkhqaHhSSzNmajgvbFl1SENoMm5HaG9hR0lqWTBGeTdMdzlQUkU4K2JOc1duVEpwM0hLSkZJdU5JbVpSUHJxb3dZTVFMbno1L0g0Y09INGVEZ3dFMUtJZS9nRUJJU0FrSUlCZzBhaE5EUVVPemV2UnNNdzBBcWxXTGt5SkU2amVWVndSYklPNmU4aXJxdWh0U1V0MVYzOG13Qm9JcnVDQ0djN2dCRTUrZm4vMTZkN2lnaElzaDFwekNiMUFjWWhsR3JEMmNZUnFzK3JheXNrSmVYaDZTa0pCWC9NQUJvMTY2ZDJrSkdTVWtKbGkxYnhoMDdmLzU4cEthbWFtM0hyb21zckN4RVJFU2dkKy9lMVJxQ0xsaXdBRmV2WHNYeTVjdGhaMmVuTmo3SXkvNDZkdXlJR3pkdUlDc3JDL1BtelVOWVdCaDNnLzNCQng5b05NR3ZqYm44NjBDUGRWZnZLRjhEbFRvVlVmbjJGd0JLV0pZOXc3THNqdFRVMUF2YXp2UG9VVWF1YzBlWHl6S1pyTmVwTTMvRHphVjJKclAxeWVqUm85R3hZMGNWM2JWdDJ4YUJnWUVxbitOcDA2WnhYa2VPam82SWpJemtucHM0Y1NJbVRKaFE1NWJ6bnA2ZThQVDBWTnYrN3J2dmNxYTJDclI5anlxeUw2dlNwRWtUaEllSHE1bUFObTNhRk9IaDRXcm5meE00Y3V4UHlHUXlFTkRrdlB1cCtZMDlIbjFCSDNWV1c4YU5HNGR4NDhiVjZ0Z09IVHJBeDhkSGJVN283ZTJOa1NOSHFuaVhyVjI3VmlXemhoQ0NsU3RYNHNpUkl4b1hNbW9DSVFRclZxemdzdWplTlBSZFozb1hjR0hGVWlFeDRza2FjblY5Nzk2OUVBcUY2TnUzcjhwMmhlRWY1QmtrUFhyMHdKTW5UNm85VjJGaElRSUNBbkR0MmpVTUhqeVk2OVlBQUd2V3JNSENoUXZ4OTk5L1k5cTBhZGl5WlV1MUpyRE5talZUYTNGWlhGeXNJcTZDZ2dKWVdGaW8xT0FxdDVKTlNFakF3WU1ITVhyMDZGZW1nM2w2ZXVMaHc0YzRjT0FBNXMyYmgzWHIxbWxkN2RmRlVEUTZPdnFWVHRsbFpXVUlDZ3JDcUZHajRPcnFpcmx6NTJMYXRHbUlpNHZEMzMvL0RVZEhSL2o2K3FKbHk1WUlDZ3JTZUZHdksxeWZka3BraEM5OU0vdlJhVWE1WFY4cGdCUUFTUUF1VVVxVFVsSlNIdXR5a3RlaFFXMlVsNWZqeFlzWEtDc3J3NTkvL29uYzNGeXdMSXZKa3lkREtwWGl0OTkrZzV1Ykc3cDM3NDREQnc1ZzRzU0pPbVZlR1JzYm8wK2ZQcGc5ZXpaYXQyNk5RNGNPYWQyM3NMQVFCdzRjZ0llSEJ4ZmgzN3AxSys3ZXZZczFhOVpvYk4yc3pMSmx5NUNUazRPdFc3ZXF0YWRWM09oYVcxdmo2NisveG80ZE84QXdERHc4UE5USzYrckNrU05IT0c4WHlMODNJTTg4VUpSR0tCZzBhSkRHbHZYMXpkdXFPeVd6VHdBb0EzQk5ycnNrU3VrbFhYVUhSaUlrTUhvWmNCSHFYM28xcFJUUG56K0hWQ3BGWm1ZbS92ampEK1RtNXNMWjJSbERodzdGNDhlUGtaQ1FnQ2xUcHVES2xTdUlpb3JTR05Db2lwV1ZGWVJDSWNhUEh3OXZiMjlZV2xxcVpIVldKU2twQ2ZmdjM4ZW5uMzRLUzB0THNDeUxKVXVXZ0ZLS2dJQ0FhbC9MM053Y0d6ZHV4T1RKa3pGMzdseXNYNzllWmVFbEl5TURodzRkd3ZyMTY3Rmd3UUxNbXpjUHUzZnZ4b0lGQzdnQTdiMTc5elNlVzl2Mnh1WnQxWjBtNUdWL1hLQ0ZVcHBQS1UwQ2NKa1FraVNSU0JMVDB0S2U2WGl5WFNDazEzLy9QSWtGYzJiV09VaFJWeGlHVVFzbW1wcWF3c1BEUTJWYmRhWFl1Z1RyOVFGdFFkTzZ0TDF0TEZpV3hhRS9YcFpmeWlqMk5QWjQ5QTQ5MDFsajBLbFRKNDFHN0pyYW0ydlN0NDJOamRwaS9UK05OMEZuZWhkd1lVVDBCVFVpRXFsTWhtY2x6N2xWaXZvaUppWUdXN1pzd2JCaHcxUSs0UGIyOW9pUGo4ZWVQWHZ3NU1rVDVPYm1vbHUzYnR5S3VpYVNrcEt3YU5FaVBIdjJEQk1uVG9TUGo0L0tTaUNmejBkUVVCRDgvUHh3L3Z4NXpKZ3hBN3QzNzlacVJNcm44MVhNK0hiczJJSEl5RWhzMmJJRkxpNHVFQXFGOFBYMWhaV1ZGY0xDd3RRdW5rK2VQTUhpeFl2UnZIbHp6SjQ5VzZlL2g1K2ZId29LQ25EMjdGbE1uejRkUVVGQkdzdDRzck96WCtsWXJhaEh2SExsQ2x4ZFhUV3VnQVlIQjRObFdjNU11RWVQSGx3YTZxVkxsN0J6NTA0SUJBS01HalVLc2JHeFdMOStmYld0T21zS3BSVFBTcDVETEphQUVDb3JGMHRlMU52Skd4OUtLVTBGOEp0RUlqbk9zbXlXcWFscDBkV3JWMnRrTHREUUdxeks0c1dMa1pLU2d1TGlZb2hFTHdNOERNTmc4K2JOYU42OE9aZWV2R3ZYTGp4OStoUStQajV3Y1hGQlZGUVV0bTdkcXRZV1ZoTTFNWDdPejg5SFpHUWtqSXlNTUhYcVZKdzVjd2JSMGRINDZLT1BWTks1dFdGcWFvcU5HemRpMHFSSjJMWnRHd29LQ3VEbjU2ZTJBajUyN0ZoRVJrWkNKQkxWMjhWU01TbmV1SEVqS2lvcVZMWUR3UDc5KzlYK0wxMWRYUnM4NFBJMjYwN3V5WklLNERlV1pVOUlKSkxNMnVpdVZHUldZVzBzazBobE1oUVhQMnR3M2VsQ1JVVUZ2TDI5VVZoWWlHZlBubkdMRW5sNWViaDU4eWJzN2UzeDdydnZjdTJiZVR3ZVBEdzgwS1pOR3l4YXRBam56NTkvNWZjM3d6QXFKUkd2NHViTm13Z0xDME9IRGgzZzV1YUdrSkFRWEw5K0hmUG56OWNwQmRyWjJSay8vZlFUdnZ2dU84eWRPeGNMRnk3RXFGR2pJQlFLRVJnWWlGNjllbkZkSjNnOEhvS0NnbkQ1OG1WT0k2R2hvUnIvWDNScGMvMjZlWnQxcHczNjBnZndQTXV5QnlpbEY4VmljYzZ0VzdkSzVGM0lkRVlpd3hFQmc5V1pUN0pzcmx5OUJ2Y2UzUnB1MEFiZVdxNWNTNUdYT2VBNVpETGQwL2IrSVJoMFpxQStlQk4wcG5jQmw2eXM5QkxuRGk1RkxGams1ZVZyTloydERURXhNZGl3WVFPNmRldUdIMy84VWVXNTZkT25ZODJhTmRpN2R5ODMwWHBWTkYyUkRiSjY5V3FWT2xabCtIdysxcTFiaDRVTEYyTDQ4T0U2ZDMzNTQ0OC9FQjRlRGc4UER5NVR4Y1RFQkt0V3JjS3NXYlB3N2JmZll2UG16Vng2WlVsSkNXYk9uSW1LaWdxRWhJUzhjaFZlQWNNd1dMTm1EWll2WDQ1ang0NWgzTGh4aUk2T1ZydHhqWWlJMEtsemhsQW9SRmxaR2Y3KysyKzFFaW9BNk51M0wwYU1HS0h5M0toUm94QVpHWW12di82YVc5bmc4L2xZdkhneEFPRHk1ZnJ6UHBKS3Bjakx5d2ZMc21BcENwNDllRkJhYnlkdlJJcUxpNHVhTld2VzUvcjE2emZsYld0clRVTnFVQk51Ym03bzBLRURIQndjNE9EZ2dOallXT1RrNUdENzl1M2NQZ2tKQ2RpNmRTdDY5KzdOYWUyYmI3N0J6cDA3NGU3dXJwYXRWaGNVSnI2T2pvNUlTMHZENHNXTDRlVGtwT2JKVWgxTm1qVEI5dTNiTVd2V0xNVEZ4ZUhPblR1SWpJemtOS1NZb0VxbFVoQkM4T09QUHlJa0pLUldua1dLd01xNmRldHc0OFlOZE92V1RhMGNRNU9IeSt2a2JkYWRuWjFkLzJzdmZUSHFwTHRuRDY2V1dTdDBsOS93dXRNRk16TXo5TzdkRy9iMjluQndjRUNMRmkyd2NPRkNEQnMyVEtYTWRPdldyVWhJU0lDdnJ5OGNIUjA1SFM5YnRneDc5dXhSTTdHdEM0cHlMaWNuSjhURXhHRGZ2bjNvMzc4L3hvNGRxL001dW5idGl2RHdjTXliTncrclZxM0NvMGVQNE9Ua2hPenNiSVNHaHFyc2EySmlnbjc5K25HWllkbzBkT1hLbFhvdHZhMFAzbGJkYVlOUytwZEVJbWw3NDhhTjZsT1RkVURFRXowWHdQZ2l3QXovSldvM1hMcDJnWkhSbTlVbTFVRGpJaEtMc1hmZnI0clM3dk15dml5dnNjZWtieGgwWnFDdXZDazYwN3VBQ3dDV0VqYUZnTmMzT3ljSEZSV1Y5WGJUT1hyMGFFaWxVb3diTjA0dFc2TjkrL2JZc1dPSHp1Y1NpOFZ3ZG5iRy92MzdZV3hzakxLeXNtcjNYN1pzR1NBdnFSRUlCTlVhZGY3MjIyOVl0MjRkUHY3NFkvejQ0NDhxcTJsZHUzYkY5dTNiTVhQbVRFeWVQQmtiTjI1RWx5NWRjUGZ1WFJRVUZHRFpzbVZxYnZDUXR3OFRDb1VheXk4RUFnRldyRmlCRmkxYW9LS2lRdU1xNGNhTkczWHFOZi9ISDM5dzcxVVRnd2NQMWpnR1pUZDZCWXFiMnZqNCtIcGI2UldKeFhncWI0ZExnQ3VhdkJ2ZVJMS3lzaXF6c3JLcTc3R3FPdzJtUVUxVWRYS3ZHaXc4YytZTUYvUlFia0U3ZGVwVVhMaHdBZjcrL2xpOWVqVm5JcVlMaXZlamFHT3JqS0tjb1UyYk5yaDQ4U0tNakl3UUZoYW1zUnhRMFc1WjAyZmF6czRPa1pHUkNBZ0l3T2VmZjY0U3NBd0pDY0d4WThjd2F0UW9EQnc0RVA3Ky9oZ3paZ3krK2VZYkRCOCtIQTRPRHZEdzhORDZQU0dUeWJCNjlXcGN1WElGV1ZsWkFJRDc5KzlqOE9EQkdEUm9rTTUvaDlmRlc2Njc2L1YwT2s1M2Vma0ZEYTQ3WFprNWM2Yks3OHFMQml6TFlzdVdMZGk1Y3ljR0RCakFaV29wZ29qZmZ2c3Qvdk9mLzJEVHBrMGFXeWxyUTNGOUxpOHZWNmxmQjREMDlIU1ltNXZEenM0T0Z5OWVSS2RPbmJCcTFTbzFueGtvZFUzUzFBYlh6YzBOVVZGUldMSmtDVWFQSHMzOXJWdTJiTW5wK2szbmJkV2RObEpUVTdQcTYxeUZ0MitYbTNkME9RNkMvcGV2Skp1bHBXZWd1NXY2dlpVQkE5cElUVXRIWXRJVkVFQk1LVDMrOVBZdDNjclova0VZZEdhZ3Jyd3BPdFBIZ0FzSWVGY0JJQ2N2RDVYQ1N0akF1czdudkhMbENtUXlHZmg4UG43OTlWZWRqeXNzTE9SYXJTcHo0TUFCSERod29GWmorZnp6enpXdWxrdWxVbXpZc0FFSERoeUFwNmNuL1B6OE5ONUV0bS9mSHR1MmJZTzN0emVtVDUrT1RaczJ3ZDNkSFhGeGNTcjFmVUZCUWFpc3JJUkFJT0RhN2xYbnNhTGM5ck1xcWFtcE9uVTBxWTg2OXVUa1pKdzdkdzVtWm1hUVNxVTRkT2lRbWlONGJSR0xKY2lWMzB4VEtrdDg1UUgvVUJwQ2d6V2x2THdjR3pkdXhNR0RCOUd1WFR1RWg0ZXJsTkVaR3hzalBEd2NVNmRPeFlJRkN6QjgrSEFFQkFUb2xOMmw4Q01LQ1FsQlJrWUdOOEVyS2lyaVBtL3Z2ZmNlT25ic2lPSERoM082S2lzcnc3Smx5MkJ0YlExS0tjNmRPd2MrbjYvVjM4ak16RXlsYzBsbFpTV1dMbDJLVTZkT29WKy9mZ2dJQ0FDUHg4T0JBd2V3WWNNR1JFUkVZTXVXTGJDMXRZV1RreE9hTkdtQ3RMUTBDQVFDTUF3RGxtVWhGb3ZoN3U2T3AwK2ZvbVhMbHZqcXE2L1FwMDhmT0RzN1F5S1I0T2pSbzF3UVJrRjFIaTRBZERic3JTMEczZW1HUW5mNUJZV05wanRkZWZ6NE1WYXVYSW5rNUdRTUd6WU15NWN2VnduR09EczdJeXdzREQ0K1BoZy9manltVEptaXRZTlFWZDU3N3owQXdOeTVjK0h1N3M1ZEIrL2N1WU9NakF3TUd6WU1oQkJzMkxBQkZSVVZYR0R5MnJWck9IRGdBQ3dzTEZCZVhvNHpaODdBMmRsWjYzZEM2OWF0dVJieEFGUmEyV3JEeDhmbmpTa3BNdWl1VGxBUThVRlFvNW5QUzBzN25ENTdEaTVkT3V1VTZXdkFnRXdtdzZtemZ5Ty9vQkFVcEFnOHlhRzZaa0crcFJoMFpxRFd2RWs2MDh0UE5Dc2xTVHdCUmVhVHB5Z3RMWWVEZGc4d25ibDgrVExTYXRIOTk5a3oxVUNabVprWkFnTUQ2elNXMXExYmE5d3VrOG1RbDVlSDJiTm52N0lkcHJPek03WnUzWXJnNEdBdUlGVFZURW5oelFKNWljUDQ4ZU14Wk1pUVdvMTU0OGFOT21XWktCc1AxNFdUSjA5eU43Qk9UazZZTTJkT3ZaeTNvcUlDVDdKZXBxU0xXU1RVeTBuZlFocENnN1hoNnRXcm1EQmhBbWJNbUtHeEZYT3paczJ3ZS9kdUJBY0h3OXJhV3VkU3V2ZmVldzkrZm43WXQyOGY5dTdkeTNtY0NBUUNkTzdjR2ZQbXplTW1lY3E2c3JTMFJISnlNcDQvZnc1Q0NCd2RIVEZ2M3J4cWpRb1ZTS1ZTZUh0NzQrYk5tL0R3OE1EMzMzL1BUVkFkSEJ3UUhCeU1uSndjSkNRazRPYk5tOGpNek1Uang0OVJWbFlHa2VobHB4Rjg5TWMrQUFBZ0FFbEVRVlJGZDVnUkkwWndiYk9WRVlsRUNBNE8xdmo2SmlZbWlJMk4xZmhjUXdkY0RMclREWVh1Y25KeUcxVjN1bEJSVVlITXpFd0VCZ2FxR1hjcWNIVjFSVXhNREZhc1dGR2o3aUtqUjQvR2d3Y1BjT0hDQlJVRFhUTXpNd3dhTkFoK2ZuNkFQT2lxL0wxZ2JtNk9reWRQQW5JdHQyL2ZIdDkvLzMwZDNxVTZVNmRPMWZoZTd0Ky9YeU12bXRlQlFYZDE0L0hObXptdE83anNJUVFyL2pwekZsOThOaHp2dFcrbnc1RUcvdWxrUGMzR3FUTXYyOHRUU25jOHpzakliZXd4NlNzR25SbW9MVytTenZUVkRwcm4zTkgxQ1NGd1dMVjBNY1o1anRiaEVPMUlwVkx3ZUx4R055QjhFNkdVY3BsQmJ3Tnh2eC9CZ3UrWEFKVG1QN3gxM1VGZkk2RjZRTDFxc0xaSXBkSzM1ck1IZVFEcHpwMDd0VzRmK0taaTBKM082SVh1ZE9WdDA2Y0NTaW5LeTh0aFptYW1zKythUG1MUVhkMXAxYXBMRTU0WmN4bUV0QnZRNzBORWJBd3hlRXdZcUJheFdJS1o4L3h4NnN6Zm9KUStsSlpMZTJSbHBSYzM5cmowR1lQT0ROU1VOMDFuNnZVcStvRU1sTzRDZ0QvK2U1eGJmYTR0ZkQ3ZkVHeXBKWVNRdCthR21sS0tYdy85QWJ5ODY5eHR1UG1zbG5yVllHMTVXejU3Q3JwMzcvNlBDN1lZZEZjajlFSjN1dksyNlZNQklRU1dscFp2ZExERm9MdjZJVE16N1ptVUpWNlVVdUhaOC8vRCt0Qk5qVDBrQTNyT2hyRE5pa21na0ZKTTBlZEpvTDVnMEptQm12S202VXhmQXk2UVFmWWJwVlNZbkpLS3A5azVqVDBjQTI4QldVK3pjVFg1R2lpbElobllJNDA5SG4zSG9FRUQ5WUZCZHpYRG9Ec0Q5WUZCZC9YSGt6dmk2d0IrQXFXaTJJTngrUE92MDVCSXBJMDlMQU42aGxRbXczK1BuOFRCMy84QUFBbEFRbVV2aWk0MTlyamVGQXc2TTZBTGI2ck85RGJnd3BaTEh3SklsMGdrMkJXajJYZkFnSUdhRVB2YklVaGxNb0NRNjJDWnVydjd2dVVZTkdpZ1BqRG9ybWJJZFpkczBKMkJ1bURRWFgyU0lSWkxaRnNBWENrdmY0RTE2MFB4KzVHampUMG9BM3JHSDBlUEl5Z2tETVhQU3NCU21pcVJzbHV5c3JJcUczdGNidzRHblJsNE5XK3F6dlEyWDdhc3JGQmlZK3ZRaWhEMGZwTDFsUGxrNkdCWVdWazI5ckFNdktGa1BzbkN1dENOS0NrcGxWRktvNTdjdVg3Y2tHSmRQUVlOR3FnckJ0M1ZuSmU2YTI1SENQbm9TZFpUWnVpZ0FiQ3gxdDl1UlFiMEQ0UHU2cCt5Wi9tbHZLWXRUaGdSZkZ4YVZtWjM3c0pGQ0VVaTlQNVhEMFBKK2o4Y21VeUdzUEJ0V0xjaERNOUtub05TZXB1bHdvK3o3bVk4YmV5eHZXa1lkR1pBRzIrNnp2UTI0QUtBdGJacFhreDQ1Rk94V0d6ZG9rVnp1SFQ1QUF4akVKeUJtc0d5TEg2Tit4MG5UNThGSzJPTHdaTHZTNHB6c3h0N1hHOEFCZzBhcURVRzNkVWExc3FtMlRPR3gvTVFpOFhXMWxhVzZOR3RtMEYzQm5UQ29MdUdvN0lvcjh6Y3Rra3NEMHdiVnNhMlRVNjV6azlNdWdvQlh3QXpNek5ZV2xnWUpvWC9FRmlXUlhaT0RzNy83eUtXclFyQzRhUEhJWlZLSmFEc0lTa3I5TXE2YzhlZ3VWcGkwSmtCQlcrVHp2VDlFMHVjTzdyc0lJUk1kTy9lRFp0QzFzTGV6cTZ4eDJUZ0RlUDU4MUpNblRFYlY2K2xnTEkwOXRIdDYrTUE2TGNicGY1ZzBLQ0JXbUhRWFozZ2RPZlNwVE8yYlE0MTZNNkFUaGgwMS9DODA2R0RJME5NNWpPRXpBTUFJeU1qZE83VUVSM2Vhd2Q3T3p2WTJUWkQweVpOM21qVFpRUHFTS1JTbEpTVW9MQ29DSG41QmJoNzd6N1MwbTlDTEJZREFGaEtON0ZVdVBiSjdkdHZ6Q1JRbnpIbzdKL0oyNm96ZlErNG9GVzd6dS96K1B4TGhHRXMvZWZOZ3Zla2I4QXdlbXM5WTBEUFlGa1d1L2J1eDRxMXdhQXNXeTZUU25wbDNzdEliK3h4dlVrWU5HaWdwaGgwVjNjTXVqTlFVd3k2ZTUxMEY3UjZyN0ludy9CWEVzTDhHd0FmQUJpRzRmNFplUHRnV1piN0J3Q1VRZ2JRQ3dDejlORXQ1aUp3VmRMWVkzeTdNT2pzbjhqYnFETzlEN2dBUUt1T0xyNDhRamFZbVpvS1ZpNWRqQzgrRzk3WVF6THdodkRIMGVQNGZ1a0tWRlJVU21Rc0ZtZmVUbG5YMkdONkV6Rm8wRUJOTU9pdWZtalYwY1dYQVlMTnpjeU1ETG96OENvTXVtc1VlSzA2dVBaaVFDZURrSTRnMUJRZ0pxRFVHQ0J2OVd5UVVncENRRUFCQ3RDM3Y4eURzaUJFQkZBaEtLa0U2RzJwbEkzT3VwZDJ3ZUNSMU9EOFkzVUcvQjk3ZHg1blUvMy9BZnoxT2ZmZTJZZkJNSmJCWkdrRzJRbERTZGxDRWtWRWZKVWlsTUZYSVpSU1JMYXlTNkVTUlNScnRyN1p0MWtzWTdLUEdXYkR6Smo5M25NK3Z6L00zSjlyRnJQZk8rUDFmRHkrMythZTh6bm52bytjUG1mZTUvTjVmeVNFdUY4QzVIN2lnZmRaU1ZRaS9xMTVlRFJ5ZG5RVHE0UWkrbnBVcW9nMTN5MUYzZHExckIwVzJiZ0wvMTdFOE5GakVYb2pERktUNjVFcWhsKzdGaEJyN2JoS0l0NkRsRnU4N3dxUGgwY2paOGR5NGhzaHhIODhLbFhFcXFYZm9wN1BrOVlPaTJ3UTd6dnI4L0R3Y0xaemN5dXJrM1psVkdpdU9xMTB6M1d3TTRpNmpuWmlxQkNLUGlsVlhaNW1sQmV0SFZOUlVoVlZWYVJJMEJSam5IcnZYdXpObXplVHJCM1Q0K2p4dTgvd3BKTzk4bzRFRE1tcDJxSTBJLzYxZGt4RnFiVGVaeVVpNFFJQU5XbzNiSzRZbEIrRkVENHRtemZGaCtQR29GbVRSdFlPaTJ4VTBObHorT3pMMlRqbEh3Z3A1VlZwa3E5ZXZ4UjAydHB4bFdTOEIrbFJlTjhWUHM5YURSdnE3WlFOUWdpZnhnMGJZTXJFQ2J6dnlBTHZPN0tHSmsyYVBLY295am9wcFlPVThwV0FnSUFEMW82SnFMUnAyclJwZXlIRUwxSktCd0M5L1AzOS83WjJUSlIzSlNZckdIYzM2bGFaY2hXdkswSThlL05XUkpsVC9nRndLK3VHSit2V1pyVnFNdE0wRGR0My9vWFBaczdCdWZNWElLVzhxVW81T3ZSaUVCOEVDb2ozSUdXSDkxM1JpYjhiRlpWeDMwVkdSWnZ2dTdwMWF2RytlOHp4dmlOcnFseTVzcGNRNHRYMHVocnJJeUlpcmxrN0pxTFNwa3FWS2cvZVo3OUVSRVJjdDNaTWxIY2xKdUVDQUhGM292NTFkdlA0VmFlZ3g5M1l1QXAvN1R1QTBCdmhhTnFrRVp5ZG5Ld2RIbG5aM2J1eG1ESjlCcjVadWdJeE1iY0JLZjhWVW5hOUhoSjAyTnF4bFJhOEIrbGh2TytLWHNaOXB5am9jamMycnRKZit3N2c4cFdyYU5HOEtlKzd4eFR2TzdJMkpseUlpaDRUTHFWRGlYdzlWck5PL2FhS3dlNHJBQjBCd01YWkdTLzNlQkhQdFBORkdWZFhPRGs1d3RIQkVZcFNJaStQY2tIVk5LU2twQ0FwS1JueDhmRTRkUFE0ZnYvalR5UWtKQUwzQzB2OUQycmFCOWN1bmcrd2RxeWxFZS9CeHhQdk8rdXFVYWQrQTUzQmJuNm0rNjV0RzVRcFV5Yjl2blBneWcybERPODdza1djVWtSVTlEaWxxSFFvc2I4TlZmZHVXbFVIdFMrRThoOEFEWVNBVHFmVHdjbkpFVTZPVG5CMDVFTm5hYVk5OEFDYW1KUUVWVlVocGRRQWNVWkNybEUxckEvN056RGMybkdXWnJ3SEh6Kzg3Nnp2Lys4N01RZ1FqWG5mbFg2ODc4Z1dNZUZDVlBTWWNDa2RTbXpDNVFINjZ0NE51K3VFYnJvUVlDWEJ4NVdVWjFVcFB3ME5DZm9kZ0dydGNCNHp2QWNmVjd6dnJFbFgzYnRoRDk1M2p5SGVkMlFEbUhBaEtucE11SlFPZW1zSFVBaE1OMExPYkFId2g1dVhWMWtYeGJHaXprNVhVYXE2OG9vUXBlSDZLQXRTd2lnVnhLcEdHWjJFZTVGM3IxeUpCeUN0SGRkajZyRzlCeFVoeXpuYmk1Y1ZnY3JKUm0xTG1ra0p0blpNUlluM25VMVJNKzY3Y3JWcWxYR0dmU1dkbmE0aVZKUVRRbSt3ZG5CVWVIamZFUkVSbFZ5bDZaY2hHWHZ0V213c0VBdmdvcldESVhvTVBYYjNZTE5temVwSUtkOFRRclJ3VnNTaWY4LzdiN1oyVFBUWWtYZXZYSW03QzhROUx2Y2RFUkVSVVVuQmlkNUVSUGxrTkJvMUFGcjZSNDRxSUNJaUlpSWlNeVpjaUlqeVNhZlRhUmsxRklRUVRMZ1FFUkVSRVpGWmFacFNSRVJVck5MUzBqUUhCNGVNb3BWTXVCQVIwV05CMDdSTEFLWUtJZlRwUHhNUlVSYVljQ0VpeWllRHdhQktLVlVoQktTVWR0YU9oNGlJcURnRUJRV0ZBVmhoN1RpSWlHd2RweFFSRWVWVFdscWFKb1JRQVVCS3lRUTJFUkVSRVJHWk1lRkNSSlJQT3AxT2sxS3lhQzRSRVJFUkVXWENON0pFUlBsa2IyK3ZTaWxadzRXSWlCNHJUWm8wY1FOUVgwcXBDQ0hPQmdRRXhGbzdKaUlpVzhRUkxrUkUrWlNTa3FKbEpGeUVFS3poUWtSRWo0djZpcUlzMGVsMEt3SFV0M1l3UkVTMmlna1hJcUo4U2t4TTVMTFFSRVQwT0xJRFVFbEs2WkgrTXhFUlpZRlRpb2lJOGttdjF5Y0QrRlZLZVU1S2VkRGE4UkFSRVJFUmtlMWd3b1dJS0o4dVhicVVDbUN0dGVNZ0lpSWlJaUxid3lsRlJFUkVSRVJFUkVTRmpBa1hJaUlpSWlJaUlxSkN4aWxGUkVRRjhPU1RUN283T1RtNUNDRVMvZjM5bzYwZER4RVJFUkVSMlFhT2NDRWlLZ0JuWitjUmlxS3NBK0JuN1ZpSWlJaUlpTWgyY0lRTEVWRUJDQ0ZxQVdndGhJaXdkaXhFUkVSRVJHUTdPTUtGaUtnQU5FMHpBb0NVVWdHZ3MzWThSRVJFUkVSa0d6akNoWWlvQUJSRk1lTCtTQmRkZWhKYnRYWk1SRVJFUlVsS2FRSVFCeUExL1djaUlzb0NSN2dRRVJXTWVZU0xsNWNYUjdnUUVWR3BKNFE0cTJuYVVFM1RCZ29oemxvN0hpSWlXOFVSTGtSRUJTQ2xOQWtoSUlSUXlwUXB3NFFMRVJHVmVnRUJBYkVBRGxzN0RpSWlXOGNSTGtSRUJaTXh3a1dYbEpURWhBc1JFUkVSRVFGTXVCQVJGWmdKOTRkWEt5NHVMdnh2S2hFUkVSRVJBWnhTUkVSVVlPWWFMaWtwS1J6aFFrUkVwWjYzdDNkVkp5ZW5qcHFtNlZKU1VuYUZoSVRjdEhaTVJFUzJpQWtYSXFJQ2tGSWFoUkFBb0xPenMyUENoWWlJU2oxSFI4Y25oUkN6RkVWeGNIUjBmQVVBRXk1RVJGbmc4SGNpb29JeHB2OVRNUnFOVExnUUVSRVJFUkhBRVM1RVJBVWpwZHlyYVpxZmxQS213V0NJdDNZOFJFUkVSRVJrRzVod0lTSXFnTURBUUg4QS90YU9nNGlJaUlpSWJBdW5GQkVSRVJFUkVSRVJGVEltWElpSWlJaUlpSWlJQ2htbkZCRVJGWUNQajA4Rk96dTd1cHFtSmNYR3hsNE1Dd3RMdG5aTVJFUkVSRVJrZlJ6aFFrUlVBUGIyOW0xME90MDZPenU3cjl6ZDNUMnRIUThSRVJFUkVka0dqbkFoSWlvQVJWSHNoUkJlVXNva1ZWVWRyQjBQRVJFUkVSSFpCaVpjaUlnS3hnZ0FRZ2hGcDlQcHJCME1FUkZSWVdyZXZMbVRwbWtWSDl3bWhQQ1FVdXFFRUlvUXdxTnAwNlkxSDl5dnFtcE1VRkJRWXJFSFMwUmtZNWh3SVNJcUFDbWxTUWdCS2FXaWFScW5hUklSVWFsaU1wbThkVHJkNlllM0N5RXlmdnpsZ1orQis2TS9ud1p3b3BoQ0pDS3lXZnpsZ0lpb1lESkd1T2dVUmVFSUZ5SWlLbFVDQXdPRHBKUm5jdHRlU2hrY0VCQ1FLVUZEUlBRNDRnZ1hJcUxjTXpSdTNQZ1ZJWVRqQTl2cTQvNERaaGtoeEV0Tm1qU3AvK0FCUW9od2YzLy9QY1VlS1JFUlVlRlFwWlEvQ2lGbVNTa0J5OUV0d1AwKzBMeGRTcmtCZ0dxVlNJbUliQXdUTGtSRXVlVHA2YW5YNlhUREFYUjRlSjhRb2lLQUtWazhoTTRDd0lRTEVSR1ZXSnFtYlZFVVpUS0FNbzlvR204eW1mNHNwckNJaUd3ZUV5NUVSTGtVRmhhVzZ1N3V2bGNJOFp4NE9MUHlnSXczZlFBa2dDM0ZGaUFSRVZFUlVCUWxFa0NnRU9LWkIvbzRDK25kWXFDcXF1SEZIUjlSU2Rlc1diUG5BZXpOYWwvNnZYV2dXYk5tRCsvcWV2cjA2VjNGRVIvbEgydTRFQkhsbnFacDJpa0F0MkdaV01uT05YOS8vMlBGRWhrUkVWRVJDUWdJdUFmZ3FKUlN3MFA5WDhiUDh2NFBSNE9EZzJPc0Z5bFJ5UlFmSDM5SVNuazlENGZjaUkrUFAxQ0VJVkVoWWNLRmlDZ1BEQWJEZVFCWEh0VXVmUjc3endDMDRvbU1pSWlveUtoU3ltTUE0bkpvazVUZXhsaU1jUkdWQ3BjdVhVcVZVdjc0cUhZUEpEaC92WFRwVW1weHhFWUZ3NFFMRVZFZW5EcDFLbFJLZVM3ajg4T2pYQjdvQ0UzSnljbHJpejlDSWlLaXdxZXE2akVBMFJtZnBaUVdmYUFRSXQ1b05CNjNWbnhFSloycXF1dWxsS2tQMzFzWkhuakdUSlZTYnJKQ2lKUVBUTGdRRWVWZGpuVlowdWZhSHRIcjlkRTV0U01pSWlvcGdvS0N3Z0NjenFxRVdmcTIwMmZQbnIxaGpkaUlTZ09qMFhoVENIRTJoektCRUVKQUNIRlcwN1M4VEQ4aUsyTENoWWdvanhJU0V2WUR1UGZ3OWdmbnNVc3AvM2Z1M0xsNGE4UkhSRVJVRkV3bTA1cnM5bW1hdHJKNG95RXFYUzVjdUJBbnBUeVU4VG1yV2tucFB4OHltVXhSeFI4aDVRY1RMa1JFZVhUcDBxVjRBTC9rOEFZaVZrcDVDb0NwZUNNaklpSXFPc25KeWZ1a2xKRVBiNWRTUnNmR3h1NjBUbFJFcFlZSndNbXNYdW85SUJuQXlmUG56NmNWWTF4VUFFeTRFQkhsZzZxcVN3Q282Y1Z4SDU1ckd5YWxETEJlZEVSRVJJWHYwcVZMcVVLSWRSa3ZITktuTjBCSytmdTFhOWRTckIwZlVVa25oRGdDd0R4NjVlRm5UQ2xsdkpUeXFMWGlvN3hqd29XSUtCOENBd1A5cFpSbnN0bnRIeFFVeExtMVJFUlU2cWlxdWs1S2FYNjdudjd6YjlhTmlxaDBPSDM2OUdVcDVma2NtbHdJQ0FpNFZJd2hVUUV4NFVKRWxFOVN5dTBQYjB0LzY3ZVZ5MEVURVZGcGxKeWNmQVZBOEFPalhDN29kTG9RYThkRlZFcElUZE4rektFNDlTb0FtWmN3SXB2RmhBc1JVVDVKS2Y4SDRONkRuYUtVTWpZMU5aWHoySW1JcUZUU05PMGVnQlB5LzUwd0dvMjNyUjBYVVdtUm1KaTRVMHA1OStIdFVzcFlLZVVmMW9tSzhvc0pGeUtpZkRLWlRKZWxsT2EzZXVtSmwwM256NTlQc0dwZ1JFUkVSZVRTcFV1cFVzcGpBSklBcEVrcGp3VUZCU1ZhT3k2aTBpSjljWVlORDlkS0FyQTFJQ0FnMXRyeFVkNHc0VUpFbEUvbnpwMjdsakhQTnFOVFZGVjFrYlhqSWlJaUtrcENpTU1Bb2dIRWE1cDJ4TnJ4RUpVMlVzcGZIbHJ0MGlTbDNHakZrQ2lmbUhBaElzby9reEJpVDhZSEtlVTVBSnpIVGtSRXBacS92Mzh3Z01zQXJnY0ZCZVZVNEpPSThrSFR0UE1BTG1lODBKTlNYbEZWTmJ2RkdzaUc2YTBkQUJGUlNhWnAyajVGVVRRaGhDS2wvQ3NvS0NqVjJqRVJFVkhScUZxcmZnMDdnNzYrdGVPd0JXa205WXdRaXAyWGQ2UE8xbzdGSm9pMEM5Y3VYTGhtN1RDb2RJaVBqNDh2WDc3OEVRRGU2WnVPcXFvYTlZakR5QVl4NFVKRVZBQ0JnWUhoVFpvMDJRT2duWlR5eUVQRFA0bUlxSlR3OG1yaUJYdTVIaEtOckIyTExVZzB5dnNMOGdreDFOcXgyQUlCKzB1ZXRacjBEcnNTY05IYXNWREpkKzNhdFpTeVpjdWUwdWwwcjBzcGRacW1uV1NOd0pLSkNSY2lvb0piTElTb0N1Q2N0UU1oSXFJaW90Y3FReXFWaElCRCtmTGw0T2pnWU8ySXlBYWtwS1RpenQyNzBLVG1ycmRETlFCTXVGQ2hVQlRsSHdCUlFnZ25BQWV0SFEvbER4TXVSSlJuSEZKdDZVNkNVU3ZqcEw4V24yU3E1ZVhkcUxxMTQ3RnBISEpOUkNXY3dXREFpTGVIb2sycmx0WU9oV3pBU2Y4QXpKNjdFQWxKWEtpSkNwZS92MzlRMDZaTmJ3QndDd3dNRExKMlBKUS9UTGdRVVo1d1NIVm1pbDZQaEZRSlJhL3ZhTzFZYkIySFhCTlJTU2VFUUhYUGFxaGZ6enNYcmFtMGk0NkpnYUxqT2lURnhjT2prYlBPUlN1dmcxSldweWlsL25kWlZlSi9VbFVkdmVvMmFXanRXSXFhcW1rbVZacmlqZmR3SnpxNjlFeWZLdlYvU1ltb2tLVVBxVllVNFZDK1hEazRPTmhiT3lJcUFWSlQwM0RuN2wyb21zb2gxMFJFUkpScm52WHExZFZMdXo0U2VFb0FGU0YwWlNHRkN5QjExbzZ0cUNXa1NyMlVFdERKcnRhT3BhanBkRUxWQ1VPQ3ZSM2luTndiUndrcHp4c2hOb1pmQ1B6WDJyRVZCQk11UkpRdlRvNk9HUDNlTzJqUnRJbTFRNkVTSU9qc09YdzFieUh1eHNaYU94UWlJaUlxQVNvOThaU0hrNzErRnFUc0o0UndFQS91Rk9iL0s5VWtBQWpkWTNDbER4Q0FBZ0JDd0E3eUV5L3Z4aitxU1NsVGJ0d0l1V250MFBLRENSY2l5aGRGcDZCbWRVOE9xYVpjaWI5M0Qzb2R1eHdpSWlMS1dZMGFEY3ZCU1hsTkI4eUdRQm05VG8vYXRaOUFuZHExVU5takVpcFZyQWozQ2hXZzE1WDZBUzZQRlpPcTRzNmRPNGlNanNhdFc1RzRjdlVhTGw2K2JHY3lxVU4xem81OXZMd2JUVVNxc3U3YXRZQVM5ZmFPVDc5RVJFUkVSRVJrZGRXcStWVFFPU3Z6SlVSdklZUlR3d2IxOGNicnI2RlZ5K2J3ckZZVmlzSjZPWThEVGRNUWZ2TVdUcDRPd0E4Ly9veHo1eStVVlZVNVZ6cEszK3JlM2gvZUNDazVvMTM0TjVhSVNod3BKVUpEUXd2bFhKY3ZYOFlmZi95QmxKU1VRamxmWVl1S2lrSnljbktobk92T25UdUZjaDRpSXJJdCtlMFhqVVlqcmwwcldRdkhGV2EvU0xhbHVyZDNWYjJydzFGQURCU0FVN2V1bmJCKzdYZDRyZmZMcUZIZGs4bVd4NGlpS0tqdVdRMnY5T3lPWDlaOGg1N2RYNFFRd2tHQkdLZ1REdjlVcTlQSTA5b3g1aGIvMWhKUmliTnk1VXIwNzk4ZlY2NWNLZkM1RGgwNmhFOC8vUlFKQ2JaWEREMGhJUUY5Ky9iRnJGbXpDbnl1QlFzV29FZVBIZ2dMQ3l1VTJJaUl5SGJrdDEvODMvLytoejU5K21ENzl1MUZGbHRoS3N4K2tXeExUZTlHVCtpRXc1K0tRQjJQU3BYdzRiZ1BzR0QybDdDMzUrSU1qenRIQndmTStYSTZQdjVvUER3cVZZUVFvcFpCTC82cThrUzltdGFPTFRjNHBZaUlTcHorL2Z0ank1WXQrT0tMTDdCeTVVcHJoMU5rWEZ4YzhNNDc3K0Rycjc5RzkrN2QwYkpseTJ6YlJrVkZJU1FrSk52OWpvNk9TRTFOeFl3Wk16Qmd3SUJzMituMWVyUnAwNmJBc1JNUlVmSEpiNy80eHg5L1FLL1hvMjdkdXJoNU0vY2o5SFU2SFR3OFBQSVpiZjdscFYra0VxUk9IWHVoNEFNQk5IQnhkc2FrLy9xaFM2Y1hPS0tGekJSRndac0QrcUY4T1RkODl1VnMzSTJOcStOZ2J6ZmF3OE5qV21Sa1pLSzE0OHNKRXk1RVpKTVdMbHlJMWF0WDU5am0xcTFiYU42OGViYjdGeTllakZhdFdoVW9qdVRrWkRnNk9oYm9IRGxKVFUyRnI2L3ZJOXNOSHo0ODIzMk5HemZHcTYrK2lpbFRwanp5UE1lUEg4Zng0OGV6M1YrMmJGbnMyN2Z2a2VjaElxTGlWZGo5NHVYTGwzSHc0RUVBd091dnY1Nm5XQ3BYcm94dDI3Ymw2WmpjS3F4K2NkV3FWWVVjR1JVVkwrSFVCQkJ2QThLdWI1OWU2TmExRTNRc2lFc1AwZXYxZUtsYlY0UmN2SXhsSzcvWFM0SGhlamYzYllpTTNHL3QySExDaEFzUjJTeG5aMmZNbkRrejAzWlZWVE4xeEFrSkNYQnhjYkhZNXUyZCt4V1VqaDA3aHU3ZHUxdHNXN2x5SlhidDJvWEZpeGVqWXNXS2VZNC9MMTU3N1RVOCsreXptYlpybW1ieGhzZGtNa0ZWVllzaHRxNnVybWpZc0NHNmRldUdpSWdJaEllSG8zbno1bGkxYWhVcVY2Nk05dTNidzluWjJlSzhwMDZkd3BZdFd6QnAwaVRFeGNYaDh1WEx1WHJBSlNJaTZ5bk1mbkhseXBYUTYvV1lPM2N1eXBRcGs2YzREQVpEbm1QUHE0TDJpMVF5ZUhvMktBK2QrRmxBT0hkby93dytIUGNCa3kyVUxaMU9CNzlSdzNIbDZsWDh0ZmVBczBIb3Y2dm00OU15L01LRjI5YU9MVHRNdUJDUnpkTHI5ZkQxOVVWTVRBeVdMbDJLZ1FNSHdzdkxDNU1uVDBaa1pLUjUySFJFUkFUNjlldUh6cDA3NC8zMzM3ZDQwRHA0OENET25UdVg2ZHhDQ0x6enpqdm16Ny85OXB0RndtWFRwazFZc21RSmF0V3FWU3hEV3A5NDRnbjQrdnBpM2JwMVVCUUYvZnIxdy9YcjE5RzNiMS9NbnovZlBNMW56cHc1K1B2dnZ6Rng0c1FzRXlTN2QrL0dkOTk5aHdNSERnQUExcTVkaTg4Kyt3eSt2cjdvM0xrek5FM0RUei85aEd2WHJxRlBuejR3R28wNGZQZ3dQdi84YzV3NmRhcklyNU9JaVBLdk1QcEZBRGg5K2pSMjc5Nk5nUU1Ib20zYnRsYTZtcHdWVnI5SXRrMXgwWThTUXRUeXFsa0Q0ejRZV1N6SlBDclo3T3pzOE5HNE1iaDQ4VEt1aGQ1NFFxL1pqd0h3NkdIZVZzS0VDeEhadkQvLy9CUGJ0Mi9IeUpFakFRRC8vdnN2NnRhdGE5NWZ1WEpsVEpvMENWOSsrU1grL3Z0dmZQZmRkNmhldlRxUVBvVm00OGFORnVjem1VeVFVbG9rWElLQ2duRG16QmswYk5nUXYvLytPNzc0NGd2VXJWc1hTNVlzUWJseTVZcmxPbE5UVTdGczJUTDA2dFVMQUhEeDRrV1lUQ1pVclZyVjNHYm8wS0VJRHcvSDZOR2pNWERnUVBqNStXVjVMaUVFaGc0ZGlpRkRobURIamgzNCt1dXZ6VWtZUjBkSFRKczJEUjA3ZG9RUW9saXVqWWlJQ2s5QitzVzB0RFI4OGNVWGNITnp3N0JodzNLY2dwU1ZDUk1tb0YrL2ZvVjhSVmtyekg2UmJJK1hUeE12QVRrQUFEcS8wQUYxYTlleWRraFVRbFN2N29sT0x6eUhGZCt2aFNJd3BHcXQraXR1WGpsZk9FdVlGakltWElqSTVtM1pzZ1VkT25TQXFxcUlqSXpFOWV2WDhjd3p6eUFtSnNiY3Bubno1bGk4ZURGMjc5NE5SMGRIeE1URW9FS0ZDaGc3ZGl6R2poMXJjYjVSbzBiaDNyMTdGdHRjWFYyeFlzVUtORy9lSEFzWExrU1RKazB3ZCs1Y2xDMWJ0dGl1YysvZXZVaElTRURuenAwUkV4T0RzMmZQUXEvWHc4bkp5ZUphSjArZWpQcjE2Nk5Ka3lhSWlZbUJvNk5qcGlsRGtaR1JXTEZpQlE0Y09JRGs1R1MwYjk4ZUw3NzRJc3FYTDQvTm16ZGordlRwbUQ5L1BpWk5tbFJzMTBkRVJJV2pJUDNpbkRsemNQWHFWWHoyMldkd2NYSEIvUG56OC9UZHRXdlhMb0lyeWxwaDlvdGtjeFFKMlJ0QXpYSnVaZEdsNC9NYzNVSzVwdGZwMExuakMvaGoreTVFUmtSV3REUG9ld0g0Rm9CbTdkZ2V4b1FMRWRtMDhQQndoSWFHSWpRMEZEdDM3alJ2WDcxNmRiYkZBOWV1WFFzQU9IRGdRS1poMUxHeHNUaCsvRGhHang1dHNYM1FvRUZZdkhneERoMDZoTTZkTytQVFR6K0ZuWjFka1Z4VGRvNGVQUW9wSlFZTkdtU3h2V3ZYcmprZTE3OS9mNHdmUDk1aVc0VUtGU0NseExoeDQ5Q2hRd2M0T0RpWTl6Vm8wQUJqeDQ3RnJsMjdVS3RXTFVSRlJSWHlsUkFSVVZFcFNMLzQ2NisvWXVQR2plamR1emU2ZGVzR0FIam1tV2VLS2ZLOEs4eCtrV3hMdVZxMVhCV0Jib0J3YU51bUZSbytWZC9hSVZFSjAraXArbWpYcGhVMmJ0NXFENkI3NVRwMTFrVmN1aFJ0N2JnZXhvUUxFZGtzSVFRcVZxeG9mbEFFZ0hYcjFtSHYzcjFZdG16Wkk0dXFPVGs1WmRxMlk4Y09xS3FLamgwN1dtenYwYU1IdG03ZGlyaTRPRXlkT3JYWWt5MUNDTHo3N3J2bWxTS1NrcEl3WXNRSXZQcnFxM2pwcFpkeVBMWjgrZklXbnhNU0V0QytmWHNBd002ZE8vSDU1NS9uZUx5cXFnV09uNGlJaWw1Qis4V2FOV3VpWjgrZTZOaXhZNzVxdDN6MDBVZVA3Sk1LUzJIMmkyUjdIS1M5bTRSb0l3Q01HajRNZWoxL0xhVzhNUmdNZUh2SW05aTRlU3NnUkR1RGRQSUF3SVFMRVZGdUpDY253OEhCQVhaMmRxaGYvLy9mZXB3NWN3Wk5temFGbDVkWHRzYzZPanBtMlhHbnBxYmloeDkrd0xQUFBvc3FWYXBZN05QcGRCZzdkaXo4L1B3d2QrNWNUSjQ4dVpDdktHdkp5Y2tBQUFjSEIxU3JWZzNWcWxVREFHemZ2aDJhcHVINTU1ODN6N3QvbUtJb21ZWk1kKzdjT2N2Vm1TNWN1SUNGQ3hkaXdJQUJhTmV1bmNXK1k4ZU9ZZjM2OVlWNFZVUkVWTmdLcTErY05tMGFZbUppOE9HSEgrYjZ1Mk5qWTdGZ3dRS1lUS1lDWHNXakZYYS9TTGJKenFEdklRQ25PcldlZ0hmZE90WU9oMG9vN3lmcm9QWVRYcmg4OVpxVFlwQ2RBWnkxZGt3UFk4S0ZpR3hTY25KeXB1VXNnNE9EY2VQR0RkeTRjUVBQUGZkY3RzZk9tVE1ISFRwMHlMVDl0OTkrUTB4TURJWU9IWnJsY2M4Kyt5eDY5dXlKVFpzMm9VbVRKcG1XaVM0S0dRK1dEMS9yN3QyN0FRRERody9QOXRpNmRldmlsMTkrTVg4MkdvMUlTVW1CaDRkSHByWnIxcXlCbTVzYlhucnBwVXlqZDNyMjdJbWVQWHNpTWpJeXkyT0ppTWo2Q3JOZmRIZDNSOCtlUFhQOTNaR1JrVml3WUh5QW12b0FBQ0FBU1VSQlZBRTByZWpMSXhSbXYwaTJTeWpLSUFEbzNyV3p0VU9oRXE1WHorNzRlc0VpQ0lqWEFNeTFkandQWThLRmlHeFNYRnhjcG9ldE5Xdld3TVhGQmFtcHFSZzJiRmlta1JvclZxekFpUk1uMExCaHcwem5Dd3NMdzVJbFM5Q21UWnNzOTJjWVAzNDhUcDA2aGVuVHA2Tml4WXA0K3VtbkMvR3FNb3VMaXdNZWVyQzhldlVxRGg0OGlBb1ZLc0JnTUdET25Ea1dTMU5IUlVWaC9QanhtWmEvdkg3OStpTlhqdWpmdjMrMis5cTFhNGNGQ3hZVTRHcUlpS2lvRkhhL21CZjI5dlpBK2tqUm9sYVkvU0xacHFwVm4zUUhSQXVEWG8vMno5cm1zdVJVY25UcDlBSVdMbDRPbzlIWXdyTkJnL0poNTg3ZHNYWk1EMUp5MFlhSXFOaGR1M1lOTldyVU1IKytldlVxL3Zyckw3enh4aHNZTkdnUU5tellnQ3BWcXNEYjJ4dmUzdDZJalkzRi92MzdNVzdjT0xpN3UxdWNTOU0wVEowNkZWSktmUFRSUnpsK3I3T3pNeFl1WEFobloyZjQrZm5oOE9IRFJYYU5TTDlPQUJiWHVuejVjamc3TytPNzc3NURRa0lDamg0OWFyN091blhyWXMyYU5haFdyUnJlZmZmZExNODVjK1pNYk4rK0hkdTNiOGUyYmR0UW8wWU4rUHI2bXJjdFg3NGMyN1p0TTMvZXZuMTducGNGSlNLaTRsV1kvV0plWlV6VGlZK1BOLzlUU2xuQUs4cGFVZlNMWkZ2MExnNk5oWUN1Wm8zcWNIOE02dTJrcGFYbEtsbHBOQnBoTkJxejNTK2x4Smt6WjNEblR1WjhndEZveEQvLy9JT0lpSWdDeDF2U3VKVXRpK3JWcWdLQVhqSHFtbG83bm9jeDRVSkVOaWMxTlJYaDRlSG1wU2VsbEpnelp3NWNYVjN4K3V1djQ2MjMzb0tqb3lNKytPQURKQ1FrSUNBZ0FCTW1UTUNMTDc2WTVSRHB1WFBuSWpBd0VDTkhqb1NucCtjanY5L0x5d3Z6NTgrSGxCSitmbjdZdEdsVGtWd25BRnkrZkJuT3pzNm9YTGt5QU1EZjM5LzhBRjI5ZW5XTUdUTUdTNVlzd2E1ZHUyQXltVEI1OG1TRWhJUmd4b3daNWplT0R5dFhyaHc4UER6ZzRlR0J2Ly8rRzFGUlVaZzRjU0k4UER4UXZueDVUSmt5QmF0WHJ6YTM4ZkR3S1BZaXdVUkVsSHVGM1MvbWxjRmdnTHU3T3lJakk0SDBrVE5EaGd3cDhIbXpVaFQ5SXRrWUlac0RRTlVxVmVEbzVHanRhSXJjcmwyNzBLVkxGM015NVB2dnYwZno1czB0bGpZSGdMZmZmaHR2di8xMnR1ZEpTMHZEa0NGRHNHL2Z2a3o3RWhJU01HYk1HQnc3ZHF3SXJzQzIyZHZab1dwNmJVWWgwTnJhOFR5TUNSY2lzam5IangrSHFxcG8wS0FCQUdERGhnMDRldlFvUm84ZWpUSmx5c0RCd1FGTGxpeEJSRVFFaGc0ZGlwRWpSOExYMXhlZmZ2cHBwblA5L1BQUFdMZHVIWjU3N2puelNnZTUwYWhSSXl4YXRBaE9UazZZTVdNRzVzNjlQeVgweUpFaitPQ0REOHh2K1FycXlKRWo1dUtIaVltSm1EcDFLcXBXcllyQmd3Y0RBRjU1NVJVTUdUSUVIMy84TVlZTUdZS0RCdy9pMjIrL1JiMTY5UjU1N2oxNzltRHUzTGw0NFlVWGNPdldMUnc2ZEFqLy9QTVBXclZxaFEwYk5tRFZxbFdGY2cxRVJGUzBDck5meksvYXRXdmp3b1VMQUlDN2QrL0NZREFBSmF4ZkpOdWdDTkVVQUtwVThZQ1RZK2xQdUd6YnRnMFZLbFF3SnhHTFFrWjlwVWV0VkZZYTJkblpvVXFWK3pVSWhhSzB0SFk4RDJNTkZ5S3lPWHYyN0lHN3V6c2FOMjZNa3lkUFl2NzgrZkQxOWNVcnI3eGliblAzN2wxVXExWU4vdjcrQUFCUFQwL2N1M2NQYm01dTVqWlNTaHcrZkJqMTZ0WERqQmt6TE9aN1o0aUtpZ0xTVjNCNFdOT21UZkhERHo5ZzZ0U3A2Tk9uRDVEKzhIZnMyREVNR1RJRUN4Y3V6TldJbWV5RWg0Y2pPRGdZRXlkT05MK2xpNHlNeExKbHk4eHY2VkpTVXVEbTVnWkZVUkFjSEl3NmRlb2dNVEV4VitjL2ZmbzBUQ1lUdG0zYmhtM2J0c0hlM2g0dUxpNXdjbktDdDdjM2xpNWRDaDhmSC9qNitrSlYxY2V5a3lZaUtna0txMThzaUJZdFdtREpraVdJam81R1dGaVllYlJOU2VvWHlTYm9JWVVQQkZERnd3TU9EZzdXanFkSWhZV0Y0ZVRKa3hnOWVuUyt6M0hvMENGRVJVVkJWVlVBUUdCZ0lIUTZIVHc5UGVIczdJd3paODRnSVNFQkFIRHk1RW1MKzZGaXhZcDQvdm5uQytGS2JKZWRuUUZWcXR4UFpnbklCdW1EU29xK3duY3VNZUZDUkRibHhvMGIyTGx6Si9yMjdZdVFrQkNNR1RNR0hoNGVtREZqQm1KalkzSG8wQ0hzMkxFRFI0OGV4Vk5QUFlVbFM1YmcrUEhqV0x0MkxYNzY2U2QwN3R3WnJWdTNSc3VXTFZHaFFnVjgvZlhYU0VwS01uZm8vdjcrMkxCaEExeGNYSkNRa0lCOSsvYkJ5OHNyMjJVa2E5YXNpZFdyVjVzL2QrellFZVhMbDRlZm54K0dEQm1DUllzV1pia01jMjZzV0xFQ0JvTUJMN3p3QXFaTW1ZSi8vdmtIRXlaTVFPUEdqWEhtekJuODczLy93NlpObTVDU2tvSWhRNGFnUllzV21EdDNMa2FOR29XNmRldWljK2ZPYU5teUplclhyNTlsc21UTW1ERjQ2NjIzb05mcjRlenNuR21wN0wxNzkrTE1tVE00ZGVvVWdvS0MwTEZqeDN4ZEJ4RVJGWjNDN2hmenEwZVBIbGkyYkJsbXpacUZpeGN2b25mdjNrQUo2eGZKK3FyNStKU0ZFUFlHZ3dFVks3cERDR0h0a0lyVWp6LytDRHM3Tzd6ODhzdjVQc2Z2di8rTzA2ZFBtei92MjdjUGh3NGRNaStSdm56NWN2TytYYnQyNGErLy9nTFNweUExYTlhczFDZGNoQkNvV0tFQzdPM3RrWnFTNGxDalJzT3lvYUZuN2xvN3JneE11QkNSVFRsejVnenM3T3d3Wk1nUTZIUTZ0R2pSQWhNblRzVE9uVHZ4MVZkZkFRQ2FOV3VHV2JObW1STUVUei85TlByMTY0ZWZmLzRaZi83NUo3WnUzUXAzZDNkczNMZ1JMaTR1Rm5PNm5aMmR6VXRMR2d3RzFLMWJGNU1tVGNwVGpNMmFOY08zMzM2TGtTTkhZdlBtemZqd3d3L3pmSjJhcGlFd01CRDkrL2RIdVhMbDBMUnBVM2g3ZTZObno1N28xYXNYd3NQRFVhNWNPWFRyMWcxdnZ2a21LbGFzQ0tSUGtUcHc0QURXcjErUFJZc1dBUUErK09BRHZQbm1tNW0rdzg3T0xzZUg2N0pseTJMejVzM1FOQTExNjliTjhoeEVSR1JkUmRFdjVrZWxTcFV3YnR3NExGeTRFSTBhTlVLWExsM00rMHBLdjBqV0o0MTZKMkVuOVRwRmdaT1RrN1hES1ZKMzc5N0YxcTFiMGJWclY3aTV1YUY3OSs2SWpZMkZ5V1FDZ0V4Sm1JekN1bTNiM2wrNTZhMjMzc0xRb1VNeFo4NGM4MzVmWDEvNCtmbmgxVmRmTlI4M2VQQmdYTHAwQ2YzNjljUGN1WFBScGswYkFNRElrU09MN1ZxdHpjbkpDWHE5RGlrUU9zMUJjUUxBaEFzUlVWYTZkZXVHbWpWcm1oTUY4K2ZQQndEMDZ0VUxVa284OTl4ejhQRHd5SFJjeFlvVjhjRUhIMkRVcUZFSUNnb3lUNTk1MkpOUFBvbFRwMDRWT002R0RSdGl6Wm8xRnFzbzVJV2lLSmcvZjc3NU92djI3V3ZlTjNueVpLaXFpbGF0V21WNlF5ZUVRSWNPSGRDaFF3ZkV4TVRnNU1tVDZOU3BFd0NnVHAwNmVicTJGaTFhWU1lT0hmbUtuNGlJaWtkUjk0dDUwYmR2WDR2KzZrRzIyQytTN2JIWEswNVNRaWNVQmZiMnBidGcvL0xseTVHU2tvSTZkZW9BQUlZUEg0N1UxRlFjT1hJRUJ3NGN3RHZ2dkdNeHdqcGpSSFZHdmFLTVdrWlpVVlhWdkZxWWk0dUxlVG4xc21YTFdyUXI3U09JTXRqYjIwR242Q0NFVkdCS3M2bE1IaE11UkdSek1vb0NQc2pPemc3OSt2Vjc1TEU2blE1Tm14YlBpbkJlWGw0Rk9yNW16WnBaYm0vVnFsV3VqbmQzZDBmWHJsMExGQU1SRWRrKzlvdnNGMHNMVFJWT2lrSG9GVVdVNmxXbHJsMjdobzBiTjFwc2UrbWxsd0FBOSs3ZHc0RURCOUM5ZTNlTEpkdTNidDBLQUJhalZ4NTA3OTQ5QU1CdnYvMkd4WXNYNC9YWFg4ZUpFeWNRRXhPRHhvMGJBd0NxVjY5dWJpK0VNQmZUTGUzczdlMmg2QlJBQ3AxZUo3S3VFMkFsWEtXSWlJaUlpSWlJaXB6VW1aeWtoRjRSQ3V6dFN1Y0lGeWtsUHYvODgwSWJYYko4K1hJTUhEalFuRXhNVGs1R256NTkwTFZyVjB5ZVBCbGx5NWJGMXExYjRlenNiSkZnTVJnTVNFdExLNVFZYkoyOTNmMFJMbEpJUmVvVW14cmh3b1FMRVJFUkVSRVJGVDJwTjJjaHBKVFdqYVdJckZ1M0R2NysvbmpycmJjSzVYeUhEaDJDWHEvSGlCRWpBQUNEQmczQ3lKRWpVYU5HRFhoNWVXSE9uRG5RNlhSSVRFekVhNis5aHIvLy9odElyMXVZc1dMUnhvMGJzV1RKa2tLSngzWkpBQkJTU3B1YVI4V0VDeEVSRVJFUkVSVTlSVXNXUXFxYXBpRWxKY1hhMFJTSmlJZ0l0R2pSQXErOTlscWhuRy81OHVYNDRZY2ZNSERnd0N6M2YvZmRkMUJWRmRPbVRZT2RuUjNHamgyTEV5ZE9vRnk1Y29pT2pnWUFCQWNINDhDQkE0VVNqeTFLU1VtQnFtb1FVcWhDMFNWYk81NEhzWVlMRVQzV2twS1NrSmFXQmpjM3Qxd2ZFeHdjakt0WHI2SmJ0MjZaOXQyOWV4Yy8vL3d6bm4vK2VkU3JWeTlYNTVzK2ZUcWVlT0lKREJvMEtOY3hyRjY5R2lhVEtkZHZUMUpTVWhBWEY0ZUtGU3RDVVpockp5SXFUYlp2M3c1UFQwODBhdFRJMnFFVXFZU0VCSVNHaHFKbXpab1d4VWFwQkRGcHlWS3YzRSs0cEsvS1U5cjA2ZE1IVGs1T0ZsT0tidDI2aGJ0Mzd5K2NFeFVWQlFDNGVQR2krV2VrVHhVQ2dQUG56NXUzMWE1ZDIxenJKbU4xb3dlZjQvNzY2eTlzMkxBQlBYdjJSTStlUGRHaFF3ZHMyclFKTFZ1MlJGaFlHTzdldll1b3FDaUVob1phMUhjcGJWSlNVNkdxS2dDcHdhUXg0VUpFOUNoMzc5N045N3hUZDNmM1RLc1laQ1V4TVJHOWV2VkM0OGFOelV2dTVjYStmZnV3Y2VQR0xCTXVxMWV2eHRxMWEvSENDeS9rK255WEwxL09jK0c0d01EQVRIOCtNVEV4K1BmZmZ6TzFiZE9tRFE0ZVBJZ1BQL3dRZS9mdXpUYTVsSktTQWszVFN2MHlqVVJFcGMyTUdUUFFyVnMzbTB1NEhEcDB5UHhMWkZZVVJjSHp6eitmNi9NRkJRVmg5T2pSV0xac0dWcTBhRkZJVVZKeEVqcGRzaERDZEgrRVMrbE11R1FVZjQ2TmpUVnZXN0ZpQmJaczJXTFJidFNvVVZrZS8rQUx1STBiTitMRWlST0lqSXpFdFd2WEFBQlZxMWFGbEJMcjE2L0gxMTkvRFM4dkw0d2ZQeDRBNE9ycWFsN2w2Smxubm9IQllNQ29VYU53N2RxMVVyMU1kSEp5Q2xSVmhSVFEwa3hxa3JYamVSQVRMa1Jra3laTW1JRFRwMC9uNjlqdDI3ZG51VVRtdzV5ZG5mSGlpeS9pcDU5K3dwRWpSOUNtVFp0OGZWK0c4UEJ3ckYrL0hrODg4UVRpNHVKdzdOZ3hpLzFWcTFaOTVOdUZ3TUJBSEQxNk5OUDI1czJiUC9MaDh2ang0NWd5WlFvY0hCeUE5Q1VEalVaanBqZ2VGQllXaG9NSEQrTGd3WU00ZGVvVUJnOGVqT0hEaHovaVNvbUlpQjd0aXkrK2dLcXFXU2I2RXhJU0VCa1ppUk1uVHBpM1hiMTZOY2NFVFdob0tBRGcrdlhyT2I0Y0tGT21ERHc5UFFzY1B4VStrV3BLbGc0R1ZkVTBKQ1haMU8vRlJlcTk5OTdEbTIrK2FmNTg5KzVkdUxtNVdZeUN1WEhqUnFibnhHclZxbUhidG0zNDVaZGZZREFZMExOblQ3UnExUXBIang3RjdObXo0ZTN0alcrKytTYkxFVi91N3U0WVAzNDg1czJiaDlxMWErT1ZWMTRwNHF1MG5xU2twUHNqZ0tSUU5jWEFFUzVFUkkveTNudnZXYndaeUVseWNqSVdMVnFFaUlnSStQajRvRXlaTXVaOUJ3NGN5TEZEcjFLbENweWNuSEQ2OUduelVNK3NOR2pRSU52bEtqUE1uRGtUYVdscHVIcjFLdDU3NzcxTSt3Y1BIb3ozMzM4L3gzTUVCZ1ppK2ZMbG1iYS8rKzY3dVhxYnB5Z0tEaDA2QkFEWXRXc1hKazJhWkxILzMzLy94ZFdyVnhFUUVBQi9mMzlFUjBmRHhjVUZ6Wm8xdzVneFk5Q3VYYnRIZmdjUkVaVWNTVWxKUlRweXNXdlhyaGI5OVpRcFU5QzllM2Z6NS8vODV6OVpMbCs5Zi85K1RKZ3d3V0xibENsVEVCd2MvTWp2L09LTEwzTGMvL3p6ejJQMjdObTV2QUlxVGlaVGZKd0JGZEpNSmhOaWJ0K0JwbW1QeFZSbmQzZDM4eExRTVRFeEdEVnFGTHk5dmZIMTExOEQ2U05aWnM2Y2lRa1RKbVNxL1RKeTVFaU1IRGtTOSs3ZGc2dXJLNUErZXZuYmI3OUZpeFl0WURBWXpHMU5KaFAwK3YvL0ZiOVNwVXBZdVhKbHJxZTVsMFNhcGlIbTloMmtHWTBBcERIeWNsRHVmb0VvSmt5NEVKRk5hdHEwYWE3YVhieDRFUjk5OUJFaUlpTFF0MjlmK1BuNXdlNkJaUWJuelp1SHNMQ3dSNTVuMWFwVk9lNmZNR0VDamg4L2pyQ3dNQVFHQmlJbEpRWHo1czBEQUl3WU1RSmJ0bXpCNGNPSE1XblNKTHo0NG92bTQwd21FOTU3N3oyRWhZV2hSNDhlNXUxMzd0eEJZR0FnQUNBK1BoN2g0ZUhZdjM4L0dqWnNpTDE3OTVyYnBhYW1vbHUzYm5CMmRyYVkwM3Z2M2owWWpVYWNQMzhlN3U3dXFGU3BVcTcrdkVhTUdJRWFOV3JncWFlZXd0Q2hROUdrU1JQVXFWTUhpcUxnNnRXcldMaHdJU1pObW9TeVpjdm02bnhFUkdRYmpoOC9EaW1seFJ2enFLZ29EQjA2RkFNR0RNQ0FBUU9LNUh2VDB0THczbnZ2NGRsbm44WGd3WVBUNnlqOHY0aUlDSXYrSzBOV2ZmUDgrZk56bkU1ODZ0UXBmUExKSi9qaWl5L1FzR0hEYk5zNU9qcm0rVHFvZUlTRmhTVjcrWlMvS2lBYTNyd1ZnZVNVRkRnL1JsT1pFeElTTUdyVUtDUWtKT0NkZDk0eGIzLzU1WmNSRUJDQW1UTm40dWJObTNqLy9mY3ozY3U5ZXZYQ3RHblQwS1ZMRit6WXNRUHIxNi9IMDA4L2JXNnphTkVpaXhkM0pwTUpDeFlzZ0oyZEhkYXVYV3VSaUNsTjBveEczSXFJeVBoNEVZQk5yWVZkT3YvVWllaXhzR25USnN5ZVBSdDJkbmFZTldzV09uYnNtS25OK3ZYcm9XbWF4YmFISDBnZmxKYVdacEd3eVdCblo0ZUZDeGZpMzMvL1JVeE1ERlJWUlVoSUNBRGc1TW1UbURkdkhucjE2b1UrZmZwWUhEZHIxaXhjdlhvVml4Y3ZScTFhdGN6YlEwSkN6Ry8yTkUxRGFHZ29qaHc1Z2hkZmZCSFRwMDgzdDd0eTVRb0F3TUhCSWN1aXVvTUdEY3JWeUptTTY5MjZkU3VxVnEyYVpadmc0R0RzMjdjUG4zNzZhWTduSWlLaTRwT1Nrb0xWcTFkbnVhOWx5NVpvMXF3WmtKN0FPSGJzR0ZxM2JnMmtKL05Iamh5Slc3ZHVGZmtJQW5kM2QzaDVlV1ZaUCszbm4zL0doZzBiTW0xL3VHL09PRTlPTW1wWVZLaFFJZHUrakVxRTB3QjZSa1JHSWpuNThVbTR4TVRFd00vUER6ZHYzc1RpeFl2aDdlMXQzcWZYNnpGOStuUzR1cnBpelpvMXVIMzdOcVpPbldwT2t2ejQ0NDhRUXFCVnExWUFnQm8xYXVETW1UUFl1blVyZXZYcUJhU1B4bDYxYWhVT0h6NE1YMTlmNlBWNlRKdzRFZSsrK3k1Kyt1a25jMjJYMGlZdExRMjNJaUlCQUZMSTQ5YU81MkZNdUJCUmlaT1FrSUFaTTJaZzkrN2RxRmV2SG1iT25KbnRYTzJNZWlZWmtwS1NNR2JNR0xSdTNUclRDaitob2FFWU5td1kzbmpqRFl0NXRobkdqaDBMcEw5QjJMaHhJNVl1WFFvQUdETm1ET3p0N2RHOGVYUHMyYlBIM1A3S2xTdllzR0VEZXZmdWplam9hT3pac3djK1BqN3c5UFJFbXpadGNPTEVDU1FtSnVMNTU1OUg3OTY5OGVHSEgwSktpWjA3ZDZKVHAwN1E2WFRtTjREdDJyWEQ1czJiemVmKzRvc3ZZRFFhTVczYU5QUHdVcVFuazlhc1dRT2tUeC9LVUw1OGVTQzlRRzlXRDZsSlNVbll0bTBiZkh4OE12MlpFUkdSOWFTa3BKai91Lzd3ZHIxZWIwNjRJUDJYc3RhdFd5TTJOaGFqUm8zQ2xTdFhNSEhpUkx6NjZxdkZIUFY5N2RxMVEvdjI3ZUhyNjV0cDM3bHo1N0IyN2RwTTI4K2ZQLy9JVmZ2ZWZmZmRiUGZsOUdLQmJJUFVkTWVGVHVKV1JFU09OWHRLaytEZ1lQajUrVUZLaWVYTGw4UEh4eWRUR3lFRUpreVlBRVZSc0c3ZE9pUWxKV0hXckZtSWlJakFoZzBiTUdEQUFITTlwQVlOR3VEcHA1L0d5cFVyMGFOSEQrajFlclJ2M3g2MWE5Zkdva1dMMEtaTkd3Z2gwS0pGQzNUdTNCbkxsaTNEQ3krOFVDcHJHNldscHVIbXJZd1JMc29SSzRlVENSTXVSRlRpREI4K0hNSEJ3ZWpYcngvOC9Qd3M1cTdtSkRFeEVhTkhqMFpnWUNBNmQrNmNhWC9WcWxYaDYrdUxCUXNXSUNRa0JGT25UczNWNmtHelo4OUd4NDRkTVhYcVZQTklFaWtscEpSUUZBV2JOMi9HNXMyYm9Xa2FKa3lZWURHWC9kU3BVK1psL3BEK2huTHExS21JaTR0RHYzNzlFQklTZ2pKbHltUXFBdXpvNkFpZFRwZXB1SnFVRWdFQkFjQUR5dzRDUU1PR0RWR3JWaTJNR1RNbXk0UkthbW9xaEJDWU5XdldJNitYaUlpS2o1dWJtN2syVjRZelo4NWd5SkFoRm5VWlhGMWRjZVRJRWV6ZHV4ZUxGaTFDZUhnNFB2dnNzeXhYMUN0cVlXRmg1cjd1enovL0JBQjA3TmdSbjM3NktjYU1HV05SS0xkdDI3WllzbVNKZVlXbDZ0V3I1Mm5sd0lkbHZHQWcyeVhTVXYybGcwRzdIaHFteE55K2crcWUxYXdkVXBHTGk0dERwVXFWOE5WWFg2Rnk1Y281dGgwL2ZqdzBUWU9ucHlkME9oMisvLzU3T0RrNVllalFvUmJ0Qmc0Y2lPblRwK1BxMWF1b1c3Y3VoQkI0NjYyM3NIMzdkc1RGeFptVE02TkhqMFo0ZUhpcExWSWNHeGVQc1BDYmtGSnFLVVo1SWhlSEZDc21YSWlveEltSmlVSHo1czB6RmR2THlkMjdkK0huNTRlelo4OWl5cFFwNXVHWEQ5THI5Wmc2ZFNwcTFLaUJiNy85RmpkdTNNQzhlZk5Rb1VLRkhNOXRNQmlnMCtrd2R1eFk4eHo1UC83NEF6Tm16TEJZSVNpcnBTOHo2clZFUjBkajA2Wk42TjI3Ti9yMTY0ZkZpeGVqYytmT09IcjBLSm8zYjQ0Ly8vd1RKMCtleENlZmZKSmpMSXFpWU83Y3VjQkRSWFAxZWozV3JGbUQwNmRQSXlFaElkTnhkbloyOFBiMjVsdEJJcUlTWVBmdTNYQjFkYldvMzlDaFF3ZWNPblVLRXlaTWdJdUxDeFl0V21TMXBaT2xsRWhKU2NHeVpjdk1VeVF5YXJPa3BLU2daOCtlNW41NDRNQ0JGblZmWEYxZDBiUnAwM3o5Y3VqcTZzcFJtaVhBdFd2bkk3eDhHaDlYVmJYMW5uMEgwTFJ4OXZWNFNqSTNOemVjT25YSy9EbGp1bDl1UFBpTU8ySENCUFR0MnhjdUxpNFdiWHg5ZmJGdDJ6YUwyaXhkdW5SQmx5NWRMTnBWclZvMXkxRnlwY1hXN1R1aHFpb0U1T25JeTBGUnVUaWtXREhoUWtRMlpkdTJiYmgxNjFhT2JaS1NraEFaR1ltVksxZm0yRzdnd0lGd2NIREF1WFBuOE4vLy9oZTNiOS9HbENsVGNPblNKZXpac3lkVHpSZWowWWdCQXdhZ1Q1OCsrT3l6ei9ESko1L2d6VGZmeEtKRmkrRGw1V1hSMW1ReVlmbnk1VGg0OEdDMm5WaFdjOWtmbEpLU2dnTUhEc0RkM1IzUjBkR1lNMmNPWW1KaThPNjc3Mkw3OXUyWU5Xc1d6cDQ5aTZsVHA2Sml4WXJZdW5VckJnMGFoTnExYStkNDN1dzRPanFpYmR1MitUcVdpSWhzUTFwYUduYnYzbzBPSFRwWS9LS2wxK3N4Yk5nd2ZQTEpKeGc4ZUxEVmtpMFBxbE9uRHR6YzNGQ3VYRG5jdm4zYnZMMUNoUW9XOVNzZXRtalJJbXphdENuUDMvZk9PKy9rT04ySWJJaVVheUJFNjIwN2QyUDhtRkhaMXRhait5L0Zubnp5eVV6YmhSQ2x0aEJ1Ym1tYWh0Ly91RCtLVHBYNDBkcnhaT1h4L2pkRVJEWm54NDRkOFBmM3o3Rk5Ta29La3BPVDhmMzMzK2ZZN3RWWFg4V3BVNmN3YnR3NE9EczdZK25TcFdqU3BBbGVmLzExL1AzMzMyamZ2cjNGZEtTdFc3Zml5cFVyY0hOelE5ZXVYZUhxNm9yLy92ZS9tRFJwRW43NjZTZEVSVVZoLy83OTJMZHZIeElURTdGOCtYSTg5OXh6V1g2M3FxcVBUTGo4K2VlZnFGYXRHZ3dHQStyWHI0KzMzMzRieTVZdHc2QkJnekJxMUNoOC92bm4wT2wwZU9hWloxQ21UQm5VcjE4ZjMzLy9QVDcvL1BNY3o1dVY2T2pvTEVmMVBHelBuajFjM1lHSXlJWnQzTGdSTVRFeFdTNjEzSzFiTi96NjY2OVl0V29WT25YcWxHbmFhWEhMV0I3YVpESlpqUEpjc1dLRnVRL1Bxbmd1QUxpNHVHUXFGdXp2NzQvUFAvOGNjK2JNd1JOUFBHR3g3K0dsZE1tMkdWVnN0Uk55VnVpTk1OZUFvTE9sZHBRTEZhM0FNMmNSRm40VGdFeUFLdmJrNHBCaXg0UUxFZG1VYjcvOTlwRnR1bmJ0Q2k4dkwzUFIycHc4OWRSVGFOZXVIZno4L0ZDdDJ2MDV3c09IRDhmNDhlT3hmdjE2REJ3NEVFaXY3N0owNlZMVXJWc1huVHAxQWdBODg4d3pXTEJnQVNwWHJnd2hCSVlORzRidzhIRG85WG80T1RuaDExOS96WFllYm1wcWFvNkpDNVBKaExWcjE2SnYzNzdZdlh1MytmdmF0bTBMUlZIUXMyZFBMRml3QU03T3p1WWhwUDM3OThjbm4zd0NQeisvYk04cnBjU3VYYnNBQUVGQlFlYnRtcVloSlNVRlk4YU15VFJhQituRjNKWXRXd1lwNVNQL1RJbUl5RHFTazVQeHd3OC93TmZYTjh1aW16cWREdE9uVDhlQUFRTXdZY0lFZlBmZGQzQ3l3Z293Qm9NQk5Xdld4SlFwVStEazVJUmp4NDRoSmlZR0sxZXVSTDE2OWRDaFF3YzBhZElFQURCNTh1UXNwd0hwZExwTS9kWE5temVCOUNrU1dmVmxWSEtrNmxMakRNTCtId0hSYmVtS1ZmaG03bGV3czh0ZFRUNGlBRWhOUzhNUGE5ZEIzbjk0M2EvcVV5TnljVml4WThLRmlFcTFzbVhMWmlxKzE2RkRCN1JwMHdiZmZQTU5HalZxaEVhTkdtSE9uRG00YytjT1pzMmFaVEV5SldQNVBhUy9QZlB4OGNIeDQ4ZXhjZU5HVks1Y0dTRWhJYmg4K1RMUzB0SVFIQnlNN2R1M0ErbExSYXVxYXY2TTlHSGc1ODZkdzg2ZE81R1VsSVNZbUJqMDZOSERuSEJCZWcwV3BJOSt1WGZ2SHU3ZHU0Zk5temVqZCsvZTZOU3BFMnJWcXBWdFRabU1RcjN6NXMwRDBwTStEMnZTcEFrYU5zejhGdWxSbzNHSWlNajY1czJiaDVpWUdNeWVQVHZiTmw1ZVhoZ3paZ3htelpxRkNSTW1ZUDc4K2NVKzdjRGQzUjNyMXEyemlDa29LQWpEaHcvSG4zLythVkhZOXFlZmZzbzBuU1F0TFExU1N0eTdkODlpZThhS05rbEpTWm4yVWNrU0V4S1M0T3pUZUFjRW5qdCs4clRUbVhQbjBieHBZMnVIUlNWSTBKbHpPSGJpSkFTUUpxWGNFUjV5NGE2MVk4b0tFeTVFOUZpYU9uVXFYbi85ZFl3ZlB4NjlldlhDSDMvOGdjR0RCNk5wMDZiWkhwT3hUT1h4NDhmTjIvYnYzMjllMW5MZnZuM1l0Mjhma0Q3dENRQSsvL3h6aXdmSnZYdjM0dURCZzVnK2ZUcjY5ZXVIc21YTFp2cWVoSVFFZlBQTk4yalZxaFgwZWowV0xWcUVUcDA2d2RYVk5jczNtaG1TazVQaDRPQ0FuVHQzQWc4VnpjMXc3dHk1TEFzUmhvU0U1UENuUlVSRTFuYmt5QkZzM0xnUmZmcjBNYS9vazUyK2Zmdmk2dFdyMkxCaEE4YU9IWXV2dnZxcVNJdkp4c2JHNHViTm0rYnBRWjk4OGdsMjdOaVJaZHNlUFhwazJsYTJiRmx6L3drQWQrN2NRWHg4ZkxiVGR0OSsrKzNDQ3Ayc1IwS2tiWVMwR3hVWEgrKzlkLy9mYU55d3dXTmZrNFJ5UjFWVjdObC9BRkhSTVpBUXQ2RXovZzRnNi9tSlZzYS8wVVQwV0twVXFSTG16Sm1EWWNPRzRidnZ2c1BUVHorTlVhTkc1Zms4dzRjUHgvRGh3eTIyaFlXRm9VK2ZQZ0NBMTE5L0hlKy8vMzZtNDB3bVU1YkpIU2tsdnZ6eVN5UW1KbUxpeElsSVNVbEIvLzc5c1dUSmtrZXV5aFFmSDUrcGd2M0RGaTVjbUdWaHV1em0wQk1Sa2ZYZHVIRURIMy84TVR3OFBQREJCeC9rNnBqLy92ZS9pSTZPeHY3OSt6Rml4QWpNbWpVTGxTcFZLcEw0dnY3NmEzejk5ZGZtenkrLy9MSjV5bEJhV2hyV3JGbURPM2Z1UUZWVktJcUNqaDA3b25uejV1YjI5dmIyRnVlN2N1VUtXclJva2V0ckJZREJnd2NYeXJWUThia2VISHlycG5makg0WEFaMy90MjQ5ZUwzWERrM1hyV0Rzc0tnSEN3bTlpejc2L2dmdlB6cXV1bno5dms5T0p3SVFMRVQydWdvS0N6TXNuR3d3RytQdjdZOFdLRlJnOGVIQ0IzZ0pHUjBkajNMaHhjSGQzeDRjZmZvaHg0OGFoVnExYW1kN282Zlg2TE4vaUxGeTRFRHQzN3NTb1VhUE14UTY3ZCsrTzMzNzdEUU1HRElDbnAyZTIzeDBhR3ZySUFvbkxsaTNMY2tyUjRjT0hNWHIwNkR4Y0tSRVJGWWZZMkZpTUdqVUtTVWxKbUR0M0xweWRuWE4xbktJbytQTExMekY5K25SczM3NGQvZnYzeCtyVnExR3BVaVZNbkRnUlhicDBRZWZPblFzbHhuSGp4cGxIbzdpNXVjSEpJRXdNcndBQUNTOUpSRUZVeVFrdFc3YUV2NzgvWnM2Y2lmTGx5K1A5OTkvSGxDbFQ4UEhISDJQMjdObnc4ZkhCRzIrOGtha3Z2SGp4SWlJaUl2RHFxNitpZnYzNnVZNWg1ODZkTFBwZUFxV3FpY3NjaFBQUXkxZXVQYkZnMFZMTW4vMmx4WUlHUkE4ekdvMll1M0FScmw2N0RpbTEwRlExYWFHMVk4b0pFeTVFVktLWVRDWWtKU1hsYThpcDBXakV3WU1Ic1c3ZE9wdzZkUXF1cnE2WU5tMGEyclZyaDVreloyTDU4dVg0NVpkZjBMdDNiM1R2M2gyMWF0WEs5YmxUVTFPeFpjc1dMRjI2RkVJSUxGcTBDRDQrUGhneVpBaW1UWnVHMDZkUFk5aXdZYWhTcFVxMjU5aTNieC9XckZtRGJ0MjZZY2lRSWVidEkwYU1nSyt2cjBXeXhXUXlaUnFwNHUvdmovYnQyK2Y1ejRXSWlHelh4WXNYRVIwZGpVOC8vUlNORzJldWNSRWZINCtVbEpRc2krTWFEQVo4OXRsbnFGeTVNcEtTa3VEcDZZbUVoQVFrSkNSZzRzU0p1SDc5T29ZTkcxYWcrS1pNbVFJZkh4K0wvczNmM3grclY2L0drU05ITUdUSUVMejk5dHM0ZS9Zc0FLQnQyN2FvVmFzV1B2endRMnpldkJtREJnMUM1ODZkelNNMGx5MWJCcDFPWjE3aEtMZXlxMjlHdGkzaTBxWG82azgyNmFkVDVQOTI3TjdyVUxYS041ajg0VmhyaDBVMmJNNzhiN0YxK3k1SUtWT2tGRU1pTGwyS3RuWk1PV0hDaFloczJ1M2J0ekY5K25TNHVyckN4Y1VGbHk1ZFFtSmlZcWJsSUxPVG1KaUlFeWRPNE5DaFE5aXpady9pNCtQaDZ1cUtZY09HWWVEQWdlWUh2SysrK2dxblQ1L0cwcVZMOGNNUFArQ0hIMzVBOWVyVjBicDFhelJvMEFCdDJyVEJqaDA3SUtYRXZuMzc0T0xpQWxWVmNmTGtTUnc0Y0FDN2QrOUdiR3dzV3JkdWpTbFRwcGhYTHhvNWNpU2NuSnl3ZE9sU2JOdTJEVTJiTmtYMzd0M3gwa3N2WllyMTZhZWZScytlUFRGNThtU0xaRXJseXBWUnVYSmxyRm16QmtpdjhYTGl4QW04L1BMTDVqWm56cHhCV0ZnWXVuYnRpdERRVU5qWjJTRTRPQmc2bmM2aUlPNjc3NzdMS1VWRVJDVkl5NVl0c1duVEpvdFY4V2JObW9YazVHUVlEQVlFQkFRQUFCbzBhSkR0T1VhT0hHbisyY1hGQmQ5Kyt5Mm1UcDJLcFV1WElqbzZHaDk5OUpHNWFIdGVkZWpRd2Z4emNIQXdQdjc0WTRTR2hxSno1ODdZdUhGamxpTXpHelpzaUY5Ly9SVXJWcXpBbkRsenNHVEpFdnorKysvWXRXc1g5dS9mandFREJoVFo5Q2V5UFRmK1RRdjA4akhNaDVSKzZ6ZHVzbS9lckRGZWVLNDlEQWIrcWtyL3o2U3EyTFY3THpadS9nTUFqSUNZcHliR0hMVjJYSS9DdjhWRVpOUEtsQ21EWThlT3dXZzBBZ0FjSEJ6UXRtMWJEQjA2TkZmSFQ1Z3dBVWVQSG9VUUFzMmFOVVBQbmozUnFWT25UUFBGQWFCWnMyWll2bnc1TGw2OGlDMWJ0dUN2di83Q3I3LytpcDA3ZDJMOSt2WFl1WE1uTGx5NEFHZG5aL2o1K1VGUkZQejQ0NDg0ZlBnd1dyZHVqVUdEQnFGMTY5YVp6dnVmLy93SDdkcTF3L0xseTNIbzBDR0xCOThIdWJpNFlOcTBhZGxleTVFalIzRDgrSEhvZERyVXExZlBZcjU2VEV3TXVuWHJodnIxNjJQOCtQSFl2MzgvQUtCTGx5NFdDWllSSTBia3VDdzBFUkhabmdlVExVaWZ2cHJ4My9seTVjcmhqVGZlUUtkT25YSjlQb1BCWUM3cXZtdlhMZ3dhTk9pUlUxSnpJMk9hVUpzMmJYSWMwUWtBenM3T0dETm1ESVlNR1lKYnQyNUJyOWRqeVpJbHFGZXZYcmI5SkpWVzU5UFNqRTh0dGpmb25rbElTR3o3NWV4NXVIZnZIbDdyM2N2YWdaRU4rZVBQSFpqLzdSTGN1UnNMVGNvZ2swa3VEZzhMUzdaMlhJK1MrVFVuRVZFT3ZPbzBhZzI5c3E1TUdSZXZoWE5tb3YwemJZdnR1MVZWemZQeXhXRmhZVGgyN0JnNmRPaGdzUXhsYmtncGNlSENCWmhNSmpSczJCQW1rd2xTU291NXhYRnhjVWhPVHM3ME1KeWQ1T1RrQXMweDF6UU5Rb2dzUjZsa2lJMk54ZTNidCtIZzRJQnExYXJsKzdzSzA5SGpKL0grdUk4UWZUc21BbEwwdjNZaDRJQzFZeUlpeW91TS9zL2UzczVyNFp5WjZOeXhReTZPc20ycXFpSXNMQXcxYTlhMGRpaEFlbjIxR2pWcXdNM056ZHFoNU5yZi94ekMrK00vUXZ5OWUremZDcWpDazQycnVTcllMWVNvYnpBWThQWi8zc1M0OTkvTDkrZ3JLaDFVVmNYQ3hjdXhiT1gzU0RNYUlhVU1VV1hLOHpkQ1FtNWFPN2JjNEFnWElpb3g4cHBzQVFCUFQ4OGNDODNtUkFpQmV2WHFtVDluVlRlbWJObXlXUzd0bkoyQ0Z2VEx6VU9IbTV0YmlYcFlKU0lpNjlEcGREYVRiQUh3eU9XdXFYUzcvVzlndUtGT25lY2M5YzdmRzQxcG5aYXQvTjd1N0xuemVIUEE2M2lxZ1E4cXVyc3orZktZMERRTk1iZHY0M3h3Q0ZhdCtRbEhqNStBeWFTYUlPV3VOS002NHVibGtwRnNBUk11UkVSRVJFUkVaQXNpTGwyS3J1N3QvWTRDaDNIUXRMSC9IRHFDWXlkT29VRTlIM2cvV1FlVktsWkVSZmNLS0YrdVhMNWV4Skh0TXBwTWlJMk5SY3p0MjRpTWlzYkZTNWR4NWx3dzB0TFNBQUNhbEVzMG1US3pKQ1Zid0lRTEVlV1hwbW00ZVNzU2w2OWN0WFlvVkFLRTM3d0ZWVld0SFFZUkVSSFp1UHRUUlpwL1ZPUEo1TjhWUmY5NVdscGFXLy9BSUwxL1lCQVVSVEgvajBvZlRkUE0vd01BS2FFQzhoOUErZVQ2QmQxaElNUm83Ump6aWdrWElzcVg1T1JrZkxOa09aeWNDalpGaGg0UHlja3BpTDhYYiswd2lJaUlxRVE0WlF6OUZ3Y0J2RkREdTBsckJYSW9oUEJSTmRWUjFUUUhTR2tQQ0daZFNoV3BRWWhVUUtaQWltUkFocGhNMnVxd1MyZitBVkJpbDlOa3dvV0k4c1NvRjNjTUFrbWFKaEVSR1dudGNLaWtrU0pGRlZxTXRjTWdJaUtpRWtFTkRRazRCT0NRaDRlSHM1MmJXMW1kdEN1alFuUFZhWnhUVkpxb2lxb3FVaVJvaWpGT3ZYY3Y5dWJObTBuV2pxa3dNT0ZDUkhrU2ZpSHdVczA2alFkQ0ViWlRaWTlLREUxUmI5d0lQaE5zN1RpSWlQSkxTb2tiWWVFNEh4eGk3VkRJQmx5L0VRWk5MYkV2MzB1VXlNaklSRVJHSmdJb1VUVTg2UEhHWmFHSmlJaUlpQjRoWTFsb1JZRlhwWXFWNE96c1pPMlF5QVlrSlNVaktqb0txcVp4V1dnaXlvUWpYSWlJaUlpSUhpRmpTcTJVUUdSVWxMWERJVnZES2JORWxBV09jQ0VpSWlJaWVqU2xacDNHalFXbjFGSVdORVc5RVhyaFRBQUFMc2xIUkVSRVJFUkVSRVJFUkVSRVJFUkVSRVJFUkVSRVJFUkVSRVJFUkVSRVJFUkVSRVJFOUgvdHdRRUpBQUFBZ0tEL3I5c1JxQUFBQUFBQUFBQUFBQUFBQUFBQUFBQUFBQUFBQUFBQUFBQUFBQUFBQUFBQUFBQUFBQUFBQUFBQUFBQUFBQUFBQUFBQUFBQUFBQUFBQUFBQUFBQUFBQUFBQUFBQUFBQUFBQUFBQUFBQUFBQUFBQUFBQUFBQUFBQUFBQUFBQUFBQUFBQUFBQUFBQUFBQUFBQUFBQUFBQUFBQUFBQUFBQUFBQUFBQUFBQUFBQUFBQUFBQUFBRHdGeTc5WnFOazRJWi9BQUFBQUVsRlRrU3VRbUNDIiwKCSJUaGVtZSIgOiAiIiwKCSJUeXBlIiA6ICJmbG93IiwKCSJWZXJzaW9uIiA6ICIyMC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99</Pages>
  <Words>13902</Words>
  <Characters>15228</Characters>
  <Lines>1</Lines>
  <Paragraphs>1</Paragraphs>
  <TotalTime>184</TotalTime>
  <ScaleCrop>false</ScaleCrop>
  <LinksUpToDate>false</LinksUpToDate>
  <CharactersWithSpaces>15326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2020-11-16T09:40:00Z</dcterms:created>
  <dc:creator>Administrator</dc:creator>
  <cp:lastModifiedBy>文</cp:lastModifiedBy>
  <cp:lastPrinted>2025-12-04T07:47:00Z</cp:lastPrinted>
  <dcterms:modified xsi:type="dcterms:W3CDTF">2026-06-29T08:23:42Z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4ED0D007046649F79A39428E21112201_13</vt:lpwstr>
  </property>
  <property fmtid="{D5CDD505-2E9C-101B-9397-08002B2CF9AE}" pid="4" name="commondata">
    <vt:lpwstr>eyJoZGlkIjoiZjlmYzk2NWJkMWQ3ZjY5YzdlMjIzMzcyOTVmYTVjNGQifQ==</vt:lpwstr>
  </property>
  <property fmtid="{D5CDD505-2E9C-101B-9397-08002B2CF9AE}" pid="5" name="KSOTemplateDocerSaveRecord">
    <vt:lpwstr>eyJoZGlkIjoiMzljNDg5MWI4NWQ2MGM5NThkNDk0ZTExZWI0NGZlZGIiLCJ1c2VySWQiOiIyNTk1MjQ4NTYifQ==</vt:lpwstr>
  </property>
</Properties>
</file>