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1EA64A">
      <w:pPr>
        <w:rPr>
          <w:rFonts w:hint="eastAsia" w:ascii="仿宋_GB2312" w:hAnsi="仿宋_GB2312" w:eastAsia="仿宋_GB2312" w:cs="仿宋_GB2312"/>
          <w:color w:val="auto"/>
          <w:sz w:val="36"/>
          <w:szCs w:val="36"/>
          <w:lang w:eastAsia="zh-CN"/>
        </w:rPr>
      </w:pPr>
      <w:r>
        <w:rPr>
          <w:rFonts w:hint="eastAsia" w:ascii="仿宋_GB2312" w:hAnsi="仿宋_GB2312" w:eastAsia="仿宋_GB2312" w:cs="仿宋_GB2312"/>
          <w:color w:val="auto"/>
          <w:sz w:val="36"/>
          <w:szCs w:val="36"/>
          <w:lang w:eastAsia="zh-CN"/>
        </w:rPr>
        <w:drawing>
          <wp:inline distT="0" distB="0" distL="114300" distR="114300">
            <wp:extent cx="5606415" cy="7915275"/>
            <wp:effectExtent l="0" t="0" r="13335" b="9525"/>
            <wp:docPr id="33" name="图片 33" descr="15c6a553-2353-4098-8519-d267259d2a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15c6a553-2353-4098-8519-d267259d2a54"/>
                    <pic:cNvPicPr>
                      <a:picLocks noChangeAspect="1"/>
                    </pic:cNvPicPr>
                  </pic:nvPicPr>
                  <pic:blipFill>
                    <a:blip r:embed="rId10"/>
                    <a:stretch>
                      <a:fillRect/>
                    </a:stretch>
                  </pic:blipFill>
                  <pic:spPr>
                    <a:xfrm>
                      <a:off x="0" y="0"/>
                      <a:ext cx="5606415" cy="7915275"/>
                    </a:xfrm>
                    <a:prstGeom prst="rect">
                      <a:avLst/>
                    </a:prstGeom>
                  </pic:spPr>
                </pic:pic>
              </a:graphicData>
            </a:graphic>
          </wp:inline>
        </w:drawing>
      </w:r>
    </w:p>
    <w:p w14:paraId="0D0BB2D6">
      <w:pPr>
        <w:rPr>
          <w:rFonts w:hint="eastAsia" w:ascii="仿宋_GB2312" w:hAnsi="仿宋_GB2312" w:eastAsia="仿宋_GB2312" w:cs="仿宋_GB2312"/>
          <w:color w:val="auto"/>
          <w:sz w:val="36"/>
          <w:szCs w:val="36"/>
          <w:lang w:eastAsia="zh-CN"/>
        </w:rPr>
      </w:pPr>
      <w:r>
        <w:rPr>
          <w:rFonts w:hint="eastAsia" w:ascii="仿宋_GB2312" w:hAnsi="仿宋_GB2312" w:eastAsia="仿宋_GB2312" w:cs="仿宋_GB2312"/>
          <w:color w:val="auto"/>
          <w:sz w:val="36"/>
          <w:szCs w:val="36"/>
          <w:lang w:eastAsia="zh-CN"/>
        </w:rPr>
        <w:drawing>
          <wp:inline distT="0" distB="0" distL="114300" distR="114300">
            <wp:extent cx="5603240" cy="7829550"/>
            <wp:effectExtent l="0" t="0" r="16510" b="0"/>
            <wp:docPr id="43" name="图片 43" descr="e074b61c-7f50-4705-a2d8-8bf0f5945c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e074b61c-7f50-4705-a2d8-8bf0f5945cb2"/>
                    <pic:cNvPicPr>
                      <a:picLocks noChangeAspect="1"/>
                    </pic:cNvPicPr>
                  </pic:nvPicPr>
                  <pic:blipFill>
                    <a:blip r:embed="rId11"/>
                    <a:stretch>
                      <a:fillRect/>
                    </a:stretch>
                  </pic:blipFill>
                  <pic:spPr>
                    <a:xfrm>
                      <a:off x="0" y="0"/>
                      <a:ext cx="5603240" cy="7829550"/>
                    </a:xfrm>
                    <a:prstGeom prst="rect">
                      <a:avLst/>
                    </a:prstGeom>
                  </pic:spPr>
                </pic:pic>
              </a:graphicData>
            </a:graphic>
          </wp:inline>
        </w:drawing>
      </w:r>
    </w:p>
    <w:p w14:paraId="0F078C9C">
      <w:pPr>
        <w:rPr>
          <w:rFonts w:hint="eastAsia" w:ascii="仿宋_GB2312" w:hAnsi="仿宋_GB2312" w:eastAsia="仿宋_GB2312" w:cs="仿宋_GB2312"/>
          <w:color w:val="auto"/>
          <w:sz w:val="36"/>
          <w:szCs w:val="36"/>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0"/>
        <w:gridCol w:w="4530"/>
      </w:tblGrid>
      <w:tr w14:paraId="4745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45" w:hRule="atLeast"/>
        </w:trPr>
        <w:tc>
          <w:tcPr>
            <w:tcW w:w="4530" w:type="dxa"/>
          </w:tcPr>
          <w:p w14:paraId="24BAC4AD">
            <w:pPr>
              <w:pStyle w:val="24"/>
              <w:jc w:val="both"/>
              <w:outlineLvl w:val="0"/>
              <w:rPr>
                <w:rFonts w:hint="eastAsia" w:ascii="黑体" w:hAnsi="黑体" w:eastAsia="黑体"/>
                <w:snapToGrid w:val="0"/>
                <w:color w:val="auto"/>
                <w:sz w:val="30"/>
                <w:szCs w:val="30"/>
                <w:vertAlign w:val="baseline"/>
                <w:lang w:eastAsia="zh-CN"/>
              </w:rPr>
            </w:pPr>
            <w:bookmarkStart w:id="0" w:name="_Toc10397"/>
            <w:bookmarkStart w:id="1" w:name="_Toc3947"/>
            <w:r>
              <w:rPr>
                <w:rFonts w:hint="eastAsia" w:ascii="黑体" w:hAnsi="黑体" w:eastAsia="黑体"/>
                <w:snapToGrid w:val="0"/>
                <w:color w:val="auto"/>
                <w:sz w:val="30"/>
                <w:szCs w:val="30"/>
                <w:vertAlign w:val="baseline"/>
                <w:lang w:eastAsia="zh-CN"/>
              </w:rPr>
              <w:drawing>
                <wp:inline distT="0" distB="0" distL="114300" distR="114300">
                  <wp:extent cx="2729865" cy="2046605"/>
                  <wp:effectExtent l="0" t="0" r="13335" b="10795"/>
                  <wp:docPr id="32" name="图片 32" descr="fb135436f1e4b4e45e6225bb31329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fb135436f1e4b4e45e6225bb31329648"/>
                          <pic:cNvPicPr>
                            <a:picLocks noChangeAspect="1"/>
                          </pic:cNvPicPr>
                        </pic:nvPicPr>
                        <pic:blipFill>
                          <a:blip r:embed="rId12"/>
                          <a:stretch>
                            <a:fillRect/>
                          </a:stretch>
                        </pic:blipFill>
                        <pic:spPr>
                          <a:xfrm>
                            <a:off x="0" y="0"/>
                            <a:ext cx="2729865" cy="2046605"/>
                          </a:xfrm>
                          <a:prstGeom prst="rect">
                            <a:avLst/>
                          </a:prstGeom>
                        </pic:spPr>
                      </pic:pic>
                    </a:graphicData>
                  </a:graphic>
                </wp:inline>
              </w:drawing>
            </w:r>
            <w:bookmarkEnd w:id="0"/>
            <w:bookmarkEnd w:id="1"/>
          </w:p>
        </w:tc>
        <w:tc>
          <w:tcPr>
            <w:tcW w:w="4530" w:type="dxa"/>
          </w:tcPr>
          <w:p w14:paraId="4F0EEF80">
            <w:pPr>
              <w:pStyle w:val="24"/>
              <w:jc w:val="both"/>
              <w:outlineLvl w:val="0"/>
              <w:rPr>
                <w:rFonts w:hint="eastAsia" w:ascii="黑体" w:hAnsi="黑体" w:eastAsia="黑体"/>
                <w:snapToGrid w:val="0"/>
                <w:color w:val="auto"/>
                <w:sz w:val="30"/>
                <w:szCs w:val="30"/>
                <w:vertAlign w:val="baseline"/>
                <w:lang w:eastAsia="zh-CN"/>
              </w:rPr>
            </w:pPr>
            <w:bookmarkStart w:id="2" w:name="_Toc855"/>
            <w:bookmarkStart w:id="3" w:name="_Toc2689"/>
            <w:r>
              <w:rPr>
                <w:rFonts w:hint="eastAsia" w:ascii="黑体" w:hAnsi="黑体" w:eastAsia="黑体"/>
                <w:snapToGrid w:val="0"/>
                <w:color w:val="auto"/>
                <w:sz w:val="30"/>
                <w:szCs w:val="30"/>
                <w:vertAlign w:val="baseline"/>
                <w:lang w:eastAsia="zh-CN"/>
              </w:rPr>
              <w:drawing>
                <wp:inline distT="0" distB="0" distL="114300" distR="114300">
                  <wp:extent cx="2729865" cy="2046605"/>
                  <wp:effectExtent l="0" t="0" r="13335" b="10795"/>
                  <wp:docPr id="34" name="图片 34" descr="409151b754d1f26ef573a5b164cac3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409151b754d1f26ef573a5b164cac3b5"/>
                          <pic:cNvPicPr>
                            <a:picLocks noChangeAspect="1"/>
                          </pic:cNvPicPr>
                        </pic:nvPicPr>
                        <pic:blipFill>
                          <a:blip r:embed="rId13"/>
                          <a:stretch>
                            <a:fillRect/>
                          </a:stretch>
                        </pic:blipFill>
                        <pic:spPr>
                          <a:xfrm>
                            <a:off x="0" y="0"/>
                            <a:ext cx="2729865" cy="2046605"/>
                          </a:xfrm>
                          <a:prstGeom prst="rect">
                            <a:avLst/>
                          </a:prstGeom>
                        </pic:spPr>
                      </pic:pic>
                    </a:graphicData>
                  </a:graphic>
                </wp:inline>
              </w:drawing>
            </w:r>
            <w:bookmarkEnd w:id="2"/>
            <w:bookmarkEnd w:id="3"/>
          </w:p>
        </w:tc>
      </w:tr>
      <w:tr w14:paraId="48AC7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gridSpan w:val="2"/>
            <w:vAlign w:val="center"/>
          </w:tcPr>
          <w:p w14:paraId="49427629">
            <w:pPr>
              <w:pStyle w:val="24"/>
              <w:jc w:val="center"/>
              <w:outlineLvl w:val="0"/>
              <w:rPr>
                <w:rFonts w:hint="default" w:ascii="黑体" w:hAnsi="黑体" w:eastAsia="黑体"/>
                <w:snapToGrid w:val="0"/>
                <w:color w:val="auto"/>
                <w:sz w:val="30"/>
                <w:szCs w:val="30"/>
                <w:vertAlign w:val="baseline"/>
                <w:lang w:val="en-US" w:eastAsia="zh-CN"/>
              </w:rPr>
            </w:pPr>
            <w:bookmarkStart w:id="4" w:name="_Toc20417"/>
            <w:bookmarkStart w:id="5" w:name="_Toc15766"/>
            <w:r>
              <w:rPr>
                <w:rFonts w:hint="eastAsia" w:ascii="Times New Roman" w:hAnsi="Times New Roman" w:eastAsia="宋体" w:cs="Times New Roman"/>
                <w:color w:val="auto"/>
                <w:kern w:val="2"/>
                <w:sz w:val="21"/>
                <w:szCs w:val="21"/>
                <w:u w:val="none"/>
                <w:lang w:val="en-US" w:eastAsia="zh-CN" w:bidi="ar-SA"/>
              </w:rPr>
              <w:t>项目上游</w:t>
            </w:r>
            <w:bookmarkEnd w:id="4"/>
            <w:bookmarkEnd w:id="5"/>
          </w:p>
        </w:tc>
      </w:tr>
      <w:tr w14:paraId="4B78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vAlign w:val="center"/>
          </w:tcPr>
          <w:p w14:paraId="1CE0B0C5">
            <w:pPr>
              <w:pStyle w:val="24"/>
              <w:jc w:val="center"/>
              <w:outlineLvl w:val="0"/>
              <w:rPr>
                <w:rFonts w:hint="eastAsia" w:ascii="Times New Roman" w:hAnsi="Times New Roman" w:eastAsia="宋体" w:cs="Times New Roman"/>
                <w:color w:val="auto"/>
                <w:kern w:val="2"/>
                <w:sz w:val="21"/>
                <w:szCs w:val="21"/>
                <w:u w:val="none"/>
                <w:lang w:val="en-US" w:eastAsia="zh-CN" w:bidi="ar-SA"/>
              </w:rPr>
            </w:pPr>
            <w:bookmarkStart w:id="6" w:name="_Toc23723"/>
            <w:bookmarkStart w:id="7" w:name="_Toc6462"/>
            <w:r>
              <w:rPr>
                <w:rFonts w:hint="eastAsia" w:ascii="Times New Roman" w:hAnsi="Times New Roman" w:eastAsia="宋体" w:cs="Times New Roman"/>
                <w:color w:val="auto"/>
                <w:kern w:val="2"/>
                <w:sz w:val="21"/>
                <w:szCs w:val="21"/>
                <w:u w:val="none"/>
                <w:lang w:val="en-US" w:eastAsia="zh-CN" w:bidi="ar-SA"/>
              </w:rPr>
              <w:drawing>
                <wp:inline distT="0" distB="0" distL="114300" distR="114300">
                  <wp:extent cx="2729865" cy="2046605"/>
                  <wp:effectExtent l="0" t="0" r="13335" b="10795"/>
                  <wp:docPr id="35" name="图片 35" descr="d53c6200b7f09d14ef703606fd98f4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d53c6200b7f09d14ef703606fd98f4c8"/>
                          <pic:cNvPicPr>
                            <a:picLocks noChangeAspect="1"/>
                          </pic:cNvPicPr>
                        </pic:nvPicPr>
                        <pic:blipFill>
                          <a:blip r:embed="rId14"/>
                          <a:stretch>
                            <a:fillRect/>
                          </a:stretch>
                        </pic:blipFill>
                        <pic:spPr>
                          <a:xfrm>
                            <a:off x="0" y="0"/>
                            <a:ext cx="2729865" cy="2046605"/>
                          </a:xfrm>
                          <a:prstGeom prst="rect">
                            <a:avLst/>
                          </a:prstGeom>
                        </pic:spPr>
                      </pic:pic>
                    </a:graphicData>
                  </a:graphic>
                </wp:inline>
              </w:drawing>
            </w:r>
            <w:bookmarkEnd w:id="6"/>
            <w:bookmarkEnd w:id="7"/>
          </w:p>
        </w:tc>
        <w:tc>
          <w:tcPr>
            <w:tcW w:w="4530" w:type="dxa"/>
            <w:vAlign w:val="center"/>
          </w:tcPr>
          <w:p w14:paraId="6BAEC38B">
            <w:pPr>
              <w:pStyle w:val="24"/>
              <w:jc w:val="center"/>
              <w:outlineLvl w:val="0"/>
              <w:rPr>
                <w:rFonts w:hint="eastAsia" w:ascii="Times New Roman" w:hAnsi="Times New Roman" w:eastAsia="宋体" w:cs="Times New Roman"/>
                <w:color w:val="auto"/>
                <w:kern w:val="2"/>
                <w:sz w:val="21"/>
                <w:szCs w:val="21"/>
                <w:u w:val="none"/>
                <w:lang w:val="en-US" w:eastAsia="zh-CN" w:bidi="ar-SA"/>
              </w:rPr>
            </w:pPr>
            <w:bookmarkStart w:id="8" w:name="_Toc27148"/>
            <w:bookmarkStart w:id="9" w:name="_Toc24416"/>
            <w:r>
              <w:rPr>
                <w:rFonts w:hint="eastAsia" w:ascii="Times New Roman" w:hAnsi="Times New Roman" w:eastAsia="宋体" w:cs="Times New Roman"/>
                <w:color w:val="auto"/>
                <w:kern w:val="2"/>
                <w:sz w:val="21"/>
                <w:szCs w:val="21"/>
                <w:u w:val="none"/>
                <w:lang w:val="en-US" w:eastAsia="zh-CN" w:bidi="ar-SA"/>
              </w:rPr>
              <w:drawing>
                <wp:inline distT="0" distB="0" distL="114300" distR="114300">
                  <wp:extent cx="2729865" cy="2046605"/>
                  <wp:effectExtent l="0" t="0" r="13335" b="10795"/>
                  <wp:docPr id="36" name="图片 36" descr="1589669d82c10d8c6a8fa92ebf7c0a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1589669d82c10d8c6a8fa92ebf7c0a64"/>
                          <pic:cNvPicPr>
                            <a:picLocks noChangeAspect="1"/>
                          </pic:cNvPicPr>
                        </pic:nvPicPr>
                        <pic:blipFill>
                          <a:blip r:embed="rId15"/>
                          <a:stretch>
                            <a:fillRect/>
                          </a:stretch>
                        </pic:blipFill>
                        <pic:spPr>
                          <a:xfrm>
                            <a:off x="0" y="0"/>
                            <a:ext cx="2729865" cy="2046605"/>
                          </a:xfrm>
                          <a:prstGeom prst="rect">
                            <a:avLst/>
                          </a:prstGeom>
                        </pic:spPr>
                      </pic:pic>
                    </a:graphicData>
                  </a:graphic>
                </wp:inline>
              </w:drawing>
            </w:r>
            <w:bookmarkEnd w:id="8"/>
            <w:bookmarkEnd w:id="9"/>
          </w:p>
        </w:tc>
      </w:tr>
      <w:tr w14:paraId="05D6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gridSpan w:val="2"/>
            <w:vAlign w:val="center"/>
          </w:tcPr>
          <w:p w14:paraId="3642E5B7">
            <w:pPr>
              <w:pStyle w:val="24"/>
              <w:jc w:val="center"/>
              <w:outlineLvl w:val="0"/>
              <w:rPr>
                <w:rFonts w:hint="eastAsia" w:ascii="Times New Roman" w:hAnsi="Times New Roman" w:eastAsia="宋体" w:cs="Times New Roman"/>
                <w:color w:val="auto"/>
                <w:kern w:val="2"/>
                <w:sz w:val="21"/>
                <w:szCs w:val="21"/>
                <w:u w:val="none"/>
                <w:lang w:val="en-US" w:eastAsia="zh-CN" w:bidi="ar-SA"/>
              </w:rPr>
            </w:pPr>
            <w:bookmarkStart w:id="10" w:name="_Toc900"/>
            <w:bookmarkStart w:id="11" w:name="_Toc23699"/>
            <w:r>
              <w:rPr>
                <w:rFonts w:hint="eastAsia" w:ascii="Times New Roman" w:hAnsi="Times New Roman" w:eastAsia="宋体" w:cs="Times New Roman"/>
                <w:color w:val="auto"/>
                <w:kern w:val="2"/>
                <w:sz w:val="21"/>
                <w:szCs w:val="21"/>
                <w:u w:val="none"/>
                <w:lang w:val="en-US" w:eastAsia="zh-CN" w:bidi="ar-SA"/>
              </w:rPr>
              <w:t>项目</w:t>
            </w:r>
            <w:r>
              <w:rPr>
                <w:rFonts w:hint="eastAsia" w:ascii="Times New Roman" w:hAnsi="Times New Roman" w:cs="Times New Roman"/>
                <w:color w:val="auto"/>
                <w:kern w:val="2"/>
                <w:sz w:val="21"/>
                <w:szCs w:val="21"/>
                <w:u w:val="none"/>
                <w:lang w:val="en-US" w:eastAsia="zh-CN" w:bidi="ar-SA"/>
              </w:rPr>
              <w:t>中</w:t>
            </w:r>
            <w:r>
              <w:rPr>
                <w:rFonts w:hint="eastAsia" w:ascii="Times New Roman" w:hAnsi="Times New Roman" w:eastAsia="宋体" w:cs="Times New Roman"/>
                <w:color w:val="auto"/>
                <w:kern w:val="2"/>
                <w:sz w:val="21"/>
                <w:szCs w:val="21"/>
                <w:u w:val="none"/>
                <w:lang w:val="en-US" w:eastAsia="zh-CN" w:bidi="ar-SA"/>
              </w:rPr>
              <w:t>游</w:t>
            </w:r>
            <w:bookmarkEnd w:id="10"/>
            <w:bookmarkEnd w:id="11"/>
          </w:p>
        </w:tc>
      </w:tr>
      <w:tr w14:paraId="3C47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vAlign w:val="center"/>
          </w:tcPr>
          <w:p w14:paraId="2FFBA933">
            <w:pPr>
              <w:pStyle w:val="24"/>
              <w:jc w:val="center"/>
              <w:outlineLvl w:val="0"/>
              <w:rPr>
                <w:rFonts w:hint="eastAsia" w:ascii="Times New Roman" w:hAnsi="Times New Roman" w:eastAsia="宋体" w:cs="Times New Roman"/>
                <w:color w:val="auto"/>
                <w:kern w:val="2"/>
                <w:sz w:val="21"/>
                <w:szCs w:val="21"/>
                <w:u w:val="none"/>
                <w:lang w:val="en-US" w:eastAsia="zh-CN" w:bidi="ar-SA"/>
              </w:rPr>
            </w:pPr>
            <w:bookmarkStart w:id="12" w:name="_Toc11744"/>
            <w:bookmarkStart w:id="13" w:name="_Toc4083"/>
            <w:r>
              <w:rPr>
                <w:rFonts w:hint="eastAsia" w:ascii="Times New Roman" w:hAnsi="Times New Roman" w:eastAsia="宋体" w:cs="Times New Roman"/>
                <w:color w:val="auto"/>
                <w:kern w:val="2"/>
                <w:sz w:val="21"/>
                <w:szCs w:val="21"/>
                <w:u w:val="none"/>
                <w:lang w:val="en-US" w:eastAsia="zh-CN" w:bidi="ar-SA"/>
              </w:rPr>
              <w:drawing>
                <wp:inline distT="0" distB="0" distL="114300" distR="114300">
                  <wp:extent cx="2729865" cy="2046605"/>
                  <wp:effectExtent l="0" t="0" r="13335" b="10795"/>
                  <wp:docPr id="37" name="图片 37" descr="0f504427a2b9df9870e1189b1204b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0f504427a2b9df9870e1189b1204b720"/>
                          <pic:cNvPicPr>
                            <a:picLocks noChangeAspect="1"/>
                          </pic:cNvPicPr>
                        </pic:nvPicPr>
                        <pic:blipFill>
                          <a:blip r:embed="rId16"/>
                          <a:stretch>
                            <a:fillRect/>
                          </a:stretch>
                        </pic:blipFill>
                        <pic:spPr>
                          <a:xfrm>
                            <a:off x="0" y="0"/>
                            <a:ext cx="2729865" cy="2046605"/>
                          </a:xfrm>
                          <a:prstGeom prst="rect">
                            <a:avLst/>
                          </a:prstGeom>
                        </pic:spPr>
                      </pic:pic>
                    </a:graphicData>
                  </a:graphic>
                </wp:inline>
              </w:drawing>
            </w:r>
            <w:bookmarkEnd w:id="12"/>
            <w:bookmarkEnd w:id="13"/>
          </w:p>
        </w:tc>
        <w:tc>
          <w:tcPr>
            <w:tcW w:w="4530" w:type="dxa"/>
            <w:vAlign w:val="center"/>
          </w:tcPr>
          <w:p w14:paraId="41CEEDE9">
            <w:pPr>
              <w:pStyle w:val="24"/>
              <w:jc w:val="center"/>
              <w:outlineLvl w:val="0"/>
              <w:rPr>
                <w:rFonts w:hint="eastAsia" w:ascii="Times New Roman" w:hAnsi="Times New Roman" w:eastAsia="宋体" w:cs="Times New Roman"/>
                <w:color w:val="auto"/>
                <w:kern w:val="2"/>
                <w:sz w:val="21"/>
                <w:szCs w:val="21"/>
                <w:u w:val="none"/>
                <w:lang w:val="en-US" w:eastAsia="zh-CN" w:bidi="ar-SA"/>
              </w:rPr>
            </w:pPr>
            <w:bookmarkStart w:id="14" w:name="_Toc1046"/>
            <w:bookmarkStart w:id="15" w:name="_Toc15151"/>
            <w:r>
              <w:rPr>
                <w:rFonts w:hint="eastAsia" w:ascii="Times New Roman" w:hAnsi="Times New Roman" w:eastAsia="宋体" w:cs="Times New Roman"/>
                <w:color w:val="auto"/>
                <w:kern w:val="2"/>
                <w:sz w:val="21"/>
                <w:szCs w:val="21"/>
                <w:u w:val="none"/>
                <w:lang w:val="en-US" w:eastAsia="zh-CN" w:bidi="ar-SA"/>
              </w:rPr>
              <w:drawing>
                <wp:inline distT="0" distB="0" distL="114300" distR="114300">
                  <wp:extent cx="2729865" cy="2046605"/>
                  <wp:effectExtent l="0" t="0" r="13335" b="10795"/>
                  <wp:docPr id="38" name="图片 38" descr="b5894199966a009849f8e7881b5e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b5894199966a009849f8e7881b5e4421"/>
                          <pic:cNvPicPr>
                            <a:picLocks noChangeAspect="1"/>
                          </pic:cNvPicPr>
                        </pic:nvPicPr>
                        <pic:blipFill>
                          <a:blip r:embed="rId17"/>
                          <a:stretch>
                            <a:fillRect/>
                          </a:stretch>
                        </pic:blipFill>
                        <pic:spPr>
                          <a:xfrm>
                            <a:off x="0" y="0"/>
                            <a:ext cx="2729865" cy="2046605"/>
                          </a:xfrm>
                          <a:prstGeom prst="rect">
                            <a:avLst/>
                          </a:prstGeom>
                        </pic:spPr>
                      </pic:pic>
                    </a:graphicData>
                  </a:graphic>
                </wp:inline>
              </w:drawing>
            </w:r>
            <w:bookmarkEnd w:id="14"/>
            <w:bookmarkEnd w:id="15"/>
          </w:p>
        </w:tc>
      </w:tr>
      <w:tr w14:paraId="3876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vAlign w:val="center"/>
          </w:tcPr>
          <w:p w14:paraId="3FFCE248">
            <w:pPr>
              <w:pStyle w:val="24"/>
              <w:jc w:val="center"/>
              <w:outlineLvl w:val="0"/>
              <w:rPr>
                <w:rFonts w:hint="eastAsia" w:ascii="Times New Roman" w:hAnsi="Times New Roman" w:eastAsia="宋体" w:cs="Times New Roman"/>
                <w:color w:val="auto"/>
                <w:kern w:val="2"/>
                <w:sz w:val="21"/>
                <w:szCs w:val="21"/>
                <w:u w:val="none"/>
                <w:lang w:val="en-US" w:eastAsia="zh-CN" w:bidi="ar-SA"/>
              </w:rPr>
            </w:pPr>
            <w:bookmarkStart w:id="16" w:name="_Toc23562"/>
            <w:bookmarkStart w:id="17" w:name="_Toc3927"/>
            <w:r>
              <w:rPr>
                <w:rFonts w:hint="eastAsia" w:ascii="Times New Roman" w:hAnsi="Times New Roman" w:eastAsia="宋体" w:cs="Times New Roman"/>
                <w:color w:val="auto"/>
                <w:kern w:val="2"/>
                <w:sz w:val="21"/>
                <w:szCs w:val="21"/>
                <w:u w:val="none"/>
                <w:lang w:val="en-US" w:eastAsia="zh-CN" w:bidi="ar-SA"/>
              </w:rPr>
              <w:drawing>
                <wp:inline distT="0" distB="0" distL="114300" distR="114300">
                  <wp:extent cx="2729865" cy="2046605"/>
                  <wp:effectExtent l="0" t="0" r="13335" b="10795"/>
                  <wp:docPr id="39" name="图片 39" descr="fd815fc252697b6bef2e50c0d53e9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fd815fc252697b6bef2e50c0d53e9794"/>
                          <pic:cNvPicPr>
                            <a:picLocks noChangeAspect="1"/>
                          </pic:cNvPicPr>
                        </pic:nvPicPr>
                        <pic:blipFill>
                          <a:blip r:embed="rId18"/>
                          <a:stretch>
                            <a:fillRect/>
                          </a:stretch>
                        </pic:blipFill>
                        <pic:spPr>
                          <a:xfrm>
                            <a:off x="0" y="0"/>
                            <a:ext cx="2729865" cy="2046605"/>
                          </a:xfrm>
                          <a:prstGeom prst="rect">
                            <a:avLst/>
                          </a:prstGeom>
                        </pic:spPr>
                      </pic:pic>
                    </a:graphicData>
                  </a:graphic>
                </wp:inline>
              </w:drawing>
            </w:r>
            <w:bookmarkEnd w:id="16"/>
            <w:bookmarkEnd w:id="17"/>
          </w:p>
        </w:tc>
        <w:tc>
          <w:tcPr>
            <w:tcW w:w="4530" w:type="dxa"/>
            <w:vAlign w:val="center"/>
          </w:tcPr>
          <w:p w14:paraId="424DE5B5">
            <w:pPr>
              <w:pStyle w:val="24"/>
              <w:jc w:val="center"/>
              <w:outlineLvl w:val="0"/>
              <w:rPr>
                <w:rFonts w:hint="eastAsia" w:ascii="Times New Roman" w:hAnsi="Times New Roman" w:eastAsia="宋体" w:cs="Times New Roman"/>
                <w:color w:val="auto"/>
                <w:kern w:val="2"/>
                <w:sz w:val="21"/>
                <w:szCs w:val="21"/>
                <w:u w:val="none"/>
                <w:lang w:val="en-US" w:eastAsia="zh-CN" w:bidi="ar-SA"/>
              </w:rPr>
            </w:pPr>
            <w:bookmarkStart w:id="18" w:name="_Toc5459"/>
            <w:bookmarkStart w:id="19" w:name="_Toc16197"/>
            <w:r>
              <w:rPr>
                <w:rFonts w:hint="eastAsia" w:ascii="Times New Roman" w:hAnsi="Times New Roman" w:eastAsia="宋体" w:cs="Times New Roman"/>
                <w:color w:val="auto"/>
                <w:kern w:val="2"/>
                <w:sz w:val="21"/>
                <w:szCs w:val="21"/>
                <w:u w:val="none"/>
                <w:lang w:val="en-US" w:eastAsia="zh-CN" w:bidi="ar-SA"/>
              </w:rPr>
              <w:drawing>
                <wp:inline distT="0" distB="0" distL="114300" distR="114300">
                  <wp:extent cx="2729865" cy="2046605"/>
                  <wp:effectExtent l="0" t="0" r="13335" b="10795"/>
                  <wp:docPr id="40" name="图片 40" descr="ad63005cdafcd013ec776bb1bb6f9d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ad63005cdafcd013ec776bb1bb6f9d6f"/>
                          <pic:cNvPicPr>
                            <a:picLocks noChangeAspect="1"/>
                          </pic:cNvPicPr>
                        </pic:nvPicPr>
                        <pic:blipFill>
                          <a:blip r:embed="rId19"/>
                          <a:stretch>
                            <a:fillRect/>
                          </a:stretch>
                        </pic:blipFill>
                        <pic:spPr>
                          <a:xfrm>
                            <a:off x="0" y="0"/>
                            <a:ext cx="2729865" cy="2046605"/>
                          </a:xfrm>
                          <a:prstGeom prst="rect">
                            <a:avLst/>
                          </a:prstGeom>
                        </pic:spPr>
                      </pic:pic>
                    </a:graphicData>
                  </a:graphic>
                </wp:inline>
              </w:drawing>
            </w:r>
            <w:bookmarkEnd w:id="18"/>
            <w:bookmarkEnd w:id="19"/>
          </w:p>
        </w:tc>
      </w:tr>
      <w:tr w14:paraId="0EA8C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0" w:type="dxa"/>
            <w:vAlign w:val="center"/>
          </w:tcPr>
          <w:p w14:paraId="4CF86491">
            <w:pPr>
              <w:pStyle w:val="24"/>
              <w:jc w:val="center"/>
              <w:outlineLvl w:val="0"/>
              <w:rPr>
                <w:rFonts w:hint="eastAsia" w:ascii="Times New Roman" w:hAnsi="Times New Roman" w:eastAsia="宋体" w:cs="Times New Roman"/>
                <w:color w:val="auto"/>
                <w:kern w:val="2"/>
                <w:sz w:val="21"/>
                <w:szCs w:val="21"/>
                <w:u w:val="none"/>
                <w:lang w:val="en-US" w:eastAsia="zh-CN" w:bidi="ar-SA"/>
              </w:rPr>
            </w:pPr>
            <w:bookmarkStart w:id="20" w:name="_Toc24665"/>
            <w:bookmarkStart w:id="21" w:name="_Toc29534"/>
            <w:r>
              <w:rPr>
                <w:rFonts w:hint="eastAsia" w:ascii="Times New Roman" w:hAnsi="Times New Roman" w:eastAsia="宋体" w:cs="Times New Roman"/>
                <w:color w:val="auto"/>
                <w:kern w:val="2"/>
                <w:sz w:val="21"/>
                <w:szCs w:val="21"/>
                <w:u w:val="none"/>
                <w:lang w:val="en-US" w:eastAsia="zh-CN" w:bidi="ar-SA"/>
              </w:rPr>
              <w:drawing>
                <wp:inline distT="0" distB="0" distL="114300" distR="114300">
                  <wp:extent cx="2729865" cy="2046605"/>
                  <wp:effectExtent l="0" t="0" r="13335" b="10795"/>
                  <wp:docPr id="41" name="图片 41" descr="b7b9c0f4f3fb46b1e1bd291902fe8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b7b9c0f4f3fb46b1e1bd291902fe8645"/>
                          <pic:cNvPicPr>
                            <a:picLocks noChangeAspect="1"/>
                          </pic:cNvPicPr>
                        </pic:nvPicPr>
                        <pic:blipFill>
                          <a:blip r:embed="rId20"/>
                          <a:stretch>
                            <a:fillRect/>
                          </a:stretch>
                        </pic:blipFill>
                        <pic:spPr>
                          <a:xfrm>
                            <a:off x="0" y="0"/>
                            <a:ext cx="2729865" cy="2046605"/>
                          </a:xfrm>
                          <a:prstGeom prst="rect">
                            <a:avLst/>
                          </a:prstGeom>
                        </pic:spPr>
                      </pic:pic>
                    </a:graphicData>
                  </a:graphic>
                </wp:inline>
              </w:drawing>
            </w:r>
            <w:bookmarkEnd w:id="20"/>
            <w:bookmarkEnd w:id="21"/>
          </w:p>
        </w:tc>
        <w:tc>
          <w:tcPr>
            <w:tcW w:w="4530" w:type="dxa"/>
            <w:vAlign w:val="center"/>
          </w:tcPr>
          <w:p w14:paraId="048622C2">
            <w:pPr>
              <w:pStyle w:val="24"/>
              <w:jc w:val="center"/>
              <w:outlineLvl w:val="0"/>
              <w:rPr>
                <w:rFonts w:hint="eastAsia" w:ascii="Times New Roman" w:hAnsi="Times New Roman" w:eastAsia="宋体" w:cs="Times New Roman"/>
                <w:color w:val="auto"/>
                <w:kern w:val="2"/>
                <w:sz w:val="21"/>
                <w:szCs w:val="21"/>
                <w:u w:val="none"/>
                <w:lang w:val="en-US" w:eastAsia="zh-CN" w:bidi="ar-SA"/>
              </w:rPr>
            </w:pPr>
            <w:bookmarkStart w:id="22" w:name="_Toc14517"/>
            <w:bookmarkStart w:id="23" w:name="_Toc25402"/>
            <w:r>
              <w:rPr>
                <w:rFonts w:hint="eastAsia" w:ascii="Times New Roman" w:hAnsi="Times New Roman" w:eastAsia="宋体" w:cs="Times New Roman"/>
                <w:color w:val="auto"/>
                <w:kern w:val="2"/>
                <w:sz w:val="21"/>
                <w:szCs w:val="21"/>
                <w:u w:val="none"/>
                <w:lang w:val="en-US" w:eastAsia="zh-CN" w:bidi="ar-SA"/>
              </w:rPr>
              <w:drawing>
                <wp:inline distT="0" distB="0" distL="114300" distR="114300">
                  <wp:extent cx="2729865" cy="2046605"/>
                  <wp:effectExtent l="0" t="0" r="13335" b="10795"/>
                  <wp:docPr id="42" name="图片 42" descr="fb7e134c9fc3c2fade809051442601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fb7e134c9fc3c2fade809051442601f4"/>
                          <pic:cNvPicPr>
                            <a:picLocks noChangeAspect="1"/>
                          </pic:cNvPicPr>
                        </pic:nvPicPr>
                        <pic:blipFill>
                          <a:blip r:embed="rId21"/>
                          <a:stretch>
                            <a:fillRect/>
                          </a:stretch>
                        </pic:blipFill>
                        <pic:spPr>
                          <a:xfrm>
                            <a:off x="0" y="0"/>
                            <a:ext cx="2729865" cy="2046605"/>
                          </a:xfrm>
                          <a:prstGeom prst="rect">
                            <a:avLst/>
                          </a:prstGeom>
                        </pic:spPr>
                      </pic:pic>
                    </a:graphicData>
                  </a:graphic>
                </wp:inline>
              </w:drawing>
            </w:r>
            <w:bookmarkEnd w:id="22"/>
            <w:bookmarkEnd w:id="23"/>
          </w:p>
        </w:tc>
      </w:tr>
      <w:tr w14:paraId="2EE10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gridSpan w:val="2"/>
            <w:vAlign w:val="center"/>
          </w:tcPr>
          <w:p w14:paraId="41797ECB">
            <w:pPr>
              <w:pStyle w:val="24"/>
              <w:jc w:val="center"/>
              <w:outlineLvl w:val="0"/>
              <w:rPr>
                <w:rFonts w:hint="default" w:ascii="Times New Roman" w:hAnsi="Times New Roman" w:eastAsia="宋体" w:cs="Times New Roman"/>
                <w:color w:val="auto"/>
                <w:kern w:val="2"/>
                <w:sz w:val="21"/>
                <w:szCs w:val="21"/>
                <w:u w:val="none"/>
                <w:lang w:val="en-US" w:eastAsia="zh-CN" w:bidi="ar-SA"/>
              </w:rPr>
            </w:pPr>
            <w:bookmarkStart w:id="24" w:name="_Toc16029"/>
            <w:bookmarkStart w:id="25" w:name="_Toc21068"/>
            <w:r>
              <w:rPr>
                <w:rFonts w:hint="eastAsia" w:ascii="Times New Roman" w:hAnsi="Times New Roman" w:cs="Times New Roman"/>
                <w:color w:val="auto"/>
                <w:kern w:val="2"/>
                <w:sz w:val="21"/>
                <w:szCs w:val="21"/>
                <w:u w:val="none"/>
                <w:lang w:val="en-US" w:eastAsia="zh-CN" w:bidi="ar-SA"/>
              </w:rPr>
              <w:t>环评敏感点</w:t>
            </w:r>
            <w:bookmarkEnd w:id="24"/>
            <w:bookmarkEnd w:id="25"/>
          </w:p>
        </w:tc>
      </w:tr>
    </w:tbl>
    <w:p w14:paraId="35E9427F">
      <w:pPr>
        <w:pStyle w:val="24"/>
        <w:jc w:val="both"/>
        <w:outlineLvl w:val="0"/>
        <w:rPr>
          <w:rFonts w:hint="eastAsia" w:ascii="黑体" w:hAnsi="黑体" w:eastAsia="黑体"/>
          <w:snapToGrid w:val="0"/>
          <w:color w:val="auto"/>
          <w:sz w:val="30"/>
          <w:szCs w:val="30"/>
        </w:rPr>
        <w:sectPr>
          <w:headerReference r:id="rId3" w:type="default"/>
          <w:footerReference r:id="rId4" w:type="default"/>
          <w:pgSz w:w="11906" w:h="16838"/>
          <w:pgMar w:top="1701" w:right="1531" w:bottom="1701" w:left="1531" w:header="851" w:footer="1077" w:gutter="0"/>
          <w:pgBorders>
            <w:top w:val="none" w:sz="0" w:space="0"/>
            <w:left w:val="none" w:sz="0" w:space="0"/>
            <w:bottom w:val="none" w:sz="0" w:space="0"/>
            <w:right w:val="none" w:sz="0" w:space="0"/>
          </w:pgBorders>
          <w:pgNumType w:start="1"/>
          <w:cols w:space="720" w:num="1"/>
          <w:docGrid w:linePitch="312" w:charSpace="0"/>
        </w:sectPr>
      </w:pPr>
    </w:p>
    <w:p w14:paraId="322359B2">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jc w:val="center"/>
        <w:textAlignment w:val="auto"/>
        <w:outlineLvl w:val="9"/>
      </w:pPr>
      <w:bookmarkStart w:id="26" w:name="_Toc23859"/>
      <w:r>
        <w:rPr>
          <w:rFonts w:hint="eastAsia" w:ascii="Times New Roman" w:hAnsi="Times New Roman" w:eastAsia="宋体" w:cs="Times New Roman"/>
          <w:b/>
          <w:bCs/>
          <w:color w:val="auto"/>
          <w:kern w:val="2"/>
          <w:sz w:val="28"/>
          <w:szCs w:val="28"/>
          <w:highlight w:val="none"/>
          <w:lang w:val="en-US" w:eastAsia="zh-CN" w:bidi="ar-SA"/>
        </w:rPr>
        <w:t>目录</w:t>
      </w:r>
      <w:bookmarkEnd w:id="26"/>
      <w:r>
        <w:rPr>
          <w:rFonts w:hint="eastAsia" w:ascii="Times New Roman" w:hAnsi="Times New Roman" w:eastAsia="宋体" w:cs="Times New Roman"/>
          <w:b/>
          <w:bCs/>
          <w:color w:val="auto"/>
          <w:kern w:val="2"/>
          <w:sz w:val="28"/>
          <w:szCs w:val="28"/>
          <w:highlight w:val="none"/>
          <w:lang w:val="en-US" w:eastAsia="zh-CN" w:bidi="ar-SA"/>
        </w:rPr>
        <w:fldChar w:fldCharType="begin"/>
      </w:r>
      <w:r>
        <w:rPr>
          <w:rFonts w:hint="eastAsia" w:ascii="Times New Roman" w:hAnsi="Times New Roman" w:eastAsia="宋体" w:cs="Times New Roman"/>
          <w:b/>
          <w:bCs/>
          <w:color w:val="auto"/>
          <w:kern w:val="2"/>
          <w:sz w:val="28"/>
          <w:szCs w:val="28"/>
          <w:highlight w:val="none"/>
          <w:lang w:val="en-US" w:eastAsia="zh-CN" w:bidi="ar-SA"/>
        </w:rPr>
        <w:instrText xml:space="preserve">TOC \o "1-1" \h \u </w:instrText>
      </w:r>
      <w:r>
        <w:rPr>
          <w:rFonts w:hint="eastAsia" w:ascii="Times New Roman" w:hAnsi="Times New Roman" w:eastAsia="宋体" w:cs="Times New Roman"/>
          <w:b/>
          <w:bCs/>
          <w:color w:val="auto"/>
          <w:kern w:val="2"/>
          <w:sz w:val="28"/>
          <w:szCs w:val="28"/>
          <w:highlight w:val="none"/>
          <w:lang w:val="en-US" w:eastAsia="zh-CN" w:bidi="ar-SA"/>
        </w:rPr>
        <w:fldChar w:fldCharType="separate"/>
      </w:r>
    </w:p>
    <w:p w14:paraId="5B55316A">
      <w:pPr>
        <w:pStyle w:val="19"/>
        <w:tabs>
          <w:tab w:val="right" w:leader="dot" w:pos="8306"/>
        </w:tabs>
        <w:spacing w:line="360" w:lineRule="auto"/>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HYPERLINK \l _Toc4287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一、建设项目基本情况</w:t>
      </w:r>
      <w:r>
        <w:rPr>
          <w:rFonts w:hint="eastAsia" w:ascii="Times New Roman" w:hAnsi="Times New Roman" w:eastAsia="宋体" w:cs="Times New Roman"/>
          <w:b w:val="0"/>
          <w:bCs w:val="0"/>
          <w:color w:val="auto"/>
          <w:kern w:val="2"/>
          <w:sz w:val="24"/>
          <w:szCs w:val="24"/>
          <w:highlight w:val="none"/>
          <w:lang w:val="en-US" w:eastAsia="zh-CN" w:bidi="ar-SA"/>
        </w:rPr>
        <w:tab/>
      </w: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PAGEREF _Toc4287 \h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1</w:t>
      </w:r>
      <w:r>
        <w:rPr>
          <w:rFonts w:hint="eastAsia" w:ascii="Times New Roman" w:hAnsi="Times New Roman" w:eastAsia="宋体" w:cs="Times New Roman"/>
          <w:b w:val="0"/>
          <w:bCs w:val="0"/>
          <w:color w:val="auto"/>
          <w:kern w:val="2"/>
          <w:sz w:val="24"/>
          <w:szCs w:val="24"/>
          <w:highlight w:val="none"/>
          <w:lang w:val="en-US" w:eastAsia="zh-CN" w:bidi="ar-SA"/>
        </w:rPr>
        <w:fldChar w:fldCharType="end"/>
      </w:r>
      <w:r>
        <w:rPr>
          <w:rFonts w:hint="eastAsia" w:ascii="Times New Roman" w:hAnsi="Times New Roman" w:eastAsia="宋体" w:cs="Times New Roman"/>
          <w:b w:val="0"/>
          <w:bCs w:val="0"/>
          <w:color w:val="auto"/>
          <w:kern w:val="2"/>
          <w:sz w:val="24"/>
          <w:szCs w:val="24"/>
          <w:highlight w:val="none"/>
          <w:lang w:val="en-US" w:eastAsia="zh-CN" w:bidi="ar-SA"/>
        </w:rPr>
        <w:fldChar w:fldCharType="end"/>
      </w:r>
    </w:p>
    <w:p w14:paraId="2ED30929">
      <w:pPr>
        <w:pStyle w:val="19"/>
        <w:tabs>
          <w:tab w:val="right" w:leader="dot" w:pos="8306"/>
        </w:tabs>
        <w:spacing w:line="360" w:lineRule="auto"/>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HYPERLINK \l _Toc32236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二、建设内容</w:t>
      </w:r>
      <w:r>
        <w:rPr>
          <w:rFonts w:hint="eastAsia" w:ascii="Times New Roman" w:hAnsi="Times New Roman" w:eastAsia="宋体" w:cs="Times New Roman"/>
          <w:b w:val="0"/>
          <w:bCs w:val="0"/>
          <w:color w:val="auto"/>
          <w:kern w:val="2"/>
          <w:sz w:val="24"/>
          <w:szCs w:val="24"/>
          <w:highlight w:val="none"/>
          <w:lang w:val="en-US" w:eastAsia="zh-CN" w:bidi="ar-SA"/>
        </w:rPr>
        <w:tab/>
      </w: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PAGEREF _Toc32236 \h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30</w:t>
      </w:r>
      <w:r>
        <w:rPr>
          <w:rFonts w:hint="eastAsia" w:ascii="Times New Roman" w:hAnsi="Times New Roman" w:eastAsia="宋体" w:cs="Times New Roman"/>
          <w:b w:val="0"/>
          <w:bCs w:val="0"/>
          <w:color w:val="auto"/>
          <w:kern w:val="2"/>
          <w:sz w:val="24"/>
          <w:szCs w:val="24"/>
          <w:highlight w:val="none"/>
          <w:lang w:val="en-US" w:eastAsia="zh-CN" w:bidi="ar-SA"/>
        </w:rPr>
        <w:fldChar w:fldCharType="end"/>
      </w:r>
      <w:r>
        <w:rPr>
          <w:rFonts w:hint="eastAsia" w:ascii="Times New Roman" w:hAnsi="Times New Roman" w:eastAsia="宋体" w:cs="Times New Roman"/>
          <w:b w:val="0"/>
          <w:bCs w:val="0"/>
          <w:color w:val="auto"/>
          <w:kern w:val="2"/>
          <w:sz w:val="24"/>
          <w:szCs w:val="24"/>
          <w:highlight w:val="none"/>
          <w:lang w:val="en-US" w:eastAsia="zh-CN" w:bidi="ar-SA"/>
        </w:rPr>
        <w:fldChar w:fldCharType="end"/>
      </w:r>
    </w:p>
    <w:p w14:paraId="0CD9E79F">
      <w:pPr>
        <w:pStyle w:val="19"/>
        <w:tabs>
          <w:tab w:val="right" w:leader="dot" w:pos="8306"/>
        </w:tabs>
        <w:spacing w:line="360" w:lineRule="auto"/>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HYPERLINK \l _Toc6744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三、生态环境现状、保护目标及评价标准</w:t>
      </w:r>
      <w:r>
        <w:rPr>
          <w:rFonts w:hint="eastAsia" w:ascii="Times New Roman" w:hAnsi="Times New Roman" w:eastAsia="宋体" w:cs="Times New Roman"/>
          <w:b w:val="0"/>
          <w:bCs w:val="0"/>
          <w:color w:val="auto"/>
          <w:kern w:val="2"/>
          <w:sz w:val="24"/>
          <w:szCs w:val="24"/>
          <w:highlight w:val="none"/>
          <w:lang w:val="en-US" w:eastAsia="zh-CN" w:bidi="ar-SA"/>
        </w:rPr>
        <w:tab/>
      </w: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PAGEREF _Toc6744 \h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43</w:t>
      </w:r>
      <w:r>
        <w:rPr>
          <w:rFonts w:hint="eastAsia" w:ascii="Times New Roman" w:hAnsi="Times New Roman" w:eastAsia="宋体" w:cs="Times New Roman"/>
          <w:b w:val="0"/>
          <w:bCs w:val="0"/>
          <w:color w:val="auto"/>
          <w:kern w:val="2"/>
          <w:sz w:val="24"/>
          <w:szCs w:val="24"/>
          <w:highlight w:val="none"/>
          <w:lang w:val="en-US" w:eastAsia="zh-CN" w:bidi="ar-SA"/>
        </w:rPr>
        <w:fldChar w:fldCharType="end"/>
      </w:r>
      <w:r>
        <w:rPr>
          <w:rFonts w:hint="eastAsia" w:ascii="Times New Roman" w:hAnsi="Times New Roman" w:eastAsia="宋体" w:cs="Times New Roman"/>
          <w:b w:val="0"/>
          <w:bCs w:val="0"/>
          <w:color w:val="auto"/>
          <w:kern w:val="2"/>
          <w:sz w:val="24"/>
          <w:szCs w:val="24"/>
          <w:highlight w:val="none"/>
          <w:lang w:val="en-US" w:eastAsia="zh-CN" w:bidi="ar-SA"/>
        </w:rPr>
        <w:fldChar w:fldCharType="end"/>
      </w:r>
    </w:p>
    <w:p w14:paraId="178B4307">
      <w:pPr>
        <w:pStyle w:val="19"/>
        <w:tabs>
          <w:tab w:val="right" w:leader="dot" w:pos="8306"/>
        </w:tabs>
        <w:spacing w:line="360" w:lineRule="auto"/>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HYPERLINK \l _Toc11561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四、生态环境影响分析</w:t>
      </w:r>
      <w:r>
        <w:rPr>
          <w:rFonts w:hint="eastAsia" w:ascii="Times New Roman" w:hAnsi="Times New Roman" w:eastAsia="宋体" w:cs="Times New Roman"/>
          <w:b w:val="0"/>
          <w:bCs w:val="0"/>
          <w:color w:val="auto"/>
          <w:kern w:val="2"/>
          <w:sz w:val="24"/>
          <w:szCs w:val="24"/>
          <w:highlight w:val="none"/>
          <w:lang w:val="en-US" w:eastAsia="zh-CN" w:bidi="ar-SA"/>
        </w:rPr>
        <w:tab/>
      </w: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PAGEREF _Toc11561 \h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52</w:t>
      </w:r>
      <w:r>
        <w:rPr>
          <w:rFonts w:hint="eastAsia" w:ascii="Times New Roman" w:hAnsi="Times New Roman" w:eastAsia="宋体" w:cs="Times New Roman"/>
          <w:b w:val="0"/>
          <w:bCs w:val="0"/>
          <w:color w:val="auto"/>
          <w:kern w:val="2"/>
          <w:sz w:val="24"/>
          <w:szCs w:val="24"/>
          <w:highlight w:val="none"/>
          <w:lang w:val="en-US" w:eastAsia="zh-CN" w:bidi="ar-SA"/>
        </w:rPr>
        <w:fldChar w:fldCharType="end"/>
      </w:r>
      <w:r>
        <w:rPr>
          <w:rFonts w:hint="eastAsia" w:ascii="Times New Roman" w:hAnsi="Times New Roman" w:eastAsia="宋体" w:cs="Times New Roman"/>
          <w:b w:val="0"/>
          <w:bCs w:val="0"/>
          <w:color w:val="auto"/>
          <w:kern w:val="2"/>
          <w:sz w:val="24"/>
          <w:szCs w:val="24"/>
          <w:highlight w:val="none"/>
          <w:lang w:val="en-US" w:eastAsia="zh-CN" w:bidi="ar-SA"/>
        </w:rPr>
        <w:fldChar w:fldCharType="end"/>
      </w:r>
    </w:p>
    <w:p w14:paraId="4EE90DD5">
      <w:pPr>
        <w:pStyle w:val="19"/>
        <w:tabs>
          <w:tab w:val="right" w:leader="dot" w:pos="8306"/>
        </w:tabs>
        <w:spacing w:line="360" w:lineRule="auto"/>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HYPERLINK \l _Toc16556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五、主要生态环境保护措施</w:t>
      </w:r>
      <w:r>
        <w:rPr>
          <w:rFonts w:hint="eastAsia" w:ascii="Times New Roman" w:hAnsi="Times New Roman" w:eastAsia="宋体" w:cs="Times New Roman"/>
          <w:b w:val="0"/>
          <w:bCs w:val="0"/>
          <w:color w:val="auto"/>
          <w:kern w:val="2"/>
          <w:sz w:val="24"/>
          <w:szCs w:val="24"/>
          <w:highlight w:val="none"/>
          <w:lang w:val="en-US" w:eastAsia="zh-CN" w:bidi="ar-SA"/>
        </w:rPr>
        <w:tab/>
      </w: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PAGEREF _Toc16556 \h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68</w:t>
      </w:r>
      <w:r>
        <w:rPr>
          <w:rFonts w:hint="eastAsia" w:ascii="Times New Roman" w:hAnsi="Times New Roman" w:eastAsia="宋体" w:cs="Times New Roman"/>
          <w:b w:val="0"/>
          <w:bCs w:val="0"/>
          <w:color w:val="auto"/>
          <w:kern w:val="2"/>
          <w:sz w:val="24"/>
          <w:szCs w:val="24"/>
          <w:highlight w:val="none"/>
          <w:lang w:val="en-US" w:eastAsia="zh-CN" w:bidi="ar-SA"/>
        </w:rPr>
        <w:fldChar w:fldCharType="end"/>
      </w:r>
      <w:r>
        <w:rPr>
          <w:rFonts w:hint="eastAsia" w:ascii="Times New Roman" w:hAnsi="Times New Roman" w:eastAsia="宋体" w:cs="Times New Roman"/>
          <w:b w:val="0"/>
          <w:bCs w:val="0"/>
          <w:color w:val="auto"/>
          <w:kern w:val="2"/>
          <w:sz w:val="24"/>
          <w:szCs w:val="24"/>
          <w:highlight w:val="none"/>
          <w:lang w:val="en-US" w:eastAsia="zh-CN" w:bidi="ar-SA"/>
        </w:rPr>
        <w:fldChar w:fldCharType="end"/>
      </w:r>
    </w:p>
    <w:p w14:paraId="34F72897">
      <w:pPr>
        <w:pStyle w:val="19"/>
        <w:tabs>
          <w:tab w:val="right" w:leader="dot" w:pos="8306"/>
        </w:tabs>
        <w:spacing w:line="360" w:lineRule="auto"/>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HYPERLINK \l _Toc9895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六、生态环境保护措施监督检查清单</w:t>
      </w:r>
      <w:r>
        <w:rPr>
          <w:rFonts w:hint="eastAsia" w:ascii="Times New Roman" w:hAnsi="Times New Roman" w:eastAsia="宋体" w:cs="Times New Roman"/>
          <w:b w:val="0"/>
          <w:bCs w:val="0"/>
          <w:color w:val="auto"/>
          <w:kern w:val="2"/>
          <w:sz w:val="24"/>
          <w:szCs w:val="24"/>
          <w:highlight w:val="none"/>
          <w:lang w:val="en-US" w:eastAsia="zh-CN" w:bidi="ar-SA"/>
        </w:rPr>
        <w:tab/>
      </w: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PAGEREF _Toc9895 \h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81</w:t>
      </w:r>
      <w:r>
        <w:rPr>
          <w:rFonts w:hint="eastAsia" w:ascii="Times New Roman" w:hAnsi="Times New Roman" w:eastAsia="宋体" w:cs="Times New Roman"/>
          <w:b w:val="0"/>
          <w:bCs w:val="0"/>
          <w:color w:val="auto"/>
          <w:kern w:val="2"/>
          <w:sz w:val="24"/>
          <w:szCs w:val="24"/>
          <w:highlight w:val="none"/>
          <w:lang w:val="en-US" w:eastAsia="zh-CN" w:bidi="ar-SA"/>
        </w:rPr>
        <w:fldChar w:fldCharType="end"/>
      </w:r>
      <w:r>
        <w:rPr>
          <w:rFonts w:hint="eastAsia" w:ascii="Times New Roman" w:hAnsi="Times New Roman" w:eastAsia="宋体" w:cs="Times New Roman"/>
          <w:b w:val="0"/>
          <w:bCs w:val="0"/>
          <w:color w:val="auto"/>
          <w:kern w:val="2"/>
          <w:sz w:val="24"/>
          <w:szCs w:val="24"/>
          <w:highlight w:val="none"/>
          <w:lang w:val="en-US" w:eastAsia="zh-CN" w:bidi="ar-SA"/>
        </w:rPr>
        <w:fldChar w:fldCharType="end"/>
      </w:r>
    </w:p>
    <w:p w14:paraId="15A84DA2">
      <w:pPr>
        <w:pStyle w:val="19"/>
        <w:tabs>
          <w:tab w:val="right" w:leader="dot" w:pos="8306"/>
        </w:tabs>
        <w:spacing w:line="360" w:lineRule="auto"/>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HYPERLINK \l _Toc20789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七、结论</w:t>
      </w:r>
      <w:r>
        <w:rPr>
          <w:rFonts w:hint="eastAsia" w:ascii="Times New Roman" w:hAnsi="Times New Roman" w:eastAsia="宋体" w:cs="Times New Roman"/>
          <w:b w:val="0"/>
          <w:bCs w:val="0"/>
          <w:color w:val="auto"/>
          <w:kern w:val="2"/>
          <w:sz w:val="24"/>
          <w:szCs w:val="24"/>
          <w:highlight w:val="none"/>
          <w:lang w:val="en-US" w:eastAsia="zh-CN" w:bidi="ar-SA"/>
        </w:rPr>
        <w:tab/>
      </w:r>
      <w:r>
        <w:rPr>
          <w:rFonts w:hint="eastAsia" w:ascii="Times New Roman" w:hAnsi="Times New Roman" w:eastAsia="宋体" w:cs="Times New Roman"/>
          <w:b w:val="0"/>
          <w:bCs w:val="0"/>
          <w:color w:val="auto"/>
          <w:kern w:val="2"/>
          <w:sz w:val="24"/>
          <w:szCs w:val="24"/>
          <w:highlight w:val="none"/>
          <w:lang w:val="en-US" w:eastAsia="zh-CN" w:bidi="ar-SA"/>
        </w:rPr>
        <w:fldChar w:fldCharType="begin"/>
      </w:r>
      <w:r>
        <w:rPr>
          <w:rFonts w:hint="eastAsia" w:ascii="Times New Roman" w:hAnsi="Times New Roman" w:eastAsia="宋体" w:cs="Times New Roman"/>
          <w:b w:val="0"/>
          <w:bCs w:val="0"/>
          <w:color w:val="auto"/>
          <w:kern w:val="2"/>
          <w:sz w:val="24"/>
          <w:szCs w:val="24"/>
          <w:highlight w:val="none"/>
          <w:lang w:val="en-US" w:eastAsia="zh-CN" w:bidi="ar-SA"/>
        </w:rPr>
        <w:instrText xml:space="preserve"> PAGEREF _Toc20789 \h </w:instrText>
      </w:r>
      <w:r>
        <w:rPr>
          <w:rFonts w:hint="eastAsia" w:ascii="Times New Roman" w:hAnsi="Times New Roman" w:eastAsia="宋体" w:cs="Times New Roman"/>
          <w:b w:val="0"/>
          <w:bCs w:val="0"/>
          <w:color w:val="auto"/>
          <w:kern w:val="2"/>
          <w:sz w:val="24"/>
          <w:szCs w:val="24"/>
          <w:highlight w:val="none"/>
          <w:lang w:val="en-US" w:eastAsia="zh-CN" w:bidi="ar-SA"/>
        </w:rPr>
        <w:fldChar w:fldCharType="separate"/>
      </w:r>
      <w:r>
        <w:rPr>
          <w:rFonts w:hint="eastAsia" w:ascii="Times New Roman" w:hAnsi="Times New Roman" w:eastAsia="宋体" w:cs="Times New Roman"/>
          <w:b w:val="0"/>
          <w:bCs w:val="0"/>
          <w:color w:val="auto"/>
          <w:kern w:val="2"/>
          <w:sz w:val="24"/>
          <w:szCs w:val="24"/>
          <w:highlight w:val="none"/>
          <w:lang w:val="en-US" w:eastAsia="zh-CN" w:bidi="ar-SA"/>
        </w:rPr>
        <w:t>83</w:t>
      </w:r>
      <w:r>
        <w:rPr>
          <w:rFonts w:hint="eastAsia" w:ascii="Times New Roman" w:hAnsi="Times New Roman" w:eastAsia="宋体" w:cs="Times New Roman"/>
          <w:b w:val="0"/>
          <w:bCs w:val="0"/>
          <w:color w:val="auto"/>
          <w:kern w:val="2"/>
          <w:sz w:val="24"/>
          <w:szCs w:val="24"/>
          <w:highlight w:val="none"/>
          <w:lang w:val="en-US" w:eastAsia="zh-CN" w:bidi="ar-SA"/>
        </w:rPr>
        <w:fldChar w:fldCharType="end"/>
      </w:r>
      <w:r>
        <w:rPr>
          <w:rFonts w:hint="eastAsia" w:ascii="Times New Roman" w:hAnsi="Times New Roman" w:eastAsia="宋体" w:cs="Times New Roman"/>
          <w:b w:val="0"/>
          <w:bCs w:val="0"/>
          <w:color w:val="auto"/>
          <w:kern w:val="2"/>
          <w:sz w:val="24"/>
          <w:szCs w:val="24"/>
          <w:highlight w:val="none"/>
          <w:lang w:val="en-US" w:eastAsia="zh-CN" w:bidi="ar-SA"/>
        </w:rPr>
        <w:fldChar w:fldCharType="end"/>
      </w:r>
    </w:p>
    <w:p w14:paraId="76E0A0FD">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r>
        <w:rPr>
          <w:rFonts w:hint="eastAsia" w:ascii="Times New Roman" w:hAnsi="Times New Roman" w:eastAsia="宋体" w:cs="Times New Roman"/>
          <w:bCs/>
          <w:color w:val="auto"/>
          <w:kern w:val="2"/>
          <w:szCs w:val="28"/>
          <w:highlight w:val="none"/>
          <w:lang w:val="en-US" w:eastAsia="zh-CN" w:bidi="ar-SA"/>
        </w:rPr>
        <w:fldChar w:fldCharType="end"/>
      </w:r>
      <w:bookmarkStart w:id="27" w:name="_Toc23717"/>
      <w:r>
        <w:rPr>
          <w:rFonts w:hint="default" w:ascii="Times New Roman" w:hAnsi="Times New Roman" w:eastAsia="宋体" w:cs="Times New Roman"/>
          <w:snapToGrid w:val="0"/>
          <w:color w:val="auto"/>
          <w:kern w:val="0"/>
          <w:sz w:val="24"/>
          <w:szCs w:val="24"/>
          <w:highlight w:val="none"/>
          <w:lang w:val="en-US" w:eastAsia="zh-CN" w:bidi="ar-SA"/>
        </w:rPr>
        <w:t>附件1：委托书</w:t>
      </w:r>
    </w:p>
    <w:p w14:paraId="128F7656">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bookmarkStart w:id="28" w:name="_Toc16701"/>
      <w:r>
        <w:rPr>
          <w:rFonts w:hint="default" w:ascii="Times New Roman" w:hAnsi="Times New Roman" w:eastAsia="宋体" w:cs="Times New Roman"/>
          <w:snapToGrid w:val="0"/>
          <w:color w:val="auto"/>
          <w:kern w:val="0"/>
          <w:sz w:val="24"/>
          <w:szCs w:val="24"/>
          <w:highlight w:val="none"/>
          <w:lang w:val="en-US" w:eastAsia="zh-CN" w:bidi="ar-SA"/>
        </w:rPr>
        <w:t>附件2：</w:t>
      </w:r>
      <w:bookmarkEnd w:id="28"/>
      <w:r>
        <w:rPr>
          <w:rFonts w:hint="eastAsia" w:ascii="Times New Roman" w:hAnsi="Times New Roman" w:eastAsia="宋体" w:cs="Times New Roman"/>
          <w:snapToGrid w:val="0"/>
          <w:color w:val="auto"/>
          <w:kern w:val="0"/>
          <w:sz w:val="24"/>
          <w:szCs w:val="24"/>
          <w:highlight w:val="none"/>
          <w:lang w:val="en-US" w:eastAsia="zh-CN" w:bidi="ar-SA"/>
        </w:rPr>
        <w:t>事业单位法人证书</w:t>
      </w:r>
    </w:p>
    <w:p w14:paraId="153EABA1">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bookmarkStart w:id="29" w:name="_Toc261"/>
      <w:r>
        <w:rPr>
          <w:rFonts w:hint="default" w:ascii="Times New Roman" w:hAnsi="Times New Roman" w:eastAsia="宋体" w:cs="Times New Roman"/>
          <w:snapToGrid w:val="0"/>
          <w:color w:val="auto"/>
          <w:kern w:val="0"/>
          <w:sz w:val="24"/>
          <w:szCs w:val="24"/>
          <w:highlight w:val="none"/>
          <w:lang w:val="en-US" w:eastAsia="zh-CN" w:bidi="ar-SA"/>
        </w:rPr>
        <w:t>附件3：</w:t>
      </w:r>
      <w:r>
        <w:rPr>
          <w:rFonts w:hint="eastAsia" w:ascii="Times New Roman" w:hAnsi="Times New Roman" w:eastAsia="宋体" w:cs="Times New Roman"/>
          <w:snapToGrid w:val="0"/>
          <w:color w:val="auto"/>
          <w:kern w:val="0"/>
          <w:sz w:val="24"/>
          <w:szCs w:val="24"/>
          <w:highlight w:val="none"/>
          <w:lang w:val="en-US" w:eastAsia="zh-CN" w:bidi="ar-SA"/>
        </w:rPr>
        <w:t>用地情况复函</w:t>
      </w:r>
    </w:p>
    <w:p w14:paraId="30B63DE8">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r>
        <w:rPr>
          <w:rFonts w:hint="default" w:ascii="Times New Roman" w:hAnsi="Times New Roman" w:eastAsia="宋体" w:cs="Times New Roman"/>
          <w:snapToGrid w:val="0"/>
          <w:color w:val="auto"/>
          <w:kern w:val="0"/>
          <w:sz w:val="24"/>
          <w:szCs w:val="24"/>
          <w:highlight w:val="none"/>
          <w:lang w:val="en-US" w:eastAsia="zh-CN" w:bidi="ar-SA"/>
        </w:rPr>
        <w:t>附件4：</w:t>
      </w:r>
      <w:bookmarkEnd w:id="29"/>
      <w:r>
        <w:rPr>
          <w:rFonts w:hint="eastAsia" w:ascii="Times New Roman" w:hAnsi="Times New Roman" w:eastAsia="宋体" w:cs="Times New Roman"/>
          <w:snapToGrid w:val="0"/>
          <w:color w:val="auto"/>
          <w:kern w:val="0"/>
          <w:sz w:val="24"/>
          <w:szCs w:val="24"/>
          <w:highlight w:val="none"/>
          <w:lang w:val="en-US" w:eastAsia="zh-CN" w:bidi="ar-SA"/>
        </w:rPr>
        <w:t>可研批复</w:t>
      </w:r>
    </w:p>
    <w:p w14:paraId="2FE1F290">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eastAsia" w:ascii="Times New Roman" w:hAnsi="Times New Roman" w:eastAsia="宋体" w:cs="Times New Roman"/>
          <w:snapToGrid w:val="0"/>
          <w:color w:val="auto"/>
          <w:kern w:val="0"/>
          <w:sz w:val="24"/>
          <w:szCs w:val="24"/>
          <w:highlight w:val="none"/>
          <w:lang w:val="en-US" w:eastAsia="zh-CN" w:bidi="ar-SA"/>
        </w:rPr>
      </w:pPr>
      <w:r>
        <w:rPr>
          <w:rFonts w:hint="default" w:ascii="Times New Roman" w:hAnsi="Times New Roman" w:eastAsia="宋体" w:cs="Times New Roman"/>
          <w:snapToGrid w:val="0"/>
          <w:color w:val="auto"/>
          <w:kern w:val="0"/>
          <w:sz w:val="24"/>
          <w:szCs w:val="24"/>
          <w:highlight w:val="none"/>
          <w:lang w:val="en-US" w:eastAsia="zh-CN" w:bidi="ar-SA"/>
        </w:rPr>
        <w:t>附件</w:t>
      </w:r>
      <w:r>
        <w:rPr>
          <w:rFonts w:hint="eastAsia" w:ascii="Times New Roman" w:hAnsi="Times New Roman" w:eastAsia="宋体" w:cs="Times New Roman"/>
          <w:snapToGrid w:val="0"/>
          <w:color w:val="auto"/>
          <w:kern w:val="0"/>
          <w:sz w:val="24"/>
          <w:szCs w:val="24"/>
          <w:highlight w:val="none"/>
          <w:lang w:val="en-US" w:eastAsia="zh-CN" w:bidi="ar-SA"/>
        </w:rPr>
        <w:t>5</w:t>
      </w:r>
      <w:r>
        <w:rPr>
          <w:rFonts w:hint="default" w:ascii="Times New Roman" w:hAnsi="Times New Roman" w:eastAsia="宋体" w:cs="Times New Roman"/>
          <w:snapToGrid w:val="0"/>
          <w:color w:val="auto"/>
          <w:kern w:val="0"/>
          <w:sz w:val="24"/>
          <w:szCs w:val="24"/>
          <w:highlight w:val="none"/>
          <w:lang w:val="en-US" w:eastAsia="zh-CN" w:bidi="ar-SA"/>
        </w:rPr>
        <w:t>：</w:t>
      </w:r>
      <w:r>
        <w:rPr>
          <w:rFonts w:hint="eastAsia" w:ascii="Times New Roman" w:hAnsi="Times New Roman" w:eastAsia="宋体" w:cs="Times New Roman"/>
          <w:snapToGrid w:val="0"/>
          <w:color w:val="auto"/>
          <w:kern w:val="0"/>
          <w:sz w:val="24"/>
          <w:szCs w:val="24"/>
          <w:highlight w:val="none"/>
          <w:lang w:val="en-US" w:eastAsia="zh-CN" w:bidi="ar-SA"/>
        </w:rPr>
        <w:t>声环境检测报告</w:t>
      </w:r>
    </w:p>
    <w:p w14:paraId="693DA8EF">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eastAsia" w:ascii="Times New Roman" w:hAnsi="Times New Roman" w:eastAsia="宋体" w:cs="Times New Roman"/>
          <w:snapToGrid w:val="0"/>
          <w:color w:val="auto"/>
          <w:kern w:val="0"/>
          <w:sz w:val="24"/>
          <w:szCs w:val="24"/>
          <w:highlight w:val="none"/>
          <w:lang w:val="en-US" w:eastAsia="zh-CN" w:bidi="ar-SA"/>
        </w:rPr>
      </w:pPr>
      <w:r>
        <w:rPr>
          <w:rFonts w:hint="default" w:ascii="Times New Roman" w:hAnsi="Times New Roman" w:eastAsia="宋体" w:cs="Times New Roman"/>
          <w:snapToGrid w:val="0"/>
          <w:color w:val="auto"/>
          <w:kern w:val="0"/>
          <w:sz w:val="24"/>
          <w:szCs w:val="24"/>
          <w:highlight w:val="none"/>
          <w:lang w:val="en-US" w:eastAsia="zh-CN" w:bidi="ar-SA"/>
        </w:rPr>
        <w:t>附件</w:t>
      </w:r>
      <w:r>
        <w:rPr>
          <w:rFonts w:hint="eastAsia" w:ascii="Times New Roman" w:hAnsi="Times New Roman" w:eastAsia="宋体" w:cs="Times New Roman"/>
          <w:snapToGrid w:val="0"/>
          <w:color w:val="auto"/>
          <w:kern w:val="0"/>
          <w:sz w:val="24"/>
          <w:szCs w:val="24"/>
          <w:highlight w:val="none"/>
          <w:lang w:val="en-US" w:eastAsia="zh-CN" w:bidi="ar-SA"/>
        </w:rPr>
        <w:t>6</w:t>
      </w:r>
      <w:r>
        <w:rPr>
          <w:rFonts w:hint="default" w:ascii="Times New Roman" w:hAnsi="Times New Roman" w:eastAsia="宋体" w:cs="Times New Roman"/>
          <w:snapToGrid w:val="0"/>
          <w:color w:val="auto"/>
          <w:kern w:val="0"/>
          <w:sz w:val="24"/>
          <w:szCs w:val="24"/>
          <w:highlight w:val="none"/>
          <w:lang w:val="en-US" w:eastAsia="zh-CN" w:bidi="ar-SA"/>
        </w:rPr>
        <w:t>：</w:t>
      </w:r>
      <w:r>
        <w:rPr>
          <w:rFonts w:hint="eastAsia" w:ascii="Times New Roman" w:hAnsi="Times New Roman" w:eastAsia="宋体" w:cs="Times New Roman"/>
          <w:snapToGrid w:val="0"/>
          <w:color w:val="auto"/>
          <w:kern w:val="0"/>
          <w:sz w:val="24"/>
          <w:szCs w:val="24"/>
          <w:highlight w:val="none"/>
          <w:lang w:val="en-US" w:eastAsia="zh-CN" w:bidi="ar-SA"/>
        </w:rPr>
        <w:t>奇台县吉布库河地表水环境检测报告</w:t>
      </w:r>
    </w:p>
    <w:p w14:paraId="079587F1">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r>
        <w:rPr>
          <w:rFonts w:hint="default" w:ascii="Times New Roman" w:hAnsi="Times New Roman" w:eastAsia="宋体" w:cs="Times New Roman"/>
          <w:snapToGrid w:val="0"/>
          <w:color w:val="auto"/>
          <w:kern w:val="0"/>
          <w:sz w:val="24"/>
          <w:szCs w:val="24"/>
          <w:highlight w:val="none"/>
          <w:lang w:val="en-US" w:eastAsia="zh-CN" w:bidi="ar-SA"/>
        </w:rPr>
        <w:t>附图1：项目地理位置示意图</w:t>
      </w:r>
      <w:bookmarkEnd w:id="27"/>
    </w:p>
    <w:p w14:paraId="6305594B">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bookmarkStart w:id="30" w:name="_Toc28453"/>
      <w:r>
        <w:rPr>
          <w:rFonts w:hint="default" w:ascii="Times New Roman" w:hAnsi="Times New Roman" w:eastAsia="宋体" w:cs="Times New Roman"/>
          <w:snapToGrid w:val="0"/>
          <w:color w:val="auto"/>
          <w:kern w:val="0"/>
          <w:sz w:val="24"/>
          <w:szCs w:val="24"/>
          <w:highlight w:val="none"/>
          <w:lang w:val="en-US" w:eastAsia="zh-CN" w:bidi="ar-SA"/>
        </w:rPr>
        <w:t>附图</w:t>
      </w:r>
      <w:r>
        <w:rPr>
          <w:rFonts w:hint="eastAsia" w:ascii="Times New Roman" w:hAnsi="Times New Roman" w:eastAsia="宋体" w:cs="Times New Roman"/>
          <w:snapToGrid w:val="0"/>
          <w:color w:val="auto"/>
          <w:kern w:val="0"/>
          <w:sz w:val="24"/>
          <w:szCs w:val="24"/>
          <w:highlight w:val="none"/>
          <w:lang w:val="en-US" w:eastAsia="zh-CN" w:bidi="ar-SA"/>
        </w:rPr>
        <w:t>2</w:t>
      </w:r>
      <w:r>
        <w:rPr>
          <w:rFonts w:hint="default" w:ascii="Times New Roman" w:hAnsi="Times New Roman" w:eastAsia="宋体" w:cs="Times New Roman"/>
          <w:snapToGrid w:val="0"/>
          <w:color w:val="auto"/>
          <w:kern w:val="0"/>
          <w:sz w:val="24"/>
          <w:szCs w:val="24"/>
          <w:highlight w:val="none"/>
          <w:lang w:val="en-US" w:eastAsia="zh-CN" w:bidi="ar-SA"/>
        </w:rPr>
        <w:t>：</w:t>
      </w:r>
      <w:bookmarkEnd w:id="30"/>
      <w:r>
        <w:rPr>
          <w:rFonts w:hint="eastAsia" w:ascii="Times New Roman" w:hAnsi="Times New Roman" w:eastAsia="宋体" w:cs="Times New Roman"/>
          <w:snapToGrid w:val="0"/>
          <w:color w:val="auto"/>
          <w:kern w:val="0"/>
          <w:sz w:val="24"/>
          <w:szCs w:val="24"/>
          <w:highlight w:val="none"/>
          <w:lang w:val="en-US" w:eastAsia="zh-CN" w:bidi="ar-SA"/>
        </w:rPr>
        <w:t>工程总平面布置图</w:t>
      </w:r>
    </w:p>
    <w:p w14:paraId="6969E9DA">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r>
        <w:rPr>
          <w:rFonts w:hint="default" w:ascii="Times New Roman" w:hAnsi="Times New Roman" w:eastAsia="宋体" w:cs="Times New Roman"/>
          <w:snapToGrid w:val="0"/>
          <w:color w:val="auto"/>
          <w:kern w:val="0"/>
          <w:sz w:val="24"/>
          <w:szCs w:val="24"/>
          <w:highlight w:val="none"/>
          <w:lang w:val="en-US" w:eastAsia="zh-CN" w:bidi="ar-SA"/>
        </w:rPr>
        <w:t>附图</w:t>
      </w:r>
      <w:r>
        <w:rPr>
          <w:rFonts w:hint="eastAsia" w:ascii="Times New Roman" w:hAnsi="Times New Roman" w:eastAsia="宋体" w:cs="Times New Roman"/>
          <w:snapToGrid w:val="0"/>
          <w:color w:val="auto"/>
          <w:kern w:val="0"/>
          <w:sz w:val="24"/>
          <w:szCs w:val="24"/>
          <w:highlight w:val="none"/>
          <w:lang w:val="en-US" w:eastAsia="zh-CN" w:bidi="ar-SA"/>
        </w:rPr>
        <w:t>3</w:t>
      </w:r>
      <w:r>
        <w:rPr>
          <w:rFonts w:hint="default" w:ascii="Times New Roman" w:hAnsi="Times New Roman" w:eastAsia="宋体" w:cs="Times New Roman"/>
          <w:snapToGrid w:val="0"/>
          <w:color w:val="auto"/>
          <w:kern w:val="0"/>
          <w:sz w:val="24"/>
          <w:szCs w:val="24"/>
          <w:highlight w:val="none"/>
          <w:lang w:val="en-US" w:eastAsia="zh-CN" w:bidi="ar-SA"/>
        </w:rPr>
        <w:t>：</w:t>
      </w:r>
      <w:r>
        <w:rPr>
          <w:rFonts w:hint="eastAsia" w:ascii="Times New Roman" w:hAnsi="Times New Roman" w:eastAsia="宋体" w:cs="Times New Roman"/>
          <w:snapToGrid w:val="0"/>
          <w:color w:val="auto"/>
          <w:kern w:val="0"/>
          <w:sz w:val="24"/>
          <w:szCs w:val="24"/>
          <w:highlight w:val="none"/>
          <w:lang w:val="en-US" w:eastAsia="zh-CN" w:bidi="ar-SA"/>
        </w:rPr>
        <w:t>施工总平面布置图</w:t>
      </w:r>
    </w:p>
    <w:p w14:paraId="7328AED4">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r>
        <w:rPr>
          <w:rFonts w:hint="default" w:ascii="Times New Roman" w:hAnsi="Times New Roman" w:eastAsia="宋体" w:cs="Times New Roman"/>
          <w:snapToGrid w:val="0"/>
          <w:color w:val="auto"/>
          <w:kern w:val="0"/>
          <w:sz w:val="24"/>
          <w:szCs w:val="24"/>
          <w:highlight w:val="none"/>
          <w:lang w:val="en-US" w:eastAsia="zh-CN" w:bidi="ar-SA"/>
        </w:rPr>
        <w:t>附图</w:t>
      </w:r>
      <w:r>
        <w:rPr>
          <w:rFonts w:hint="eastAsia" w:ascii="Times New Roman" w:hAnsi="Times New Roman" w:eastAsia="宋体" w:cs="Times New Roman"/>
          <w:snapToGrid w:val="0"/>
          <w:color w:val="auto"/>
          <w:kern w:val="0"/>
          <w:sz w:val="24"/>
          <w:szCs w:val="24"/>
          <w:highlight w:val="none"/>
          <w:lang w:val="en-US" w:eastAsia="zh-CN" w:bidi="ar-SA"/>
        </w:rPr>
        <w:t>4</w:t>
      </w:r>
      <w:r>
        <w:rPr>
          <w:rFonts w:hint="default" w:ascii="Times New Roman" w:hAnsi="Times New Roman" w:eastAsia="宋体" w:cs="Times New Roman"/>
          <w:snapToGrid w:val="0"/>
          <w:color w:val="auto"/>
          <w:kern w:val="0"/>
          <w:sz w:val="24"/>
          <w:szCs w:val="24"/>
          <w:highlight w:val="none"/>
          <w:lang w:val="en-US" w:eastAsia="zh-CN" w:bidi="ar-SA"/>
        </w:rPr>
        <w:t>：</w:t>
      </w:r>
      <w:r>
        <w:rPr>
          <w:rFonts w:hint="eastAsia" w:ascii="Times New Roman" w:hAnsi="Times New Roman" w:eastAsia="宋体" w:cs="Times New Roman"/>
          <w:snapToGrid w:val="0"/>
          <w:color w:val="auto"/>
          <w:kern w:val="0"/>
          <w:sz w:val="24"/>
          <w:szCs w:val="24"/>
          <w:highlight w:val="none"/>
          <w:lang w:val="en-US" w:eastAsia="zh-CN" w:bidi="ar-SA"/>
        </w:rPr>
        <w:t>昌吉回族自治州环境管控单元图</w:t>
      </w:r>
    </w:p>
    <w:p w14:paraId="50DE0987">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bookmarkStart w:id="31" w:name="_Toc28533"/>
      <w:r>
        <w:rPr>
          <w:rFonts w:hint="default" w:ascii="Times New Roman" w:hAnsi="Times New Roman" w:eastAsia="宋体" w:cs="Times New Roman"/>
          <w:snapToGrid w:val="0"/>
          <w:color w:val="auto"/>
          <w:kern w:val="0"/>
          <w:sz w:val="24"/>
          <w:szCs w:val="24"/>
          <w:highlight w:val="none"/>
          <w:lang w:val="en-US" w:eastAsia="zh-CN" w:bidi="ar-SA"/>
        </w:rPr>
        <w:t>附图</w:t>
      </w:r>
      <w:r>
        <w:rPr>
          <w:rFonts w:hint="eastAsia" w:ascii="Times New Roman" w:hAnsi="Times New Roman" w:eastAsia="宋体" w:cs="Times New Roman"/>
          <w:snapToGrid w:val="0"/>
          <w:color w:val="auto"/>
          <w:kern w:val="0"/>
          <w:sz w:val="24"/>
          <w:szCs w:val="24"/>
          <w:highlight w:val="none"/>
          <w:lang w:val="en-US" w:eastAsia="zh-CN" w:bidi="ar-SA"/>
        </w:rPr>
        <w:t>5</w:t>
      </w:r>
      <w:r>
        <w:rPr>
          <w:rFonts w:hint="default" w:ascii="Times New Roman" w:hAnsi="Times New Roman" w:eastAsia="宋体" w:cs="Times New Roman"/>
          <w:snapToGrid w:val="0"/>
          <w:color w:val="auto"/>
          <w:kern w:val="0"/>
          <w:sz w:val="24"/>
          <w:szCs w:val="24"/>
          <w:highlight w:val="none"/>
          <w:lang w:val="en-US" w:eastAsia="zh-CN" w:bidi="ar-SA"/>
        </w:rPr>
        <w:t>：</w:t>
      </w:r>
      <w:bookmarkEnd w:id="31"/>
      <w:r>
        <w:rPr>
          <w:rFonts w:hint="eastAsia" w:ascii="Times New Roman" w:hAnsi="Times New Roman" w:eastAsia="宋体" w:cs="Times New Roman"/>
          <w:snapToGrid w:val="0"/>
          <w:color w:val="auto"/>
          <w:kern w:val="0"/>
          <w:sz w:val="24"/>
          <w:szCs w:val="24"/>
          <w:highlight w:val="none"/>
          <w:lang w:val="en-US" w:eastAsia="zh-CN" w:bidi="ar-SA"/>
        </w:rPr>
        <w:t>新疆维吾尔自治区“三线一单”信息应用平台查询结果</w:t>
      </w:r>
    </w:p>
    <w:p w14:paraId="2E24B92C">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r>
        <w:rPr>
          <w:rFonts w:hint="default" w:ascii="Times New Roman" w:hAnsi="Times New Roman" w:eastAsia="宋体" w:cs="Times New Roman"/>
          <w:snapToGrid w:val="0"/>
          <w:color w:val="auto"/>
          <w:kern w:val="0"/>
          <w:sz w:val="24"/>
          <w:szCs w:val="24"/>
          <w:highlight w:val="none"/>
          <w:lang w:val="en-US" w:eastAsia="zh-CN" w:bidi="ar-SA"/>
        </w:rPr>
        <w:t>附图</w:t>
      </w:r>
      <w:r>
        <w:rPr>
          <w:rFonts w:hint="eastAsia" w:ascii="Times New Roman" w:hAnsi="Times New Roman" w:eastAsia="宋体" w:cs="Times New Roman"/>
          <w:snapToGrid w:val="0"/>
          <w:color w:val="auto"/>
          <w:kern w:val="0"/>
          <w:sz w:val="24"/>
          <w:szCs w:val="24"/>
          <w:highlight w:val="none"/>
          <w:lang w:val="en-US" w:eastAsia="zh-CN" w:bidi="ar-SA"/>
        </w:rPr>
        <w:t>6</w:t>
      </w:r>
      <w:r>
        <w:rPr>
          <w:rFonts w:hint="default" w:ascii="Times New Roman" w:hAnsi="Times New Roman" w:eastAsia="宋体" w:cs="Times New Roman"/>
          <w:snapToGrid w:val="0"/>
          <w:color w:val="auto"/>
          <w:kern w:val="0"/>
          <w:sz w:val="24"/>
          <w:szCs w:val="24"/>
          <w:highlight w:val="none"/>
          <w:lang w:val="en-US" w:eastAsia="zh-CN" w:bidi="ar-SA"/>
        </w:rPr>
        <w:t>：</w:t>
      </w:r>
      <w:r>
        <w:rPr>
          <w:rFonts w:hint="eastAsia" w:ascii="Times New Roman" w:hAnsi="Times New Roman" w:eastAsia="宋体" w:cs="Times New Roman"/>
          <w:snapToGrid w:val="0"/>
          <w:color w:val="auto"/>
          <w:kern w:val="0"/>
          <w:sz w:val="24"/>
          <w:szCs w:val="24"/>
          <w:highlight w:val="none"/>
          <w:lang w:val="en-US" w:eastAsia="zh-CN" w:bidi="ar-SA"/>
        </w:rPr>
        <w:t>项目与昌吉回族自治州环境管控单元的位置关系图</w:t>
      </w:r>
    </w:p>
    <w:p w14:paraId="3C55D786">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r>
        <w:rPr>
          <w:rFonts w:hint="default" w:ascii="Times New Roman" w:hAnsi="Times New Roman" w:eastAsia="宋体" w:cs="Times New Roman"/>
          <w:snapToGrid w:val="0"/>
          <w:color w:val="auto"/>
          <w:kern w:val="0"/>
          <w:sz w:val="24"/>
          <w:szCs w:val="24"/>
          <w:highlight w:val="none"/>
          <w:lang w:val="en-US" w:eastAsia="zh-CN" w:bidi="ar-SA"/>
        </w:rPr>
        <w:t>附图</w:t>
      </w:r>
      <w:r>
        <w:rPr>
          <w:rFonts w:hint="eastAsia" w:ascii="Times New Roman" w:hAnsi="Times New Roman" w:eastAsia="宋体" w:cs="Times New Roman"/>
          <w:snapToGrid w:val="0"/>
          <w:color w:val="auto"/>
          <w:kern w:val="0"/>
          <w:sz w:val="24"/>
          <w:szCs w:val="24"/>
          <w:highlight w:val="none"/>
          <w:lang w:val="en-US" w:eastAsia="zh-CN" w:bidi="ar-SA"/>
        </w:rPr>
        <w:t>7</w:t>
      </w:r>
      <w:r>
        <w:rPr>
          <w:rFonts w:hint="default" w:ascii="Times New Roman" w:hAnsi="Times New Roman" w:eastAsia="宋体" w:cs="Times New Roman"/>
          <w:snapToGrid w:val="0"/>
          <w:color w:val="auto"/>
          <w:kern w:val="0"/>
          <w:sz w:val="24"/>
          <w:szCs w:val="24"/>
          <w:highlight w:val="none"/>
          <w:lang w:val="en-US" w:eastAsia="zh-CN" w:bidi="ar-SA"/>
        </w:rPr>
        <w:t>：</w:t>
      </w:r>
      <w:r>
        <w:rPr>
          <w:rFonts w:hint="eastAsia" w:ascii="Times New Roman" w:hAnsi="Times New Roman" w:eastAsia="宋体" w:cs="Times New Roman"/>
          <w:snapToGrid w:val="0"/>
          <w:color w:val="auto"/>
          <w:kern w:val="0"/>
          <w:sz w:val="24"/>
          <w:szCs w:val="24"/>
          <w:highlight w:val="none"/>
          <w:lang w:val="en-US" w:eastAsia="zh-CN" w:bidi="ar-SA"/>
        </w:rPr>
        <w:t>本项目与新疆生产建设兵团第六师奇台农场环境管控单元的位置关系图</w:t>
      </w:r>
    </w:p>
    <w:p w14:paraId="4C3918F1">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bookmarkStart w:id="32" w:name="_Toc14641"/>
      <w:r>
        <w:rPr>
          <w:rFonts w:hint="default" w:ascii="Times New Roman" w:hAnsi="Times New Roman" w:eastAsia="宋体" w:cs="Times New Roman"/>
          <w:snapToGrid w:val="0"/>
          <w:color w:val="auto"/>
          <w:kern w:val="0"/>
          <w:sz w:val="24"/>
          <w:szCs w:val="24"/>
          <w:highlight w:val="none"/>
          <w:lang w:val="en-US" w:eastAsia="zh-CN" w:bidi="ar-SA"/>
        </w:rPr>
        <w:t>附图</w:t>
      </w:r>
      <w:r>
        <w:rPr>
          <w:rFonts w:hint="eastAsia" w:ascii="Times New Roman" w:hAnsi="Times New Roman" w:eastAsia="宋体" w:cs="Times New Roman"/>
          <w:snapToGrid w:val="0"/>
          <w:color w:val="auto"/>
          <w:kern w:val="0"/>
          <w:sz w:val="24"/>
          <w:szCs w:val="24"/>
          <w:highlight w:val="none"/>
          <w:lang w:val="en-US" w:eastAsia="zh-CN" w:bidi="ar-SA"/>
        </w:rPr>
        <w:t>8</w:t>
      </w:r>
      <w:r>
        <w:rPr>
          <w:rFonts w:hint="default" w:ascii="Times New Roman" w:hAnsi="Times New Roman" w:eastAsia="宋体" w:cs="Times New Roman"/>
          <w:snapToGrid w:val="0"/>
          <w:color w:val="auto"/>
          <w:kern w:val="0"/>
          <w:sz w:val="24"/>
          <w:szCs w:val="24"/>
          <w:highlight w:val="none"/>
          <w:lang w:val="en-US" w:eastAsia="zh-CN" w:bidi="ar-SA"/>
        </w:rPr>
        <w:t>：</w:t>
      </w:r>
      <w:bookmarkEnd w:id="32"/>
      <w:r>
        <w:rPr>
          <w:rFonts w:hint="eastAsia" w:ascii="Times New Roman" w:hAnsi="Times New Roman" w:eastAsia="宋体" w:cs="Times New Roman"/>
          <w:snapToGrid w:val="0"/>
          <w:color w:val="auto"/>
          <w:kern w:val="0"/>
          <w:sz w:val="24"/>
          <w:szCs w:val="24"/>
          <w:highlight w:val="none"/>
          <w:lang w:val="en-US" w:eastAsia="zh-CN" w:bidi="ar-SA"/>
        </w:rPr>
        <w:t>项目与新疆生态功能区划位置关系图</w:t>
      </w:r>
    </w:p>
    <w:p w14:paraId="1A5725FA">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eastAsia" w:ascii="Times New Roman" w:hAnsi="Times New Roman" w:eastAsia="宋体" w:cs="Times New Roman"/>
          <w:snapToGrid w:val="0"/>
          <w:color w:val="auto"/>
          <w:kern w:val="0"/>
          <w:sz w:val="24"/>
          <w:szCs w:val="24"/>
          <w:highlight w:val="none"/>
          <w:lang w:val="en-US" w:eastAsia="zh-CN" w:bidi="ar-SA"/>
        </w:rPr>
      </w:pPr>
      <w:r>
        <w:rPr>
          <w:rFonts w:hint="eastAsia" w:ascii="Times New Roman" w:hAnsi="Times New Roman" w:eastAsia="宋体" w:cs="Times New Roman"/>
          <w:snapToGrid w:val="0"/>
          <w:color w:val="auto"/>
          <w:kern w:val="0"/>
          <w:sz w:val="24"/>
          <w:szCs w:val="24"/>
          <w:highlight w:val="none"/>
          <w:lang w:val="en-US" w:eastAsia="zh-CN" w:bidi="ar-SA"/>
        </w:rPr>
        <w:t>附图9：土壤类型分布图</w:t>
      </w:r>
    </w:p>
    <w:p w14:paraId="2BC8DFA1">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r>
        <w:rPr>
          <w:rFonts w:hint="eastAsia" w:ascii="Times New Roman" w:hAnsi="Times New Roman" w:eastAsia="宋体" w:cs="Times New Roman"/>
          <w:snapToGrid w:val="0"/>
          <w:color w:val="auto"/>
          <w:kern w:val="0"/>
          <w:sz w:val="24"/>
          <w:szCs w:val="24"/>
          <w:highlight w:val="none"/>
          <w:lang w:val="en-US" w:eastAsia="zh-CN" w:bidi="ar-SA"/>
        </w:rPr>
        <w:t>附图10：植被类型分布图</w:t>
      </w:r>
    </w:p>
    <w:p w14:paraId="210B0295">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eastAsia" w:ascii="Times New Roman" w:hAnsi="Times New Roman" w:eastAsia="宋体" w:cs="Times New Roman"/>
          <w:snapToGrid w:val="0"/>
          <w:color w:val="auto"/>
          <w:kern w:val="0"/>
          <w:sz w:val="24"/>
          <w:szCs w:val="24"/>
          <w:highlight w:val="none"/>
          <w:lang w:val="en-US" w:eastAsia="zh-CN" w:bidi="ar-SA"/>
        </w:rPr>
      </w:pPr>
      <w:r>
        <w:rPr>
          <w:rFonts w:hint="eastAsia" w:ascii="Times New Roman" w:hAnsi="Times New Roman" w:eastAsia="宋体" w:cs="Times New Roman"/>
          <w:snapToGrid w:val="0"/>
          <w:color w:val="auto"/>
          <w:kern w:val="0"/>
          <w:sz w:val="24"/>
          <w:szCs w:val="24"/>
          <w:highlight w:val="none"/>
          <w:lang w:val="en-US" w:eastAsia="zh-CN" w:bidi="ar-SA"/>
        </w:rPr>
        <w:t>附图11：本项目与周围敏感点位置关系示意图</w:t>
      </w:r>
    </w:p>
    <w:p w14:paraId="30B2A294">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outlineLvl w:val="9"/>
        <w:rPr>
          <w:rFonts w:hint="eastAsia" w:ascii="Times New Roman" w:hAnsi="Times New Roman" w:eastAsia="宋体" w:cs="Times New Roman"/>
          <w:snapToGrid w:val="0"/>
          <w:color w:val="auto"/>
          <w:kern w:val="0"/>
          <w:sz w:val="24"/>
          <w:szCs w:val="24"/>
          <w:highlight w:val="none"/>
          <w:lang w:val="en-US" w:eastAsia="zh-CN" w:bidi="ar-SA"/>
        </w:rPr>
      </w:pPr>
      <w:r>
        <w:rPr>
          <w:rFonts w:hint="eastAsia" w:ascii="Times New Roman" w:hAnsi="Times New Roman" w:eastAsia="宋体" w:cs="Times New Roman"/>
          <w:snapToGrid w:val="0"/>
          <w:color w:val="auto"/>
          <w:kern w:val="0"/>
          <w:sz w:val="24"/>
          <w:szCs w:val="24"/>
          <w:highlight w:val="none"/>
          <w:lang w:val="en-US" w:eastAsia="zh-CN" w:bidi="ar-SA"/>
        </w:rPr>
        <w:t>附图12：声环境检测点位示意图</w:t>
      </w:r>
    </w:p>
    <w:p w14:paraId="5C3A425F">
      <w:pPr>
        <w:pStyle w:val="20"/>
        <w:rPr>
          <w:rFonts w:hint="default" w:ascii="Times New Roman" w:hAnsi="Times New Roman" w:eastAsia="宋体" w:cs="Times New Roman"/>
          <w:snapToGrid w:val="0"/>
          <w:color w:val="auto"/>
          <w:kern w:val="0"/>
          <w:sz w:val="24"/>
          <w:szCs w:val="24"/>
          <w:highlight w:val="none"/>
          <w:lang w:val="en-US" w:eastAsia="zh-CN" w:bidi="ar-SA"/>
        </w:rPr>
      </w:pPr>
      <w:r>
        <w:rPr>
          <w:rFonts w:hint="eastAsia" w:ascii="Times New Roman" w:hAnsi="Times New Roman" w:eastAsia="宋体" w:cs="Times New Roman"/>
          <w:snapToGrid w:val="0"/>
          <w:color w:val="auto"/>
          <w:kern w:val="0"/>
          <w:sz w:val="24"/>
          <w:szCs w:val="24"/>
          <w:highlight w:val="none"/>
          <w:lang w:val="en-US" w:eastAsia="zh-CN" w:bidi="ar-SA"/>
        </w:rPr>
        <w:t>附图13：</w:t>
      </w:r>
      <w:r>
        <w:rPr>
          <w:rFonts w:hint="default" w:ascii="Times New Roman" w:hAnsi="Times New Roman" w:eastAsia="宋体" w:cs="Times New Roman"/>
          <w:snapToGrid w:val="0"/>
          <w:color w:val="auto"/>
          <w:kern w:val="0"/>
          <w:sz w:val="24"/>
          <w:szCs w:val="24"/>
          <w:highlight w:val="none"/>
          <w:lang w:val="en-US" w:eastAsia="zh-CN" w:bidi="ar-SA"/>
        </w:rPr>
        <w:t>施工生产生活区平面布置图</w:t>
      </w:r>
    </w:p>
    <w:p w14:paraId="6E2ACF0C">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jc w:val="both"/>
        <w:textAlignment w:val="auto"/>
        <w:outlineLvl w:val="9"/>
        <w:rPr>
          <w:rFonts w:hint="default" w:ascii="Times New Roman" w:hAnsi="Times New Roman" w:eastAsia="宋体" w:cs="Times New Roman"/>
          <w:snapToGrid w:val="0"/>
          <w:color w:val="auto"/>
          <w:kern w:val="0"/>
          <w:sz w:val="24"/>
          <w:szCs w:val="24"/>
          <w:highlight w:val="none"/>
          <w:lang w:val="en-US" w:eastAsia="zh-CN" w:bidi="ar-SA"/>
        </w:rPr>
      </w:pPr>
    </w:p>
    <w:p w14:paraId="1AA2DBA3">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jc w:val="center"/>
        <w:textAlignment w:val="auto"/>
        <w:outlineLvl w:val="0"/>
        <w:rPr>
          <w:rFonts w:hint="eastAsia" w:ascii="黑体" w:hAnsi="黑体" w:eastAsia="黑体"/>
          <w:snapToGrid w:val="0"/>
          <w:color w:val="auto"/>
          <w:sz w:val="30"/>
          <w:szCs w:val="30"/>
        </w:rPr>
        <w:sectPr>
          <w:footerReference r:id="rId5" w:type="default"/>
          <w:pgSz w:w="11906" w:h="16838"/>
          <w:pgMar w:top="1701" w:right="1531" w:bottom="1701" w:left="1531" w:header="851" w:footer="1077" w:gutter="0"/>
          <w:pgBorders>
            <w:top w:val="none" w:sz="0" w:space="0"/>
            <w:left w:val="none" w:sz="0" w:space="0"/>
            <w:bottom w:val="none" w:sz="0" w:space="0"/>
            <w:right w:val="none" w:sz="0" w:space="0"/>
          </w:pgBorders>
          <w:pgNumType w:start="1"/>
          <w:cols w:space="720" w:num="1"/>
          <w:docGrid w:linePitch="312" w:charSpace="0"/>
        </w:sectPr>
      </w:pPr>
      <w:bookmarkStart w:id="33" w:name="_Toc13930"/>
      <w:bookmarkStart w:id="34" w:name="_Toc4287"/>
    </w:p>
    <w:p w14:paraId="36E7C507">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jc w:val="center"/>
        <w:textAlignment w:val="auto"/>
        <w:outlineLvl w:val="0"/>
        <w:rPr>
          <w:rFonts w:hint="eastAsia" w:ascii="黑体" w:hAnsi="黑体" w:eastAsia="黑体"/>
          <w:snapToGrid w:val="0"/>
          <w:color w:val="auto"/>
          <w:sz w:val="30"/>
          <w:szCs w:val="30"/>
        </w:rPr>
      </w:pPr>
      <w:r>
        <w:rPr>
          <w:rFonts w:hint="eastAsia" w:ascii="黑体" w:hAnsi="黑体" w:eastAsia="黑体"/>
          <w:snapToGrid w:val="0"/>
          <w:color w:val="auto"/>
          <w:sz w:val="30"/>
          <w:szCs w:val="30"/>
        </w:rPr>
        <w:t>一、建设项目基本情况</w:t>
      </w:r>
      <w:bookmarkEnd w:id="33"/>
      <w:bookmarkEnd w:id="34"/>
    </w:p>
    <w:tbl>
      <w:tblPr>
        <w:tblStyle w:val="2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876"/>
        <w:gridCol w:w="2143"/>
        <w:gridCol w:w="2212"/>
        <w:gridCol w:w="2639"/>
      </w:tblGrid>
      <w:tr w14:paraId="23B2FE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876" w:type="dxa"/>
            <w:noWrap w:val="0"/>
            <w:tcMar>
              <w:top w:w="16" w:type="dxa"/>
              <w:left w:w="16" w:type="dxa"/>
              <w:right w:w="16" w:type="dxa"/>
            </w:tcMar>
            <w:vAlign w:val="center"/>
          </w:tcPr>
          <w:p w14:paraId="5512C58C">
            <w:pPr>
              <w:adjustRightInd w:val="0"/>
              <w:snapToGrid w:val="0"/>
              <w:jc w:val="center"/>
              <w:rPr>
                <w:color w:val="auto"/>
                <w:sz w:val="24"/>
                <w:szCs w:val="24"/>
              </w:rPr>
            </w:pPr>
            <w:r>
              <w:rPr>
                <w:color w:val="auto"/>
                <w:sz w:val="24"/>
                <w:szCs w:val="24"/>
              </w:rPr>
              <w:t>建设项目名称</w:t>
            </w:r>
          </w:p>
        </w:tc>
        <w:tc>
          <w:tcPr>
            <w:tcW w:w="6994" w:type="dxa"/>
            <w:gridSpan w:val="3"/>
            <w:noWrap w:val="0"/>
            <w:vAlign w:val="center"/>
          </w:tcPr>
          <w:p w14:paraId="5B673520">
            <w:pPr>
              <w:adjustRightInd w:val="0"/>
              <w:snapToGrid w:val="0"/>
              <w:jc w:val="center"/>
              <w:rPr>
                <w:rFonts w:hint="eastAsia" w:eastAsia="宋体"/>
                <w:color w:val="auto"/>
                <w:sz w:val="24"/>
                <w:szCs w:val="24"/>
                <w:lang w:eastAsia="zh-CN"/>
              </w:rPr>
            </w:pPr>
            <w:r>
              <w:rPr>
                <w:rFonts w:hint="eastAsia"/>
                <w:color w:val="auto"/>
                <w:sz w:val="24"/>
                <w:szCs w:val="24"/>
                <w:lang w:eastAsia="zh-CN"/>
              </w:rPr>
              <w:t>新疆昌吉州奇台县吉布库河奇台镇城区段中小河流治理工程</w:t>
            </w:r>
          </w:p>
        </w:tc>
      </w:tr>
      <w:tr w14:paraId="7637BF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876" w:type="dxa"/>
            <w:noWrap w:val="0"/>
            <w:tcMar>
              <w:top w:w="16" w:type="dxa"/>
              <w:left w:w="16" w:type="dxa"/>
              <w:right w:w="16" w:type="dxa"/>
            </w:tcMar>
            <w:vAlign w:val="center"/>
          </w:tcPr>
          <w:p w14:paraId="59AC4257">
            <w:pPr>
              <w:adjustRightInd w:val="0"/>
              <w:snapToGrid w:val="0"/>
              <w:jc w:val="center"/>
              <w:rPr>
                <w:rFonts w:hint="eastAsia"/>
                <w:color w:val="auto"/>
                <w:sz w:val="24"/>
                <w:szCs w:val="24"/>
                <w:lang w:eastAsia="zh-CN"/>
              </w:rPr>
            </w:pPr>
            <w:r>
              <w:rPr>
                <w:rFonts w:hint="eastAsia"/>
                <w:color w:val="auto"/>
                <w:sz w:val="24"/>
                <w:szCs w:val="24"/>
                <w:lang w:eastAsia="zh-CN"/>
              </w:rPr>
              <w:t>项目代码</w:t>
            </w:r>
          </w:p>
        </w:tc>
        <w:tc>
          <w:tcPr>
            <w:tcW w:w="6994" w:type="dxa"/>
            <w:gridSpan w:val="3"/>
            <w:noWrap w:val="0"/>
            <w:vAlign w:val="center"/>
          </w:tcPr>
          <w:p w14:paraId="10A07DA1">
            <w:pPr>
              <w:adjustRightInd w:val="0"/>
              <w:snapToGrid w:val="0"/>
              <w:jc w:val="center"/>
              <w:rPr>
                <w:rFonts w:hint="default"/>
                <w:color w:val="auto"/>
                <w:sz w:val="24"/>
                <w:szCs w:val="24"/>
                <w:lang w:val="en-US" w:eastAsia="zh-CN"/>
              </w:rPr>
            </w:pPr>
            <w:r>
              <w:rPr>
                <w:rFonts w:hint="eastAsia"/>
                <w:color w:val="auto"/>
                <w:sz w:val="24"/>
                <w:szCs w:val="24"/>
                <w:lang w:val="en-US" w:eastAsia="zh-CN"/>
              </w:rPr>
              <w:t>无</w:t>
            </w:r>
          </w:p>
        </w:tc>
      </w:tr>
      <w:tr w14:paraId="54BD6F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876" w:type="dxa"/>
            <w:noWrap w:val="0"/>
            <w:tcMar>
              <w:top w:w="16" w:type="dxa"/>
              <w:left w:w="16" w:type="dxa"/>
              <w:right w:w="16" w:type="dxa"/>
            </w:tcMar>
            <w:vAlign w:val="center"/>
          </w:tcPr>
          <w:p w14:paraId="10DF1269">
            <w:pPr>
              <w:adjustRightInd w:val="0"/>
              <w:snapToGrid w:val="0"/>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建设单位联系人</w:t>
            </w:r>
          </w:p>
        </w:tc>
        <w:tc>
          <w:tcPr>
            <w:tcW w:w="2143" w:type="dxa"/>
            <w:noWrap w:val="0"/>
            <w:vAlign w:val="center"/>
          </w:tcPr>
          <w:p w14:paraId="296DED07">
            <w:pPr>
              <w:adjustRightInd w:val="0"/>
              <w:snapToGrid w:val="0"/>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李剑</w:t>
            </w:r>
          </w:p>
        </w:tc>
        <w:tc>
          <w:tcPr>
            <w:tcW w:w="2212" w:type="dxa"/>
            <w:noWrap w:val="0"/>
            <w:vAlign w:val="center"/>
          </w:tcPr>
          <w:p w14:paraId="7FBC3745">
            <w:pPr>
              <w:adjustRightInd w:val="0"/>
              <w:snapToGrid w:val="0"/>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联系方式</w:t>
            </w:r>
          </w:p>
        </w:tc>
        <w:tc>
          <w:tcPr>
            <w:tcW w:w="2639" w:type="dxa"/>
            <w:noWrap w:val="0"/>
            <w:vAlign w:val="center"/>
          </w:tcPr>
          <w:p w14:paraId="6B253FC2">
            <w:pPr>
              <w:adjustRightInd w:val="0"/>
              <w:snapToGrid w:val="0"/>
              <w:jc w:val="center"/>
              <w:rPr>
                <w:rFonts w:hint="default" w:eastAsia="宋体"/>
                <w:color w:val="auto"/>
                <w:sz w:val="24"/>
                <w:szCs w:val="24"/>
                <w:highlight w:val="yellow"/>
                <w:lang w:val="en-US" w:eastAsia="zh-CN"/>
              </w:rPr>
            </w:pPr>
            <w:r>
              <w:rPr>
                <w:rFonts w:hint="default" w:ascii="Times New Roman" w:hAnsi="Times New Roman" w:eastAsia="宋体" w:cs="Times New Roman"/>
                <w:color w:val="auto"/>
                <w:sz w:val="24"/>
                <w:szCs w:val="24"/>
                <w:highlight w:val="none"/>
                <w:lang w:val="en-US" w:eastAsia="zh-CN"/>
              </w:rPr>
              <w:t>13040505954</w:t>
            </w:r>
          </w:p>
        </w:tc>
      </w:tr>
      <w:tr w14:paraId="1B8B38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876" w:type="dxa"/>
            <w:noWrap w:val="0"/>
            <w:tcMar>
              <w:top w:w="16" w:type="dxa"/>
              <w:left w:w="16" w:type="dxa"/>
              <w:right w:w="16" w:type="dxa"/>
            </w:tcMar>
            <w:vAlign w:val="center"/>
          </w:tcPr>
          <w:p w14:paraId="5A09AB92">
            <w:pPr>
              <w:adjustRightInd w:val="0"/>
              <w:snapToGrid w:val="0"/>
              <w:jc w:val="center"/>
              <w:rPr>
                <w:color w:val="auto"/>
                <w:sz w:val="24"/>
                <w:szCs w:val="24"/>
              </w:rPr>
            </w:pPr>
            <w:r>
              <w:rPr>
                <w:color w:val="auto"/>
                <w:sz w:val="24"/>
                <w:szCs w:val="24"/>
              </w:rPr>
              <w:t>建设地点</w:t>
            </w:r>
          </w:p>
        </w:tc>
        <w:tc>
          <w:tcPr>
            <w:tcW w:w="6994" w:type="dxa"/>
            <w:gridSpan w:val="3"/>
            <w:noWrap w:val="0"/>
            <w:vAlign w:val="center"/>
          </w:tcPr>
          <w:p w14:paraId="10B78992">
            <w:pPr>
              <w:adjustRightInd w:val="0"/>
              <w:snapToGrid w:val="0"/>
              <w:jc w:val="center"/>
              <w:rPr>
                <w:rFonts w:hint="default"/>
                <w:color w:val="auto"/>
                <w:sz w:val="24"/>
                <w:szCs w:val="24"/>
                <w:lang w:val="en-US"/>
              </w:rPr>
            </w:pPr>
            <w:r>
              <w:rPr>
                <w:rFonts w:hint="default" w:ascii="Times New Roman" w:hAnsi="Times New Roman" w:eastAsia="宋体" w:cs="Times New Roman"/>
                <w:color w:val="auto"/>
                <w:sz w:val="24"/>
                <w:lang w:val="en-US" w:eastAsia="zh-CN"/>
              </w:rPr>
              <w:t>新疆昌吉回族自治州奇台县</w:t>
            </w:r>
            <w:r>
              <w:rPr>
                <w:rFonts w:hint="eastAsia"/>
                <w:color w:val="auto"/>
                <w:sz w:val="24"/>
                <w:szCs w:val="24"/>
                <w:lang w:val="en-US" w:eastAsia="zh-CN"/>
              </w:rPr>
              <w:t>县城</w:t>
            </w:r>
          </w:p>
        </w:tc>
      </w:tr>
      <w:tr w14:paraId="0B1156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876" w:type="dxa"/>
            <w:noWrap w:val="0"/>
            <w:tcMar>
              <w:top w:w="16" w:type="dxa"/>
              <w:left w:w="16" w:type="dxa"/>
              <w:right w:w="16" w:type="dxa"/>
            </w:tcMar>
            <w:vAlign w:val="center"/>
          </w:tcPr>
          <w:p w14:paraId="2F899100">
            <w:pPr>
              <w:adjustRightInd w:val="0"/>
              <w:snapToGrid w:val="0"/>
              <w:jc w:val="center"/>
              <w:rPr>
                <w:color w:val="auto"/>
                <w:sz w:val="24"/>
                <w:szCs w:val="24"/>
              </w:rPr>
            </w:pPr>
            <w:r>
              <w:rPr>
                <w:color w:val="auto"/>
                <w:sz w:val="24"/>
                <w:szCs w:val="24"/>
              </w:rPr>
              <w:t>地理坐标</w:t>
            </w:r>
          </w:p>
        </w:tc>
        <w:tc>
          <w:tcPr>
            <w:tcW w:w="6994" w:type="dxa"/>
            <w:gridSpan w:val="3"/>
            <w:noWrap w:val="0"/>
            <w:vAlign w:val="center"/>
          </w:tcPr>
          <w:p w14:paraId="06D46EFD">
            <w:pPr>
              <w:pStyle w:val="65"/>
              <w:keepNext w:val="0"/>
              <w:keepLines w:val="0"/>
              <w:pageBreakBefore w:val="0"/>
              <w:widowControl w:val="0"/>
              <w:kinsoku/>
              <w:wordWrap/>
              <w:overflowPunct/>
              <w:topLinePunct w:val="0"/>
              <w:autoSpaceDE/>
              <w:autoSpaceDN/>
              <w:bidi w:val="0"/>
              <w:adjustRightInd w:val="0"/>
              <w:snapToGrid w:val="0"/>
              <w:spacing w:line="240" w:lineRule="auto"/>
              <w:ind w:left="0"/>
              <w:textAlignment w:val="auto"/>
              <w:rPr>
                <w:rFonts w:ascii="Times New Roman" w:hAnsi="Times New Roman" w:eastAsia="Times New Roman" w:cs="Times New Roman"/>
                <w:color w:val="auto"/>
                <w:spacing w:val="-1"/>
                <w:sz w:val="24"/>
                <w:szCs w:val="24"/>
              </w:rPr>
            </w:pPr>
            <w:r>
              <w:rPr>
                <w:color w:val="auto"/>
                <w:spacing w:val="-1"/>
                <w:sz w:val="24"/>
                <w:szCs w:val="24"/>
              </w:rPr>
              <w:t>起点坐标：</w:t>
            </w:r>
            <w:r>
              <w:rPr>
                <w:rFonts w:hint="eastAsia" w:ascii="Times New Roman" w:hAnsi="Times New Roman" w:eastAsia="宋体" w:cs="Times New Roman"/>
                <w:color w:val="auto"/>
                <w:spacing w:val="-1"/>
                <w:sz w:val="24"/>
                <w:szCs w:val="24"/>
                <w:lang w:val="en-US" w:eastAsia="zh-CN"/>
              </w:rPr>
              <w:t>E</w:t>
            </w:r>
            <w:r>
              <w:rPr>
                <w:rFonts w:hint="eastAsia" w:ascii="Times New Roman" w:hAnsi="Times New Roman" w:eastAsia="Times New Roman" w:cs="Times New Roman"/>
                <w:color w:val="auto"/>
                <w:spacing w:val="-1"/>
                <w:sz w:val="24"/>
                <w:szCs w:val="24"/>
              </w:rPr>
              <w:t>89°35′20.366″</w:t>
            </w:r>
            <w:r>
              <w:rPr>
                <w:rFonts w:hint="eastAsia" w:ascii="Times New Roman" w:hAnsi="Times New Roman" w:eastAsia="宋体" w:cs="Times New Roman"/>
                <w:color w:val="auto"/>
                <w:spacing w:val="-1"/>
                <w:sz w:val="24"/>
                <w:szCs w:val="24"/>
                <w:lang w:eastAsia="zh-CN"/>
              </w:rPr>
              <w:t>，</w:t>
            </w:r>
            <w:r>
              <w:rPr>
                <w:rFonts w:hint="eastAsia" w:ascii="Times New Roman" w:hAnsi="Times New Roman" w:eastAsia="宋体" w:cs="Times New Roman"/>
                <w:color w:val="auto"/>
                <w:spacing w:val="-1"/>
                <w:sz w:val="24"/>
                <w:szCs w:val="24"/>
                <w:lang w:val="en-US" w:eastAsia="zh-CN"/>
              </w:rPr>
              <w:t>N</w:t>
            </w:r>
            <w:r>
              <w:rPr>
                <w:rFonts w:hint="eastAsia" w:ascii="Times New Roman" w:hAnsi="Times New Roman" w:eastAsia="Times New Roman" w:cs="Times New Roman"/>
                <w:color w:val="auto"/>
                <w:spacing w:val="-1"/>
                <w:sz w:val="24"/>
                <w:szCs w:val="24"/>
              </w:rPr>
              <w:t>43°57′56.3</w:t>
            </w:r>
            <w:r>
              <w:rPr>
                <w:rFonts w:hint="eastAsia" w:ascii="Times New Roman" w:hAnsi="Times New Roman" w:eastAsia="宋体" w:cs="Times New Roman"/>
                <w:color w:val="auto"/>
                <w:spacing w:val="-1"/>
                <w:sz w:val="24"/>
                <w:szCs w:val="24"/>
                <w:lang w:val="en-US" w:eastAsia="zh-CN"/>
              </w:rPr>
              <w:t>30</w:t>
            </w:r>
            <w:r>
              <w:rPr>
                <w:rFonts w:hint="eastAsia" w:ascii="Times New Roman" w:hAnsi="Times New Roman" w:eastAsia="Times New Roman" w:cs="Times New Roman"/>
                <w:color w:val="auto"/>
                <w:spacing w:val="-1"/>
                <w:sz w:val="24"/>
                <w:szCs w:val="24"/>
              </w:rPr>
              <w:t>″</w:t>
            </w:r>
          </w:p>
          <w:p w14:paraId="4229419E">
            <w:pPr>
              <w:keepNext w:val="0"/>
              <w:keepLines w:val="0"/>
              <w:pageBreakBefore w:val="0"/>
              <w:widowControl w:val="0"/>
              <w:kinsoku/>
              <w:wordWrap/>
              <w:overflowPunct/>
              <w:topLinePunct w:val="0"/>
              <w:autoSpaceDE/>
              <w:autoSpaceDN/>
              <w:bidi w:val="0"/>
              <w:adjustRightInd w:val="0"/>
              <w:snapToGrid w:val="0"/>
              <w:spacing w:line="240" w:lineRule="auto"/>
              <w:ind w:left="0"/>
              <w:jc w:val="both"/>
              <w:textAlignment w:val="auto"/>
              <w:rPr>
                <w:color w:val="auto"/>
                <w:sz w:val="24"/>
                <w:szCs w:val="24"/>
              </w:rPr>
            </w:pPr>
            <w:r>
              <w:rPr>
                <w:rFonts w:hint="eastAsia" w:ascii="Times New Roman" w:hAnsi="Times New Roman" w:eastAsia="Times New Roman" w:cs="Times New Roman"/>
                <w:color w:val="auto"/>
                <w:spacing w:val="-1"/>
                <w:kern w:val="2"/>
                <w:sz w:val="24"/>
                <w:szCs w:val="24"/>
                <w:lang w:val="en-US" w:eastAsia="en-US" w:bidi="ar-SA"/>
              </w:rPr>
              <w:t>末点坐标：</w:t>
            </w:r>
            <w:r>
              <w:rPr>
                <w:rFonts w:hint="eastAsia" w:ascii="Times New Roman" w:hAnsi="Times New Roman" w:eastAsia="Times New Roman" w:cs="Times New Roman"/>
                <w:color w:val="auto"/>
                <w:spacing w:val="-1"/>
                <w:kern w:val="2"/>
                <w:sz w:val="24"/>
                <w:szCs w:val="24"/>
                <w:lang w:val="en-US" w:eastAsia="zh-CN" w:bidi="ar-SA"/>
              </w:rPr>
              <w:t>E89°32′</w:t>
            </w:r>
            <w:r>
              <w:rPr>
                <w:rFonts w:hint="default" w:ascii="Times New Roman" w:hAnsi="Times New Roman" w:eastAsia="Times New Roman" w:cs="Times New Roman"/>
                <w:color w:val="auto"/>
                <w:spacing w:val="-1"/>
                <w:kern w:val="2"/>
                <w:sz w:val="24"/>
                <w:szCs w:val="24"/>
                <w:lang w:val="en-US" w:eastAsia="en-US" w:bidi="ar-SA"/>
              </w:rPr>
              <w:t>38.80</w:t>
            </w:r>
            <w:r>
              <w:rPr>
                <w:rFonts w:hint="eastAsia" w:ascii="Times New Roman" w:hAnsi="Times New Roman" w:eastAsia="Times New Roman" w:cs="Times New Roman"/>
                <w:color w:val="auto"/>
                <w:spacing w:val="-1"/>
                <w:kern w:val="2"/>
                <w:sz w:val="24"/>
                <w:szCs w:val="24"/>
                <w:lang w:val="en-US" w:eastAsia="zh-CN" w:bidi="ar-SA"/>
              </w:rPr>
              <w:t>5″</w:t>
            </w:r>
            <w:r>
              <w:rPr>
                <w:rFonts w:hint="eastAsia" w:eastAsia="Times New Roman" w:cs="Times New Roman"/>
                <w:color w:val="auto"/>
                <w:spacing w:val="-1"/>
                <w:kern w:val="2"/>
                <w:sz w:val="24"/>
                <w:szCs w:val="24"/>
                <w:lang w:val="en-US" w:eastAsia="zh-CN" w:bidi="ar-SA"/>
              </w:rPr>
              <w:t>，</w:t>
            </w:r>
            <w:r>
              <w:rPr>
                <w:rFonts w:hint="eastAsia" w:ascii="Times New Roman" w:hAnsi="Times New Roman" w:eastAsia="Times New Roman" w:cs="Times New Roman"/>
                <w:color w:val="auto"/>
                <w:spacing w:val="-1"/>
                <w:kern w:val="2"/>
                <w:sz w:val="24"/>
                <w:szCs w:val="24"/>
                <w:lang w:val="en-US" w:eastAsia="zh-CN" w:bidi="ar-SA"/>
              </w:rPr>
              <w:t>N44°3′</w:t>
            </w:r>
            <w:r>
              <w:rPr>
                <w:rFonts w:hint="default" w:ascii="Times New Roman" w:hAnsi="Times New Roman" w:eastAsia="Times New Roman" w:cs="Times New Roman"/>
                <w:color w:val="auto"/>
                <w:spacing w:val="-1"/>
                <w:kern w:val="2"/>
                <w:sz w:val="24"/>
                <w:szCs w:val="24"/>
                <w:lang w:val="en-US" w:eastAsia="en-US" w:bidi="ar-SA"/>
              </w:rPr>
              <w:t>4.846</w:t>
            </w:r>
            <w:r>
              <w:rPr>
                <w:rFonts w:hint="eastAsia" w:ascii="Times New Roman" w:hAnsi="Times New Roman" w:eastAsia="Times New Roman" w:cs="Times New Roman"/>
                <w:color w:val="auto"/>
                <w:spacing w:val="-1"/>
                <w:kern w:val="2"/>
                <w:sz w:val="24"/>
                <w:szCs w:val="24"/>
                <w:lang w:val="en-US" w:eastAsia="zh-CN" w:bidi="ar-SA"/>
              </w:rPr>
              <w:t>″</w:t>
            </w:r>
          </w:p>
        </w:tc>
      </w:tr>
      <w:tr w14:paraId="597537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401" w:hRule="atLeast"/>
          <w:jc w:val="center"/>
        </w:trPr>
        <w:tc>
          <w:tcPr>
            <w:tcW w:w="1876" w:type="dxa"/>
            <w:noWrap w:val="0"/>
            <w:tcMar>
              <w:top w:w="16" w:type="dxa"/>
              <w:left w:w="16" w:type="dxa"/>
              <w:right w:w="16" w:type="dxa"/>
            </w:tcMar>
            <w:vAlign w:val="center"/>
          </w:tcPr>
          <w:p w14:paraId="50549B51">
            <w:pPr>
              <w:pStyle w:val="65"/>
              <w:spacing w:before="56" w:line="220" w:lineRule="auto"/>
              <w:ind w:left="426"/>
              <w:rPr>
                <w:rFonts w:ascii="Times New Roman" w:hAnsi="Times New Roman" w:eastAsia="宋体" w:cs="Times New Roman"/>
                <w:color w:val="auto"/>
                <w:kern w:val="2"/>
                <w:sz w:val="24"/>
                <w:szCs w:val="24"/>
                <w:lang w:val="en-US" w:eastAsia="zh-CN" w:bidi="ar-SA"/>
              </w:rPr>
            </w:pPr>
            <w:r>
              <w:rPr>
                <w:rFonts w:ascii="Times New Roman" w:hAnsi="Times New Roman" w:eastAsia="宋体" w:cs="Times New Roman"/>
                <w:color w:val="auto"/>
                <w:kern w:val="2"/>
                <w:sz w:val="24"/>
                <w:szCs w:val="24"/>
                <w:lang w:val="en-US" w:eastAsia="zh-CN" w:bidi="ar-SA"/>
              </w:rPr>
              <w:t>建设项目</w:t>
            </w:r>
          </w:p>
          <w:p w14:paraId="1153C7A0">
            <w:pPr>
              <w:adjustRightInd w:val="0"/>
              <w:snapToGrid w:val="0"/>
              <w:jc w:val="center"/>
              <w:rPr>
                <w:color w:val="auto"/>
                <w:sz w:val="24"/>
                <w:szCs w:val="24"/>
              </w:rPr>
            </w:pPr>
            <w:r>
              <w:rPr>
                <w:rFonts w:ascii="Times New Roman" w:hAnsi="Times New Roman" w:eastAsia="宋体" w:cs="Times New Roman"/>
                <w:color w:val="auto"/>
                <w:kern w:val="2"/>
                <w:sz w:val="24"/>
                <w:szCs w:val="24"/>
                <w:lang w:val="en-US" w:eastAsia="zh-CN" w:bidi="ar-SA"/>
              </w:rPr>
              <w:t>行业类别</w:t>
            </w:r>
          </w:p>
        </w:tc>
        <w:tc>
          <w:tcPr>
            <w:tcW w:w="2143" w:type="dxa"/>
            <w:noWrap w:val="0"/>
            <w:vAlign w:val="center"/>
          </w:tcPr>
          <w:p w14:paraId="033B7C5E">
            <w:pPr>
              <w:pStyle w:val="65"/>
              <w:spacing w:before="57" w:line="219" w:lineRule="auto"/>
              <w:ind w:left="394"/>
              <w:rPr>
                <w:rFonts w:hint="eastAsia" w:ascii="Times New Roman" w:hAnsi="Times New Roman" w:eastAsia="宋体" w:cs="Times New Roman"/>
                <w:color w:val="auto"/>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五十一、水利</w:t>
            </w:r>
          </w:p>
          <w:p w14:paraId="453BA7AC">
            <w:pPr>
              <w:adjustRightInd w:val="0"/>
              <w:snapToGrid w:val="0"/>
              <w:jc w:val="center"/>
              <w:rPr>
                <w:color w:val="auto"/>
                <w:sz w:val="24"/>
                <w:szCs w:val="24"/>
              </w:rPr>
            </w:pPr>
            <w:r>
              <w:rPr>
                <w:rFonts w:hint="eastAsia" w:ascii="Times New Roman" w:hAnsi="Times New Roman" w:eastAsia="宋体" w:cs="Times New Roman"/>
                <w:color w:val="auto"/>
                <w:kern w:val="2"/>
                <w:sz w:val="24"/>
                <w:szCs w:val="24"/>
                <w:lang w:val="en-US" w:eastAsia="zh-CN" w:bidi="ar-SA"/>
              </w:rPr>
              <w:t>127.防洪除涝工程</w:t>
            </w:r>
          </w:p>
        </w:tc>
        <w:tc>
          <w:tcPr>
            <w:tcW w:w="2212" w:type="dxa"/>
            <w:noWrap w:val="0"/>
            <w:vAlign w:val="center"/>
          </w:tcPr>
          <w:p w14:paraId="6A25671E">
            <w:pPr>
              <w:pStyle w:val="65"/>
              <w:spacing w:before="57" w:line="219" w:lineRule="auto"/>
              <w:jc w:val="left"/>
              <w:rPr>
                <w:color w:val="auto"/>
                <w:spacing w:val="-3"/>
                <w:sz w:val="24"/>
                <w:szCs w:val="24"/>
              </w:rPr>
            </w:pPr>
            <w:r>
              <w:rPr>
                <w:rFonts w:hint="default" w:ascii="Times New Roman" w:hAnsi="Times New Roman" w:cs="Times New Roman"/>
                <w:color w:val="auto"/>
                <w:spacing w:val="-3"/>
                <w:sz w:val="24"/>
                <w:szCs w:val="24"/>
              </w:rPr>
              <w:t>用地（用海）面积（m</w:t>
            </w:r>
            <w:r>
              <w:rPr>
                <w:rFonts w:hint="default" w:ascii="Times New Roman" w:hAnsi="Times New Roman" w:cs="Times New Roman"/>
                <w:color w:val="auto"/>
                <w:spacing w:val="-3"/>
                <w:sz w:val="24"/>
                <w:szCs w:val="24"/>
                <w:vertAlign w:val="superscript"/>
                <w:lang w:val="en-US" w:eastAsia="zh-CN"/>
              </w:rPr>
              <w:t>2</w:t>
            </w:r>
            <w:r>
              <w:rPr>
                <w:rFonts w:hint="default" w:ascii="Times New Roman" w:hAnsi="Times New Roman" w:cs="Times New Roman"/>
                <w:color w:val="auto"/>
                <w:spacing w:val="-3"/>
                <w:sz w:val="24"/>
                <w:szCs w:val="24"/>
              </w:rPr>
              <w:t>）/长度（km）</w:t>
            </w:r>
          </w:p>
        </w:tc>
        <w:tc>
          <w:tcPr>
            <w:tcW w:w="2639" w:type="dxa"/>
            <w:noWrap w:val="0"/>
            <w:vAlign w:val="center"/>
          </w:tcPr>
          <w:p w14:paraId="7DD6D445">
            <w:pPr>
              <w:pStyle w:val="65"/>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color w:val="auto"/>
                <w:spacing w:val="-3"/>
                <w:sz w:val="24"/>
                <w:szCs w:val="24"/>
              </w:rPr>
            </w:pPr>
            <w:r>
              <w:rPr>
                <w:rFonts w:hint="default" w:ascii="Times New Roman" w:hAnsi="Times New Roman" w:cs="Times New Roman"/>
                <w:color w:val="auto"/>
                <w:spacing w:val="-3"/>
                <w:sz w:val="24"/>
                <w:szCs w:val="24"/>
              </w:rPr>
              <w:t>项目工程占地共计40.11hm</w:t>
            </w:r>
            <w:r>
              <w:rPr>
                <w:rFonts w:hint="default" w:ascii="Times New Roman" w:hAnsi="Times New Roman" w:cs="Times New Roman"/>
                <w:color w:val="auto"/>
                <w:spacing w:val="-3"/>
                <w:sz w:val="24"/>
                <w:szCs w:val="24"/>
                <w:vertAlign w:val="superscript"/>
              </w:rPr>
              <w:t>2</w:t>
            </w:r>
            <w:r>
              <w:rPr>
                <w:rFonts w:hint="default" w:ascii="Times New Roman" w:hAnsi="Times New Roman" w:cs="Times New Roman"/>
                <w:color w:val="auto"/>
                <w:spacing w:val="-3"/>
                <w:sz w:val="24"/>
                <w:szCs w:val="24"/>
              </w:rPr>
              <w:t>。其中永久占地面积26.46hm</w:t>
            </w:r>
            <w:r>
              <w:rPr>
                <w:rFonts w:hint="default" w:ascii="Times New Roman" w:hAnsi="Times New Roman" w:cs="Times New Roman"/>
                <w:color w:val="auto"/>
                <w:spacing w:val="-3"/>
                <w:sz w:val="24"/>
                <w:szCs w:val="24"/>
                <w:vertAlign w:val="superscript"/>
              </w:rPr>
              <w:t>2</w:t>
            </w:r>
            <w:r>
              <w:rPr>
                <w:rFonts w:hint="default" w:ascii="Times New Roman" w:hAnsi="Times New Roman" w:cs="Times New Roman"/>
                <w:color w:val="auto"/>
                <w:spacing w:val="-3"/>
                <w:sz w:val="24"/>
                <w:szCs w:val="24"/>
              </w:rPr>
              <w:t>，临时占地13.65hm</w:t>
            </w:r>
            <w:r>
              <w:rPr>
                <w:rFonts w:hint="default" w:ascii="Times New Roman" w:hAnsi="Times New Roman" w:cs="Times New Roman"/>
                <w:color w:val="auto"/>
                <w:spacing w:val="-3"/>
                <w:sz w:val="24"/>
                <w:szCs w:val="24"/>
                <w:vertAlign w:val="superscript"/>
              </w:rPr>
              <w:t>2</w:t>
            </w:r>
          </w:p>
        </w:tc>
      </w:tr>
      <w:tr w14:paraId="702F83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876" w:type="dxa"/>
            <w:noWrap w:val="0"/>
            <w:tcMar>
              <w:top w:w="16" w:type="dxa"/>
              <w:left w:w="16" w:type="dxa"/>
              <w:right w:w="16" w:type="dxa"/>
            </w:tcMar>
            <w:vAlign w:val="center"/>
          </w:tcPr>
          <w:p w14:paraId="0598283D">
            <w:pPr>
              <w:adjustRightInd w:val="0"/>
              <w:snapToGrid w:val="0"/>
              <w:jc w:val="center"/>
              <w:rPr>
                <w:color w:val="auto"/>
                <w:sz w:val="24"/>
                <w:szCs w:val="24"/>
              </w:rPr>
            </w:pPr>
            <w:r>
              <w:rPr>
                <w:color w:val="auto"/>
                <w:sz w:val="24"/>
                <w:szCs w:val="24"/>
              </w:rPr>
              <w:t>建设性质</w:t>
            </w:r>
          </w:p>
        </w:tc>
        <w:tc>
          <w:tcPr>
            <w:tcW w:w="2143" w:type="dxa"/>
            <w:noWrap w:val="0"/>
            <w:vAlign w:val="center"/>
          </w:tcPr>
          <w:p w14:paraId="1A04940A">
            <w:pPr>
              <w:jc w:val="left"/>
              <w:rPr>
                <w:color w:val="auto"/>
                <w:sz w:val="24"/>
                <w:szCs w:val="24"/>
              </w:rPr>
            </w:pPr>
            <w:r>
              <w:rPr>
                <w:color w:val="auto"/>
                <w:sz w:val="24"/>
                <w:szCs w:val="24"/>
              </w:rPr>
              <w:sym w:font="Wingdings 2" w:char="0052"/>
            </w:r>
            <w:r>
              <w:rPr>
                <w:color w:val="auto"/>
                <w:sz w:val="24"/>
                <w:szCs w:val="24"/>
              </w:rPr>
              <w:t>新建（迁建）</w:t>
            </w:r>
          </w:p>
          <w:p w14:paraId="45F138ED">
            <w:pPr>
              <w:jc w:val="left"/>
              <w:rPr>
                <w:color w:val="auto"/>
                <w:sz w:val="24"/>
                <w:szCs w:val="24"/>
              </w:rPr>
            </w:pPr>
            <w:r>
              <w:rPr>
                <w:color w:val="auto"/>
                <w:sz w:val="24"/>
                <w:szCs w:val="24"/>
              </w:rPr>
              <w:sym w:font="Wingdings 2" w:char="0052"/>
            </w:r>
            <w:r>
              <w:rPr>
                <w:color w:val="auto"/>
                <w:sz w:val="24"/>
                <w:szCs w:val="24"/>
              </w:rPr>
              <w:t>改建</w:t>
            </w:r>
          </w:p>
          <w:p w14:paraId="1B75DF36">
            <w:pPr>
              <w:jc w:val="left"/>
              <w:rPr>
                <w:color w:val="auto"/>
                <w:sz w:val="24"/>
                <w:szCs w:val="24"/>
              </w:rPr>
            </w:pPr>
            <w:r>
              <w:rPr>
                <w:color w:val="auto"/>
                <w:sz w:val="24"/>
                <w:szCs w:val="24"/>
              </w:rPr>
              <w:sym w:font="Wingdings 2" w:char="00A3"/>
            </w:r>
            <w:r>
              <w:rPr>
                <w:color w:val="auto"/>
                <w:sz w:val="24"/>
                <w:szCs w:val="24"/>
              </w:rPr>
              <w:t>扩建</w:t>
            </w:r>
          </w:p>
          <w:p w14:paraId="4A62E3E7">
            <w:pPr>
              <w:jc w:val="left"/>
              <w:rPr>
                <w:color w:val="auto"/>
                <w:sz w:val="24"/>
                <w:szCs w:val="24"/>
              </w:rPr>
            </w:pPr>
            <w:r>
              <w:rPr>
                <w:color w:val="auto"/>
                <w:sz w:val="24"/>
                <w:szCs w:val="24"/>
              </w:rPr>
              <w:sym w:font="Wingdings 2" w:char="00A3"/>
            </w:r>
            <w:r>
              <w:rPr>
                <w:color w:val="auto"/>
                <w:sz w:val="24"/>
                <w:szCs w:val="24"/>
              </w:rPr>
              <w:t>技术改造</w:t>
            </w:r>
          </w:p>
        </w:tc>
        <w:tc>
          <w:tcPr>
            <w:tcW w:w="2212" w:type="dxa"/>
            <w:noWrap w:val="0"/>
            <w:vAlign w:val="center"/>
          </w:tcPr>
          <w:p w14:paraId="48D71E4E">
            <w:pPr>
              <w:adjustRightInd w:val="0"/>
              <w:snapToGrid w:val="0"/>
              <w:jc w:val="center"/>
              <w:rPr>
                <w:color w:val="auto"/>
                <w:sz w:val="24"/>
                <w:szCs w:val="24"/>
              </w:rPr>
            </w:pPr>
            <w:r>
              <w:rPr>
                <w:color w:val="auto"/>
                <w:sz w:val="24"/>
                <w:szCs w:val="24"/>
              </w:rPr>
              <w:t>建设项目</w:t>
            </w:r>
          </w:p>
          <w:p w14:paraId="30CEF5C6">
            <w:pPr>
              <w:adjustRightInd w:val="0"/>
              <w:snapToGrid w:val="0"/>
              <w:jc w:val="center"/>
              <w:rPr>
                <w:color w:val="auto"/>
                <w:sz w:val="24"/>
                <w:szCs w:val="24"/>
              </w:rPr>
            </w:pPr>
            <w:r>
              <w:rPr>
                <w:color w:val="auto"/>
                <w:sz w:val="24"/>
                <w:szCs w:val="24"/>
              </w:rPr>
              <w:t>申报情形</w:t>
            </w:r>
          </w:p>
        </w:tc>
        <w:tc>
          <w:tcPr>
            <w:tcW w:w="2639" w:type="dxa"/>
            <w:noWrap w:val="0"/>
            <w:vAlign w:val="center"/>
          </w:tcPr>
          <w:p w14:paraId="14417F88">
            <w:pPr>
              <w:jc w:val="left"/>
              <w:rPr>
                <w:color w:val="auto"/>
                <w:sz w:val="24"/>
                <w:szCs w:val="24"/>
              </w:rPr>
            </w:pPr>
            <w:r>
              <w:rPr>
                <w:color w:val="auto"/>
                <w:sz w:val="24"/>
                <w:szCs w:val="24"/>
              </w:rPr>
              <w:sym w:font="Wingdings 2" w:char="0052"/>
            </w:r>
            <w:r>
              <w:rPr>
                <w:color w:val="auto"/>
                <w:sz w:val="24"/>
                <w:szCs w:val="24"/>
              </w:rPr>
              <w:t xml:space="preserve">首次申报项目             </w:t>
            </w:r>
          </w:p>
          <w:p w14:paraId="64209205">
            <w:pPr>
              <w:jc w:val="left"/>
              <w:rPr>
                <w:color w:val="auto"/>
                <w:sz w:val="24"/>
                <w:szCs w:val="24"/>
              </w:rPr>
            </w:pPr>
            <w:r>
              <w:rPr>
                <w:color w:val="auto"/>
                <w:sz w:val="24"/>
                <w:szCs w:val="24"/>
              </w:rPr>
              <w:sym w:font="Wingdings 2" w:char="00A3"/>
            </w:r>
            <w:r>
              <w:rPr>
                <w:color w:val="auto"/>
                <w:sz w:val="24"/>
                <w:szCs w:val="24"/>
              </w:rPr>
              <w:t>不予批准后再次申报项目</w:t>
            </w:r>
          </w:p>
          <w:p w14:paraId="5AD0B124">
            <w:pPr>
              <w:jc w:val="left"/>
              <w:rPr>
                <w:color w:val="auto"/>
                <w:sz w:val="24"/>
                <w:szCs w:val="24"/>
              </w:rPr>
            </w:pPr>
            <w:r>
              <w:rPr>
                <w:color w:val="auto"/>
                <w:sz w:val="24"/>
                <w:szCs w:val="24"/>
              </w:rPr>
              <w:sym w:font="Wingdings 2" w:char="00A3"/>
            </w:r>
            <w:r>
              <w:rPr>
                <w:color w:val="auto"/>
                <w:sz w:val="24"/>
                <w:szCs w:val="24"/>
              </w:rPr>
              <w:t xml:space="preserve">超五年重新审核项目     </w:t>
            </w:r>
          </w:p>
          <w:p w14:paraId="39735AE5">
            <w:pPr>
              <w:jc w:val="left"/>
              <w:rPr>
                <w:color w:val="auto"/>
                <w:sz w:val="24"/>
                <w:szCs w:val="24"/>
              </w:rPr>
            </w:pPr>
            <w:r>
              <w:rPr>
                <w:color w:val="auto"/>
                <w:sz w:val="24"/>
                <w:szCs w:val="24"/>
              </w:rPr>
              <w:sym w:font="Wingdings 2" w:char="00A3"/>
            </w:r>
            <w:r>
              <w:rPr>
                <w:color w:val="auto"/>
                <w:sz w:val="24"/>
                <w:szCs w:val="24"/>
              </w:rPr>
              <w:t>重大变动重新报批项目</w:t>
            </w:r>
          </w:p>
        </w:tc>
      </w:tr>
      <w:tr w14:paraId="08DAF0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876" w:type="dxa"/>
            <w:noWrap w:val="0"/>
            <w:tcMar>
              <w:top w:w="16" w:type="dxa"/>
              <w:left w:w="16" w:type="dxa"/>
              <w:right w:w="16" w:type="dxa"/>
            </w:tcMar>
            <w:vAlign w:val="center"/>
          </w:tcPr>
          <w:p w14:paraId="3149B0DA">
            <w:pPr>
              <w:adjustRightInd w:val="0"/>
              <w:snapToGrid w:val="0"/>
              <w:jc w:val="center"/>
              <w:rPr>
                <w:color w:val="auto"/>
                <w:sz w:val="24"/>
                <w:szCs w:val="24"/>
              </w:rPr>
            </w:pPr>
            <w:r>
              <w:rPr>
                <w:color w:val="auto"/>
                <w:sz w:val="24"/>
                <w:szCs w:val="24"/>
              </w:rPr>
              <w:t>项目审批（核准/</w:t>
            </w:r>
          </w:p>
          <w:p w14:paraId="6A50DDD1">
            <w:pPr>
              <w:adjustRightInd w:val="0"/>
              <w:snapToGrid w:val="0"/>
              <w:jc w:val="center"/>
              <w:rPr>
                <w:color w:val="auto"/>
                <w:sz w:val="24"/>
                <w:szCs w:val="24"/>
              </w:rPr>
            </w:pPr>
            <w:r>
              <w:rPr>
                <w:color w:val="auto"/>
                <w:sz w:val="24"/>
                <w:szCs w:val="24"/>
              </w:rPr>
              <w:t>备案）部门（选填）</w:t>
            </w:r>
          </w:p>
        </w:tc>
        <w:tc>
          <w:tcPr>
            <w:tcW w:w="2143" w:type="dxa"/>
            <w:noWrap w:val="0"/>
            <w:vAlign w:val="center"/>
          </w:tcPr>
          <w:p w14:paraId="0C94B333">
            <w:pPr>
              <w:adjustRightInd w:val="0"/>
              <w:snapToGrid w:val="0"/>
              <w:jc w:val="center"/>
              <w:rPr>
                <w:color w:val="auto"/>
                <w:sz w:val="24"/>
                <w:szCs w:val="24"/>
              </w:rPr>
            </w:pPr>
            <w:r>
              <w:rPr>
                <w:rFonts w:hint="eastAsia"/>
                <w:color w:val="auto"/>
                <w:sz w:val="24"/>
                <w:szCs w:val="24"/>
                <w:lang w:val="en-US" w:eastAsia="zh-CN"/>
              </w:rPr>
              <w:t>/</w:t>
            </w:r>
          </w:p>
        </w:tc>
        <w:tc>
          <w:tcPr>
            <w:tcW w:w="2212" w:type="dxa"/>
            <w:noWrap w:val="0"/>
            <w:vAlign w:val="center"/>
          </w:tcPr>
          <w:p w14:paraId="3DDD3F09">
            <w:pPr>
              <w:adjustRightInd w:val="0"/>
              <w:snapToGrid w:val="0"/>
              <w:jc w:val="center"/>
              <w:rPr>
                <w:color w:val="auto"/>
                <w:sz w:val="24"/>
                <w:szCs w:val="24"/>
              </w:rPr>
            </w:pPr>
            <w:r>
              <w:rPr>
                <w:color w:val="auto"/>
                <w:sz w:val="24"/>
                <w:szCs w:val="24"/>
              </w:rPr>
              <w:t>项目审批（核准/</w:t>
            </w:r>
          </w:p>
          <w:p w14:paraId="5F1BB57B">
            <w:pPr>
              <w:adjustRightInd w:val="0"/>
              <w:snapToGrid w:val="0"/>
              <w:jc w:val="center"/>
              <w:rPr>
                <w:color w:val="auto"/>
                <w:sz w:val="24"/>
                <w:szCs w:val="24"/>
              </w:rPr>
            </w:pPr>
            <w:r>
              <w:rPr>
                <w:color w:val="auto"/>
                <w:sz w:val="24"/>
                <w:szCs w:val="24"/>
              </w:rPr>
              <w:t>备案）文号（选填）</w:t>
            </w:r>
          </w:p>
        </w:tc>
        <w:tc>
          <w:tcPr>
            <w:tcW w:w="2639" w:type="dxa"/>
            <w:noWrap w:val="0"/>
            <w:vAlign w:val="center"/>
          </w:tcPr>
          <w:p w14:paraId="479F2D27">
            <w:pPr>
              <w:adjustRightInd w:val="0"/>
              <w:snapToGrid w:val="0"/>
              <w:jc w:val="center"/>
              <w:rPr>
                <w:rFonts w:hint="eastAsia" w:eastAsia="宋体"/>
                <w:color w:val="auto"/>
                <w:sz w:val="24"/>
                <w:szCs w:val="24"/>
                <w:lang w:eastAsia="zh-CN"/>
              </w:rPr>
            </w:pPr>
            <w:r>
              <w:rPr>
                <w:rFonts w:hint="eastAsia"/>
                <w:color w:val="auto"/>
                <w:sz w:val="24"/>
                <w:szCs w:val="24"/>
                <w:lang w:val="en-US" w:eastAsia="zh-CN"/>
              </w:rPr>
              <w:t>/</w:t>
            </w:r>
          </w:p>
        </w:tc>
      </w:tr>
      <w:tr w14:paraId="6F4CF4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876" w:type="dxa"/>
            <w:noWrap w:val="0"/>
            <w:tcMar>
              <w:top w:w="16" w:type="dxa"/>
              <w:left w:w="16" w:type="dxa"/>
              <w:right w:w="16" w:type="dxa"/>
            </w:tcMar>
            <w:vAlign w:val="center"/>
          </w:tcPr>
          <w:p w14:paraId="1AC0B175">
            <w:pPr>
              <w:adjustRightInd w:val="0"/>
              <w:snapToGrid w:val="0"/>
              <w:jc w:val="center"/>
              <w:rPr>
                <w:color w:val="auto"/>
                <w:sz w:val="24"/>
                <w:szCs w:val="24"/>
              </w:rPr>
            </w:pPr>
            <w:r>
              <w:rPr>
                <w:color w:val="auto"/>
                <w:sz w:val="24"/>
                <w:szCs w:val="24"/>
              </w:rPr>
              <w:t>总投资（万元）</w:t>
            </w:r>
          </w:p>
        </w:tc>
        <w:tc>
          <w:tcPr>
            <w:tcW w:w="2143" w:type="dxa"/>
            <w:noWrap w:val="0"/>
            <w:vAlign w:val="center"/>
          </w:tcPr>
          <w:p w14:paraId="0DD8DBA9">
            <w:pPr>
              <w:adjustRightInd w:val="0"/>
              <w:snapToGrid w:val="0"/>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4970.42</w:t>
            </w:r>
          </w:p>
        </w:tc>
        <w:tc>
          <w:tcPr>
            <w:tcW w:w="2212" w:type="dxa"/>
            <w:noWrap w:val="0"/>
            <w:tcMar>
              <w:top w:w="16" w:type="dxa"/>
              <w:left w:w="16" w:type="dxa"/>
              <w:right w:w="16" w:type="dxa"/>
            </w:tcMar>
            <w:vAlign w:val="center"/>
          </w:tcPr>
          <w:p w14:paraId="7CFCBF83">
            <w:pPr>
              <w:adjustRightInd w:val="0"/>
              <w:snapToGrid w:val="0"/>
              <w:jc w:val="center"/>
              <w:rPr>
                <w:color w:val="auto"/>
                <w:sz w:val="24"/>
                <w:szCs w:val="24"/>
              </w:rPr>
            </w:pPr>
            <w:r>
              <w:rPr>
                <w:color w:val="auto"/>
                <w:sz w:val="24"/>
                <w:szCs w:val="24"/>
              </w:rPr>
              <w:t>环保投资（万元）</w:t>
            </w:r>
          </w:p>
        </w:tc>
        <w:tc>
          <w:tcPr>
            <w:tcW w:w="2639" w:type="dxa"/>
            <w:noWrap w:val="0"/>
            <w:vAlign w:val="center"/>
          </w:tcPr>
          <w:p w14:paraId="3FAEA527">
            <w:pPr>
              <w:adjustRightInd w:val="0"/>
              <w:snapToGrid w:val="0"/>
              <w:jc w:val="center"/>
              <w:rPr>
                <w:rFonts w:hint="default"/>
                <w:color w:val="auto"/>
                <w:sz w:val="24"/>
                <w:szCs w:val="24"/>
                <w:lang w:val="en-US"/>
              </w:rPr>
            </w:pPr>
            <w:r>
              <w:rPr>
                <w:rFonts w:hint="eastAsia"/>
                <w:color w:val="auto"/>
                <w:sz w:val="24"/>
                <w:szCs w:val="24"/>
                <w:highlight w:val="none"/>
                <w:lang w:val="en-US" w:eastAsia="zh-CN"/>
              </w:rPr>
              <w:t>31.9</w:t>
            </w:r>
          </w:p>
        </w:tc>
      </w:tr>
      <w:tr w14:paraId="6BF5EC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876" w:type="dxa"/>
            <w:noWrap w:val="0"/>
            <w:tcMar>
              <w:top w:w="16" w:type="dxa"/>
              <w:left w:w="16" w:type="dxa"/>
              <w:right w:w="16" w:type="dxa"/>
            </w:tcMar>
            <w:vAlign w:val="center"/>
          </w:tcPr>
          <w:p w14:paraId="27D5BE2A">
            <w:pPr>
              <w:adjustRightInd w:val="0"/>
              <w:snapToGrid w:val="0"/>
              <w:jc w:val="center"/>
              <w:rPr>
                <w:color w:val="auto"/>
                <w:sz w:val="24"/>
                <w:szCs w:val="24"/>
              </w:rPr>
            </w:pPr>
            <w:r>
              <w:rPr>
                <w:color w:val="auto"/>
                <w:sz w:val="24"/>
                <w:szCs w:val="24"/>
              </w:rPr>
              <w:t>环保投资占比（%）</w:t>
            </w:r>
          </w:p>
        </w:tc>
        <w:tc>
          <w:tcPr>
            <w:tcW w:w="2143" w:type="dxa"/>
            <w:noWrap w:val="0"/>
            <w:vAlign w:val="center"/>
          </w:tcPr>
          <w:p w14:paraId="04ABB334">
            <w:pPr>
              <w:adjustRightInd w:val="0"/>
              <w:snapToGrid w:val="0"/>
              <w:jc w:val="center"/>
              <w:rPr>
                <w:rFonts w:hint="default"/>
                <w:color w:val="auto"/>
                <w:sz w:val="24"/>
                <w:szCs w:val="24"/>
                <w:lang w:val="en-US" w:eastAsia="zh-CN"/>
              </w:rPr>
            </w:pPr>
            <w:r>
              <w:rPr>
                <w:rFonts w:hint="eastAsia"/>
                <w:color w:val="auto"/>
                <w:sz w:val="24"/>
                <w:szCs w:val="24"/>
                <w:lang w:val="en-US" w:eastAsia="zh-CN"/>
              </w:rPr>
              <w:t>0.64</w:t>
            </w:r>
          </w:p>
        </w:tc>
        <w:tc>
          <w:tcPr>
            <w:tcW w:w="2212" w:type="dxa"/>
            <w:noWrap w:val="0"/>
            <w:tcMar>
              <w:top w:w="16" w:type="dxa"/>
              <w:left w:w="16" w:type="dxa"/>
              <w:right w:w="16" w:type="dxa"/>
            </w:tcMar>
            <w:vAlign w:val="center"/>
          </w:tcPr>
          <w:p w14:paraId="4947766D">
            <w:pPr>
              <w:adjustRightInd w:val="0"/>
              <w:snapToGrid w:val="0"/>
              <w:jc w:val="center"/>
              <w:rPr>
                <w:color w:val="auto"/>
                <w:sz w:val="24"/>
                <w:szCs w:val="24"/>
                <w:highlight w:val="none"/>
              </w:rPr>
            </w:pPr>
            <w:r>
              <w:rPr>
                <w:color w:val="auto"/>
                <w:sz w:val="24"/>
                <w:szCs w:val="24"/>
                <w:highlight w:val="none"/>
              </w:rPr>
              <w:t>施工工期</w:t>
            </w:r>
          </w:p>
        </w:tc>
        <w:tc>
          <w:tcPr>
            <w:tcW w:w="2639" w:type="dxa"/>
            <w:noWrap w:val="0"/>
            <w:vAlign w:val="center"/>
          </w:tcPr>
          <w:p w14:paraId="5EC3369C">
            <w:pPr>
              <w:adjustRightInd w:val="0"/>
              <w:snapToGrid w:val="0"/>
              <w:jc w:val="center"/>
              <w:rPr>
                <w:color w:val="auto"/>
                <w:sz w:val="24"/>
                <w:szCs w:val="24"/>
                <w:highlight w:val="none"/>
              </w:rPr>
            </w:pPr>
            <w:r>
              <w:rPr>
                <w:rFonts w:hint="eastAsia"/>
                <w:color w:val="auto"/>
                <w:sz w:val="24"/>
                <w:szCs w:val="24"/>
                <w:highlight w:val="none"/>
                <w:lang w:val="en-US" w:eastAsia="zh-CN"/>
              </w:rPr>
              <w:t>7</w:t>
            </w:r>
            <w:r>
              <w:rPr>
                <w:color w:val="auto"/>
                <w:sz w:val="24"/>
                <w:szCs w:val="24"/>
                <w:highlight w:val="none"/>
              </w:rPr>
              <w:t>个月</w:t>
            </w:r>
          </w:p>
        </w:tc>
      </w:tr>
      <w:tr w14:paraId="2FD529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876" w:type="dxa"/>
            <w:noWrap w:val="0"/>
            <w:tcMar>
              <w:top w:w="16" w:type="dxa"/>
              <w:left w:w="16" w:type="dxa"/>
              <w:right w:w="16" w:type="dxa"/>
            </w:tcMar>
            <w:vAlign w:val="center"/>
          </w:tcPr>
          <w:p w14:paraId="5B820B82">
            <w:pPr>
              <w:adjustRightInd w:val="0"/>
              <w:snapToGrid w:val="0"/>
              <w:jc w:val="center"/>
              <w:rPr>
                <w:color w:val="auto"/>
                <w:sz w:val="24"/>
                <w:szCs w:val="24"/>
              </w:rPr>
            </w:pPr>
            <w:r>
              <w:rPr>
                <w:color w:val="auto"/>
                <w:sz w:val="24"/>
                <w:szCs w:val="24"/>
              </w:rPr>
              <w:t>是否开工建设</w:t>
            </w:r>
          </w:p>
        </w:tc>
        <w:tc>
          <w:tcPr>
            <w:tcW w:w="6994" w:type="dxa"/>
            <w:gridSpan w:val="3"/>
            <w:noWrap w:val="0"/>
            <w:vAlign w:val="center"/>
          </w:tcPr>
          <w:p w14:paraId="0395D971">
            <w:pPr>
              <w:adjustRightInd w:val="0"/>
              <w:snapToGrid w:val="0"/>
              <w:rPr>
                <w:color w:val="auto"/>
                <w:sz w:val="24"/>
                <w:szCs w:val="24"/>
              </w:rPr>
            </w:pPr>
            <w:r>
              <w:rPr>
                <w:color w:val="auto"/>
                <w:sz w:val="24"/>
                <w:szCs w:val="24"/>
              </w:rPr>
              <w:sym w:font="Wingdings 2" w:char="0052"/>
            </w:r>
            <w:r>
              <w:rPr>
                <w:color w:val="auto"/>
                <w:sz w:val="24"/>
                <w:szCs w:val="24"/>
              </w:rPr>
              <w:t>否</w:t>
            </w:r>
          </w:p>
          <w:p w14:paraId="6D7F9829">
            <w:pPr>
              <w:adjustRightInd w:val="0"/>
              <w:snapToGrid w:val="0"/>
              <w:jc w:val="both"/>
              <w:rPr>
                <w:rFonts w:hint="default" w:eastAsia="宋体"/>
                <w:color w:val="auto"/>
                <w:sz w:val="24"/>
                <w:szCs w:val="24"/>
                <w:lang w:val="en-US" w:eastAsia="zh-CN"/>
              </w:rPr>
            </w:pPr>
            <w:r>
              <w:rPr>
                <w:color w:val="auto"/>
                <w:sz w:val="24"/>
                <w:szCs w:val="24"/>
              </w:rPr>
              <w:sym w:font="Wingdings 2" w:char="00A3"/>
            </w:r>
            <w:r>
              <w:rPr>
                <w:color w:val="auto"/>
                <w:sz w:val="24"/>
                <w:szCs w:val="24"/>
              </w:rPr>
              <w:t>是：</w:t>
            </w:r>
            <w:r>
              <w:rPr>
                <w:color w:val="auto"/>
                <w:sz w:val="24"/>
                <w:szCs w:val="24"/>
                <w:u w:val="single"/>
              </w:rPr>
              <w:t xml:space="preserve">             </w:t>
            </w:r>
          </w:p>
        </w:tc>
      </w:tr>
      <w:tr w14:paraId="24F3E9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76" w:type="dxa"/>
            <w:noWrap w:val="0"/>
            <w:vAlign w:val="center"/>
          </w:tcPr>
          <w:p w14:paraId="29D525A6">
            <w:pPr>
              <w:autoSpaceDE w:val="0"/>
              <w:autoSpaceDN w:val="0"/>
              <w:adjustRightInd w:val="0"/>
              <w:snapToGrid w:val="0"/>
              <w:jc w:val="center"/>
              <w:rPr>
                <w:color w:val="auto"/>
                <w:kern w:val="0"/>
                <w:sz w:val="24"/>
                <w:szCs w:val="24"/>
              </w:rPr>
            </w:pPr>
            <w:r>
              <w:rPr>
                <w:color w:val="auto"/>
                <w:kern w:val="0"/>
                <w:sz w:val="24"/>
                <w:szCs w:val="24"/>
              </w:rPr>
              <w:t>专项评价设置情况</w:t>
            </w:r>
          </w:p>
        </w:tc>
        <w:tc>
          <w:tcPr>
            <w:tcW w:w="6994" w:type="dxa"/>
            <w:gridSpan w:val="3"/>
            <w:noWrap w:val="0"/>
            <w:vAlign w:val="center"/>
          </w:tcPr>
          <w:p w14:paraId="29732E75">
            <w:pPr>
              <w:autoSpaceDE w:val="0"/>
              <w:autoSpaceDN w:val="0"/>
              <w:adjustRightInd w:val="0"/>
              <w:snapToGrid w:val="0"/>
              <w:jc w:val="center"/>
              <w:rPr>
                <w:rFonts w:hint="default" w:eastAsia="宋体"/>
                <w:color w:val="auto"/>
                <w:kern w:val="0"/>
                <w:sz w:val="24"/>
                <w:szCs w:val="24"/>
                <w:lang w:val="en-US" w:eastAsia="zh-CN"/>
              </w:rPr>
            </w:pPr>
            <w:r>
              <w:rPr>
                <w:rFonts w:hint="eastAsia"/>
                <w:color w:val="auto"/>
                <w:kern w:val="0"/>
                <w:sz w:val="24"/>
                <w:szCs w:val="24"/>
                <w:lang w:val="en-US" w:eastAsia="zh-CN"/>
              </w:rPr>
              <w:t>无</w:t>
            </w:r>
          </w:p>
        </w:tc>
      </w:tr>
      <w:tr w14:paraId="52CA0D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876" w:type="dxa"/>
            <w:noWrap w:val="0"/>
            <w:vAlign w:val="center"/>
          </w:tcPr>
          <w:p w14:paraId="14ECA367">
            <w:pPr>
              <w:autoSpaceDE w:val="0"/>
              <w:autoSpaceDN w:val="0"/>
              <w:adjustRightInd w:val="0"/>
              <w:snapToGrid w:val="0"/>
              <w:jc w:val="center"/>
              <w:rPr>
                <w:color w:val="auto"/>
                <w:kern w:val="0"/>
                <w:sz w:val="24"/>
                <w:szCs w:val="24"/>
              </w:rPr>
            </w:pPr>
            <w:r>
              <w:rPr>
                <w:color w:val="auto"/>
                <w:kern w:val="0"/>
                <w:sz w:val="24"/>
                <w:szCs w:val="24"/>
              </w:rPr>
              <w:t>规划情况</w:t>
            </w:r>
          </w:p>
        </w:tc>
        <w:tc>
          <w:tcPr>
            <w:tcW w:w="6994" w:type="dxa"/>
            <w:gridSpan w:val="3"/>
            <w:noWrap w:val="0"/>
            <w:vAlign w:val="center"/>
          </w:tcPr>
          <w:p w14:paraId="19C05B79">
            <w:pPr>
              <w:autoSpaceDE w:val="0"/>
              <w:autoSpaceDN w:val="0"/>
              <w:adjustRightInd w:val="0"/>
              <w:snapToGrid w:val="0"/>
              <w:jc w:val="center"/>
              <w:rPr>
                <w:color w:val="auto"/>
                <w:kern w:val="0"/>
                <w:szCs w:val="21"/>
              </w:rPr>
            </w:pPr>
            <w:r>
              <w:rPr>
                <w:rFonts w:hint="eastAsia"/>
                <w:color w:val="auto"/>
                <w:kern w:val="0"/>
                <w:sz w:val="24"/>
                <w:szCs w:val="24"/>
                <w:lang w:val="en-US" w:eastAsia="zh-CN"/>
              </w:rPr>
              <w:t>无</w:t>
            </w:r>
          </w:p>
        </w:tc>
      </w:tr>
      <w:tr w14:paraId="356996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876" w:type="dxa"/>
            <w:noWrap w:val="0"/>
            <w:vAlign w:val="center"/>
          </w:tcPr>
          <w:p w14:paraId="53AA4F94">
            <w:pPr>
              <w:autoSpaceDE w:val="0"/>
              <w:autoSpaceDN w:val="0"/>
              <w:adjustRightInd w:val="0"/>
              <w:snapToGrid w:val="0"/>
              <w:jc w:val="center"/>
              <w:rPr>
                <w:color w:val="auto"/>
                <w:kern w:val="0"/>
                <w:sz w:val="24"/>
                <w:szCs w:val="24"/>
              </w:rPr>
            </w:pPr>
            <w:r>
              <w:rPr>
                <w:color w:val="auto"/>
                <w:kern w:val="0"/>
                <w:sz w:val="24"/>
                <w:szCs w:val="24"/>
              </w:rPr>
              <w:t>规划环境影响</w:t>
            </w:r>
          </w:p>
          <w:p w14:paraId="503287E5">
            <w:pPr>
              <w:autoSpaceDE w:val="0"/>
              <w:autoSpaceDN w:val="0"/>
              <w:adjustRightInd w:val="0"/>
              <w:snapToGrid w:val="0"/>
              <w:jc w:val="center"/>
              <w:rPr>
                <w:color w:val="auto"/>
                <w:kern w:val="0"/>
                <w:sz w:val="24"/>
                <w:szCs w:val="24"/>
              </w:rPr>
            </w:pPr>
            <w:r>
              <w:rPr>
                <w:color w:val="auto"/>
                <w:kern w:val="0"/>
                <w:sz w:val="24"/>
                <w:szCs w:val="24"/>
              </w:rPr>
              <w:t>评价情况</w:t>
            </w:r>
          </w:p>
        </w:tc>
        <w:tc>
          <w:tcPr>
            <w:tcW w:w="6994" w:type="dxa"/>
            <w:gridSpan w:val="3"/>
            <w:noWrap w:val="0"/>
            <w:vAlign w:val="center"/>
          </w:tcPr>
          <w:p w14:paraId="2FFF4941">
            <w:pPr>
              <w:autoSpaceDE w:val="0"/>
              <w:autoSpaceDN w:val="0"/>
              <w:adjustRightInd w:val="0"/>
              <w:snapToGrid w:val="0"/>
              <w:jc w:val="center"/>
              <w:rPr>
                <w:color w:val="auto"/>
                <w:kern w:val="0"/>
                <w:szCs w:val="21"/>
              </w:rPr>
            </w:pPr>
            <w:r>
              <w:rPr>
                <w:color w:val="auto"/>
                <w:kern w:val="0"/>
                <w:szCs w:val="21"/>
              </w:rPr>
              <w:t>无</w:t>
            </w:r>
          </w:p>
        </w:tc>
      </w:tr>
      <w:tr w14:paraId="6CCA94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1876" w:type="dxa"/>
            <w:noWrap w:val="0"/>
            <w:vAlign w:val="center"/>
          </w:tcPr>
          <w:p w14:paraId="56200369">
            <w:pPr>
              <w:autoSpaceDE w:val="0"/>
              <w:autoSpaceDN w:val="0"/>
              <w:adjustRightInd w:val="0"/>
              <w:snapToGrid w:val="0"/>
              <w:jc w:val="center"/>
              <w:rPr>
                <w:color w:val="auto"/>
                <w:kern w:val="0"/>
                <w:sz w:val="24"/>
                <w:szCs w:val="24"/>
              </w:rPr>
            </w:pPr>
            <w:r>
              <w:rPr>
                <w:color w:val="auto"/>
                <w:kern w:val="0"/>
                <w:sz w:val="24"/>
                <w:szCs w:val="24"/>
              </w:rPr>
              <w:t>规划及规划环境影响评价符合性分析</w:t>
            </w:r>
          </w:p>
        </w:tc>
        <w:tc>
          <w:tcPr>
            <w:tcW w:w="6994" w:type="dxa"/>
            <w:gridSpan w:val="3"/>
            <w:noWrap w:val="0"/>
            <w:vAlign w:val="center"/>
          </w:tcPr>
          <w:p w14:paraId="3351F25B">
            <w:pPr>
              <w:autoSpaceDE w:val="0"/>
              <w:autoSpaceDN w:val="0"/>
              <w:adjustRightInd w:val="0"/>
              <w:snapToGrid w:val="0"/>
              <w:jc w:val="center"/>
              <w:rPr>
                <w:color w:val="auto"/>
                <w:kern w:val="0"/>
                <w:szCs w:val="21"/>
              </w:rPr>
            </w:pPr>
            <w:r>
              <w:rPr>
                <w:color w:val="auto"/>
                <w:kern w:val="0"/>
                <w:szCs w:val="21"/>
              </w:rPr>
              <w:t>无</w:t>
            </w:r>
          </w:p>
        </w:tc>
      </w:tr>
      <w:tr w14:paraId="629040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04" w:hRule="atLeast"/>
          <w:jc w:val="center"/>
        </w:trPr>
        <w:tc>
          <w:tcPr>
            <w:tcW w:w="1876" w:type="dxa"/>
            <w:noWrap w:val="0"/>
            <w:vAlign w:val="center"/>
          </w:tcPr>
          <w:p w14:paraId="4E9909F6">
            <w:pPr>
              <w:autoSpaceDE w:val="0"/>
              <w:autoSpaceDN w:val="0"/>
              <w:adjustRightInd w:val="0"/>
              <w:snapToGrid w:val="0"/>
              <w:jc w:val="center"/>
              <w:rPr>
                <w:color w:val="auto"/>
                <w:kern w:val="0"/>
                <w:sz w:val="21"/>
                <w:szCs w:val="21"/>
              </w:rPr>
            </w:pPr>
            <w:r>
              <w:rPr>
                <w:color w:val="auto"/>
                <w:kern w:val="0"/>
                <w:sz w:val="24"/>
                <w:szCs w:val="24"/>
              </w:rPr>
              <w:t>其他符合性分析</w:t>
            </w:r>
          </w:p>
        </w:tc>
        <w:tc>
          <w:tcPr>
            <w:tcW w:w="6994" w:type="dxa"/>
            <w:gridSpan w:val="3"/>
            <w:noWrap w:val="0"/>
            <w:vAlign w:val="center"/>
          </w:tcPr>
          <w:p w14:paraId="324EF8D6">
            <w:pPr>
              <w:keepNext w:val="0"/>
              <w:keepLines w:val="0"/>
              <w:pageBreakBefore w:val="0"/>
              <w:widowControl w:val="0"/>
              <w:numPr>
                <w:ilvl w:val="0"/>
                <w:numId w:val="1"/>
              </w:numPr>
              <w:kinsoku/>
              <w:wordWrap/>
              <w:overflowPunct w:val="0"/>
              <w:topLinePunct w:val="0"/>
              <w:autoSpaceDE/>
              <w:autoSpaceDN/>
              <w:bidi w:val="0"/>
              <w:adjustRightInd w:val="0"/>
              <w:snapToGrid w:val="0"/>
              <w:spacing w:line="360" w:lineRule="auto"/>
              <w:ind w:left="425" w:leftChars="0" w:hanging="425" w:firstLineChars="0"/>
              <w:jc w:val="both"/>
              <w:textAlignment w:val="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产业政策符合性分析</w:t>
            </w:r>
          </w:p>
          <w:p w14:paraId="59F149F1">
            <w:pPr>
              <w:pStyle w:val="65"/>
              <w:keepNext w:val="0"/>
              <w:keepLines w:val="0"/>
              <w:pageBreakBefore w:val="0"/>
              <w:widowControl w:val="0"/>
              <w:kinsoku/>
              <w:wordWrap/>
              <w:topLinePunct w:val="0"/>
              <w:autoSpaceDE/>
              <w:autoSpaceDN/>
              <w:bidi w:val="0"/>
              <w:adjustRightInd w:val="0"/>
              <w:snapToGrid w:val="0"/>
              <w:spacing w:line="360" w:lineRule="auto"/>
              <w:ind w:left="0" w:firstLine="465"/>
              <w:jc w:val="both"/>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本项目属于防洪除涝工程，根据《产业结构调整指导目录（2024年本）》，本项目属于第二项“水利”第3条“防洪提升工程”中“江河湖海堤防建设及河道治理工程”</w:t>
            </w:r>
            <w:r>
              <w:rPr>
                <w:rFonts w:hint="eastAsia" w:ascii="Times New Roman" w:hAnsi="Times New Roman" w:cs="Times New Roman"/>
                <w:color w:val="auto"/>
                <w:kern w:val="2"/>
                <w:sz w:val="24"/>
                <w:szCs w:val="24"/>
                <w:lang w:val="en-US" w:eastAsia="zh-CN" w:bidi="ar-SA"/>
              </w:rPr>
              <w:t>，为</w:t>
            </w:r>
            <w:r>
              <w:rPr>
                <w:rFonts w:hint="default" w:ascii="Times New Roman" w:hAnsi="Times New Roman" w:eastAsia="宋体" w:cs="Times New Roman"/>
                <w:color w:val="auto"/>
                <w:kern w:val="2"/>
                <w:sz w:val="24"/>
                <w:szCs w:val="24"/>
                <w:lang w:val="en-US" w:eastAsia="zh-CN" w:bidi="ar-SA"/>
              </w:rPr>
              <w:t>鼓励类。2025年7月14日，该项目取得昌吉回族自治州水利局出具的《关于新疆昌吉州奇台县吉布库河奇台镇城区段中小河流治理工程初步设计</w:t>
            </w:r>
            <w:r>
              <w:rPr>
                <w:rFonts w:hint="eastAsia" w:ascii="Times New Roman" w:hAnsi="Times New Roman"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代可研)的批复》（昌州水字[2025]96号）</w:t>
            </w:r>
            <w:r>
              <w:rPr>
                <w:rFonts w:hint="eastAsia" w:ascii="Times New Roman" w:hAnsi="Times New Roman" w:eastAsia="宋体"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符合国家地方现行产业政策。</w:t>
            </w:r>
          </w:p>
          <w:p w14:paraId="3C3A1A1E">
            <w:pPr>
              <w:keepNext w:val="0"/>
              <w:keepLines w:val="0"/>
              <w:pageBreakBefore w:val="0"/>
              <w:widowControl w:val="0"/>
              <w:numPr>
                <w:ilvl w:val="0"/>
                <w:numId w:val="1"/>
              </w:numPr>
              <w:kinsoku/>
              <w:wordWrap/>
              <w:overflowPunct w:val="0"/>
              <w:topLinePunct w:val="0"/>
              <w:autoSpaceDE/>
              <w:autoSpaceDN/>
              <w:bidi w:val="0"/>
              <w:adjustRightInd w:val="0"/>
              <w:snapToGrid w:val="0"/>
              <w:spacing w:line="360" w:lineRule="auto"/>
              <w:ind w:left="425" w:leftChars="0" w:hanging="425" w:firstLineChars="0"/>
              <w:jc w:val="both"/>
              <w:textAlignment w:val="auto"/>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用地</w:t>
            </w:r>
            <w:r>
              <w:rPr>
                <w:rFonts w:ascii="Times New Roman" w:hAnsi="Times New Roman" w:eastAsia="宋体" w:cs="Times New Roman"/>
                <w:b/>
                <w:bCs/>
                <w:color w:val="auto"/>
                <w:sz w:val="24"/>
                <w:szCs w:val="24"/>
              </w:rPr>
              <w:t>合理性分析</w:t>
            </w:r>
          </w:p>
          <w:p w14:paraId="57206D7D">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leftChars="0" w:firstLine="420" w:firstLineChars="0"/>
              <w:jc w:val="both"/>
              <w:textAlignment w:val="auto"/>
              <w:rPr>
                <w:rFonts w:hint="eastAsia" w:cs="Times New Roman"/>
                <w:color w:val="auto"/>
                <w:sz w:val="24"/>
                <w:szCs w:val="24"/>
                <w:highlight w:val="none"/>
                <w:lang w:val="en-US" w:eastAsia="zh-CN"/>
              </w:rPr>
            </w:pPr>
            <w:r>
              <w:rPr>
                <w:rFonts w:hint="eastAsia"/>
                <w:color w:val="auto"/>
                <w:sz w:val="24"/>
                <w:szCs w:val="24"/>
                <w:lang w:val="en-US" w:eastAsia="zh-CN"/>
              </w:rPr>
              <w:t>本项目工程内容涉及新疆昌吉州东部奇台县的吉布库河下游S303公路上游2.5km至奇台县城西北湾村河段，项目主要建设内容为</w:t>
            </w:r>
            <w:r>
              <w:rPr>
                <w:rFonts w:hint="eastAsia" w:ascii="Times New Roman" w:hAnsi="Times New Roman" w:eastAsia="宋体" w:cs="Times New Roman"/>
                <w:color w:val="auto"/>
                <w:kern w:val="2"/>
                <w:sz w:val="24"/>
                <w:szCs w:val="24"/>
                <w:highlight w:val="none"/>
                <w:lang w:val="en-US" w:eastAsia="zh-CN" w:bidi="ar-SA"/>
              </w:rPr>
              <w:t>本次工程治理河长11.4km，改建交通桥1座，新建护岸22.184km，其中左岸护岸长11.126km，右岸护岸长11.058km。</w:t>
            </w:r>
            <w:r>
              <w:rPr>
                <w:rFonts w:hint="default" w:ascii="Times New Roman" w:hAnsi="Times New Roman" w:eastAsia="宋体" w:cs="Times New Roman"/>
                <w:color w:val="auto"/>
                <w:sz w:val="24"/>
                <w:szCs w:val="24"/>
                <w:highlight w:val="none"/>
              </w:rPr>
              <w:t>该项目在原河道管理范围内，不涉及新增</w:t>
            </w:r>
            <w:r>
              <w:rPr>
                <w:rFonts w:hint="eastAsia" w:cs="Times New Roman"/>
                <w:color w:val="auto"/>
                <w:sz w:val="24"/>
                <w:szCs w:val="24"/>
                <w:highlight w:val="none"/>
                <w:lang w:val="en-US" w:eastAsia="zh-CN"/>
              </w:rPr>
              <w:t>水利设施</w:t>
            </w:r>
            <w:r>
              <w:rPr>
                <w:rFonts w:hint="default" w:ascii="Times New Roman" w:hAnsi="Times New Roman" w:eastAsia="宋体" w:cs="Times New Roman"/>
                <w:color w:val="auto"/>
                <w:sz w:val="24"/>
                <w:szCs w:val="24"/>
                <w:highlight w:val="none"/>
              </w:rPr>
              <w:t>用地</w:t>
            </w:r>
            <w:r>
              <w:rPr>
                <w:rFonts w:hint="eastAsia" w:cs="Times New Roman"/>
                <w:color w:val="auto"/>
                <w:sz w:val="24"/>
                <w:szCs w:val="24"/>
                <w:highlight w:val="none"/>
                <w:lang w:eastAsia="zh-CN"/>
              </w:rPr>
              <w:t>。自然资源局</w:t>
            </w:r>
            <w:r>
              <w:rPr>
                <w:rFonts w:hint="eastAsia" w:cs="Times New Roman"/>
                <w:color w:val="auto"/>
                <w:sz w:val="24"/>
                <w:szCs w:val="24"/>
                <w:highlight w:val="none"/>
                <w:lang w:val="en-US" w:eastAsia="zh-CN"/>
              </w:rPr>
              <w:t>于2024年10月25日出具了《关于新疆昌吉州奇台县吉布库河城区段中小河流治理工程用地情况的复函》。根据</w:t>
            </w:r>
            <w:r>
              <w:rPr>
                <w:rFonts w:hint="eastAsia" w:cs="Times New Roman"/>
                <w:color w:val="auto"/>
                <w:sz w:val="24"/>
                <w:szCs w:val="24"/>
                <w:highlight w:val="none"/>
                <w:lang w:eastAsia="zh-CN"/>
              </w:rPr>
              <w:t>奇台县自然资源局</w:t>
            </w:r>
            <w:r>
              <w:rPr>
                <w:rFonts w:hint="eastAsia" w:cs="Times New Roman"/>
                <w:color w:val="auto"/>
                <w:sz w:val="24"/>
                <w:szCs w:val="24"/>
                <w:highlight w:val="none"/>
                <w:lang w:val="en-US" w:eastAsia="zh-CN"/>
              </w:rPr>
              <w:t>2024年10月25日出具的《关于新疆昌吉州奇台县吉布库河城区段中小河流治理工程用地情况的复函》，本项目用地符合规定。</w:t>
            </w:r>
          </w:p>
          <w:p w14:paraId="24A1FA63">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leftChars="0" w:firstLine="420" w:firstLineChars="0"/>
              <w:jc w:val="both"/>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根据《</w:t>
            </w:r>
            <w:r>
              <w:rPr>
                <w:rFonts w:hint="default" w:cs="Times New Roman"/>
                <w:color w:val="auto"/>
                <w:sz w:val="24"/>
                <w:szCs w:val="24"/>
                <w:highlight w:val="none"/>
                <w:lang w:val="en-US" w:eastAsia="zh-CN"/>
              </w:rPr>
              <w:t>新疆昌吉州奇台县吉布库河奇台镇城区段中小河流治理工程初步设计</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代可研)报告</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重庆市水利电力建筑勘测设计研究院有限公司</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2025年5月</w:t>
            </w:r>
            <w:r>
              <w:rPr>
                <w:rFonts w:hint="eastAsia" w:cs="Times New Roman"/>
                <w:color w:val="auto"/>
                <w:sz w:val="24"/>
                <w:szCs w:val="24"/>
                <w:highlight w:val="none"/>
                <w:lang w:val="en-US" w:eastAsia="zh-CN"/>
              </w:rPr>
              <w:t>），项目与</w:t>
            </w:r>
            <w:r>
              <w:rPr>
                <w:rFonts w:hint="default" w:cs="Times New Roman"/>
                <w:color w:val="auto"/>
                <w:sz w:val="24"/>
                <w:szCs w:val="24"/>
                <w:highlight w:val="none"/>
                <w:lang w:val="en-US" w:eastAsia="zh-CN"/>
              </w:rPr>
              <w:t>《新疆奇台县吉布库河防洪规划报告》、</w:t>
            </w:r>
            <w:r>
              <w:rPr>
                <w:rFonts w:hint="eastAsia" w:cs="Times New Roman"/>
                <w:color w:val="auto"/>
                <w:sz w:val="24"/>
                <w:szCs w:val="24"/>
                <w:highlight w:val="none"/>
                <w:lang w:val="en-US" w:eastAsia="zh-CN"/>
              </w:rPr>
              <w:t>《新疆奇台县吉布库河治理方案报告》</w:t>
            </w:r>
            <w:r>
              <w:rPr>
                <w:rFonts w:hint="default" w:cs="Times New Roman"/>
                <w:color w:val="auto"/>
                <w:sz w:val="24"/>
                <w:szCs w:val="24"/>
                <w:highlight w:val="none"/>
                <w:lang w:val="en-US" w:eastAsia="zh-CN"/>
              </w:rPr>
              <w:t>、</w:t>
            </w:r>
            <w:r>
              <w:rPr>
                <w:rFonts w:hint="eastAsia" w:cs="Times New Roman"/>
                <w:color w:val="auto"/>
                <w:sz w:val="24"/>
                <w:szCs w:val="24"/>
                <w:highlight w:val="none"/>
                <w:lang w:val="en-US" w:eastAsia="zh-CN"/>
              </w:rPr>
              <w:t>《新疆奇台县吉布库河岸线规划报告》符合性分析如下：</w:t>
            </w:r>
          </w:p>
          <w:p w14:paraId="76084081">
            <w:pPr>
              <w:keepNext w:val="0"/>
              <w:keepLines w:val="0"/>
              <w:pageBreakBefore w:val="0"/>
              <w:widowControl w:val="0"/>
              <w:numPr>
                <w:ilvl w:val="0"/>
                <w:numId w:val="1"/>
              </w:numPr>
              <w:kinsoku/>
              <w:wordWrap/>
              <w:overflowPunct w:val="0"/>
              <w:topLinePunct w:val="0"/>
              <w:autoSpaceDE/>
              <w:autoSpaceDN/>
              <w:bidi w:val="0"/>
              <w:adjustRightInd w:val="0"/>
              <w:snapToGrid w:val="0"/>
              <w:spacing w:line="360" w:lineRule="auto"/>
              <w:ind w:left="425" w:leftChars="0" w:hanging="425" w:firstLineChars="0"/>
              <w:jc w:val="both"/>
              <w:textAlignment w:val="auto"/>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与</w:t>
            </w:r>
            <w:r>
              <w:rPr>
                <w:rFonts w:hint="default" w:ascii="Times New Roman" w:hAnsi="Times New Roman" w:eastAsia="宋体" w:cs="Times New Roman"/>
                <w:b/>
                <w:bCs/>
                <w:color w:val="auto"/>
                <w:sz w:val="24"/>
                <w:szCs w:val="24"/>
                <w:lang w:val="en-US" w:eastAsia="zh-CN"/>
              </w:rPr>
              <w:t>《新疆奇台县吉布库河防洪规划报告》</w:t>
            </w:r>
            <w:r>
              <w:rPr>
                <w:rFonts w:hint="eastAsia" w:ascii="Times New Roman" w:hAnsi="Times New Roman" w:eastAsia="宋体" w:cs="Times New Roman"/>
                <w:b/>
                <w:bCs/>
                <w:color w:val="auto"/>
                <w:sz w:val="24"/>
                <w:szCs w:val="24"/>
                <w:lang w:val="en-US" w:eastAsia="zh-CN"/>
              </w:rPr>
              <w:t>符合性分析</w:t>
            </w:r>
          </w:p>
          <w:p w14:paraId="03F1B716">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leftChars="0" w:firstLine="420" w:firstLineChars="0"/>
              <w:jc w:val="both"/>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2008年，奇台县水管总站委托新疆昌吉州方汇水电建筑勘察设计有限公司编制完成了《新疆奇台县吉布库河防洪规划报告》。该报告对吉布库河防洪做了整体规划，规划范围是吉布库河渠首至西北湾村。因该规划编制较早，未进行规划环评。</w:t>
            </w:r>
          </w:p>
          <w:p w14:paraId="149C10F4">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leftChars="0" w:firstLine="420" w:firstLineChars="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吉布库河</w:t>
            </w:r>
            <w:r>
              <w:rPr>
                <w:rFonts w:hint="default" w:cs="Times New Roman"/>
                <w:color w:val="auto"/>
                <w:sz w:val="24"/>
                <w:szCs w:val="24"/>
                <w:highlight w:val="none"/>
                <w:lang w:val="en-US" w:eastAsia="zh-CN"/>
              </w:rPr>
              <w:t>河道进入吉布库河下游灌区，主要保护对象为河道两岸的村庄，防洪工程方案</w:t>
            </w:r>
            <w:r>
              <w:rPr>
                <w:rFonts w:hint="eastAsia" w:cs="Times New Roman"/>
                <w:color w:val="auto"/>
                <w:sz w:val="24"/>
                <w:szCs w:val="24"/>
                <w:highlight w:val="none"/>
                <w:lang w:val="en-US" w:eastAsia="zh-CN"/>
              </w:rPr>
              <w:t>为：</w:t>
            </w:r>
          </w:p>
          <w:p w14:paraId="3A72FFDE">
            <w:pPr>
              <w:keepNext w:val="0"/>
              <w:keepLines w:val="0"/>
              <w:pageBreakBefore w:val="0"/>
              <w:widowControl w:val="0"/>
              <w:numPr>
                <w:ilvl w:val="0"/>
                <w:numId w:val="2"/>
              </w:numPr>
              <w:kinsoku/>
              <w:wordWrap/>
              <w:overflowPunct w:val="0"/>
              <w:topLinePunct w:val="0"/>
              <w:autoSpaceDE/>
              <w:autoSpaceDN/>
              <w:bidi w:val="0"/>
              <w:adjustRightInd w:val="0"/>
              <w:snapToGrid w:val="0"/>
              <w:spacing w:line="360" w:lineRule="auto"/>
              <w:ind w:left="0" w:leftChars="0" w:firstLine="480" w:firstLineChars="200"/>
              <w:jc w:val="both"/>
              <w:textAlignment w:val="auto"/>
              <w:rPr>
                <w:rFonts w:hint="default" w:cs="Times New Roman"/>
                <w:color w:val="auto"/>
                <w:sz w:val="24"/>
                <w:szCs w:val="24"/>
                <w:highlight w:val="none"/>
                <w:lang w:val="en-US" w:eastAsia="zh-CN"/>
              </w:rPr>
            </w:pPr>
            <w:r>
              <w:rPr>
                <w:rFonts w:hint="default" w:cs="Times New Roman"/>
                <w:color w:val="auto"/>
                <w:sz w:val="24"/>
                <w:szCs w:val="24"/>
                <w:highlight w:val="none"/>
                <w:lang w:val="en-US" w:eastAsia="zh-CN"/>
              </w:rPr>
              <w:t>108团</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车管所下游2公里处</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桩号60+000)</w:t>
            </w:r>
          </w:p>
          <w:p w14:paraId="55A95C59">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leftChars="0" w:firstLine="420" w:firstLineChars="0"/>
              <w:jc w:val="both"/>
              <w:textAlignment w:val="auto"/>
              <w:rPr>
                <w:rFonts w:hint="default" w:cs="Times New Roman"/>
                <w:color w:val="auto"/>
                <w:sz w:val="24"/>
                <w:szCs w:val="24"/>
                <w:highlight w:val="none"/>
                <w:lang w:val="en-US" w:eastAsia="zh-CN"/>
              </w:rPr>
            </w:pPr>
            <w:r>
              <w:rPr>
                <w:rFonts w:hint="default" w:cs="Times New Roman"/>
                <w:color w:val="auto"/>
                <w:sz w:val="24"/>
                <w:szCs w:val="24"/>
                <w:highlight w:val="none"/>
                <w:lang w:val="en-US" w:eastAsia="zh-CN"/>
              </w:rPr>
              <w:t>此处主要保护道路、村庄</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工程规划在东西河岸各修建长200m的砼护岸。</w:t>
            </w:r>
          </w:p>
          <w:p w14:paraId="724B7549">
            <w:pPr>
              <w:keepNext w:val="0"/>
              <w:keepLines w:val="0"/>
              <w:pageBreakBefore w:val="0"/>
              <w:widowControl w:val="0"/>
              <w:numPr>
                <w:ilvl w:val="0"/>
                <w:numId w:val="2"/>
              </w:numPr>
              <w:kinsoku/>
              <w:wordWrap/>
              <w:overflowPunct w:val="0"/>
              <w:topLinePunct w:val="0"/>
              <w:autoSpaceDE/>
              <w:autoSpaceDN/>
              <w:bidi w:val="0"/>
              <w:adjustRightInd w:val="0"/>
              <w:snapToGrid w:val="0"/>
              <w:spacing w:line="360" w:lineRule="auto"/>
              <w:ind w:left="0" w:leftChars="0" w:firstLine="480" w:firstLineChars="200"/>
              <w:jc w:val="both"/>
              <w:textAlignment w:val="auto"/>
              <w:rPr>
                <w:rFonts w:hint="default" w:cs="Times New Roman"/>
                <w:color w:val="auto"/>
                <w:sz w:val="24"/>
                <w:szCs w:val="24"/>
                <w:highlight w:val="none"/>
                <w:lang w:val="en-US" w:eastAsia="zh-CN"/>
              </w:rPr>
            </w:pPr>
            <w:r>
              <w:rPr>
                <w:rFonts w:hint="default" w:cs="Times New Roman"/>
                <w:color w:val="auto"/>
                <w:sz w:val="24"/>
                <w:szCs w:val="24"/>
                <w:highlight w:val="none"/>
                <w:lang w:val="en-US" w:eastAsia="zh-CN"/>
              </w:rPr>
              <w:t>古城果园村下2公里</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车管所公路</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桩号60+000~63+500)</w:t>
            </w:r>
          </w:p>
          <w:p w14:paraId="0549DDF9">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leftChars="0" w:firstLine="420" w:firstLineChars="0"/>
              <w:jc w:val="both"/>
              <w:textAlignment w:val="auto"/>
              <w:rPr>
                <w:rFonts w:hint="default" w:cs="Times New Roman"/>
                <w:color w:val="auto"/>
                <w:sz w:val="24"/>
                <w:szCs w:val="24"/>
                <w:highlight w:val="none"/>
                <w:lang w:val="en-US" w:eastAsia="zh-CN"/>
              </w:rPr>
            </w:pPr>
            <w:r>
              <w:rPr>
                <w:rFonts w:hint="default" w:cs="Times New Roman"/>
                <w:color w:val="auto"/>
                <w:sz w:val="24"/>
                <w:szCs w:val="24"/>
                <w:highlight w:val="none"/>
                <w:lang w:val="en-US" w:eastAsia="zh-CN"/>
              </w:rPr>
              <w:t>此处河道</w:t>
            </w:r>
            <w:r>
              <w:rPr>
                <w:rFonts w:hint="eastAsia" w:cs="Times New Roman"/>
                <w:color w:val="auto"/>
                <w:sz w:val="24"/>
                <w:szCs w:val="24"/>
                <w:highlight w:val="none"/>
                <w:lang w:val="en-US" w:eastAsia="zh-CN"/>
              </w:rPr>
              <w:t>横穿</w:t>
            </w:r>
            <w:r>
              <w:rPr>
                <w:rFonts w:hint="default" w:cs="Times New Roman"/>
                <w:color w:val="auto"/>
                <w:sz w:val="24"/>
                <w:szCs w:val="24"/>
                <w:highlight w:val="none"/>
                <w:lang w:val="en-US" w:eastAsia="zh-CN"/>
              </w:rPr>
              <w:t>村庄与县镇，洪水对居民区的威胁很大，汛期洪水常常溢出河床。规划在村庄及乡镇里的河道两岸修建砼护岸，东岸修建560m，西岸200m。</w:t>
            </w:r>
          </w:p>
          <w:p w14:paraId="24BE084D">
            <w:pPr>
              <w:keepNext w:val="0"/>
              <w:keepLines w:val="0"/>
              <w:pageBreakBefore w:val="0"/>
              <w:widowControl w:val="0"/>
              <w:numPr>
                <w:ilvl w:val="0"/>
                <w:numId w:val="2"/>
              </w:numPr>
              <w:kinsoku/>
              <w:wordWrap/>
              <w:overflowPunct w:val="0"/>
              <w:topLinePunct w:val="0"/>
              <w:autoSpaceDE/>
              <w:autoSpaceDN/>
              <w:bidi w:val="0"/>
              <w:adjustRightInd w:val="0"/>
              <w:snapToGrid w:val="0"/>
              <w:spacing w:line="360" w:lineRule="auto"/>
              <w:ind w:left="0" w:leftChars="0" w:firstLine="480" w:firstLineChars="200"/>
              <w:jc w:val="both"/>
              <w:textAlignment w:val="auto"/>
              <w:rPr>
                <w:rFonts w:hint="default" w:cs="Times New Roman"/>
                <w:color w:val="auto"/>
                <w:sz w:val="24"/>
                <w:szCs w:val="24"/>
                <w:highlight w:val="none"/>
                <w:lang w:val="en-US" w:eastAsia="zh-CN"/>
              </w:rPr>
            </w:pPr>
            <w:r>
              <w:rPr>
                <w:rFonts w:hint="default" w:cs="Times New Roman"/>
                <w:color w:val="auto"/>
                <w:sz w:val="24"/>
                <w:szCs w:val="24"/>
                <w:highlight w:val="none"/>
                <w:lang w:val="en-US" w:eastAsia="zh-CN"/>
              </w:rPr>
              <w:t>八家户5队公路</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西北湾村</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桩号63+500~71+900)</w:t>
            </w:r>
          </w:p>
          <w:p w14:paraId="31D02E8D">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leftChars="0" w:firstLine="420" w:firstLineChars="0"/>
              <w:jc w:val="both"/>
              <w:textAlignment w:val="auto"/>
              <w:rPr>
                <w:rFonts w:hint="default" w:cs="Times New Roman"/>
                <w:color w:val="auto"/>
                <w:sz w:val="24"/>
                <w:szCs w:val="24"/>
                <w:highlight w:val="none"/>
                <w:lang w:val="en-US" w:eastAsia="zh-CN"/>
              </w:rPr>
            </w:pPr>
            <w:r>
              <w:rPr>
                <w:rFonts w:hint="default" w:cs="Times New Roman"/>
                <w:color w:val="auto"/>
                <w:sz w:val="24"/>
                <w:szCs w:val="24"/>
                <w:highlight w:val="none"/>
                <w:lang w:val="en-US" w:eastAsia="zh-CN"/>
              </w:rPr>
              <w:t>此段河道部分从村庄中间穿过，此处主要任务为保护村庄，规划在此段河道东、西两岸各修建砼护坡380m</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东岸修建顺坝2190m，西岸修建顺坝400m</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两岸部分河段修建土堤，东岸800m，西岸550m。</w:t>
            </w:r>
          </w:p>
          <w:p w14:paraId="53AC9F67">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leftChars="0" w:firstLine="420" w:firstLineChars="0"/>
              <w:jc w:val="both"/>
              <w:textAlignment w:val="auto"/>
              <w:rPr>
                <w:rFonts w:hint="default" w:cs="Times New Roman"/>
                <w:color w:val="auto"/>
                <w:sz w:val="24"/>
                <w:szCs w:val="24"/>
                <w:highlight w:val="none"/>
                <w:lang w:val="en-US" w:eastAsia="zh-CN"/>
              </w:rPr>
            </w:pPr>
            <w:r>
              <w:rPr>
                <w:rFonts w:hint="default" w:cs="Times New Roman"/>
                <w:color w:val="auto"/>
                <w:sz w:val="24"/>
                <w:szCs w:val="24"/>
                <w:highlight w:val="none"/>
                <w:lang w:val="en-US" w:eastAsia="zh-CN"/>
              </w:rPr>
              <w:t>本次工程治理起点位于S303公路上游2.5km处</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桩号57+600)，治理末点位于吉布库河穿城区末端</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桩号69+000)，治理段长度为11.</w:t>
            </w:r>
            <w:r>
              <w:rPr>
                <w:rFonts w:hint="eastAsia" w:cs="Times New Roman"/>
                <w:color w:val="auto"/>
                <w:sz w:val="24"/>
                <w:szCs w:val="24"/>
                <w:highlight w:val="none"/>
                <w:lang w:val="en-US" w:eastAsia="zh-CN"/>
              </w:rPr>
              <w:t>4</w:t>
            </w:r>
            <w:r>
              <w:rPr>
                <w:rFonts w:hint="default" w:cs="Times New Roman"/>
                <w:color w:val="auto"/>
                <w:sz w:val="24"/>
                <w:szCs w:val="24"/>
                <w:highlight w:val="none"/>
                <w:lang w:val="en-US" w:eastAsia="zh-CN"/>
              </w:rPr>
              <w:t>km，属于《新疆奇台县吉布库河防洪规划报告》中的古城果园村下2公里</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西北湾村河段。本次工程建设内容</w:t>
            </w:r>
            <w:r>
              <w:rPr>
                <w:rFonts w:hint="eastAsia" w:cs="Times New Roman"/>
                <w:color w:val="auto"/>
                <w:sz w:val="24"/>
                <w:szCs w:val="24"/>
                <w:highlight w:val="none"/>
                <w:lang w:val="en-US" w:eastAsia="zh-CN"/>
              </w:rPr>
              <w:t>符合</w:t>
            </w:r>
            <w:r>
              <w:rPr>
                <w:rFonts w:hint="default" w:cs="Times New Roman"/>
                <w:color w:val="auto"/>
                <w:sz w:val="24"/>
                <w:szCs w:val="24"/>
                <w:highlight w:val="none"/>
                <w:lang w:val="en-US" w:eastAsia="zh-CN"/>
              </w:rPr>
              <w:t>吉布库河规划。</w:t>
            </w:r>
          </w:p>
          <w:p w14:paraId="268BB926">
            <w:pPr>
              <w:keepNext w:val="0"/>
              <w:keepLines w:val="0"/>
              <w:pageBreakBefore w:val="0"/>
              <w:widowControl w:val="0"/>
              <w:numPr>
                <w:ilvl w:val="0"/>
                <w:numId w:val="1"/>
              </w:numPr>
              <w:kinsoku/>
              <w:wordWrap/>
              <w:overflowPunct w:val="0"/>
              <w:topLinePunct w:val="0"/>
              <w:autoSpaceDE/>
              <w:autoSpaceDN/>
              <w:bidi w:val="0"/>
              <w:adjustRightInd w:val="0"/>
              <w:snapToGrid w:val="0"/>
              <w:spacing w:line="360" w:lineRule="auto"/>
              <w:ind w:left="425" w:leftChars="0" w:hanging="425" w:firstLineChars="0"/>
              <w:jc w:val="both"/>
              <w:textAlignment w:val="auto"/>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与《新疆奇台县吉布库河治理方案报告》符合性分析</w:t>
            </w:r>
          </w:p>
          <w:p w14:paraId="1DCB1646">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根据《</w:t>
            </w:r>
            <w:r>
              <w:rPr>
                <w:rFonts w:hint="default" w:cs="Times New Roman"/>
                <w:color w:val="auto"/>
                <w:sz w:val="24"/>
                <w:szCs w:val="24"/>
                <w:highlight w:val="none"/>
                <w:lang w:val="en-US" w:eastAsia="zh-CN"/>
              </w:rPr>
              <w:t>新疆昌吉州奇台县吉布库河奇台镇城区段中小河流治理工程初步设计</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代可研)报告</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重庆市水利电力建筑勘测设计研究院有限公司</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2025年5月</w:t>
            </w:r>
            <w:r>
              <w:rPr>
                <w:rFonts w:hint="eastAsia" w:cs="Times New Roman"/>
                <w:color w:val="auto"/>
                <w:sz w:val="24"/>
                <w:szCs w:val="24"/>
                <w:highlight w:val="none"/>
                <w:lang w:val="en-US" w:eastAsia="zh-CN"/>
              </w:rPr>
              <w:t>），《新疆奇台县吉布库河治理方案报告》规划治理范围为吉布库河下游防洪工程十分紧迫的险工河段，治理河段长约13.45km，具体为吉布库河下游奇台农场段（桩51+550~53+600)、吉布库河城区段（桩57+600~69+000)。</w:t>
            </w:r>
          </w:p>
          <w:p w14:paraId="3D4C1302">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firstLine="480" w:firstLineChars="200"/>
              <w:jc w:val="both"/>
              <w:textAlignment w:val="auto"/>
              <w:rPr>
                <w:rFonts w:hint="default" w:cs="Times New Roman"/>
                <w:color w:val="auto"/>
                <w:sz w:val="24"/>
                <w:szCs w:val="24"/>
                <w:highlight w:val="none"/>
                <w:lang w:val="en-US" w:eastAsia="zh-CN"/>
              </w:rPr>
            </w:pPr>
            <w:r>
              <w:rPr>
                <w:rFonts w:hint="default" w:cs="Times New Roman"/>
                <w:color w:val="auto"/>
                <w:sz w:val="24"/>
                <w:szCs w:val="24"/>
                <w:highlight w:val="none"/>
                <w:lang w:val="en-US" w:eastAsia="zh-CN"/>
              </w:rPr>
              <w:t>本次治理河段为《新疆奇台县吉布库河治理方案报告》中的吉布库河城区段，治理起点位于S303公路上游2.5km处</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桩号57+600)，治理末点位于吉布库河穿城区末端</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桩号69+000)，治理段长度为11.</w:t>
            </w:r>
            <w:r>
              <w:rPr>
                <w:rFonts w:hint="eastAsia" w:cs="Times New Roman"/>
                <w:color w:val="auto"/>
                <w:sz w:val="24"/>
                <w:szCs w:val="24"/>
                <w:highlight w:val="none"/>
                <w:lang w:val="en-US" w:eastAsia="zh-CN"/>
              </w:rPr>
              <w:t>4</w:t>
            </w:r>
            <w:r>
              <w:rPr>
                <w:rFonts w:hint="default" w:cs="Times New Roman"/>
                <w:color w:val="auto"/>
                <w:sz w:val="24"/>
                <w:szCs w:val="24"/>
                <w:highlight w:val="none"/>
                <w:lang w:val="en-US" w:eastAsia="zh-CN"/>
              </w:rPr>
              <w:t>km。此次工程建设内容</w:t>
            </w:r>
            <w:r>
              <w:rPr>
                <w:rFonts w:hint="eastAsia" w:cs="Times New Roman"/>
                <w:color w:val="auto"/>
                <w:sz w:val="24"/>
                <w:szCs w:val="24"/>
                <w:highlight w:val="none"/>
                <w:lang w:val="en-US" w:eastAsia="zh-CN"/>
              </w:rPr>
              <w:t>符合</w:t>
            </w:r>
            <w:r>
              <w:rPr>
                <w:rFonts w:hint="default" w:cs="Times New Roman"/>
                <w:color w:val="auto"/>
                <w:sz w:val="24"/>
                <w:szCs w:val="24"/>
                <w:highlight w:val="none"/>
                <w:lang w:val="en-US" w:eastAsia="zh-CN"/>
              </w:rPr>
              <w:t>吉布库河治理方案规划。</w:t>
            </w:r>
          </w:p>
          <w:p w14:paraId="08EFD376">
            <w:pPr>
              <w:keepNext w:val="0"/>
              <w:keepLines w:val="0"/>
              <w:pageBreakBefore w:val="0"/>
              <w:widowControl w:val="0"/>
              <w:numPr>
                <w:ilvl w:val="0"/>
                <w:numId w:val="1"/>
              </w:numPr>
              <w:kinsoku/>
              <w:wordWrap/>
              <w:overflowPunct w:val="0"/>
              <w:topLinePunct w:val="0"/>
              <w:autoSpaceDE/>
              <w:autoSpaceDN/>
              <w:bidi w:val="0"/>
              <w:adjustRightInd w:val="0"/>
              <w:snapToGrid w:val="0"/>
              <w:spacing w:line="360" w:lineRule="auto"/>
              <w:ind w:left="425" w:leftChars="0" w:hanging="425" w:firstLineChars="0"/>
              <w:jc w:val="both"/>
              <w:textAlignment w:val="auto"/>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与《新疆奇台县吉布库河岸线规划报告》符合性分析</w:t>
            </w:r>
          </w:p>
          <w:p w14:paraId="77DD654A">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firstLine="480" w:firstLineChars="200"/>
              <w:jc w:val="both"/>
              <w:textAlignment w:val="auto"/>
              <w:rPr>
                <w:rFonts w:hint="eastAsia" w:cs="Times New Roman"/>
                <w:color w:val="auto"/>
                <w:sz w:val="24"/>
                <w:szCs w:val="24"/>
                <w:highlight w:val="none"/>
                <w:lang w:val="en-US" w:eastAsia="zh-CN"/>
              </w:rPr>
            </w:pPr>
            <w:r>
              <w:rPr>
                <w:rFonts w:hint="default" w:cs="Times New Roman"/>
                <w:color w:val="auto"/>
                <w:sz w:val="24"/>
                <w:szCs w:val="24"/>
                <w:highlight w:val="none"/>
                <w:lang w:val="en-US" w:eastAsia="zh-CN"/>
              </w:rPr>
              <w:t>规划基准年:2018年，规划水平年:2030年</w:t>
            </w:r>
            <w:r>
              <w:rPr>
                <w:rFonts w:hint="eastAsia" w:cs="Times New Roman"/>
                <w:color w:val="auto"/>
                <w:sz w:val="24"/>
                <w:szCs w:val="24"/>
                <w:highlight w:val="none"/>
                <w:lang w:val="en-US" w:eastAsia="zh-CN"/>
              </w:rPr>
              <w:t>。</w:t>
            </w:r>
          </w:p>
          <w:p w14:paraId="6691BD3F">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岸线规划成果：</w:t>
            </w:r>
          </w:p>
          <w:p w14:paraId="1A19570B">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第一段:源头渠首以上4km段两岸为岸线保护区；渠首以上4km段一渠首上游1.6km段两岸为岸线保留区；渠首上游1.6km段吉布库河渠首两岸为岸线保护区。</w:t>
            </w:r>
          </w:p>
          <w:p w14:paraId="31DCF95D">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第二段:吉布库河渠首一林区公路河段两岸为岸线保留区；林区公路兵团路河段两岸为岸线控制利用区。</w:t>
            </w:r>
          </w:p>
          <w:p w14:paraId="53C14300">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第三段:兵团路车管所河段两岸为岸线控制利用区；车管所西北湾村河段两岸为岸线开发利用区。</w:t>
            </w:r>
          </w:p>
          <w:p w14:paraId="265A1828">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第四段:西北湾村一八户地水库河段两岸为岸线控制利用区。</w:t>
            </w:r>
          </w:p>
          <w:p w14:paraId="4678B613">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left="0" w:firstLine="480" w:firstLineChars="200"/>
              <w:jc w:val="both"/>
              <w:textAlignment w:val="auto"/>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本</w:t>
            </w:r>
            <w:r>
              <w:rPr>
                <w:rFonts w:hint="default" w:cs="Times New Roman"/>
                <w:color w:val="auto"/>
                <w:sz w:val="24"/>
                <w:szCs w:val="24"/>
                <w:highlight w:val="none"/>
                <w:lang w:val="en-US" w:eastAsia="zh-CN"/>
              </w:rPr>
              <w:t>项目</w:t>
            </w:r>
            <w:r>
              <w:rPr>
                <w:rFonts w:hint="eastAsia" w:cs="Times New Roman"/>
                <w:color w:val="auto"/>
                <w:sz w:val="24"/>
                <w:szCs w:val="24"/>
                <w:highlight w:val="none"/>
                <w:lang w:val="en-US" w:eastAsia="zh-CN"/>
              </w:rPr>
              <w:t>工程内容涉及</w:t>
            </w:r>
            <w:r>
              <w:rPr>
                <w:rFonts w:hint="default" w:cs="Times New Roman"/>
                <w:color w:val="auto"/>
                <w:sz w:val="24"/>
                <w:szCs w:val="24"/>
                <w:highlight w:val="none"/>
                <w:lang w:val="en-US" w:eastAsia="zh-CN"/>
              </w:rPr>
              <w:t>《</w:t>
            </w:r>
            <w:r>
              <w:rPr>
                <w:rFonts w:hint="eastAsia" w:cs="Times New Roman"/>
                <w:color w:val="auto"/>
                <w:sz w:val="24"/>
                <w:szCs w:val="24"/>
                <w:highlight w:val="none"/>
                <w:lang w:val="en-US" w:eastAsia="zh-CN"/>
              </w:rPr>
              <w:t>新疆奇台县</w:t>
            </w:r>
            <w:r>
              <w:rPr>
                <w:rFonts w:hint="default" w:cs="Times New Roman"/>
                <w:color w:val="auto"/>
                <w:sz w:val="24"/>
                <w:szCs w:val="24"/>
                <w:highlight w:val="none"/>
                <w:lang w:val="en-US" w:eastAsia="zh-CN"/>
              </w:rPr>
              <w:t>吉</w:t>
            </w:r>
            <w:r>
              <w:rPr>
                <w:rFonts w:hint="eastAsia" w:cs="Times New Roman"/>
                <w:color w:val="auto"/>
                <w:sz w:val="24"/>
                <w:szCs w:val="24"/>
                <w:highlight w:val="none"/>
                <w:lang w:val="en-US" w:eastAsia="zh-CN"/>
              </w:rPr>
              <w:t>布</w:t>
            </w:r>
            <w:r>
              <w:rPr>
                <w:rFonts w:hint="default" w:cs="Times New Roman"/>
                <w:color w:val="auto"/>
                <w:sz w:val="24"/>
                <w:szCs w:val="24"/>
                <w:highlight w:val="none"/>
                <w:lang w:val="en-US" w:eastAsia="zh-CN"/>
              </w:rPr>
              <w:t>库河岸线规划报告》中兵团路至八户地水库河段</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该段河道已进入奇台县县城，两岸分布市政工程及水利工程，部分河段已建成城市景观工程</w:t>
            </w:r>
            <w:r>
              <w:rPr>
                <w:rFonts w:hint="eastAsia" w:cs="Times New Roman"/>
                <w:color w:val="auto"/>
                <w:sz w:val="24"/>
                <w:szCs w:val="24"/>
                <w:highlight w:val="none"/>
                <w:lang w:val="en-US" w:eastAsia="zh-CN"/>
              </w:rPr>
              <w:t>，</w:t>
            </w:r>
            <w:r>
              <w:rPr>
                <w:rFonts w:hint="default" w:cs="Times New Roman"/>
                <w:color w:val="auto"/>
                <w:sz w:val="24"/>
                <w:szCs w:val="24"/>
                <w:highlight w:val="none"/>
                <w:lang w:val="en-US" w:eastAsia="zh-CN"/>
              </w:rPr>
              <w:t>属于岸线控制利用区，工程建设符合功能区要求。</w:t>
            </w:r>
          </w:p>
          <w:p w14:paraId="409EBF61">
            <w:pPr>
              <w:keepNext w:val="0"/>
              <w:keepLines w:val="0"/>
              <w:pageBreakBefore w:val="0"/>
              <w:widowControl w:val="0"/>
              <w:numPr>
                <w:ilvl w:val="0"/>
                <w:numId w:val="1"/>
              </w:numPr>
              <w:kinsoku/>
              <w:wordWrap/>
              <w:overflowPunct w:val="0"/>
              <w:topLinePunct w:val="0"/>
              <w:autoSpaceDE/>
              <w:autoSpaceDN/>
              <w:bidi w:val="0"/>
              <w:adjustRightInd w:val="0"/>
              <w:snapToGrid w:val="0"/>
              <w:spacing w:line="360" w:lineRule="auto"/>
              <w:ind w:left="425" w:leftChars="0" w:hanging="425" w:firstLineChars="0"/>
              <w:jc w:val="both"/>
              <w:textAlignment w:val="auto"/>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“三线一单”符合性分析</w:t>
            </w:r>
          </w:p>
          <w:p w14:paraId="7050D27D">
            <w:pPr>
              <w:pStyle w:val="65"/>
              <w:keepNext w:val="0"/>
              <w:keepLines w:val="0"/>
              <w:pageBreakBefore w:val="0"/>
              <w:widowControl w:val="0"/>
              <w:numPr>
                <w:ilvl w:val="0"/>
                <w:numId w:val="3"/>
              </w:numPr>
              <w:kinsoku/>
              <w:wordWrap/>
              <w:topLinePunct w:val="0"/>
              <w:autoSpaceDE/>
              <w:autoSpaceDN/>
              <w:bidi w:val="0"/>
              <w:adjustRightInd w:val="0"/>
              <w:snapToGrid w:val="0"/>
              <w:spacing w:line="360" w:lineRule="auto"/>
              <w:ind w:left="425" w:leftChars="0" w:hanging="425" w:firstLineChars="0"/>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生态保护红线</w:t>
            </w:r>
          </w:p>
          <w:p w14:paraId="33137429">
            <w:pPr>
              <w:pStyle w:val="65"/>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根据《新疆维吾尔自治区“三线一单”生态环境分区管控方案（2023调整方案）要求，生态保护红线按照“生态功能不降低、面积不减少、性质不改变”的基本要求，对划定的生态保护红线实施严格管控，保障和维护国家生态安全的底线和生命线。</w:t>
            </w:r>
            <w:r>
              <w:rPr>
                <w:rFonts w:hint="default" w:ascii="Times New Roman" w:hAnsi="Times New Roman" w:eastAsia="宋体" w:cs="Times New Roman"/>
                <w:color w:val="auto"/>
                <w:sz w:val="24"/>
                <w:szCs w:val="24"/>
                <w:highlight w:val="none"/>
              </w:rPr>
              <w:t>该项目在原河道管理范围内，不新增</w:t>
            </w:r>
            <w:r>
              <w:rPr>
                <w:rFonts w:hint="eastAsia" w:cs="Times New Roman"/>
                <w:color w:val="auto"/>
                <w:sz w:val="24"/>
                <w:szCs w:val="24"/>
                <w:highlight w:val="none"/>
                <w:lang w:val="en-US" w:eastAsia="zh-CN"/>
              </w:rPr>
              <w:t>水利设施</w:t>
            </w:r>
            <w:r>
              <w:rPr>
                <w:rFonts w:hint="default" w:ascii="Times New Roman" w:hAnsi="Times New Roman" w:eastAsia="宋体" w:cs="Times New Roman"/>
                <w:color w:val="auto"/>
                <w:sz w:val="24"/>
                <w:szCs w:val="24"/>
                <w:highlight w:val="none"/>
              </w:rPr>
              <w:t>用地</w:t>
            </w:r>
            <w:r>
              <w:rPr>
                <w:rFonts w:hint="eastAsia" w:ascii="Times New Roman" w:hAnsi="Times New Roman" w:cs="Times New Roman"/>
                <w:color w:val="auto"/>
                <w:sz w:val="24"/>
                <w:szCs w:val="24"/>
                <w:highlight w:val="none"/>
                <w:lang w:eastAsia="zh-CN"/>
              </w:rPr>
              <w:t>，</w:t>
            </w:r>
            <w:r>
              <w:rPr>
                <w:rFonts w:hint="eastAsia" w:ascii="Times New Roman" w:hAnsi="Times New Roman" w:eastAsia="宋体" w:cs="Times New Roman"/>
                <w:color w:val="auto"/>
                <w:kern w:val="2"/>
                <w:sz w:val="24"/>
                <w:szCs w:val="24"/>
                <w:highlight w:val="none"/>
                <w:lang w:val="en-US" w:eastAsia="zh-CN" w:bidi="ar-SA"/>
              </w:rPr>
              <w:t>经核实，项目区周围无自然保护区、饮用水源保护区等生态保护目标，本项目不涉及生态红线区域，符合生态红线保护要求，不会导致辖区内生态服务功能下降。</w:t>
            </w:r>
            <w:r>
              <w:rPr>
                <w:rFonts w:hint="default" w:ascii="Times New Roman" w:hAnsi="Times New Roman" w:eastAsia="宋体" w:cs="Times New Roman"/>
                <w:color w:val="auto"/>
                <w:kern w:val="2"/>
                <w:sz w:val="24"/>
                <w:szCs w:val="24"/>
                <w:highlight w:val="none"/>
                <w:lang w:val="en-US" w:eastAsia="zh-CN" w:bidi="ar-SA"/>
              </w:rPr>
              <w:t>本项目与区域生态红线关系图见附图</w:t>
            </w:r>
            <w:r>
              <w:rPr>
                <w:rFonts w:hint="default" w:ascii="Times New Roman" w:hAnsi="Times New Roman" w:cs="Times New Roman"/>
                <w:color w:val="auto"/>
                <w:kern w:val="2"/>
                <w:sz w:val="24"/>
                <w:szCs w:val="24"/>
                <w:highlight w:val="none"/>
                <w:lang w:val="en-US" w:eastAsia="zh-CN" w:bidi="ar-SA"/>
              </w:rPr>
              <w:t>4</w:t>
            </w:r>
            <w:r>
              <w:rPr>
                <w:rFonts w:hint="default" w:ascii="Times New Roman" w:hAnsi="Times New Roman" w:eastAsia="微软雅黑"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附图</w:t>
            </w:r>
            <w:r>
              <w:rPr>
                <w:rFonts w:hint="default" w:ascii="Times New Roman" w:hAnsi="Times New Roman" w:cs="Times New Roman"/>
                <w:color w:val="auto"/>
                <w:kern w:val="2"/>
                <w:sz w:val="24"/>
                <w:szCs w:val="24"/>
                <w:highlight w:val="none"/>
                <w:lang w:val="en-US" w:eastAsia="zh-CN" w:bidi="ar-SA"/>
              </w:rPr>
              <w:t>5</w:t>
            </w:r>
            <w:r>
              <w:rPr>
                <w:rFonts w:hint="default" w:ascii="Times New Roman" w:hAnsi="Times New Roman" w:eastAsia="微软雅黑"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附图</w:t>
            </w:r>
            <w:r>
              <w:rPr>
                <w:rFonts w:hint="default" w:ascii="Times New Roman" w:hAnsi="Times New Roman" w:cs="Times New Roman"/>
                <w:color w:val="auto"/>
                <w:kern w:val="2"/>
                <w:sz w:val="24"/>
                <w:szCs w:val="24"/>
                <w:highlight w:val="none"/>
                <w:lang w:val="en-US" w:eastAsia="zh-CN" w:bidi="ar-SA"/>
              </w:rPr>
              <w:t>6</w:t>
            </w:r>
            <w:r>
              <w:rPr>
                <w:rFonts w:hint="default" w:ascii="Times New Roman" w:hAnsi="Times New Roman" w:eastAsia="微软雅黑"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附图</w:t>
            </w:r>
            <w:r>
              <w:rPr>
                <w:rFonts w:hint="default" w:ascii="Times New Roman" w:hAnsi="Times New Roman" w:cs="Times New Roman"/>
                <w:color w:val="auto"/>
                <w:kern w:val="2"/>
                <w:sz w:val="24"/>
                <w:szCs w:val="24"/>
                <w:highlight w:val="none"/>
                <w:lang w:val="en-US" w:eastAsia="zh-CN" w:bidi="ar-SA"/>
              </w:rPr>
              <w:t>7</w:t>
            </w:r>
            <w:r>
              <w:rPr>
                <w:rFonts w:hint="default" w:ascii="Times New Roman" w:hAnsi="Times New Roman" w:eastAsia="宋体" w:cs="Times New Roman"/>
                <w:color w:val="auto"/>
                <w:kern w:val="2"/>
                <w:sz w:val="24"/>
                <w:szCs w:val="24"/>
                <w:highlight w:val="none"/>
                <w:lang w:val="en-US" w:eastAsia="zh-CN" w:bidi="ar-SA"/>
              </w:rPr>
              <w:t>。</w:t>
            </w:r>
          </w:p>
          <w:p w14:paraId="3A6A5B8E">
            <w:pPr>
              <w:pStyle w:val="65"/>
              <w:keepNext w:val="0"/>
              <w:keepLines w:val="0"/>
              <w:pageBreakBefore w:val="0"/>
              <w:widowControl w:val="0"/>
              <w:numPr>
                <w:ilvl w:val="0"/>
                <w:numId w:val="3"/>
              </w:numPr>
              <w:kinsoku/>
              <w:wordWrap/>
              <w:topLinePunct w:val="0"/>
              <w:autoSpaceDE/>
              <w:autoSpaceDN/>
              <w:bidi w:val="0"/>
              <w:adjustRightInd w:val="0"/>
              <w:snapToGrid w:val="0"/>
              <w:spacing w:line="360" w:lineRule="auto"/>
              <w:ind w:left="425" w:leftChars="0" w:hanging="425" w:firstLineChars="0"/>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环境质量底线</w:t>
            </w:r>
          </w:p>
          <w:p w14:paraId="525D37BF">
            <w:pPr>
              <w:keepNext w:val="0"/>
              <w:keepLines w:val="0"/>
              <w:pageBreakBefore w:val="0"/>
              <w:widowControl w:val="0"/>
              <w:kinsoku/>
              <w:wordWrap/>
              <w:overflowPunct w:val="0"/>
              <w:topLinePunct w:val="0"/>
              <w:autoSpaceDE/>
              <w:autoSpaceDN/>
              <w:bidi w:val="0"/>
              <w:adjustRightInd w:val="0"/>
              <w:snapToGrid w:val="0"/>
              <w:spacing w:line="360" w:lineRule="auto"/>
              <w:ind w:left="0" w:firstLine="480" w:firstLineChars="200"/>
              <w:textAlignment w:val="auto"/>
              <w:rPr>
                <w:rFonts w:hint="eastAsia" w:ascii="Times New Roman" w:hAnsi="Times New Roman" w:eastAsia="宋体" w:cs="Times New Roman"/>
                <w:color w:val="auto"/>
                <w:kern w:val="0"/>
                <w:sz w:val="24"/>
                <w:szCs w:val="24"/>
              </w:rPr>
            </w:pPr>
            <w:r>
              <w:rPr>
                <w:rFonts w:hint="eastAsia" w:ascii="Times New Roman" w:hAnsi="Times New Roman" w:eastAsia="宋体" w:cs="Times New Roman"/>
                <w:color w:val="auto"/>
                <w:sz w:val="24"/>
                <w:szCs w:val="24"/>
                <w:highlight w:val="none"/>
              </w:rPr>
              <w:t>根据大气环境现状调查，项目区属于大气不达标区，主要是PM</w:t>
            </w:r>
            <w:r>
              <w:rPr>
                <w:rFonts w:hint="eastAsia" w:ascii="Times New Roman" w:hAnsi="Times New Roman" w:eastAsia="宋体" w:cs="Times New Roman"/>
                <w:color w:val="auto"/>
                <w:sz w:val="24"/>
                <w:szCs w:val="24"/>
                <w:highlight w:val="none"/>
                <w:vertAlign w:val="subscript"/>
                <w:lang w:val="en-US" w:eastAsia="zh-CN"/>
              </w:rPr>
              <w:t>10</w:t>
            </w:r>
            <w:r>
              <w:rPr>
                <w:rFonts w:hint="eastAsia" w:ascii="Times New Roman" w:hAnsi="Times New Roman" w:eastAsia="宋体" w:cs="Times New Roman"/>
                <w:color w:val="auto"/>
                <w:sz w:val="24"/>
                <w:szCs w:val="24"/>
                <w:highlight w:val="none"/>
              </w:rPr>
              <w:t>、PM</w:t>
            </w:r>
            <w:r>
              <w:rPr>
                <w:rFonts w:hint="eastAsia" w:ascii="Times New Roman" w:hAnsi="Times New Roman" w:eastAsia="宋体" w:cs="Times New Roman"/>
                <w:color w:val="auto"/>
                <w:sz w:val="24"/>
                <w:szCs w:val="24"/>
                <w:highlight w:val="none"/>
                <w:vertAlign w:val="subscript"/>
                <w:lang w:val="en-US" w:eastAsia="zh-CN"/>
              </w:rPr>
              <w:t>2.5</w:t>
            </w:r>
            <w:r>
              <w:rPr>
                <w:rFonts w:hint="eastAsia" w:ascii="Times New Roman" w:hAnsi="Times New Roman" w:eastAsia="宋体" w:cs="Times New Roman"/>
                <w:color w:val="auto"/>
                <w:sz w:val="24"/>
                <w:szCs w:val="24"/>
                <w:highlight w:val="none"/>
              </w:rPr>
              <w:t>超标，</w:t>
            </w:r>
            <w:r>
              <w:rPr>
                <w:rFonts w:hint="default" w:ascii="Times New Roman" w:hAnsi="Times New Roman" w:eastAsia="宋体" w:cs="Times New Roman"/>
                <w:color w:val="auto"/>
                <w:kern w:val="0"/>
                <w:sz w:val="24"/>
                <w:szCs w:val="24"/>
              </w:rPr>
              <w:t>超标原因为项目所在地区干</w:t>
            </w:r>
            <w:r>
              <w:rPr>
                <w:rFonts w:hint="eastAsia" w:ascii="Times New Roman" w:hAnsi="Times New Roman" w:eastAsia="宋体" w:cs="Times New Roman"/>
                <w:color w:val="auto"/>
                <w:kern w:val="0"/>
                <w:sz w:val="24"/>
                <w:szCs w:val="24"/>
                <w:lang w:eastAsia="zh-CN"/>
              </w:rPr>
              <w:t>旱</w:t>
            </w:r>
            <w:r>
              <w:rPr>
                <w:rFonts w:hint="default" w:ascii="Times New Roman" w:hAnsi="Times New Roman" w:eastAsia="宋体" w:cs="Times New Roman"/>
                <w:color w:val="auto"/>
                <w:kern w:val="0"/>
                <w:sz w:val="24"/>
                <w:szCs w:val="24"/>
              </w:rPr>
              <w:t>少雨，风沙较大。</w:t>
            </w:r>
          </w:p>
          <w:p w14:paraId="509D969D">
            <w:pPr>
              <w:pStyle w:val="65"/>
              <w:keepNext w:val="0"/>
              <w:keepLines w:val="0"/>
              <w:pageBreakBefore w:val="0"/>
              <w:widowControl w:val="0"/>
              <w:kinsoku/>
              <w:wordWrap/>
              <w:topLinePunct w:val="0"/>
              <w:autoSpaceDE/>
              <w:autoSpaceDN/>
              <w:bidi w:val="0"/>
              <w:adjustRightInd w:val="0"/>
              <w:snapToGrid w:val="0"/>
              <w:spacing w:line="360" w:lineRule="auto"/>
              <w:ind w:left="0" w:firstLine="473"/>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本工程为防洪除涝项目，采取了有效的污染防治措施，可确保污染得到</w:t>
            </w:r>
            <w:r>
              <w:rPr>
                <w:rFonts w:hint="eastAsia" w:ascii="Times New Roman" w:hAnsi="Times New Roman" w:cs="Times New Roman"/>
                <w:color w:val="auto"/>
                <w:sz w:val="24"/>
                <w:szCs w:val="24"/>
                <w:highlight w:val="none"/>
                <w:lang w:eastAsia="zh-CN"/>
              </w:rPr>
              <w:t>有效控制</w:t>
            </w:r>
            <w:r>
              <w:rPr>
                <w:rFonts w:hint="default" w:ascii="Times New Roman" w:hAnsi="Times New Roman" w:eastAsia="宋体" w:cs="Times New Roman"/>
                <w:color w:val="auto"/>
                <w:sz w:val="24"/>
                <w:szCs w:val="24"/>
                <w:highlight w:val="none"/>
              </w:rPr>
              <w:t>，不会对周围大气环境产生明显影响。</w:t>
            </w:r>
          </w:p>
          <w:p w14:paraId="5A445270">
            <w:pPr>
              <w:pStyle w:val="65"/>
              <w:keepNext w:val="0"/>
              <w:keepLines w:val="0"/>
              <w:pageBreakBefore w:val="0"/>
              <w:widowControl w:val="0"/>
              <w:numPr>
                <w:ilvl w:val="0"/>
                <w:numId w:val="3"/>
              </w:numPr>
              <w:kinsoku/>
              <w:wordWrap/>
              <w:topLinePunct w:val="0"/>
              <w:autoSpaceDE/>
              <w:autoSpaceDN/>
              <w:bidi w:val="0"/>
              <w:adjustRightInd w:val="0"/>
              <w:snapToGrid w:val="0"/>
              <w:spacing w:line="360" w:lineRule="auto"/>
              <w:ind w:left="425" w:leftChars="0" w:hanging="425" w:firstLineChars="0"/>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资源利用上线</w:t>
            </w:r>
          </w:p>
          <w:p w14:paraId="097F981F">
            <w:pPr>
              <w:pStyle w:val="65"/>
              <w:keepNext w:val="0"/>
              <w:keepLines w:val="0"/>
              <w:pageBreakBefore w:val="0"/>
              <w:widowControl w:val="0"/>
              <w:kinsoku/>
              <w:wordWrap/>
              <w:topLinePunct w:val="0"/>
              <w:autoSpaceDE/>
              <w:autoSpaceDN/>
              <w:bidi w:val="0"/>
              <w:adjustRightInd w:val="0"/>
              <w:snapToGrid w:val="0"/>
              <w:spacing w:line="360" w:lineRule="auto"/>
              <w:ind w:left="0" w:firstLine="473"/>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工程建设过程中会消耗电能，不新增</w:t>
            </w:r>
            <w:r>
              <w:rPr>
                <w:rFonts w:hint="eastAsia" w:cs="Times New Roman"/>
                <w:color w:val="auto"/>
                <w:sz w:val="24"/>
                <w:szCs w:val="24"/>
                <w:highlight w:val="none"/>
                <w:lang w:val="en-US" w:eastAsia="zh-CN"/>
              </w:rPr>
              <w:t>水利设施</w:t>
            </w:r>
            <w:r>
              <w:rPr>
                <w:rFonts w:hint="default" w:ascii="Times New Roman" w:hAnsi="Times New Roman" w:eastAsia="宋体" w:cs="Times New Roman"/>
                <w:color w:val="auto"/>
                <w:sz w:val="24"/>
                <w:szCs w:val="24"/>
                <w:highlight w:val="none"/>
              </w:rPr>
              <w:t>用地。本工程资源消耗量相对区域资源利用总量较少，符合区域资源利用要求。</w:t>
            </w:r>
          </w:p>
          <w:p w14:paraId="403FA9BB">
            <w:pPr>
              <w:pStyle w:val="65"/>
              <w:keepNext w:val="0"/>
              <w:keepLines w:val="0"/>
              <w:pageBreakBefore w:val="0"/>
              <w:widowControl w:val="0"/>
              <w:numPr>
                <w:ilvl w:val="0"/>
                <w:numId w:val="3"/>
              </w:numPr>
              <w:kinsoku/>
              <w:wordWrap/>
              <w:topLinePunct w:val="0"/>
              <w:autoSpaceDE/>
              <w:autoSpaceDN/>
              <w:bidi w:val="0"/>
              <w:adjustRightInd w:val="0"/>
              <w:snapToGrid w:val="0"/>
              <w:spacing w:line="360" w:lineRule="auto"/>
              <w:ind w:left="425" w:leftChars="0" w:hanging="425" w:firstLineChars="0"/>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生态环境准入清单</w:t>
            </w:r>
          </w:p>
          <w:p w14:paraId="33048FDF">
            <w:pPr>
              <w:pStyle w:val="65"/>
              <w:keepNext w:val="0"/>
              <w:keepLines w:val="0"/>
              <w:pageBreakBefore w:val="0"/>
              <w:widowControl w:val="0"/>
              <w:kinsoku/>
              <w:wordWrap/>
              <w:topLinePunct w:val="0"/>
              <w:autoSpaceDE/>
              <w:autoSpaceDN/>
              <w:bidi w:val="0"/>
              <w:adjustRightInd w:val="0"/>
              <w:snapToGrid w:val="0"/>
              <w:spacing w:line="360" w:lineRule="auto"/>
              <w:ind w:left="0" w:firstLine="473"/>
              <w:textAlignment w:val="auto"/>
              <w:rPr>
                <w:rFonts w:hint="default"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生态环境准入清单是基于环境管控单元，统筹考虑生态保护红线、环境质量底线、资源利用上线的管控要求，提出的空间布局、污染物排放、环境风险、资源开发利用等方面环境管控的要求</w:t>
            </w:r>
            <w:r>
              <w:rPr>
                <w:rFonts w:hint="eastAsia" w:ascii="Times New Roman" w:hAnsi="Times New Roman" w:eastAsia="宋体" w:cs="Times New Roman"/>
                <w:color w:val="auto"/>
                <w:sz w:val="24"/>
                <w:szCs w:val="24"/>
                <w:highlight w:val="none"/>
                <w:lang w:val="en-US" w:eastAsia="zh-CN"/>
              </w:rPr>
              <w:t>，本项目与</w:t>
            </w:r>
            <w:r>
              <w:rPr>
                <w:rFonts w:hint="default" w:ascii="Times New Roman" w:hAnsi="Times New Roman" w:eastAsia="宋体" w:cs="Times New Roman"/>
                <w:color w:val="auto"/>
                <w:sz w:val="24"/>
                <w:szCs w:val="24"/>
                <w:highlight w:val="none"/>
                <w:lang w:val="en-US" w:eastAsia="zh-CN"/>
              </w:rPr>
              <w:t>生态环境分区管控方案</w:t>
            </w:r>
            <w:r>
              <w:rPr>
                <w:rFonts w:hint="eastAsia" w:ascii="Times New Roman" w:hAnsi="Times New Roman" w:eastAsia="宋体" w:cs="Times New Roman"/>
                <w:color w:val="auto"/>
                <w:sz w:val="24"/>
                <w:szCs w:val="24"/>
                <w:highlight w:val="none"/>
                <w:lang w:val="en-US" w:eastAsia="zh-CN"/>
              </w:rPr>
              <w:t>符合性分析如下:</w:t>
            </w:r>
          </w:p>
          <w:p w14:paraId="5D3855FD">
            <w:pPr>
              <w:keepNext w:val="0"/>
              <w:keepLines w:val="0"/>
              <w:pageBreakBefore w:val="0"/>
              <w:widowControl w:val="0"/>
              <w:numPr>
                <w:ilvl w:val="0"/>
                <w:numId w:val="4"/>
              </w:numPr>
              <w:kinsoku/>
              <w:wordWrap/>
              <w:overflowPunct w:val="0"/>
              <w:topLinePunct w:val="0"/>
              <w:autoSpaceDE/>
              <w:autoSpaceDN/>
              <w:bidi w:val="0"/>
              <w:adjustRightInd w:val="0"/>
              <w:snapToGrid w:val="0"/>
              <w:spacing w:line="360" w:lineRule="auto"/>
              <w:ind w:left="0" w:leftChars="0" w:firstLine="482" w:firstLineChars="200"/>
              <w:jc w:val="both"/>
              <w:textAlignment w:val="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与《新疆维吾尔自治区生态环境分区管控动态更新成果》符合性分析</w:t>
            </w:r>
          </w:p>
          <w:p w14:paraId="24FCB00C">
            <w:pPr>
              <w:pStyle w:val="65"/>
              <w:keepNext w:val="0"/>
              <w:keepLines w:val="0"/>
              <w:pageBreakBefore w:val="0"/>
              <w:widowControl w:val="0"/>
              <w:kinsoku/>
              <w:wordWrap/>
              <w:topLinePunct w:val="0"/>
              <w:autoSpaceDE/>
              <w:autoSpaceDN/>
              <w:bidi w:val="0"/>
              <w:adjustRightInd w:val="0"/>
              <w:snapToGrid w:val="0"/>
              <w:spacing w:line="360" w:lineRule="auto"/>
              <w:ind w:left="0" w:firstLine="473"/>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2024年11月15日，新疆维吾尔自治区生态环境厅印发《新疆维吾尔自治区生态环境分区管控动态更新成果》（新环环评发〔2024〕157号）文件中，新疆维吾尔自治区共划分1777个环境管控单元，分为优先保护单元、重点管控单元、一般管控单元三类，实施分类管控。其中优先保护单元925个，主要包括生态保护红线区和生态保护红线区以外的饮用水源地、水源涵养区、防风固沙区、水土流失防控区等一般生态空间管控区；重点管控单元713个，主要包括城镇建成区、工业园区和开发强度大、污染物排放强度高的工业聚集区等；一般管控单元139个，指除优先保护单元和重点管控单元之外的其他区域。</w:t>
            </w:r>
          </w:p>
          <w:p w14:paraId="03AB2896">
            <w:pPr>
              <w:keepNext w:val="0"/>
              <w:keepLines w:val="0"/>
              <w:pageBreakBefore w:val="0"/>
              <w:widowControl w:val="0"/>
              <w:numPr>
                <w:ilvl w:val="0"/>
                <w:numId w:val="5"/>
              </w:numPr>
              <w:kinsoku/>
              <w:wordWrap/>
              <w:overflowPunct w:val="0"/>
              <w:topLinePunct w:val="0"/>
              <w:autoSpaceDE/>
              <w:autoSpaceDN/>
              <w:bidi w:val="0"/>
              <w:adjustRightInd w:val="0"/>
              <w:snapToGrid w:val="0"/>
              <w:spacing w:line="240" w:lineRule="auto"/>
              <w:ind w:left="0" w:leftChars="0" w:firstLine="0" w:firstLineChars="0"/>
              <w:jc w:val="both"/>
              <w:textAlignment w:val="auto"/>
              <w:rPr>
                <w:b/>
                <w:bCs/>
                <w:color w:val="auto"/>
                <w:spacing w:val="7"/>
                <w:sz w:val="24"/>
                <w:szCs w:val="24"/>
              </w:rPr>
            </w:pPr>
            <w:r>
              <w:rPr>
                <w:b/>
                <w:bCs/>
                <w:color w:val="auto"/>
                <w:spacing w:val="7"/>
                <w:sz w:val="24"/>
                <w:szCs w:val="24"/>
              </w:rPr>
              <w:t>《新疆维吾尔自治区生态环境分区管控动态更新成果》符合性分析</w:t>
            </w:r>
          </w:p>
          <w:tbl>
            <w:tblPr>
              <w:tblStyle w:val="28"/>
              <w:tblW w:w="67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9"/>
              <w:gridCol w:w="690"/>
              <w:gridCol w:w="2445"/>
              <w:gridCol w:w="2385"/>
              <w:gridCol w:w="709"/>
            </w:tblGrid>
            <w:tr w14:paraId="7D5EA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9" w:type="dxa"/>
                  <w:gridSpan w:val="2"/>
                  <w:vAlign w:val="center"/>
                </w:tcPr>
                <w:p w14:paraId="18A0AA5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7"/>
                      <w:sz w:val="21"/>
                      <w:szCs w:val="21"/>
                      <w:vertAlign w:val="baseline"/>
                    </w:rPr>
                  </w:pPr>
                  <w:r>
                    <w:rPr>
                      <w:b/>
                      <w:bCs/>
                      <w:color w:val="auto"/>
                      <w:spacing w:val="5"/>
                      <w:sz w:val="21"/>
                      <w:szCs w:val="21"/>
                    </w:rPr>
                    <w:t>管控维度</w:t>
                  </w:r>
                </w:p>
              </w:tc>
              <w:tc>
                <w:tcPr>
                  <w:tcW w:w="2445" w:type="dxa"/>
                  <w:vAlign w:val="center"/>
                </w:tcPr>
                <w:p w14:paraId="2EA3851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7"/>
                      <w:sz w:val="21"/>
                      <w:szCs w:val="21"/>
                      <w:vertAlign w:val="baseline"/>
                    </w:rPr>
                  </w:pPr>
                  <w:r>
                    <w:rPr>
                      <w:b/>
                      <w:bCs/>
                      <w:color w:val="auto"/>
                      <w:spacing w:val="5"/>
                      <w:sz w:val="21"/>
                      <w:szCs w:val="21"/>
                    </w:rPr>
                    <w:t>管控要求</w:t>
                  </w:r>
                </w:p>
              </w:tc>
              <w:tc>
                <w:tcPr>
                  <w:tcW w:w="2385" w:type="dxa"/>
                  <w:vAlign w:val="center"/>
                </w:tcPr>
                <w:p w14:paraId="1B495AD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7"/>
                      <w:sz w:val="21"/>
                      <w:szCs w:val="21"/>
                      <w:vertAlign w:val="baseline"/>
                    </w:rPr>
                  </w:pPr>
                  <w:r>
                    <w:rPr>
                      <w:b/>
                      <w:bCs/>
                      <w:color w:val="auto"/>
                      <w:spacing w:val="6"/>
                      <w:sz w:val="21"/>
                      <w:szCs w:val="21"/>
                    </w:rPr>
                    <w:t>本项目情况</w:t>
                  </w:r>
                </w:p>
              </w:tc>
              <w:tc>
                <w:tcPr>
                  <w:tcW w:w="709" w:type="dxa"/>
                  <w:vAlign w:val="center"/>
                </w:tcPr>
                <w:p w14:paraId="41DF4FE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7"/>
                      <w:sz w:val="21"/>
                      <w:szCs w:val="21"/>
                      <w:vertAlign w:val="baseline"/>
                    </w:rPr>
                  </w:pPr>
                  <w:r>
                    <w:rPr>
                      <w:b/>
                      <w:bCs/>
                      <w:color w:val="auto"/>
                      <w:spacing w:val="5"/>
                      <w:sz w:val="21"/>
                      <w:szCs w:val="21"/>
                    </w:rPr>
                    <w:t>符合性</w:t>
                  </w:r>
                </w:p>
              </w:tc>
            </w:tr>
            <w:tr w14:paraId="3DC7B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restart"/>
                  <w:vAlign w:val="center"/>
                </w:tcPr>
                <w:p w14:paraId="4F56DCEF">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center"/>
                    <w:textAlignment w:val="auto"/>
                    <w:rPr>
                      <w:b/>
                      <w:bCs/>
                      <w:color w:val="auto"/>
                      <w:spacing w:val="7"/>
                      <w:sz w:val="21"/>
                      <w:szCs w:val="21"/>
                      <w:vertAlign w:val="baseline"/>
                    </w:rPr>
                  </w:pPr>
                  <w:r>
                    <w:rPr>
                      <w:rFonts w:ascii="Times New Roman" w:hAnsi="Times New Roman" w:eastAsia="Times New Roman" w:cs="Times New Roman"/>
                      <w:color w:val="auto"/>
                      <w:spacing w:val="-5"/>
                      <w:sz w:val="21"/>
                      <w:szCs w:val="21"/>
                    </w:rPr>
                    <w:t>A.1</w:t>
                  </w:r>
                  <w:r>
                    <w:rPr>
                      <w:color w:val="auto"/>
                      <w:sz w:val="21"/>
                      <w:szCs w:val="21"/>
                    </w:rPr>
                    <w:t>空间布局约束</w:t>
                  </w:r>
                </w:p>
              </w:tc>
              <w:tc>
                <w:tcPr>
                  <w:tcW w:w="690" w:type="dxa"/>
                  <w:vMerge w:val="restart"/>
                  <w:vAlign w:val="center"/>
                </w:tcPr>
                <w:p w14:paraId="20F31A1D">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3"/>
                      <w:sz w:val="21"/>
                      <w:szCs w:val="21"/>
                    </w:rPr>
                    <w:t>A1.1</w:t>
                  </w:r>
                  <w:r>
                    <w:rPr>
                      <w:color w:val="auto"/>
                      <w:spacing w:val="4"/>
                      <w:sz w:val="21"/>
                      <w:szCs w:val="21"/>
                    </w:rPr>
                    <w:t>禁止开发建设的活</w:t>
                  </w:r>
                  <w:r>
                    <w:rPr>
                      <w:color w:val="auto"/>
                      <w:sz w:val="21"/>
                      <w:szCs w:val="21"/>
                    </w:rPr>
                    <w:t>动</w:t>
                  </w:r>
                </w:p>
              </w:tc>
              <w:tc>
                <w:tcPr>
                  <w:tcW w:w="2445" w:type="dxa"/>
                  <w:vAlign w:val="center"/>
                </w:tcPr>
                <w:p w14:paraId="26AEA4BB">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hint="default" w:ascii="Times New Roman" w:hAnsi="Times New Roman" w:cs="Times New Roman"/>
                      <w:b/>
                      <w:bCs/>
                      <w:color w:val="auto"/>
                      <w:spacing w:val="7"/>
                      <w:sz w:val="21"/>
                      <w:szCs w:val="21"/>
                      <w:vertAlign w:val="baseline"/>
                    </w:rPr>
                  </w:pPr>
                  <w:r>
                    <w:rPr>
                      <w:rFonts w:hint="default" w:ascii="Times New Roman" w:hAnsi="Times New Roman" w:eastAsia="Times New Roman" w:cs="Times New Roman"/>
                      <w:color w:val="auto"/>
                      <w:spacing w:val="2"/>
                      <w:sz w:val="21"/>
                      <w:szCs w:val="21"/>
                    </w:rPr>
                    <w:t>A1.1-1</w:t>
                  </w:r>
                  <w:r>
                    <w:rPr>
                      <w:rFonts w:hint="default" w:ascii="Times New Roman" w:hAnsi="Times New Roman" w:cs="Times New Roman"/>
                      <w:color w:val="auto"/>
                      <w:spacing w:val="2"/>
                      <w:sz w:val="21"/>
                      <w:szCs w:val="21"/>
                    </w:rPr>
                    <w:t>禁止新建、扩建</w:t>
                  </w:r>
                  <w:r>
                    <w:rPr>
                      <w:rFonts w:hint="default" w:ascii="Times New Roman" w:hAnsi="Times New Roman" w:cs="Times New Roman"/>
                      <w:color w:val="auto"/>
                      <w:spacing w:val="8"/>
                      <w:sz w:val="21"/>
                      <w:szCs w:val="21"/>
                    </w:rPr>
                    <w:t>《产业结构调整指导目录</w:t>
                  </w:r>
                  <w:r>
                    <w:rPr>
                      <w:rFonts w:hint="default" w:ascii="Times New Roman" w:hAnsi="Times New Roman" w:cs="Times New Roman"/>
                      <w:color w:val="auto"/>
                      <w:spacing w:val="6"/>
                      <w:sz w:val="21"/>
                      <w:szCs w:val="21"/>
                    </w:rPr>
                    <w:t>（</w:t>
                  </w:r>
                  <w:r>
                    <w:rPr>
                      <w:rFonts w:hint="default" w:ascii="Times New Roman" w:hAnsi="Times New Roman" w:eastAsia="Times New Roman" w:cs="Times New Roman"/>
                      <w:color w:val="auto"/>
                      <w:spacing w:val="6"/>
                      <w:sz w:val="21"/>
                      <w:szCs w:val="21"/>
                    </w:rPr>
                    <w:t>2024</w:t>
                  </w:r>
                  <w:r>
                    <w:rPr>
                      <w:rFonts w:hint="default" w:ascii="Times New Roman" w:hAnsi="Times New Roman" w:cs="Times New Roman"/>
                      <w:color w:val="auto"/>
                      <w:spacing w:val="6"/>
                      <w:sz w:val="21"/>
                      <w:szCs w:val="21"/>
                    </w:rPr>
                    <w:t>年本）》中淘汰类</w:t>
                  </w:r>
                  <w:r>
                    <w:rPr>
                      <w:rFonts w:hint="default" w:ascii="Times New Roman" w:hAnsi="Times New Roman" w:cs="Times New Roman"/>
                      <w:color w:val="auto"/>
                      <w:spacing w:val="8"/>
                      <w:sz w:val="21"/>
                      <w:szCs w:val="21"/>
                    </w:rPr>
                    <w:t>项目。禁止引入《市场准</w:t>
                  </w:r>
                  <w:r>
                    <w:rPr>
                      <w:rFonts w:hint="default" w:ascii="Times New Roman" w:hAnsi="Times New Roman" w:cs="Times New Roman"/>
                      <w:color w:val="auto"/>
                      <w:spacing w:val="1"/>
                      <w:sz w:val="21"/>
                      <w:szCs w:val="21"/>
                    </w:rPr>
                    <w:t>入负面清单（</w:t>
                  </w:r>
                  <w:r>
                    <w:rPr>
                      <w:rFonts w:hint="default" w:ascii="Times New Roman" w:hAnsi="Times New Roman" w:eastAsia="Times New Roman" w:cs="Times New Roman"/>
                      <w:color w:val="auto"/>
                      <w:spacing w:val="1"/>
                      <w:sz w:val="21"/>
                      <w:szCs w:val="21"/>
                    </w:rPr>
                    <w:t>2022</w:t>
                  </w:r>
                  <w:r>
                    <w:rPr>
                      <w:rFonts w:hint="default" w:ascii="Times New Roman" w:hAnsi="Times New Roman" w:cs="Times New Roman"/>
                      <w:color w:val="auto"/>
                      <w:spacing w:val="1"/>
                      <w:sz w:val="21"/>
                      <w:szCs w:val="21"/>
                    </w:rPr>
                    <w:t>年版）》</w:t>
                  </w:r>
                  <w:r>
                    <w:rPr>
                      <w:rFonts w:hint="default" w:ascii="Times New Roman" w:hAnsi="Times New Roman" w:cs="Times New Roman"/>
                      <w:color w:val="auto"/>
                      <w:spacing w:val="8"/>
                      <w:sz w:val="21"/>
                      <w:szCs w:val="21"/>
                    </w:rPr>
                    <w:t>禁止准入类事项</w:t>
                  </w:r>
                </w:p>
              </w:tc>
              <w:tc>
                <w:tcPr>
                  <w:tcW w:w="2385" w:type="dxa"/>
                  <w:vAlign w:val="center"/>
                </w:tcPr>
                <w:p w14:paraId="6E528700">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hint="eastAsia" w:eastAsia="宋体"/>
                      <w:b/>
                      <w:bCs/>
                      <w:color w:val="auto"/>
                      <w:spacing w:val="7"/>
                      <w:sz w:val="21"/>
                      <w:szCs w:val="21"/>
                      <w:vertAlign w:val="baseline"/>
                      <w:lang w:val="en-US" w:eastAsia="zh-CN"/>
                    </w:rPr>
                  </w:pPr>
                  <w:r>
                    <w:rPr>
                      <w:color w:val="auto"/>
                      <w:spacing w:val="6"/>
                      <w:sz w:val="21"/>
                      <w:szCs w:val="21"/>
                    </w:rPr>
                    <w:t>根据《产业结构调整指导</w:t>
                  </w:r>
                  <w:r>
                    <w:rPr>
                      <w:color w:val="auto"/>
                      <w:spacing w:val="-2"/>
                      <w:sz w:val="21"/>
                      <w:szCs w:val="21"/>
                    </w:rPr>
                    <w:t>目录》（</w:t>
                  </w:r>
                  <w:r>
                    <w:rPr>
                      <w:rFonts w:ascii="Times New Roman" w:hAnsi="Times New Roman" w:eastAsia="Times New Roman" w:cs="Times New Roman"/>
                      <w:color w:val="auto"/>
                      <w:spacing w:val="-2"/>
                      <w:sz w:val="21"/>
                      <w:szCs w:val="21"/>
                    </w:rPr>
                    <w:t>2024</w:t>
                  </w:r>
                  <w:r>
                    <w:rPr>
                      <w:color w:val="auto"/>
                      <w:spacing w:val="-2"/>
                      <w:sz w:val="21"/>
                      <w:szCs w:val="21"/>
                    </w:rPr>
                    <w:t>年本），本</w:t>
                  </w:r>
                  <w:r>
                    <w:rPr>
                      <w:color w:val="auto"/>
                      <w:spacing w:val="8"/>
                      <w:sz w:val="21"/>
                      <w:szCs w:val="21"/>
                    </w:rPr>
                    <w:t>项目属于鼓励类项目</w:t>
                  </w:r>
                  <w:r>
                    <w:rPr>
                      <w:rFonts w:hint="eastAsia"/>
                      <w:color w:val="auto"/>
                      <w:spacing w:val="8"/>
                      <w:sz w:val="21"/>
                      <w:szCs w:val="21"/>
                      <w:lang w:val="en-US" w:eastAsia="zh-CN"/>
                    </w:rPr>
                    <w:t>。</w:t>
                  </w:r>
                </w:p>
              </w:tc>
              <w:tc>
                <w:tcPr>
                  <w:tcW w:w="709" w:type="dxa"/>
                  <w:vAlign w:val="center"/>
                </w:tcPr>
                <w:p w14:paraId="45B89AC2">
                  <w:pPr>
                    <w:pStyle w:val="65"/>
                    <w:keepNext w:val="0"/>
                    <w:keepLines w:val="0"/>
                    <w:pageBreakBefore w:val="0"/>
                    <w:widowControl w:val="0"/>
                    <w:kinsoku/>
                    <w:wordWrap/>
                    <w:topLinePunct w:val="0"/>
                    <w:autoSpaceDE/>
                    <w:autoSpaceDN/>
                    <w:bidi w:val="0"/>
                    <w:adjustRightInd w:val="0"/>
                    <w:snapToGrid w:val="0"/>
                    <w:spacing w:line="240" w:lineRule="auto"/>
                    <w:ind w:left="0" w:leftChars="0"/>
                    <w:jc w:val="center"/>
                    <w:textAlignment w:val="auto"/>
                    <w:rPr>
                      <w:b/>
                      <w:bCs/>
                      <w:color w:val="auto"/>
                      <w:spacing w:val="7"/>
                      <w:sz w:val="21"/>
                      <w:szCs w:val="21"/>
                      <w:vertAlign w:val="baseline"/>
                    </w:rPr>
                  </w:pPr>
                  <w:r>
                    <w:rPr>
                      <w:color w:val="auto"/>
                      <w:spacing w:val="3"/>
                      <w:sz w:val="21"/>
                      <w:szCs w:val="21"/>
                    </w:rPr>
                    <w:t>符合</w:t>
                  </w:r>
                </w:p>
              </w:tc>
            </w:tr>
            <w:tr w14:paraId="45C81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0788C1B8">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center"/>
                    <w:textAlignment w:val="auto"/>
                    <w:rPr>
                      <w:b/>
                      <w:bCs/>
                      <w:color w:val="auto"/>
                      <w:spacing w:val="7"/>
                      <w:sz w:val="21"/>
                      <w:szCs w:val="21"/>
                      <w:vertAlign w:val="baseline"/>
                    </w:rPr>
                  </w:pPr>
                </w:p>
              </w:tc>
              <w:tc>
                <w:tcPr>
                  <w:tcW w:w="690" w:type="dxa"/>
                  <w:vMerge w:val="continue"/>
                  <w:vAlign w:val="center"/>
                </w:tcPr>
                <w:p w14:paraId="58F7A40F">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center"/>
                    <w:textAlignment w:val="auto"/>
                    <w:rPr>
                      <w:b/>
                      <w:bCs/>
                      <w:color w:val="auto"/>
                      <w:spacing w:val="7"/>
                      <w:sz w:val="21"/>
                      <w:szCs w:val="21"/>
                      <w:vertAlign w:val="baseline"/>
                    </w:rPr>
                  </w:pPr>
                </w:p>
              </w:tc>
              <w:tc>
                <w:tcPr>
                  <w:tcW w:w="2445" w:type="dxa"/>
                  <w:vAlign w:val="center"/>
                </w:tcPr>
                <w:p w14:paraId="5D3411B5">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both"/>
                    <w:textAlignment w:val="auto"/>
                    <w:rPr>
                      <w:rFonts w:hint="default" w:ascii="Times New Roman" w:hAnsi="Times New Roman" w:eastAsia="宋体" w:cs="Times New Roman"/>
                      <w:color w:val="auto"/>
                      <w:spacing w:val="8"/>
                      <w:kern w:val="2"/>
                      <w:sz w:val="21"/>
                      <w:szCs w:val="21"/>
                      <w:lang w:val="en-US" w:eastAsia="en-US" w:bidi="ar-SA"/>
                    </w:rPr>
                  </w:pPr>
                  <w:r>
                    <w:rPr>
                      <w:rFonts w:hint="default" w:ascii="Times New Roman" w:hAnsi="Times New Roman" w:eastAsia="宋体" w:cs="Times New Roman"/>
                      <w:color w:val="auto"/>
                      <w:spacing w:val="8"/>
                      <w:kern w:val="2"/>
                      <w:sz w:val="21"/>
                      <w:szCs w:val="21"/>
                      <w:lang w:val="en-US" w:eastAsia="en-US" w:bidi="ar-SA"/>
                    </w:rPr>
                    <w:t>A1.1-3禁止在饮用水水源保护区、风景名胜区、自然保护区的核心区和缓冲区、城镇居民区、文化教育科学研究区等人口集中区域以及</w:t>
                  </w:r>
                  <w:r>
                    <w:rPr>
                      <w:rFonts w:hint="eastAsia" w:cs="Times New Roman"/>
                      <w:color w:val="auto"/>
                      <w:spacing w:val="8"/>
                      <w:kern w:val="2"/>
                      <w:sz w:val="21"/>
                      <w:szCs w:val="21"/>
                      <w:lang w:val="en-US" w:eastAsia="zh-CN" w:bidi="ar-SA"/>
                    </w:rPr>
                    <w:t>法律法规</w:t>
                  </w:r>
                  <w:r>
                    <w:rPr>
                      <w:rFonts w:hint="default" w:ascii="Times New Roman" w:hAnsi="Times New Roman" w:eastAsia="宋体" w:cs="Times New Roman"/>
                      <w:color w:val="auto"/>
                      <w:spacing w:val="8"/>
                      <w:kern w:val="2"/>
                      <w:sz w:val="21"/>
                      <w:szCs w:val="21"/>
                      <w:lang w:val="en-US" w:eastAsia="en-US" w:bidi="ar-SA"/>
                    </w:rPr>
                    <w:t>规定的其他禁止养殖区域建设畜禽养殖场、养殖小区。</w:t>
                  </w:r>
                </w:p>
              </w:tc>
              <w:tc>
                <w:tcPr>
                  <w:tcW w:w="2385" w:type="dxa"/>
                  <w:vMerge w:val="restart"/>
                  <w:vAlign w:val="center"/>
                </w:tcPr>
                <w:p w14:paraId="6B1F966C">
                  <w:pPr>
                    <w:pStyle w:val="65"/>
                    <w:spacing w:before="65" w:line="226" w:lineRule="auto"/>
                    <w:rPr>
                      <w:rFonts w:ascii="宋体" w:hAnsi="宋体" w:eastAsia="宋体" w:cs="宋体"/>
                      <w:color w:val="auto"/>
                      <w:spacing w:val="8"/>
                      <w:kern w:val="2"/>
                      <w:sz w:val="21"/>
                      <w:szCs w:val="21"/>
                      <w:lang w:val="en-US" w:eastAsia="en-US" w:bidi="ar-SA"/>
                    </w:rPr>
                  </w:pPr>
                  <w:r>
                    <w:rPr>
                      <w:rFonts w:ascii="宋体" w:hAnsi="宋体" w:eastAsia="宋体" w:cs="宋体"/>
                      <w:color w:val="auto"/>
                      <w:spacing w:val="8"/>
                      <w:kern w:val="2"/>
                      <w:sz w:val="21"/>
                      <w:szCs w:val="21"/>
                      <w:lang w:val="en-US" w:eastAsia="en-US" w:bidi="ar-SA"/>
                    </w:rPr>
                    <w:t>项目评价范围内不涉及水源涵养区、地下水源、饮用水源、自然保护区、风景名胜区、森林公园、重要湿地。</w:t>
                  </w:r>
                </w:p>
              </w:tc>
              <w:tc>
                <w:tcPr>
                  <w:tcW w:w="709" w:type="dxa"/>
                  <w:vAlign w:val="center"/>
                </w:tcPr>
                <w:p w14:paraId="4F0706BB">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center"/>
                    <w:textAlignment w:val="auto"/>
                    <w:rPr>
                      <w:b/>
                      <w:bCs/>
                      <w:color w:val="auto"/>
                      <w:spacing w:val="7"/>
                      <w:sz w:val="21"/>
                      <w:szCs w:val="21"/>
                      <w:vertAlign w:val="baseline"/>
                    </w:rPr>
                  </w:pPr>
                  <w:r>
                    <w:rPr>
                      <w:color w:val="auto"/>
                      <w:spacing w:val="3"/>
                      <w:sz w:val="21"/>
                      <w:szCs w:val="21"/>
                    </w:rPr>
                    <w:t>符合</w:t>
                  </w:r>
                </w:p>
              </w:tc>
            </w:tr>
            <w:tr w14:paraId="53297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1FE7AA89">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center"/>
                    <w:textAlignment w:val="auto"/>
                    <w:rPr>
                      <w:b/>
                      <w:bCs/>
                      <w:color w:val="auto"/>
                      <w:spacing w:val="7"/>
                      <w:sz w:val="21"/>
                      <w:szCs w:val="21"/>
                      <w:vertAlign w:val="baseline"/>
                    </w:rPr>
                  </w:pPr>
                </w:p>
              </w:tc>
              <w:tc>
                <w:tcPr>
                  <w:tcW w:w="690" w:type="dxa"/>
                  <w:vMerge w:val="continue"/>
                  <w:vAlign w:val="center"/>
                </w:tcPr>
                <w:p w14:paraId="79456760">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center"/>
                    <w:textAlignment w:val="auto"/>
                    <w:rPr>
                      <w:b/>
                      <w:bCs/>
                      <w:color w:val="auto"/>
                      <w:spacing w:val="7"/>
                      <w:sz w:val="21"/>
                      <w:szCs w:val="21"/>
                      <w:vertAlign w:val="baseline"/>
                    </w:rPr>
                  </w:pPr>
                </w:p>
              </w:tc>
              <w:tc>
                <w:tcPr>
                  <w:tcW w:w="2445" w:type="dxa"/>
                  <w:vAlign w:val="center"/>
                </w:tcPr>
                <w:p w14:paraId="26C553E5">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hint="default" w:ascii="Times New Roman" w:hAnsi="Times New Roman" w:cs="Times New Roman"/>
                      <w:color w:val="auto"/>
                      <w:spacing w:val="8"/>
                      <w:sz w:val="21"/>
                      <w:szCs w:val="21"/>
                    </w:rPr>
                  </w:pPr>
                  <w:r>
                    <w:rPr>
                      <w:rFonts w:ascii="Times New Roman" w:hAnsi="Times New Roman" w:eastAsia="Times New Roman" w:cs="Times New Roman"/>
                      <w:color w:val="auto"/>
                      <w:spacing w:val="5"/>
                      <w:sz w:val="21"/>
                      <w:szCs w:val="21"/>
                    </w:rPr>
                    <w:t>A1.1-4</w:t>
                  </w:r>
                  <w:r>
                    <w:rPr>
                      <w:rFonts w:hint="default" w:ascii="Times New Roman" w:hAnsi="Times New Roman" w:cs="Times New Roman"/>
                      <w:color w:val="auto"/>
                      <w:spacing w:val="8"/>
                      <w:sz w:val="21"/>
                      <w:szCs w:val="21"/>
                    </w:rPr>
                    <w:t>禁止在水源涵养区、地下水源、饮用水源、自然保护区、风景名胜区、森林公园、重要湿地及人群密集区等生态敏感区域内进行煤炭、石油、天然气开发。</w:t>
                  </w:r>
                </w:p>
              </w:tc>
              <w:tc>
                <w:tcPr>
                  <w:tcW w:w="2385" w:type="dxa"/>
                  <w:vMerge w:val="continue"/>
                  <w:vAlign w:val="center"/>
                </w:tcPr>
                <w:p w14:paraId="68FCB172">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color w:val="auto"/>
                      <w:spacing w:val="8"/>
                      <w:sz w:val="21"/>
                      <w:szCs w:val="21"/>
                    </w:rPr>
                  </w:pPr>
                </w:p>
              </w:tc>
              <w:tc>
                <w:tcPr>
                  <w:tcW w:w="709" w:type="dxa"/>
                  <w:vAlign w:val="center"/>
                </w:tcPr>
                <w:p w14:paraId="4AB78FDE">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center"/>
                    <w:textAlignment w:val="auto"/>
                    <w:rPr>
                      <w:b/>
                      <w:bCs/>
                      <w:color w:val="auto"/>
                      <w:spacing w:val="7"/>
                      <w:sz w:val="21"/>
                      <w:szCs w:val="21"/>
                      <w:vertAlign w:val="baseline"/>
                    </w:rPr>
                  </w:pPr>
                  <w:r>
                    <w:rPr>
                      <w:color w:val="auto"/>
                      <w:spacing w:val="3"/>
                      <w:sz w:val="21"/>
                      <w:szCs w:val="21"/>
                    </w:rPr>
                    <w:t>符合</w:t>
                  </w:r>
                </w:p>
              </w:tc>
            </w:tr>
            <w:tr w14:paraId="1EF96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22364CF8">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center"/>
                    <w:textAlignment w:val="auto"/>
                    <w:rPr>
                      <w:b/>
                      <w:bCs/>
                      <w:color w:val="auto"/>
                      <w:spacing w:val="7"/>
                      <w:sz w:val="21"/>
                      <w:szCs w:val="21"/>
                      <w:vertAlign w:val="baseline"/>
                    </w:rPr>
                  </w:pPr>
                </w:p>
              </w:tc>
              <w:tc>
                <w:tcPr>
                  <w:tcW w:w="690" w:type="dxa"/>
                  <w:vMerge w:val="continue"/>
                  <w:vAlign w:val="center"/>
                </w:tcPr>
                <w:p w14:paraId="2EEBFD63">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center"/>
                    <w:textAlignment w:val="auto"/>
                    <w:rPr>
                      <w:b/>
                      <w:bCs/>
                      <w:color w:val="auto"/>
                      <w:spacing w:val="7"/>
                      <w:sz w:val="21"/>
                      <w:szCs w:val="21"/>
                      <w:vertAlign w:val="baseline"/>
                    </w:rPr>
                  </w:pPr>
                </w:p>
              </w:tc>
              <w:tc>
                <w:tcPr>
                  <w:tcW w:w="2445" w:type="dxa"/>
                  <w:vAlign w:val="top"/>
                </w:tcPr>
                <w:p w14:paraId="7C1A66E2">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1.1-6禁止在自治区行政区域内引进能（水）耗不符合相关国家标准中准入值要求且污染物排放和环境风险防控不符合国家（地方）标准及有关产业准入条件的高污染（排放）、高能（水）耗、高环境风险的工业项目。</w:t>
                  </w:r>
                </w:p>
              </w:tc>
              <w:tc>
                <w:tcPr>
                  <w:tcW w:w="2385" w:type="dxa"/>
                  <w:vAlign w:val="center"/>
                </w:tcPr>
                <w:p w14:paraId="2BF6C3A7">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eastAsia="宋体" w:cs="宋体"/>
                      <w:color w:val="auto"/>
                      <w:spacing w:val="8"/>
                      <w:kern w:val="2"/>
                      <w:sz w:val="21"/>
                      <w:szCs w:val="21"/>
                      <w:lang w:val="en-US" w:eastAsia="en-US" w:bidi="ar-SA"/>
                    </w:rPr>
                  </w:pPr>
                  <w:r>
                    <w:rPr>
                      <w:rFonts w:hint="default" w:ascii="宋体" w:hAnsi="宋体" w:eastAsia="宋体" w:cs="宋体"/>
                      <w:color w:val="auto"/>
                      <w:spacing w:val="8"/>
                      <w:kern w:val="2"/>
                      <w:sz w:val="21"/>
                      <w:szCs w:val="21"/>
                      <w:lang w:val="en-US" w:eastAsia="zh-CN" w:bidi="ar-SA"/>
                    </w:rPr>
                    <w:t>本项目属于防洪除涝工程</w:t>
                  </w:r>
                  <w:r>
                    <w:rPr>
                      <w:rFonts w:hint="eastAsia" w:ascii="宋体" w:hAnsi="宋体" w:eastAsia="宋体" w:cs="宋体"/>
                      <w:color w:val="auto"/>
                      <w:spacing w:val="8"/>
                      <w:kern w:val="2"/>
                      <w:sz w:val="21"/>
                      <w:szCs w:val="21"/>
                      <w:lang w:val="en-US" w:eastAsia="zh-CN" w:bidi="ar-SA"/>
                    </w:rPr>
                    <w:t>，</w:t>
                  </w:r>
                  <w:r>
                    <w:rPr>
                      <w:rFonts w:ascii="宋体" w:hAnsi="宋体" w:eastAsia="宋体" w:cs="宋体"/>
                      <w:color w:val="auto"/>
                      <w:spacing w:val="8"/>
                      <w:kern w:val="2"/>
                      <w:sz w:val="21"/>
                      <w:szCs w:val="21"/>
                      <w:lang w:val="en-US" w:eastAsia="en-US" w:bidi="ar-SA"/>
                    </w:rPr>
                    <w:t>为生态影响类项目，不属于高污染（排放）、高能（水）耗、高环境风险的工业项目。</w:t>
                  </w:r>
                </w:p>
              </w:tc>
              <w:tc>
                <w:tcPr>
                  <w:tcW w:w="709" w:type="dxa"/>
                  <w:vAlign w:val="center"/>
                </w:tcPr>
                <w:p w14:paraId="2579992E">
                  <w:pPr>
                    <w:pStyle w:val="65"/>
                    <w:spacing w:before="65" w:line="226" w:lineRule="auto"/>
                    <w:rPr>
                      <w:rFonts w:ascii="宋体" w:hAnsi="宋体" w:eastAsia="宋体" w:cs="宋体"/>
                      <w:color w:val="auto"/>
                      <w:spacing w:val="8"/>
                      <w:kern w:val="2"/>
                      <w:sz w:val="21"/>
                      <w:szCs w:val="21"/>
                      <w:lang w:val="en-US" w:eastAsia="en-US" w:bidi="ar-SA"/>
                    </w:rPr>
                  </w:pPr>
                  <w:r>
                    <w:rPr>
                      <w:rFonts w:ascii="宋体" w:hAnsi="宋体" w:eastAsia="宋体" w:cs="宋体"/>
                      <w:color w:val="auto"/>
                      <w:spacing w:val="8"/>
                      <w:kern w:val="2"/>
                      <w:sz w:val="21"/>
                      <w:szCs w:val="21"/>
                      <w:lang w:val="en-US" w:eastAsia="en-US" w:bidi="ar-SA"/>
                    </w:rPr>
                    <w:t>符合</w:t>
                  </w:r>
                </w:p>
              </w:tc>
            </w:tr>
            <w:tr w14:paraId="62D57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6CFECF48">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p>
              </w:tc>
              <w:tc>
                <w:tcPr>
                  <w:tcW w:w="690" w:type="dxa"/>
                  <w:vMerge w:val="restart"/>
                  <w:vAlign w:val="center"/>
                </w:tcPr>
                <w:p w14:paraId="5C0DB352">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A1.2限制开发建设的活动</w:t>
                  </w:r>
                </w:p>
              </w:tc>
              <w:tc>
                <w:tcPr>
                  <w:tcW w:w="2445" w:type="dxa"/>
                  <w:vAlign w:val="top"/>
                </w:tcPr>
                <w:p w14:paraId="6FAF9C95">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A1.2-1严格控制缺水地区、水污染严重区域和敏感区域高耗水、高污染行业发展。</w:t>
                  </w:r>
                </w:p>
              </w:tc>
              <w:tc>
                <w:tcPr>
                  <w:tcW w:w="2385" w:type="dxa"/>
                  <w:vAlign w:val="center"/>
                </w:tcPr>
                <w:p w14:paraId="1A136165">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hint="default" w:ascii="宋体" w:hAnsi="宋体" w:eastAsia="宋体" w:cs="宋体"/>
                      <w:color w:val="auto"/>
                      <w:spacing w:val="8"/>
                      <w:kern w:val="2"/>
                      <w:sz w:val="21"/>
                      <w:szCs w:val="21"/>
                      <w:lang w:val="en-US" w:eastAsia="zh-CN" w:bidi="ar-SA"/>
                    </w:rPr>
                    <w:t>本项目属于防洪除涝工程</w:t>
                  </w:r>
                  <w:r>
                    <w:rPr>
                      <w:rFonts w:hint="eastAsia" w:ascii="宋体" w:hAnsi="宋体" w:eastAsia="宋体" w:cs="宋体"/>
                      <w:color w:val="auto"/>
                      <w:spacing w:val="8"/>
                      <w:kern w:val="2"/>
                      <w:sz w:val="21"/>
                      <w:szCs w:val="21"/>
                      <w:lang w:val="en-US" w:eastAsia="zh-CN" w:bidi="ar-SA"/>
                    </w:rPr>
                    <w:t>，</w:t>
                  </w:r>
                  <w:r>
                    <w:rPr>
                      <w:rFonts w:ascii="Times New Roman" w:hAnsi="Times New Roman" w:eastAsia="Times New Roman" w:cs="Times New Roman"/>
                      <w:color w:val="auto"/>
                      <w:spacing w:val="5"/>
                      <w:sz w:val="21"/>
                      <w:szCs w:val="21"/>
                    </w:rPr>
                    <w:t>项目的实施有利于提升渠道的防洪能力。</w:t>
                  </w:r>
                </w:p>
              </w:tc>
              <w:tc>
                <w:tcPr>
                  <w:tcW w:w="709" w:type="dxa"/>
                  <w:vAlign w:val="center"/>
                </w:tcPr>
                <w:p w14:paraId="2D08B62B">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color w:val="auto"/>
                      <w:spacing w:val="3"/>
                      <w:sz w:val="21"/>
                      <w:szCs w:val="21"/>
                    </w:rPr>
                    <w:t>符合</w:t>
                  </w:r>
                </w:p>
              </w:tc>
            </w:tr>
            <w:tr w14:paraId="1867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145D7D1E">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p>
              </w:tc>
              <w:tc>
                <w:tcPr>
                  <w:tcW w:w="690" w:type="dxa"/>
                  <w:vMerge w:val="continue"/>
                  <w:vAlign w:val="center"/>
                </w:tcPr>
                <w:p w14:paraId="26C44657">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p>
              </w:tc>
              <w:tc>
                <w:tcPr>
                  <w:tcW w:w="2445" w:type="dxa"/>
                  <w:vAlign w:val="top"/>
                </w:tcPr>
                <w:p w14:paraId="3E9E6935">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1.2-2建设项目用地原则上不得占用永久基本农田，确需占用永久基本农田的建设项目须符合《中华人民共和国基本农田保护条例》中相关要求，占用耕地、林地或草地的建设项目须按照国家、自治区相关补偿要求进行补偿。</w:t>
                  </w:r>
                </w:p>
              </w:tc>
              <w:tc>
                <w:tcPr>
                  <w:tcW w:w="2385" w:type="dxa"/>
                  <w:vAlign w:val="center"/>
                </w:tcPr>
                <w:p w14:paraId="35350CBF">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项目不占用永久基本农田，项目建设有利于防洪。</w:t>
                  </w:r>
                </w:p>
              </w:tc>
              <w:tc>
                <w:tcPr>
                  <w:tcW w:w="709" w:type="dxa"/>
                  <w:vAlign w:val="center"/>
                </w:tcPr>
                <w:p w14:paraId="7A50C1CE">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符合</w:t>
                  </w:r>
                </w:p>
              </w:tc>
            </w:tr>
            <w:tr w14:paraId="03784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6A19BE2F">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center"/>
                    <w:textAlignment w:val="auto"/>
                    <w:rPr>
                      <w:b/>
                      <w:bCs/>
                      <w:color w:val="auto"/>
                      <w:spacing w:val="7"/>
                      <w:sz w:val="21"/>
                      <w:szCs w:val="21"/>
                      <w:vertAlign w:val="baseline"/>
                    </w:rPr>
                  </w:pPr>
                </w:p>
              </w:tc>
              <w:tc>
                <w:tcPr>
                  <w:tcW w:w="690" w:type="dxa"/>
                  <w:vMerge w:val="continue"/>
                  <w:vAlign w:val="center"/>
                </w:tcPr>
                <w:p w14:paraId="4E3FD027">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jc w:val="center"/>
                    <w:textAlignment w:val="auto"/>
                    <w:rPr>
                      <w:b/>
                      <w:bCs/>
                      <w:color w:val="auto"/>
                      <w:spacing w:val="7"/>
                      <w:sz w:val="21"/>
                      <w:szCs w:val="21"/>
                      <w:vertAlign w:val="baseline"/>
                    </w:rPr>
                  </w:pPr>
                </w:p>
              </w:tc>
              <w:tc>
                <w:tcPr>
                  <w:tcW w:w="2445" w:type="dxa"/>
                  <w:vAlign w:val="top"/>
                </w:tcPr>
                <w:p w14:paraId="2CC7833F">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A1.2-5严格管控自然保护地范围内非生态活动，稳妥推进核心区内居民、耕地有序退出，矿权依法依规退出。</w:t>
                  </w:r>
                </w:p>
              </w:tc>
              <w:tc>
                <w:tcPr>
                  <w:tcW w:w="2385" w:type="dxa"/>
                  <w:vAlign w:val="center"/>
                </w:tcPr>
                <w:p w14:paraId="2DF090D6">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项目不占用自然保护地</w:t>
                  </w:r>
                </w:p>
              </w:tc>
              <w:tc>
                <w:tcPr>
                  <w:tcW w:w="709" w:type="dxa"/>
                  <w:vAlign w:val="center"/>
                </w:tcPr>
                <w:p w14:paraId="3EDF18B3">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符合</w:t>
                  </w:r>
                </w:p>
              </w:tc>
            </w:tr>
            <w:tr w14:paraId="2F0A8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restart"/>
                  <w:vAlign w:val="center"/>
                </w:tcPr>
                <w:p w14:paraId="4D8BF2AE">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A.1空间布局约束</w:t>
                  </w:r>
                </w:p>
              </w:tc>
              <w:tc>
                <w:tcPr>
                  <w:tcW w:w="690" w:type="dxa"/>
                  <w:vMerge w:val="restart"/>
                  <w:vAlign w:val="center"/>
                </w:tcPr>
                <w:p w14:paraId="57FC56EF">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A1.3不符合空间布局要求活动的退出要求</w:t>
                  </w:r>
                </w:p>
              </w:tc>
              <w:tc>
                <w:tcPr>
                  <w:tcW w:w="2445" w:type="dxa"/>
                  <w:vAlign w:val="top"/>
                </w:tcPr>
                <w:p w14:paraId="333BB25D">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A1.3-1任何单位和个人不得在水源涵养区、饮用水水源保护区内和河流、湖泊、水库周围建设重化工、涉重金属等工业污染项目；对已建成的工业污染项目，当地人民政府应当组织限期搬迁。</w:t>
                  </w:r>
                </w:p>
              </w:tc>
              <w:tc>
                <w:tcPr>
                  <w:tcW w:w="2385" w:type="dxa"/>
                  <w:vAlign w:val="center"/>
                </w:tcPr>
                <w:p w14:paraId="2E661277">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项目评价范围内不涉及水源涵养区、地下水源、饮用水源、自然保护区、风景名胜区、森林公园、重要湿地等，属于生态影响类项目，不涉及工业污染。</w:t>
                  </w:r>
                </w:p>
              </w:tc>
              <w:tc>
                <w:tcPr>
                  <w:tcW w:w="709" w:type="dxa"/>
                  <w:vAlign w:val="center"/>
                </w:tcPr>
                <w:p w14:paraId="62378798">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符合</w:t>
                  </w:r>
                </w:p>
              </w:tc>
            </w:tr>
            <w:tr w14:paraId="32556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41B1A27F">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p>
              </w:tc>
              <w:tc>
                <w:tcPr>
                  <w:tcW w:w="690" w:type="dxa"/>
                  <w:vMerge w:val="continue"/>
                  <w:vAlign w:val="center"/>
                </w:tcPr>
                <w:p w14:paraId="5F4F4597">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p>
              </w:tc>
              <w:tc>
                <w:tcPr>
                  <w:tcW w:w="2445" w:type="dxa"/>
                  <w:vAlign w:val="top"/>
                </w:tcPr>
                <w:p w14:paraId="6DF134F1">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A1.3-2对不符合国家产业政策、严重污染水环境的生产项目全部予以取缔。</w:t>
                  </w:r>
                </w:p>
              </w:tc>
              <w:tc>
                <w:tcPr>
                  <w:tcW w:w="2385" w:type="dxa"/>
                  <w:vAlign w:val="center"/>
                </w:tcPr>
                <w:p w14:paraId="711D1A4A">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本项目为鼓励类项目，不属于严重污染水环境的项目</w:t>
                  </w:r>
                </w:p>
              </w:tc>
              <w:tc>
                <w:tcPr>
                  <w:tcW w:w="709" w:type="dxa"/>
                  <w:vAlign w:val="center"/>
                </w:tcPr>
                <w:p w14:paraId="490FAB25">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符合</w:t>
                  </w:r>
                </w:p>
              </w:tc>
            </w:tr>
            <w:tr w14:paraId="5C0AE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51C61767">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p>
              </w:tc>
              <w:tc>
                <w:tcPr>
                  <w:tcW w:w="690" w:type="dxa"/>
                  <w:vAlign w:val="center"/>
                </w:tcPr>
                <w:p w14:paraId="02C896B9">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A1.4其他布局要求</w:t>
                  </w:r>
                </w:p>
              </w:tc>
              <w:tc>
                <w:tcPr>
                  <w:tcW w:w="2445" w:type="dxa"/>
                  <w:vAlign w:val="top"/>
                </w:tcPr>
                <w:p w14:paraId="23D03917">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1.4-1一切开发建设活动应符合国家、自治区主体功能区规划、自治区和各地颁布实施的生态环境功能区划、国民经济发展规划、产业发展规划、国土空间规划等相关规划及重点生态功能区负面清单要求，符合区域或产业规划环评要求。</w:t>
                  </w:r>
                </w:p>
              </w:tc>
              <w:tc>
                <w:tcPr>
                  <w:tcW w:w="2385" w:type="dxa"/>
                  <w:vAlign w:val="center"/>
                </w:tcPr>
                <w:p w14:paraId="6231162A">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本项目符合自治区主体功能区规划、自治区和各地颁布实施的生态环境功能区划等要求</w:t>
                  </w:r>
                </w:p>
              </w:tc>
              <w:tc>
                <w:tcPr>
                  <w:tcW w:w="709" w:type="dxa"/>
                  <w:vAlign w:val="center"/>
                </w:tcPr>
                <w:p w14:paraId="03F59881">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符合</w:t>
                  </w:r>
                </w:p>
              </w:tc>
            </w:tr>
            <w:tr w14:paraId="40BB4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restart"/>
                  <w:vAlign w:val="center"/>
                </w:tcPr>
                <w:p w14:paraId="188C3AAF">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A.2污染物排放控制</w:t>
                  </w:r>
                </w:p>
              </w:tc>
              <w:tc>
                <w:tcPr>
                  <w:tcW w:w="690" w:type="dxa"/>
                  <w:vMerge w:val="restart"/>
                  <w:vAlign w:val="center"/>
                </w:tcPr>
                <w:p w14:paraId="5C82F9E7">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A2.1污染物削减/替代要求</w:t>
                  </w:r>
                </w:p>
              </w:tc>
              <w:tc>
                <w:tcPr>
                  <w:tcW w:w="2445" w:type="dxa"/>
                  <w:vAlign w:val="top"/>
                </w:tcPr>
                <w:p w14:paraId="6612FE73">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A2.1-1新、改、扩建重点行业建设项目应符合“三线一单”、产业政策、区域环评、规划环评和行业环境准入管控要求。重点区域的新、改、扩建重点行业建设项目应遵循重点重金属污染物排放“减量替代”原则。</w:t>
                  </w:r>
                </w:p>
              </w:tc>
              <w:tc>
                <w:tcPr>
                  <w:tcW w:w="2385" w:type="dxa"/>
                  <w:vMerge w:val="restart"/>
                  <w:vAlign w:val="center"/>
                </w:tcPr>
                <w:p w14:paraId="118213AB">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本项目</w:t>
                  </w:r>
                  <w:r>
                    <w:rPr>
                      <w:rFonts w:hint="eastAsia" w:ascii="Times New Roman" w:hAnsi="Times New Roman" w:eastAsia="宋体" w:cs="Times New Roman"/>
                      <w:color w:val="auto"/>
                      <w:spacing w:val="5"/>
                      <w:sz w:val="21"/>
                      <w:szCs w:val="21"/>
                      <w:lang w:eastAsia="zh-CN"/>
                    </w:rPr>
                    <w:t>属于</w:t>
                  </w:r>
                  <w:r>
                    <w:rPr>
                      <w:rFonts w:ascii="Times New Roman" w:hAnsi="Times New Roman" w:eastAsia="Times New Roman" w:cs="Times New Roman"/>
                      <w:color w:val="auto"/>
                      <w:spacing w:val="5"/>
                      <w:sz w:val="21"/>
                      <w:szCs w:val="21"/>
                    </w:rPr>
                    <w:t>生态影响类项目，不设总量控制指标，不涉及污染物削减/替代。</w:t>
                  </w:r>
                </w:p>
              </w:tc>
              <w:tc>
                <w:tcPr>
                  <w:tcW w:w="709" w:type="dxa"/>
                  <w:vAlign w:val="center"/>
                </w:tcPr>
                <w:p w14:paraId="69CABFA8">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符合</w:t>
                  </w:r>
                </w:p>
              </w:tc>
            </w:tr>
            <w:tr w14:paraId="07F53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0EB6003B">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p>
              </w:tc>
              <w:tc>
                <w:tcPr>
                  <w:tcW w:w="690" w:type="dxa"/>
                  <w:vMerge w:val="continue"/>
                  <w:vAlign w:val="center"/>
                </w:tcPr>
                <w:p w14:paraId="3E9BD432">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p>
              </w:tc>
              <w:tc>
                <w:tcPr>
                  <w:tcW w:w="2445" w:type="dxa"/>
                  <w:vAlign w:val="top"/>
                </w:tcPr>
                <w:p w14:paraId="13464940">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A2.1-3促进大气污染物与温室气体协同控制。实施污染物和温室气体协同控制，实现减污降碳协同效应。开展工业、农业温室气体和污染减排协同控制研究，减少温室气体和污染物排放。强化污水、垃圾等集中处置设施环境管理，协同控制氢氟碳化物、甲烷等温室气体。加强节约能源与大气污染防治协同有效衔接，促进大气污染防治协同增效。</w:t>
                  </w:r>
                </w:p>
              </w:tc>
              <w:tc>
                <w:tcPr>
                  <w:tcW w:w="2385" w:type="dxa"/>
                  <w:vMerge w:val="continue"/>
                  <w:vAlign w:val="center"/>
                </w:tcPr>
                <w:p w14:paraId="5C5EEF9E">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p>
              </w:tc>
              <w:tc>
                <w:tcPr>
                  <w:tcW w:w="709" w:type="dxa"/>
                  <w:vAlign w:val="center"/>
                </w:tcPr>
                <w:p w14:paraId="7DD494FF">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符合</w:t>
                  </w:r>
                </w:p>
              </w:tc>
            </w:tr>
            <w:tr w14:paraId="076A5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restart"/>
                  <w:vAlign w:val="center"/>
                </w:tcPr>
                <w:p w14:paraId="66707EE6">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A.2污染物排放控制</w:t>
                  </w:r>
                </w:p>
              </w:tc>
              <w:tc>
                <w:tcPr>
                  <w:tcW w:w="690" w:type="dxa"/>
                  <w:vMerge w:val="restart"/>
                  <w:vAlign w:val="center"/>
                </w:tcPr>
                <w:p w14:paraId="6AACE08A">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A2.2污染控制措施要求</w:t>
                  </w:r>
                </w:p>
              </w:tc>
              <w:tc>
                <w:tcPr>
                  <w:tcW w:w="2445" w:type="dxa"/>
                  <w:vAlign w:val="top"/>
                </w:tcPr>
                <w:p w14:paraId="747D6104">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2.2-3强化重点区域大气污染联防联控，合理确定产业布局，推动区域内统一产业准入和排放标准。实施水泥行业错峰生产，推进散煤整治、挥发性有机污染物综合治理、钢铁、水泥、焦化和燃煤工业锅炉行业超低排放改造、燃气锅炉低氨燃烧改造、工业园区内轨道运输（大宗货物“公转铁”）、柴油货车治理、锅炉炉窑综合治理等工程项目。全面推行绿色施工，持续推动城市建成区重污染企业搬迁或关闭退出。</w:t>
                  </w:r>
                </w:p>
              </w:tc>
              <w:tc>
                <w:tcPr>
                  <w:tcW w:w="2385" w:type="dxa"/>
                  <w:vAlign w:val="center"/>
                </w:tcPr>
                <w:p w14:paraId="42385B1B">
                  <w:pPr>
                    <w:pStyle w:val="65"/>
                    <w:keepNext w:val="0"/>
                    <w:keepLines w:val="0"/>
                    <w:pageBreakBefore w:val="0"/>
                    <w:widowControl w:val="0"/>
                    <w:kinsoku/>
                    <w:wordWrap/>
                    <w:topLinePunct w:val="0"/>
                    <w:autoSpaceDE/>
                    <w:autoSpaceDN/>
                    <w:bidi w:val="0"/>
                    <w:adjustRightInd w:val="0"/>
                    <w:snapToGrid w:val="0"/>
                    <w:spacing w:line="240" w:lineRule="auto"/>
                    <w:ind w:left="0"/>
                    <w:jc w:val="both"/>
                    <w:textAlignment w:val="auto"/>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本项目属生态影响类项目，主要环境空气污染为施工期影响，主要是施工场地扬尘，施工机械废气和车辆运输废气等。采取洒水抑尘、分段施工、进出场车辆遮盖、起尘物料洒水降尘、运输车辆限载、限速、场地围挡等环境保护措施后，可以将影响降到最低，且影响会随着施工的结束扬尘影响消失。运营期无废气。</w:t>
                  </w:r>
                </w:p>
              </w:tc>
              <w:tc>
                <w:tcPr>
                  <w:tcW w:w="709" w:type="dxa"/>
                  <w:vAlign w:val="center"/>
                </w:tcPr>
                <w:p w14:paraId="1B5CAEE0">
                  <w:pPr>
                    <w:pStyle w:val="65"/>
                    <w:keepNext w:val="0"/>
                    <w:keepLines w:val="0"/>
                    <w:pageBreakBefore w:val="0"/>
                    <w:widowControl w:val="0"/>
                    <w:kinsoku/>
                    <w:wordWrap/>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符合</w:t>
                  </w:r>
                </w:p>
              </w:tc>
            </w:tr>
            <w:tr w14:paraId="572BF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top"/>
                </w:tcPr>
                <w:p w14:paraId="15075A65">
                  <w:pPr>
                    <w:rPr>
                      <w:rFonts w:ascii="Times New Roman" w:hAnsi="Times New Roman" w:eastAsia="Times New Roman" w:cs="Times New Roman"/>
                      <w:color w:val="auto"/>
                      <w:spacing w:val="5"/>
                      <w:kern w:val="2"/>
                      <w:sz w:val="21"/>
                      <w:szCs w:val="21"/>
                      <w:lang w:val="en-US" w:eastAsia="en-US" w:bidi="ar-SA"/>
                    </w:rPr>
                  </w:pPr>
                </w:p>
              </w:tc>
              <w:tc>
                <w:tcPr>
                  <w:tcW w:w="690" w:type="dxa"/>
                  <w:vMerge w:val="continue"/>
                  <w:vAlign w:val="top"/>
                </w:tcPr>
                <w:p w14:paraId="4E2B80E5">
                  <w:pPr>
                    <w:rPr>
                      <w:rFonts w:ascii="Times New Roman" w:hAnsi="Times New Roman" w:eastAsia="Times New Roman" w:cs="Times New Roman"/>
                      <w:color w:val="auto"/>
                      <w:spacing w:val="5"/>
                      <w:kern w:val="2"/>
                      <w:sz w:val="21"/>
                      <w:szCs w:val="21"/>
                      <w:lang w:val="en-US" w:eastAsia="en-US" w:bidi="ar-SA"/>
                    </w:rPr>
                  </w:pPr>
                </w:p>
              </w:tc>
              <w:tc>
                <w:tcPr>
                  <w:tcW w:w="2445" w:type="dxa"/>
                  <w:vAlign w:val="top"/>
                </w:tcPr>
                <w:p w14:paraId="6BC3445D">
                  <w:pPr>
                    <w:pStyle w:val="65"/>
                    <w:spacing w:before="35" w:line="228" w:lineRule="auto"/>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A2.2-4</w:t>
                  </w:r>
                  <w:r>
                    <w:rPr>
                      <w:rFonts w:hint="eastAsia" w:ascii="Times New Roman" w:hAnsi="Times New Roman" w:eastAsia="宋体" w:cs="Times New Roman"/>
                      <w:color w:val="auto"/>
                      <w:spacing w:val="5"/>
                      <w:kern w:val="2"/>
                      <w:sz w:val="21"/>
                      <w:szCs w:val="21"/>
                      <w:lang w:val="en-US" w:eastAsia="zh-CN" w:bidi="ar-SA"/>
                    </w:rPr>
                    <w:t>加</w:t>
                  </w:r>
                  <w:r>
                    <w:rPr>
                      <w:rFonts w:ascii="Times New Roman" w:hAnsi="Times New Roman" w:eastAsia="Times New Roman" w:cs="Times New Roman"/>
                      <w:color w:val="auto"/>
                      <w:spacing w:val="5"/>
                      <w:kern w:val="2"/>
                      <w:sz w:val="21"/>
                      <w:szCs w:val="21"/>
                      <w:lang w:val="en-US" w:eastAsia="en-US" w:bidi="ar-SA"/>
                    </w:rPr>
                    <w:t>强用水定额管理。推进地下水超采综合治理。开展河湖生态流量（水量）确定工作，强化生态用水保障。</w:t>
                  </w:r>
                </w:p>
              </w:tc>
              <w:tc>
                <w:tcPr>
                  <w:tcW w:w="2385" w:type="dxa"/>
                  <w:vAlign w:val="center"/>
                </w:tcPr>
                <w:p w14:paraId="4BF1FE9D">
                  <w:pPr>
                    <w:pStyle w:val="65"/>
                    <w:spacing w:before="65" w:line="227" w:lineRule="auto"/>
                    <w:jc w:val="both"/>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本项目为防洪除涝工程</w:t>
                  </w:r>
                </w:p>
              </w:tc>
              <w:tc>
                <w:tcPr>
                  <w:tcW w:w="709" w:type="dxa"/>
                  <w:vAlign w:val="center"/>
                </w:tcPr>
                <w:p w14:paraId="3D23B90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符合</w:t>
                  </w:r>
                </w:p>
              </w:tc>
            </w:tr>
            <w:tr w14:paraId="706E7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Align w:val="center"/>
                </w:tcPr>
                <w:p w14:paraId="41297E2C">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A.3环境风险防控</w:t>
                  </w:r>
                </w:p>
              </w:tc>
              <w:tc>
                <w:tcPr>
                  <w:tcW w:w="690" w:type="dxa"/>
                  <w:vAlign w:val="center"/>
                </w:tcPr>
                <w:p w14:paraId="50B7C6F8">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A3.1人居环境要求</w:t>
                  </w:r>
                </w:p>
              </w:tc>
              <w:tc>
                <w:tcPr>
                  <w:tcW w:w="2445" w:type="dxa"/>
                  <w:vAlign w:val="top"/>
                </w:tcPr>
                <w:p w14:paraId="06D39407">
                  <w:pPr>
                    <w:pStyle w:val="65"/>
                    <w:spacing w:before="35" w:line="228" w:lineRule="auto"/>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3.1-2对跨国境河流、涉及县级及以上集中式饮用水水源地的河流、其他重要环境敏感目标的河流，建立健全流域上下游突发水污染事件联防联控机制，建立流域环境应急基础信息动态更新长效机制，绘制全流域“一河一策一图”。建立健全跨部门、跨区域的环境应急协调联动处置机制，强化流域上下游、兵地各部门协调，实施联合监测、联合执法、应急联动、信息共享，形成“政府引导、多元联动、社会参与、专业救援”的环境应急处置机制，持续开展应急综合演练，实现从被动应对到主动防控的重大转变。加强流域突发水环境事件应急能力建设，提升应急响应水平，加强监测预警、拦污控污、信息通报、协同处置、基础保障等工作，防范重大生态环境风险，坚决守住生态环境安全底线。</w:t>
                  </w:r>
                </w:p>
              </w:tc>
              <w:tc>
                <w:tcPr>
                  <w:tcW w:w="2385" w:type="dxa"/>
                  <w:vAlign w:val="center"/>
                </w:tcPr>
                <w:p w14:paraId="76DA2954">
                  <w:pPr>
                    <w:pStyle w:val="65"/>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default" w:ascii="Times New Roman" w:hAnsi="Times New Roman" w:eastAsia="Times New Roman" w:cs="Times New Roman"/>
                      <w:color w:val="auto"/>
                      <w:spacing w:val="5"/>
                      <w:kern w:val="2"/>
                      <w:sz w:val="21"/>
                      <w:szCs w:val="21"/>
                      <w:lang w:val="en-US" w:eastAsia="en-US" w:bidi="ar-SA"/>
                    </w:rPr>
                  </w:pPr>
                  <w:r>
                    <w:rPr>
                      <w:rFonts w:hint="eastAsia" w:cs="宋体"/>
                      <w:color w:val="auto"/>
                      <w:spacing w:val="5"/>
                      <w:kern w:val="2"/>
                      <w:sz w:val="21"/>
                      <w:szCs w:val="21"/>
                      <w:lang w:val="en-US" w:eastAsia="zh-CN" w:bidi="ar-SA"/>
                    </w:rPr>
                    <w:t>本项目施工废水主要来自施工过程中的清洁废水和混凝土搅拌废水。施工废水采用沉淀池收集、澄清，全部回用于混凝土拌合、场地洒水等，不外排。</w:t>
                  </w:r>
                  <w:r>
                    <w:rPr>
                      <w:rFonts w:hint="eastAsia" w:ascii="宋体" w:hAnsi="宋体" w:eastAsia="宋体" w:cs="宋体"/>
                      <w:color w:val="auto"/>
                      <w:spacing w:val="5"/>
                      <w:kern w:val="2"/>
                      <w:sz w:val="21"/>
                      <w:szCs w:val="21"/>
                      <w:lang w:val="en-US" w:eastAsia="zh-CN" w:bidi="ar-SA"/>
                    </w:rPr>
                    <w:t>生活污水经化粪池处理后，委托环卫部门清运，不外排</w:t>
                  </w:r>
                  <w:r>
                    <w:rPr>
                      <w:rFonts w:hint="eastAsia" w:cs="宋体"/>
                      <w:color w:val="auto"/>
                      <w:spacing w:val="5"/>
                      <w:kern w:val="2"/>
                      <w:sz w:val="21"/>
                      <w:szCs w:val="21"/>
                      <w:lang w:val="en-US" w:eastAsia="zh-CN" w:bidi="ar-SA"/>
                    </w:rPr>
                    <w:t>。建筑垃圾及弃土拉运至指定填埋场及弃渣场处置。</w:t>
                  </w:r>
                </w:p>
              </w:tc>
              <w:tc>
                <w:tcPr>
                  <w:tcW w:w="709" w:type="dxa"/>
                  <w:vAlign w:val="center"/>
                </w:tcPr>
                <w:p w14:paraId="744129F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符合</w:t>
                  </w:r>
                </w:p>
              </w:tc>
            </w:tr>
            <w:tr w14:paraId="0D7A7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restart"/>
                  <w:vAlign w:val="center"/>
                </w:tcPr>
                <w:p w14:paraId="4A5DBC71">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A.3环境风险防控</w:t>
                  </w:r>
                </w:p>
              </w:tc>
              <w:tc>
                <w:tcPr>
                  <w:tcW w:w="690" w:type="dxa"/>
                  <w:vMerge w:val="restart"/>
                  <w:vAlign w:val="center"/>
                </w:tcPr>
                <w:p w14:paraId="3273E172">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A3.2联防联控要求</w:t>
                  </w:r>
                </w:p>
              </w:tc>
              <w:tc>
                <w:tcPr>
                  <w:tcW w:w="2445" w:type="dxa"/>
                  <w:vAlign w:val="top"/>
                </w:tcPr>
                <w:p w14:paraId="0AB30940">
                  <w:pPr>
                    <w:pStyle w:val="65"/>
                    <w:spacing w:before="35" w:line="228" w:lineRule="auto"/>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3.2-3加强新污染物多环境介质协同治理。排放重点管控新污染物的企事业单位应采取污染控制措施，达到相关污染物排放标准及环境质量目标要求；按照排污许可管理有关要求，依法申领排污许可证或填写排污登记表，并在其中载明执行的污染控制标准要求及采取的污染控制措施。排放重点管控新污染物的企事业单位和其他生产经营者应按照相关法律法规要求，对排放（污）口及其周边环境定期开展环境监测，评估环境风险，排查整治环境安全隐患，依法公开新污染物信息，采取措施防范环境风险。土壤污染重点监管单位应严格控制有毒有害物质排放，建立土壤污染隐患排查制度，防止有毒有害物质渗漏、流失、扬散。</w:t>
                  </w:r>
                </w:p>
              </w:tc>
              <w:tc>
                <w:tcPr>
                  <w:tcW w:w="2385" w:type="dxa"/>
                  <w:vAlign w:val="top"/>
                </w:tcPr>
                <w:p w14:paraId="2EAEFA4B">
                  <w:pPr>
                    <w:pStyle w:val="65"/>
                    <w:spacing w:before="35" w:line="228" w:lineRule="auto"/>
                    <w:rPr>
                      <w:rFonts w:ascii="Times New Roman" w:hAnsi="Times New Roman" w:eastAsia="Times New Roman" w:cs="Times New Roman"/>
                      <w:color w:val="auto"/>
                      <w:spacing w:val="5"/>
                      <w:kern w:val="2"/>
                      <w:sz w:val="21"/>
                      <w:szCs w:val="21"/>
                      <w:lang w:val="en-US" w:eastAsia="en-US" w:bidi="ar-SA"/>
                    </w:rPr>
                  </w:pPr>
                  <w:r>
                    <w:rPr>
                      <w:color w:val="auto"/>
                      <w:spacing w:val="5"/>
                      <w:sz w:val="21"/>
                      <w:szCs w:val="21"/>
                    </w:rPr>
                    <w:t>洒水降尘，土石方临时堆覆盖防尘网，避</w:t>
                  </w:r>
                  <w:r>
                    <w:rPr>
                      <w:color w:val="auto"/>
                      <w:spacing w:val="8"/>
                      <w:sz w:val="21"/>
                      <w:szCs w:val="21"/>
                    </w:rPr>
                    <w:t>免大风天气施工，加盖篷布、控制车速。</w:t>
                  </w:r>
                  <w:r>
                    <w:rPr>
                      <w:rFonts w:hint="eastAsia" w:cs="宋体"/>
                      <w:color w:val="auto"/>
                      <w:spacing w:val="5"/>
                      <w:kern w:val="2"/>
                      <w:sz w:val="21"/>
                      <w:szCs w:val="21"/>
                      <w:lang w:val="en-US" w:eastAsia="zh-CN" w:bidi="ar-SA"/>
                    </w:rPr>
                    <w:t>本项目施工废水主要来自施工过程中的清洁废水和混凝土搅拌废水。施工废水采用沉淀池收集、澄清，全部回用于混凝土拌合、场地洒水等，不外排。</w:t>
                  </w:r>
                  <w:r>
                    <w:rPr>
                      <w:rFonts w:hint="eastAsia" w:ascii="宋体" w:hAnsi="宋体" w:eastAsia="宋体" w:cs="宋体"/>
                      <w:color w:val="auto"/>
                      <w:spacing w:val="5"/>
                      <w:kern w:val="2"/>
                      <w:sz w:val="21"/>
                      <w:szCs w:val="21"/>
                      <w:lang w:val="en-US" w:eastAsia="zh-CN" w:bidi="ar-SA"/>
                    </w:rPr>
                    <w:t>生活污水经化粪池处理后，委托环卫部门清运，不外排</w:t>
                  </w:r>
                  <w:r>
                    <w:rPr>
                      <w:rFonts w:hint="eastAsia" w:cs="宋体"/>
                      <w:color w:val="auto"/>
                      <w:spacing w:val="5"/>
                      <w:kern w:val="2"/>
                      <w:sz w:val="21"/>
                      <w:szCs w:val="21"/>
                      <w:lang w:val="en-US" w:eastAsia="zh-CN" w:bidi="ar-SA"/>
                    </w:rPr>
                    <w:t>。</w:t>
                  </w:r>
                  <w:r>
                    <w:rPr>
                      <w:rFonts w:ascii="Times New Roman" w:hAnsi="Times New Roman" w:eastAsia="Times New Roman" w:cs="Times New Roman"/>
                      <w:color w:val="auto"/>
                      <w:spacing w:val="5"/>
                      <w:kern w:val="2"/>
                      <w:sz w:val="21"/>
                      <w:szCs w:val="21"/>
                      <w:lang w:val="en-US" w:eastAsia="en-US" w:bidi="ar-SA"/>
                    </w:rPr>
                    <w:t>在采取上述措施后，施工期的不利环境影响能够得到缓解和控制，污染物对周围环境和环境保护目标造成的影响较小。</w:t>
                  </w:r>
                </w:p>
              </w:tc>
              <w:tc>
                <w:tcPr>
                  <w:tcW w:w="709" w:type="dxa"/>
                  <w:vAlign w:val="center"/>
                </w:tcPr>
                <w:p w14:paraId="451E5AC7">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符合</w:t>
                  </w:r>
                </w:p>
              </w:tc>
            </w:tr>
            <w:tr w14:paraId="0888C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1208A768">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p>
              </w:tc>
              <w:tc>
                <w:tcPr>
                  <w:tcW w:w="690" w:type="dxa"/>
                  <w:vMerge w:val="continue"/>
                  <w:vAlign w:val="center"/>
                </w:tcPr>
                <w:p w14:paraId="6EA8069F">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p>
              </w:tc>
              <w:tc>
                <w:tcPr>
                  <w:tcW w:w="2445" w:type="dxa"/>
                  <w:vAlign w:val="top"/>
                </w:tcPr>
                <w:p w14:paraId="1A6BC670">
                  <w:pPr>
                    <w:pStyle w:val="65"/>
                    <w:spacing w:before="35" w:line="228" w:lineRule="auto"/>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3.2-5强化生态环境应急管理。实施企业突发生态环境应急预案电子化备案，完成县级以上政府突发环境事件应急预案修编。完善区域和企业应急处置物资储备系统，结合新疆各地特征污染物的特性，加强应急物资储备及应急物资信息化建设，掌握社会应急物资储备动态信息，妥善应对各类突发生态环境事件。加强应急监测装备配置，定期开展应急演练，增强实战能力。</w:t>
                  </w:r>
                </w:p>
              </w:tc>
              <w:tc>
                <w:tcPr>
                  <w:tcW w:w="2385" w:type="dxa"/>
                  <w:vAlign w:val="top"/>
                </w:tcPr>
                <w:p w14:paraId="6D233003">
                  <w:pPr>
                    <w:pStyle w:val="65"/>
                    <w:spacing w:before="35" w:line="228" w:lineRule="auto"/>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为保证本工程环境保护工作的顺利实施和长期进行，保持区域生态系统的良性发展，提出环境管理方面的制度和建议：①在该工程施工方案中应有环境保护的条款，施工方应严格执行设计和环境影响评价中提出的影响防治措施；②认真贯彻国家和地方有关环境保护的方针、政策、法规、条例，接受上级部门的工作指导、管理和各级环保机构的监督；执行环保法规，落实环境影响评价、设计与环保工作计划中的每一项环保措施；③加强施工单位人员的环保教育，按照环保要求文明施工、规范作业；④环境管理机构人员应对施工活动进行全过程环境监督，以保证施工期环境保护措施的全面落实。</w:t>
                  </w:r>
                </w:p>
              </w:tc>
              <w:tc>
                <w:tcPr>
                  <w:tcW w:w="709" w:type="dxa"/>
                  <w:vAlign w:val="center"/>
                </w:tcPr>
                <w:p w14:paraId="409482B8">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符合</w:t>
                  </w:r>
                </w:p>
              </w:tc>
            </w:tr>
            <w:tr w14:paraId="0BFE9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9" w:type="dxa"/>
                  <w:vMerge w:val="restart"/>
                  <w:vAlign w:val="center"/>
                </w:tcPr>
                <w:p w14:paraId="1601035D">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A.4资源利用要求</w:t>
                  </w:r>
                </w:p>
              </w:tc>
              <w:tc>
                <w:tcPr>
                  <w:tcW w:w="690" w:type="dxa"/>
                  <w:vAlign w:val="center"/>
                </w:tcPr>
                <w:p w14:paraId="7D41E345">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A4.1水资源</w:t>
                  </w:r>
                </w:p>
              </w:tc>
              <w:tc>
                <w:tcPr>
                  <w:tcW w:w="2445" w:type="dxa"/>
                  <w:vAlign w:val="center"/>
                </w:tcPr>
                <w:p w14:paraId="5CE7BF3C">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A4.1-1自治区用水总量2025年、2030年控制在国家下达的指标内。</w:t>
                  </w:r>
                </w:p>
              </w:tc>
              <w:tc>
                <w:tcPr>
                  <w:tcW w:w="2385" w:type="dxa"/>
                  <w:vAlign w:val="center"/>
                </w:tcPr>
                <w:p w14:paraId="1AD6E52C">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项目的实施有利于节约水资源。</w:t>
                  </w:r>
                </w:p>
              </w:tc>
              <w:tc>
                <w:tcPr>
                  <w:tcW w:w="709" w:type="dxa"/>
                  <w:vAlign w:val="center"/>
                </w:tcPr>
                <w:p w14:paraId="22FA6645">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符合</w:t>
                  </w:r>
                </w:p>
              </w:tc>
            </w:tr>
            <w:tr w14:paraId="253FE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040F76ED">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p>
              </w:tc>
              <w:tc>
                <w:tcPr>
                  <w:tcW w:w="690" w:type="dxa"/>
                  <w:vAlign w:val="center"/>
                </w:tcPr>
                <w:p w14:paraId="16CDBC04">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A4.2土地资源</w:t>
                  </w:r>
                </w:p>
              </w:tc>
              <w:tc>
                <w:tcPr>
                  <w:tcW w:w="2445" w:type="dxa"/>
                  <w:vAlign w:val="center"/>
                </w:tcPr>
                <w:p w14:paraId="6409B50A">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A4.2-1土地资源上线指标控制在最终批复的国土空间规划控制资源指标内</w:t>
                  </w:r>
                </w:p>
              </w:tc>
              <w:tc>
                <w:tcPr>
                  <w:tcW w:w="2385" w:type="dxa"/>
                  <w:vAlign w:val="center"/>
                </w:tcPr>
                <w:p w14:paraId="341C91C3">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hint="default" w:ascii="Times New Roman" w:hAnsi="Times New Roman" w:eastAsia="Times New Roman" w:cs="Times New Roman"/>
                      <w:color w:val="auto"/>
                      <w:spacing w:val="5"/>
                      <w:kern w:val="2"/>
                      <w:sz w:val="21"/>
                      <w:szCs w:val="21"/>
                      <w:lang w:val="en-US" w:eastAsia="zh-CN" w:bidi="ar-SA"/>
                    </w:rPr>
                    <w:t>不涉及新增</w:t>
                  </w:r>
                  <w:r>
                    <w:rPr>
                      <w:rFonts w:hint="eastAsia" w:ascii="Times New Roman" w:hAnsi="Times New Roman" w:eastAsia="Times New Roman" w:cs="Times New Roman"/>
                      <w:color w:val="auto"/>
                      <w:spacing w:val="5"/>
                      <w:kern w:val="2"/>
                      <w:sz w:val="21"/>
                      <w:szCs w:val="21"/>
                      <w:lang w:val="en-US" w:eastAsia="zh-CN" w:bidi="ar-SA"/>
                    </w:rPr>
                    <w:t>水利设施</w:t>
                  </w:r>
                  <w:r>
                    <w:rPr>
                      <w:rFonts w:hint="default" w:ascii="Times New Roman" w:hAnsi="Times New Roman" w:eastAsia="Times New Roman" w:cs="Times New Roman"/>
                      <w:color w:val="auto"/>
                      <w:spacing w:val="5"/>
                      <w:kern w:val="2"/>
                      <w:sz w:val="21"/>
                      <w:szCs w:val="21"/>
                      <w:lang w:val="en-US" w:eastAsia="en-US" w:bidi="ar-SA"/>
                    </w:rPr>
                    <w:t>用地</w:t>
                  </w:r>
                  <w:r>
                    <w:rPr>
                      <w:rFonts w:ascii="Times New Roman" w:hAnsi="Times New Roman" w:eastAsia="Times New Roman" w:cs="Times New Roman"/>
                      <w:color w:val="auto"/>
                      <w:spacing w:val="5"/>
                      <w:kern w:val="2"/>
                      <w:sz w:val="21"/>
                      <w:szCs w:val="21"/>
                      <w:lang w:val="en-US" w:eastAsia="en-US" w:bidi="ar-SA"/>
                    </w:rPr>
                    <w:t>，项目总体上不会突破资源利用</w:t>
                  </w:r>
                  <w:r>
                    <w:rPr>
                      <w:rFonts w:hint="eastAsia" w:ascii="Times New Roman" w:hAnsi="Times New Roman" w:eastAsia="Times New Roman" w:cs="Times New Roman"/>
                      <w:color w:val="auto"/>
                      <w:spacing w:val="5"/>
                      <w:kern w:val="2"/>
                      <w:sz w:val="21"/>
                      <w:szCs w:val="21"/>
                      <w:lang w:val="en-US" w:eastAsia="zh-CN" w:bidi="ar-SA"/>
                    </w:rPr>
                    <w:t>上限</w:t>
                  </w:r>
                  <w:r>
                    <w:rPr>
                      <w:rFonts w:ascii="Times New Roman" w:hAnsi="Times New Roman" w:eastAsia="Times New Roman" w:cs="Times New Roman"/>
                      <w:color w:val="auto"/>
                      <w:spacing w:val="5"/>
                      <w:kern w:val="2"/>
                      <w:sz w:val="21"/>
                      <w:szCs w:val="21"/>
                      <w:lang w:val="en-US" w:eastAsia="en-US" w:bidi="ar-SA"/>
                    </w:rPr>
                    <w:t>，符合土地资源控制要求。</w:t>
                  </w:r>
                </w:p>
              </w:tc>
              <w:tc>
                <w:tcPr>
                  <w:tcW w:w="709" w:type="dxa"/>
                  <w:vAlign w:val="center"/>
                </w:tcPr>
                <w:p w14:paraId="42FA351B">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符合</w:t>
                  </w:r>
                </w:p>
              </w:tc>
            </w:tr>
            <w:tr w14:paraId="70C63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6589B2C4">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p>
              </w:tc>
              <w:tc>
                <w:tcPr>
                  <w:tcW w:w="690" w:type="dxa"/>
                  <w:vAlign w:val="center"/>
                </w:tcPr>
                <w:p w14:paraId="06DD3C57">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A4.3能源利用</w:t>
                  </w:r>
                </w:p>
              </w:tc>
              <w:tc>
                <w:tcPr>
                  <w:tcW w:w="2445" w:type="dxa"/>
                  <w:vAlign w:val="center"/>
                </w:tcPr>
                <w:p w14:paraId="091CC62B">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A4.3-1单位地区生产总值二氧化碳排放降低水平完成国家下达指标</w:t>
                  </w:r>
                </w:p>
              </w:tc>
              <w:tc>
                <w:tcPr>
                  <w:tcW w:w="2385" w:type="dxa"/>
                  <w:vAlign w:val="center"/>
                </w:tcPr>
                <w:p w14:paraId="46A429E3">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不涉及</w:t>
                  </w:r>
                </w:p>
              </w:tc>
              <w:tc>
                <w:tcPr>
                  <w:tcW w:w="709" w:type="dxa"/>
                  <w:vAlign w:val="center"/>
                </w:tcPr>
                <w:p w14:paraId="4FD9DD61">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符合</w:t>
                  </w:r>
                </w:p>
              </w:tc>
            </w:tr>
            <w:tr w14:paraId="76818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5D6267E4">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p>
              </w:tc>
              <w:tc>
                <w:tcPr>
                  <w:tcW w:w="690" w:type="dxa"/>
                  <w:vAlign w:val="center"/>
                </w:tcPr>
                <w:p w14:paraId="5CE4ABA6">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A4.4禁燃区要求</w:t>
                  </w:r>
                </w:p>
              </w:tc>
              <w:tc>
                <w:tcPr>
                  <w:tcW w:w="2445" w:type="dxa"/>
                  <w:vAlign w:val="center"/>
                </w:tcPr>
                <w:p w14:paraId="31BB6747">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A4.4-1在禁燃区内，禁止销售、燃用高污染燃料；禁止新建、扩建燃用高污染燃料的设施。已建成的，应当在规定期限内改用清洁能源。</w:t>
                  </w:r>
                </w:p>
              </w:tc>
              <w:tc>
                <w:tcPr>
                  <w:tcW w:w="2385" w:type="dxa"/>
                  <w:vAlign w:val="center"/>
                </w:tcPr>
                <w:p w14:paraId="46AACF78">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不涉及</w:t>
                  </w:r>
                </w:p>
              </w:tc>
              <w:tc>
                <w:tcPr>
                  <w:tcW w:w="709" w:type="dxa"/>
                  <w:vAlign w:val="center"/>
                </w:tcPr>
                <w:p w14:paraId="54F65144">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符合</w:t>
                  </w:r>
                </w:p>
              </w:tc>
            </w:tr>
            <w:tr w14:paraId="41E74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dxa"/>
                  <w:vMerge w:val="continue"/>
                  <w:vAlign w:val="center"/>
                </w:tcPr>
                <w:p w14:paraId="6CE05D50">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p>
              </w:tc>
              <w:tc>
                <w:tcPr>
                  <w:tcW w:w="690" w:type="dxa"/>
                  <w:vAlign w:val="center"/>
                </w:tcPr>
                <w:p w14:paraId="7F7D07CF">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A4.5资源综合利用</w:t>
                  </w:r>
                </w:p>
              </w:tc>
              <w:tc>
                <w:tcPr>
                  <w:tcW w:w="2445" w:type="dxa"/>
                  <w:vAlign w:val="top"/>
                </w:tcPr>
                <w:p w14:paraId="46D3E989">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A4.5-1加强固体废物源头减量、资源化利用和无害化处置，最大限度减少填埋量。推进工业固体废物精细化、名录化环境管理，促进大宗工业固废综合利用、主要农业废弃物全量利用。加快构建废旧物资回收和循环利用体系，健全强制报废制度和废旧家电、消费电子等耐用消费品回收处理体系，推行生产企业“逆向回收”等模式。以尾矿和共伴生矿、煤研石、炉渣、粉煤灰、脱硫石膏、冶炼渣、建筑垃圾等为重点，持续推进固体废物综合利用和环境整治，不断提高大宗固体废物资源化利用水平。推行生活垃圾分类，加快建设县（市）生活垃圾处理设施，到2025年，全疆城市生活垃圾无害化处理率达到99%以上。</w:t>
                  </w:r>
                </w:p>
              </w:tc>
              <w:tc>
                <w:tcPr>
                  <w:tcW w:w="2385" w:type="dxa"/>
                  <w:vAlign w:val="center"/>
                </w:tcPr>
                <w:p w14:paraId="21DC5815">
                  <w:pPr>
                    <w:pStyle w:val="65"/>
                    <w:spacing w:before="35" w:line="228" w:lineRule="auto"/>
                    <w:jc w:val="both"/>
                    <w:rPr>
                      <w:rFonts w:ascii="Times New Roman" w:hAnsi="Times New Roman" w:eastAsia="Times New Roman" w:cs="Times New Roman"/>
                      <w:color w:val="auto"/>
                      <w:spacing w:val="5"/>
                      <w:kern w:val="2"/>
                      <w:sz w:val="21"/>
                      <w:szCs w:val="21"/>
                      <w:lang w:val="en-US" w:eastAsia="en-US" w:bidi="ar-SA"/>
                    </w:rPr>
                  </w:pPr>
                  <w:r>
                    <w:rPr>
                      <w:rFonts w:hint="default"/>
                      <w:color w:val="auto"/>
                      <w:spacing w:val="4"/>
                      <w:sz w:val="21"/>
                      <w:szCs w:val="21"/>
                      <w:lang w:val="en-US" w:eastAsia="zh-CN"/>
                    </w:rPr>
                    <w:t>弃</w:t>
                  </w:r>
                  <w:r>
                    <w:rPr>
                      <w:rFonts w:hint="eastAsia"/>
                      <w:color w:val="auto"/>
                      <w:spacing w:val="4"/>
                      <w:sz w:val="21"/>
                      <w:szCs w:val="21"/>
                      <w:lang w:val="en-US" w:eastAsia="zh-CN"/>
                    </w:rPr>
                    <w:t>土</w:t>
                  </w:r>
                  <w:r>
                    <w:rPr>
                      <w:rFonts w:hint="default"/>
                      <w:color w:val="auto"/>
                      <w:spacing w:val="4"/>
                      <w:sz w:val="21"/>
                      <w:szCs w:val="21"/>
                      <w:lang w:val="en-US" w:eastAsia="zh-CN"/>
                    </w:rPr>
                    <w:t>堆置建筑弃渣场，</w:t>
                  </w:r>
                  <w:r>
                    <w:rPr>
                      <w:rFonts w:hint="eastAsia"/>
                      <w:color w:val="auto"/>
                      <w:spacing w:val="4"/>
                      <w:sz w:val="21"/>
                      <w:szCs w:val="21"/>
                      <w:lang w:val="en-US" w:eastAsia="zh-CN"/>
                    </w:rPr>
                    <w:t>施工结束后进行生态恢复；</w:t>
                  </w:r>
                  <w:r>
                    <w:rPr>
                      <w:rFonts w:hint="default"/>
                      <w:color w:val="auto"/>
                      <w:spacing w:val="4"/>
                      <w:sz w:val="21"/>
                      <w:szCs w:val="21"/>
                      <w:lang w:val="en-US" w:eastAsia="zh-CN"/>
                    </w:rPr>
                    <w:t>建筑垃圾，应进行分类收集、分类管理，能够回收利用的尽量回收综合利用，以节约资源；对于不能回收利用，拉运至奇台县建筑垃圾填埋场处置。</w:t>
                  </w:r>
                </w:p>
              </w:tc>
              <w:tc>
                <w:tcPr>
                  <w:tcW w:w="709" w:type="dxa"/>
                  <w:vAlign w:val="center"/>
                </w:tcPr>
                <w:p w14:paraId="13761FA0">
                  <w:pPr>
                    <w:pStyle w:val="65"/>
                    <w:spacing w:before="35" w:line="228" w:lineRule="auto"/>
                    <w:jc w:val="center"/>
                    <w:rPr>
                      <w:rFonts w:ascii="Times New Roman" w:hAnsi="Times New Roman" w:eastAsia="Times New Roman" w:cs="Times New Roman"/>
                      <w:color w:val="auto"/>
                      <w:spacing w:val="5"/>
                      <w:kern w:val="2"/>
                      <w:sz w:val="21"/>
                      <w:szCs w:val="21"/>
                      <w:lang w:val="en-US" w:eastAsia="en-US" w:bidi="ar-SA"/>
                    </w:rPr>
                  </w:pPr>
                  <w:r>
                    <w:rPr>
                      <w:rFonts w:ascii="Times New Roman" w:hAnsi="Times New Roman" w:eastAsia="Times New Roman" w:cs="Times New Roman"/>
                      <w:color w:val="auto"/>
                      <w:spacing w:val="5"/>
                      <w:kern w:val="2"/>
                      <w:sz w:val="21"/>
                      <w:szCs w:val="21"/>
                      <w:lang w:val="en-US" w:eastAsia="en-US" w:bidi="ar-SA"/>
                    </w:rPr>
                    <w:t>符合</w:t>
                  </w:r>
                </w:p>
              </w:tc>
            </w:tr>
          </w:tbl>
          <w:p w14:paraId="57F95A42">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76" w:firstLineChars="200"/>
              <w:textAlignment w:val="auto"/>
              <w:rPr>
                <w:color w:val="auto"/>
                <w:spacing w:val="-2"/>
                <w:sz w:val="24"/>
                <w:szCs w:val="24"/>
              </w:rPr>
            </w:pPr>
            <w:r>
              <w:rPr>
                <w:color w:val="auto"/>
                <w:spacing w:val="-1"/>
                <w:sz w:val="24"/>
                <w:szCs w:val="24"/>
              </w:rPr>
              <w:t>项目符合《新疆维吾尔自治区生态环境分区管控动态更新成果》</w:t>
            </w:r>
            <w:r>
              <w:rPr>
                <w:color w:val="auto"/>
                <w:spacing w:val="-2"/>
                <w:sz w:val="24"/>
                <w:szCs w:val="24"/>
              </w:rPr>
              <w:t>（新环环评发〔</w:t>
            </w:r>
            <w:r>
              <w:rPr>
                <w:rFonts w:ascii="Times New Roman" w:hAnsi="Times New Roman" w:eastAsia="Times New Roman" w:cs="Times New Roman"/>
                <w:color w:val="auto"/>
                <w:spacing w:val="-2"/>
                <w:sz w:val="24"/>
                <w:szCs w:val="24"/>
              </w:rPr>
              <w:t>2024</w:t>
            </w:r>
            <w:r>
              <w:rPr>
                <w:color w:val="auto"/>
                <w:spacing w:val="-2"/>
                <w:sz w:val="24"/>
                <w:szCs w:val="24"/>
              </w:rPr>
              <w:t>〕</w:t>
            </w:r>
            <w:r>
              <w:rPr>
                <w:rFonts w:ascii="Times New Roman" w:hAnsi="Times New Roman" w:eastAsia="Times New Roman" w:cs="Times New Roman"/>
                <w:color w:val="auto"/>
                <w:spacing w:val="-2"/>
                <w:sz w:val="24"/>
                <w:szCs w:val="24"/>
              </w:rPr>
              <w:t>157</w:t>
            </w:r>
            <w:r>
              <w:rPr>
                <w:color w:val="auto"/>
                <w:spacing w:val="-2"/>
                <w:sz w:val="24"/>
                <w:szCs w:val="24"/>
              </w:rPr>
              <w:t>号）文件的要求。</w:t>
            </w:r>
          </w:p>
          <w:p w14:paraId="6B6C979A">
            <w:pPr>
              <w:keepNext w:val="0"/>
              <w:keepLines w:val="0"/>
              <w:pageBreakBefore w:val="0"/>
              <w:widowControl w:val="0"/>
              <w:numPr>
                <w:ilvl w:val="0"/>
                <w:numId w:val="4"/>
              </w:numPr>
              <w:kinsoku/>
              <w:wordWrap/>
              <w:overflowPunct w:val="0"/>
              <w:topLinePunct w:val="0"/>
              <w:autoSpaceDE/>
              <w:autoSpaceDN/>
              <w:bidi w:val="0"/>
              <w:adjustRightInd w:val="0"/>
              <w:snapToGrid w:val="0"/>
              <w:spacing w:line="360" w:lineRule="auto"/>
              <w:ind w:left="0" w:leftChars="0" w:firstLine="482" w:firstLineChars="200"/>
              <w:jc w:val="both"/>
              <w:textAlignment w:val="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《新疆维吾尔自治区七大片区</w:t>
            </w:r>
            <w:r>
              <w:rPr>
                <w:rFonts w:hint="eastAsia" w:cs="Times New Roman"/>
                <w:b/>
                <w:bCs/>
                <w:color w:val="auto"/>
                <w:sz w:val="24"/>
                <w:szCs w:val="24"/>
                <w:lang w:eastAsia="zh-CN"/>
              </w:rPr>
              <w:t>“三线一单”</w:t>
            </w:r>
            <w:r>
              <w:rPr>
                <w:rFonts w:ascii="Times New Roman" w:hAnsi="Times New Roman" w:eastAsia="宋体" w:cs="Times New Roman"/>
                <w:b/>
                <w:bCs/>
                <w:color w:val="auto"/>
                <w:sz w:val="24"/>
                <w:szCs w:val="24"/>
              </w:rPr>
              <w:t>生态环境分区管控要求》符合性分析</w:t>
            </w:r>
          </w:p>
          <w:p w14:paraId="24B7E81F">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72" w:firstLineChars="200"/>
              <w:textAlignment w:val="auto"/>
              <w:rPr>
                <w:rFonts w:ascii="Times New Roman" w:hAnsi="Times New Roman" w:eastAsia="Times New Roman" w:cs="Times New Roman"/>
                <w:color w:val="auto"/>
                <w:spacing w:val="-2"/>
                <w:sz w:val="24"/>
                <w:szCs w:val="24"/>
              </w:rPr>
            </w:pPr>
            <w:r>
              <w:rPr>
                <w:rFonts w:ascii="Times New Roman" w:hAnsi="Times New Roman" w:eastAsia="Times New Roman" w:cs="Times New Roman"/>
                <w:color w:val="auto"/>
                <w:spacing w:val="-2"/>
                <w:sz w:val="24"/>
                <w:szCs w:val="24"/>
              </w:rPr>
              <w:t>根据《关于印发</w:t>
            </w:r>
            <w:r>
              <w:rPr>
                <w:rFonts w:hint="eastAsia" w:ascii="Times New Roman" w:hAnsi="Times New Roman" w:eastAsia="宋体" w:cs="Times New Roman"/>
                <w:color w:val="auto"/>
                <w:spacing w:val="-2"/>
                <w:sz w:val="24"/>
                <w:szCs w:val="24"/>
                <w:lang w:eastAsia="zh-CN"/>
              </w:rPr>
              <w:t>〈</w:t>
            </w:r>
            <w:r>
              <w:rPr>
                <w:rFonts w:ascii="Times New Roman" w:hAnsi="Times New Roman" w:eastAsia="Times New Roman" w:cs="Times New Roman"/>
                <w:color w:val="auto"/>
                <w:spacing w:val="-2"/>
                <w:sz w:val="24"/>
                <w:szCs w:val="24"/>
              </w:rPr>
              <w:t>新疆维吾尔自治区七大片区</w:t>
            </w:r>
            <w:r>
              <w:rPr>
                <w:rFonts w:hint="eastAsia" w:ascii="Times New Roman" w:hAnsi="Times New Roman" w:eastAsia="宋体" w:cs="Times New Roman"/>
                <w:color w:val="auto"/>
                <w:spacing w:val="-2"/>
                <w:sz w:val="24"/>
                <w:szCs w:val="24"/>
                <w:lang w:eastAsia="zh-CN"/>
              </w:rPr>
              <w:t>“三线一单”</w:t>
            </w:r>
            <w:r>
              <w:rPr>
                <w:rFonts w:ascii="Times New Roman" w:hAnsi="Times New Roman" w:eastAsia="Times New Roman" w:cs="Times New Roman"/>
                <w:color w:val="auto"/>
                <w:spacing w:val="-2"/>
                <w:sz w:val="24"/>
                <w:szCs w:val="24"/>
              </w:rPr>
              <w:t>生态环境分区管控要求</w:t>
            </w:r>
            <w:r>
              <w:rPr>
                <w:rFonts w:hint="eastAsia" w:ascii="Times New Roman" w:hAnsi="Times New Roman" w:eastAsia="宋体" w:cs="Times New Roman"/>
                <w:color w:val="auto"/>
                <w:spacing w:val="-2"/>
                <w:sz w:val="24"/>
                <w:szCs w:val="24"/>
                <w:lang w:eastAsia="zh-CN"/>
              </w:rPr>
              <w:t>〉</w:t>
            </w:r>
            <w:r>
              <w:rPr>
                <w:rFonts w:ascii="Times New Roman" w:hAnsi="Times New Roman" w:eastAsia="Times New Roman" w:cs="Times New Roman"/>
                <w:color w:val="auto"/>
                <w:spacing w:val="-2"/>
                <w:sz w:val="24"/>
                <w:szCs w:val="24"/>
              </w:rPr>
              <w:t>（2021年版）的通知》（新环环评发〔2021〕162号），本项目位于七大片区中北疆北部片区，工程与《新疆维吾尔自治区七大片区</w:t>
            </w:r>
            <w:r>
              <w:rPr>
                <w:rFonts w:hint="eastAsia" w:ascii="Times New Roman" w:hAnsi="Times New Roman" w:eastAsia="宋体" w:cs="Times New Roman"/>
                <w:color w:val="auto"/>
                <w:spacing w:val="-2"/>
                <w:sz w:val="24"/>
                <w:szCs w:val="24"/>
                <w:lang w:eastAsia="zh-CN"/>
              </w:rPr>
              <w:t>“三线一单”</w:t>
            </w:r>
            <w:r>
              <w:rPr>
                <w:rFonts w:ascii="Times New Roman" w:hAnsi="Times New Roman" w:eastAsia="Times New Roman" w:cs="Times New Roman"/>
                <w:color w:val="auto"/>
                <w:spacing w:val="-2"/>
                <w:sz w:val="24"/>
                <w:szCs w:val="24"/>
              </w:rPr>
              <w:t>生态环境分区管控要求》符合性分析详见表</w:t>
            </w:r>
            <w:r>
              <w:rPr>
                <w:rFonts w:hint="eastAsia" w:ascii="Times New Roman" w:hAnsi="Times New Roman" w:eastAsia="宋体" w:cs="Times New Roman"/>
                <w:color w:val="auto"/>
                <w:spacing w:val="-2"/>
                <w:sz w:val="24"/>
                <w:szCs w:val="24"/>
                <w:lang w:val="en-US" w:eastAsia="zh-CN"/>
              </w:rPr>
              <w:t>1-2</w:t>
            </w:r>
            <w:r>
              <w:rPr>
                <w:rFonts w:ascii="Times New Roman" w:hAnsi="Times New Roman" w:eastAsia="Times New Roman" w:cs="Times New Roman"/>
                <w:color w:val="auto"/>
                <w:spacing w:val="-2"/>
                <w:sz w:val="24"/>
                <w:szCs w:val="24"/>
              </w:rPr>
              <w:t>。</w:t>
            </w:r>
          </w:p>
          <w:p w14:paraId="17E12290">
            <w:pPr>
              <w:keepNext w:val="0"/>
              <w:keepLines w:val="0"/>
              <w:pageBreakBefore w:val="0"/>
              <w:widowControl w:val="0"/>
              <w:numPr>
                <w:ilvl w:val="0"/>
                <w:numId w:val="5"/>
              </w:numPr>
              <w:kinsoku/>
              <w:wordWrap/>
              <w:overflowPunct w:val="0"/>
              <w:topLinePunct w:val="0"/>
              <w:autoSpaceDE/>
              <w:autoSpaceDN/>
              <w:bidi w:val="0"/>
              <w:adjustRightInd w:val="0"/>
              <w:snapToGrid w:val="0"/>
              <w:spacing w:line="240" w:lineRule="auto"/>
              <w:ind w:left="0" w:leftChars="0" w:firstLine="0" w:firstLineChars="0"/>
              <w:jc w:val="both"/>
              <w:textAlignment w:val="auto"/>
              <w:rPr>
                <w:b/>
                <w:bCs/>
                <w:color w:val="auto"/>
                <w:spacing w:val="7"/>
                <w:sz w:val="24"/>
                <w:szCs w:val="24"/>
              </w:rPr>
            </w:pPr>
            <w:r>
              <w:rPr>
                <w:b/>
                <w:bCs/>
                <w:color w:val="auto"/>
                <w:spacing w:val="7"/>
                <w:sz w:val="24"/>
                <w:szCs w:val="24"/>
              </w:rPr>
              <w:t>与《新疆维吾尔自治区七大片区“三线一单”生态环境分区管控要求》符合性分析</w:t>
            </w:r>
          </w:p>
          <w:tbl>
            <w:tblPr>
              <w:tblStyle w:val="28"/>
              <w:tblW w:w="67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2929"/>
              <w:gridCol w:w="2411"/>
              <w:gridCol w:w="979"/>
            </w:tblGrid>
            <w:tr w14:paraId="2D6CA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dxa"/>
                  <w:vMerge w:val="restart"/>
                  <w:vAlign w:val="center"/>
                </w:tcPr>
                <w:p w14:paraId="44EE6B7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b/>
                      <w:bCs/>
                      <w:color w:val="auto"/>
                      <w:spacing w:val="-4"/>
                      <w:sz w:val="21"/>
                      <w:szCs w:val="21"/>
                      <w:vertAlign w:val="baseline"/>
                    </w:rPr>
                  </w:pPr>
                  <w:r>
                    <w:rPr>
                      <w:b w:val="0"/>
                      <w:bCs w:val="0"/>
                      <w:color w:val="auto"/>
                      <w:spacing w:val="6"/>
                      <w:sz w:val="21"/>
                      <w:szCs w:val="21"/>
                    </w:rPr>
                    <w:t>北疆北部片区总体管控要求</w:t>
                  </w:r>
                </w:p>
              </w:tc>
              <w:tc>
                <w:tcPr>
                  <w:tcW w:w="2929" w:type="dxa"/>
                  <w:vAlign w:val="center"/>
                </w:tcPr>
                <w:p w14:paraId="2FEC52F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b/>
                      <w:bCs/>
                      <w:color w:val="auto"/>
                      <w:spacing w:val="-4"/>
                      <w:sz w:val="21"/>
                      <w:szCs w:val="21"/>
                      <w:vertAlign w:val="baseline"/>
                    </w:rPr>
                  </w:pPr>
                  <w:r>
                    <w:rPr>
                      <w:b/>
                      <w:bCs/>
                      <w:color w:val="auto"/>
                      <w:spacing w:val="5"/>
                      <w:sz w:val="21"/>
                      <w:szCs w:val="21"/>
                    </w:rPr>
                    <w:t>管控要求</w:t>
                  </w:r>
                </w:p>
              </w:tc>
              <w:tc>
                <w:tcPr>
                  <w:tcW w:w="2411" w:type="dxa"/>
                  <w:vAlign w:val="center"/>
                </w:tcPr>
                <w:p w14:paraId="344AFF2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b/>
                      <w:bCs/>
                      <w:color w:val="auto"/>
                      <w:spacing w:val="-4"/>
                      <w:sz w:val="21"/>
                      <w:szCs w:val="21"/>
                      <w:vertAlign w:val="baseline"/>
                    </w:rPr>
                  </w:pPr>
                  <w:r>
                    <w:rPr>
                      <w:b/>
                      <w:bCs/>
                      <w:color w:val="auto"/>
                      <w:spacing w:val="5"/>
                      <w:sz w:val="21"/>
                      <w:szCs w:val="21"/>
                    </w:rPr>
                    <w:t>本工程</w:t>
                  </w:r>
                </w:p>
              </w:tc>
              <w:tc>
                <w:tcPr>
                  <w:tcW w:w="979" w:type="dxa"/>
                  <w:vAlign w:val="center"/>
                </w:tcPr>
                <w:p w14:paraId="2C22AD0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b/>
                      <w:bCs/>
                      <w:color w:val="auto"/>
                      <w:spacing w:val="-4"/>
                      <w:sz w:val="21"/>
                      <w:szCs w:val="21"/>
                      <w:vertAlign w:val="baseline"/>
                    </w:rPr>
                  </w:pPr>
                  <w:r>
                    <w:rPr>
                      <w:b/>
                      <w:bCs/>
                      <w:color w:val="auto"/>
                      <w:spacing w:val="5"/>
                      <w:sz w:val="21"/>
                      <w:szCs w:val="21"/>
                    </w:rPr>
                    <w:t>符合性</w:t>
                  </w:r>
                </w:p>
              </w:tc>
            </w:tr>
            <w:tr w14:paraId="73281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dxa"/>
                  <w:vMerge w:val="continue"/>
                </w:tcPr>
                <w:p w14:paraId="4DDFAD1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b/>
                      <w:bCs/>
                      <w:color w:val="auto"/>
                      <w:spacing w:val="-4"/>
                      <w:sz w:val="21"/>
                      <w:szCs w:val="21"/>
                      <w:vertAlign w:val="baseline"/>
                    </w:rPr>
                  </w:pPr>
                </w:p>
              </w:tc>
              <w:tc>
                <w:tcPr>
                  <w:tcW w:w="2929" w:type="dxa"/>
                  <w:vAlign w:val="top"/>
                </w:tcPr>
                <w:p w14:paraId="6F48690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2" w:firstLineChars="0"/>
                    <w:jc w:val="both"/>
                    <w:textAlignment w:val="auto"/>
                    <w:rPr>
                      <w:b/>
                      <w:bCs/>
                      <w:color w:val="auto"/>
                      <w:spacing w:val="-4"/>
                      <w:sz w:val="21"/>
                      <w:szCs w:val="21"/>
                      <w:vertAlign w:val="baseline"/>
                    </w:rPr>
                  </w:pPr>
                  <w:r>
                    <w:rPr>
                      <w:color w:val="auto"/>
                      <w:spacing w:val="6"/>
                      <w:sz w:val="21"/>
                      <w:szCs w:val="21"/>
                    </w:rPr>
                    <w:t>严格执行国家、自治区产业政策和</w:t>
                  </w:r>
                  <w:r>
                    <w:rPr>
                      <w:color w:val="auto"/>
                      <w:spacing w:val="4"/>
                      <w:sz w:val="21"/>
                      <w:szCs w:val="21"/>
                    </w:rPr>
                    <w:t>环境准入要求，严禁“三高”项目进新疆，坚决遏制“两高”项目盲</w:t>
                  </w:r>
                  <w:r>
                    <w:rPr>
                      <w:color w:val="auto"/>
                      <w:spacing w:val="6"/>
                      <w:sz w:val="21"/>
                      <w:szCs w:val="21"/>
                    </w:rPr>
                    <w:t>目发展。不得在水源涵养区、饮用水水源保护区内和河流、湖泊、水库周围建设重化工、涉重金属等工</w:t>
                  </w:r>
                  <w:r>
                    <w:rPr>
                      <w:color w:val="auto"/>
                      <w:spacing w:val="7"/>
                      <w:sz w:val="21"/>
                      <w:szCs w:val="21"/>
                    </w:rPr>
                    <w:t>业污染项目。推动项目集聚发展，</w:t>
                  </w:r>
                  <w:r>
                    <w:rPr>
                      <w:color w:val="auto"/>
                      <w:spacing w:val="6"/>
                      <w:sz w:val="21"/>
                      <w:szCs w:val="21"/>
                    </w:rPr>
                    <w:t>新建、改建、扩建工业项目原则上</w:t>
                  </w:r>
                  <w:r>
                    <w:rPr>
                      <w:color w:val="auto"/>
                      <w:spacing w:val="21"/>
                      <w:sz w:val="21"/>
                      <w:szCs w:val="21"/>
                    </w:rPr>
                    <w:t>应布置于由县级及以上人民政府</w:t>
                  </w:r>
                  <w:r>
                    <w:rPr>
                      <w:color w:val="auto"/>
                      <w:spacing w:val="6"/>
                      <w:sz w:val="21"/>
                      <w:szCs w:val="21"/>
                    </w:rPr>
                    <w:t>批准建立、环境保护基础设施完善的产业园区、工业聚集区或规划矿区，并且符合相关规划和规划环评</w:t>
                  </w:r>
                  <w:r>
                    <w:rPr>
                      <w:color w:val="auto"/>
                      <w:spacing w:val="3"/>
                      <w:sz w:val="21"/>
                      <w:szCs w:val="21"/>
                    </w:rPr>
                    <w:t>要求。</w:t>
                  </w:r>
                </w:p>
              </w:tc>
              <w:tc>
                <w:tcPr>
                  <w:tcW w:w="2411" w:type="dxa"/>
                  <w:vAlign w:val="top"/>
                </w:tcPr>
                <w:p w14:paraId="170274A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b/>
                      <w:bCs/>
                      <w:color w:val="auto"/>
                      <w:spacing w:val="-4"/>
                      <w:sz w:val="21"/>
                      <w:szCs w:val="21"/>
                      <w:vertAlign w:val="baseline"/>
                    </w:rPr>
                  </w:pPr>
                  <w:r>
                    <w:rPr>
                      <w:color w:val="auto"/>
                      <w:spacing w:val="8"/>
                      <w:sz w:val="21"/>
                      <w:szCs w:val="21"/>
                    </w:rPr>
                    <w:t>本项目为防洪除涝工</w:t>
                  </w:r>
                  <w:r>
                    <w:rPr>
                      <w:color w:val="auto"/>
                      <w:spacing w:val="9"/>
                      <w:sz w:val="21"/>
                      <w:szCs w:val="21"/>
                    </w:rPr>
                    <w:t>程，符合产业政策，建</w:t>
                  </w:r>
                  <w:r>
                    <w:rPr>
                      <w:color w:val="auto"/>
                      <w:spacing w:val="8"/>
                      <w:sz w:val="21"/>
                      <w:szCs w:val="21"/>
                    </w:rPr>
                    <w:t>设地点不涉及自然保护</w:t>
                  </w:r>
                  <w:r>
                    <w:rPr>
                      <w:color w:val="auto"/>
                      <w:spacing w:val="7"/>
                      <w:sz w:val="21"/>
                      <w:szCs w:val="21"/>
                    </w:rPr>
                    <w:t>区、风景名胜区、饮用</w:t>
                  </w:r>
                  <w:r>
                    <w:rPr>
                      <w:color w:val="auto"/>
                      <w:spacing w:val="8"/>
                      <w:sz w:val="21"/>
                      <w:szCs w:val="21"/>
                    </w:rPr>
                    <w:t>水水源保护区、世界文化和自然遗产地、森林</w:t>
                  </w:r>
                  <w:r>
                    <w:rPr>
                      <w:color w:val="auto"/>
                      <w:spacing w:val="4"/>
                      <w:sz w:val="21"/>
                      <w:szCs w:val="21"/>
                    </w:rPr>
                    <w:t>公园、基本农田保护区、</w:t>
                  </w:r>
                  <w:r>
                    <w:rPr>
                      <w:color w:val="auto"/>
                      <w:spacing w:val="8"/>
                      <w:sz w:val="21"/>
                      <w:szCs w:val="21"/>
                    </w:rPr>
                    <w:t>基本草原、森林公园、地质公园、重要湿地、天然林、珍稀濒危野生动植物天然集中分布区等重点保护区域内及其它法律法规禁止的区域，运营期无污染物排</w:t>
                  </w:r>
                  <w:r>
                    <w:rPr>
                      <w:color w:val="auto"/>
                      <w:spacing w:val="4"/>
                      <w:sz w:val="21"/>
                      <w:szCs w:val="21"/>
                    </w:rPr>
                    <w:t>放，项目建设符合要求。</w:t>
                  </w:r>
                </w:p>
              </w:tc>
              <w:tc>
                <w:tcPr>
                  <w:tcW w:w="979" w:type="dxa"/>
                  <w:vAlign w:val="center"/>
                </w:tcPr>
                <w:p w14:paraId="0E9A5F0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b/>
                      <w:bCs/>
                      <w:color w:val="auto"/>
                      <w:spacing w:val="-4"/>
                      <w:sz w:val="21"/>
                      <w:szCs w:val="21"/>
                      <w:vertAlign w:val="baseline"/>
                    </w:rPr>
                  </w:pPr>
                  <w:r>
                    <w:rPr>
                      <w:color w:val="auto"/>
                      <w:spacing w:val="3"/>
                      <w:sz w:val="21"/>
                      <w:szCs w:val="21"/>
                    </w:rPr>
                    <w:t>符合</w:t>
                  </w:r>
                </w:p>
              </w:tc>
            </w:tr>
            <w:tr w14:paraId="336D5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dxa"/>
                  <w:vMerge w:val="continue"/>
                </w:tcPr>
                <w:p w14:paraId="545BE19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b/>
                      <w:bCs/>
                      <w:color w:val="auto"/>
                      <w:spacing w:val="-4"/>
                      <w:sz w:val="21"/>
                      <w:szCs w:val="21"/>
                      <w:vertAlign w:val="baseline"/>
                    </w:rPr>
                  </w:pPr>
                </w:p>
              </w:tc>
              <w:tc>
                <w:tcPr>
                  <w:tcW w:w="2929" w:type="dxa"/>
                </w:tcPr>
                <w:p w14:paraId="743FDFA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b/>
                      <w:bCs/>
                      <w:color w:val="auto"/>
                      <w:spacing w:val="-4"/>
                      <w:sz w:val="21"/>
                      <w:szCs w:val="21"/>
                      <w:vertAlign w:val="baseline"/>
                    </w:rPr>
                  </w:pPr>
                  <w:r>
                    <w:rPr>
                      <w:color w:val="auto"/>
                      <w:spacing w:val="6"/>
                      <w:sz w:val="21"/>
                      <w:szCs w:val="21"/>
                    </w:rPr>
                    <w:t>深化行业污染源头治理，深入开展</w:t>
                  </w:r>
                  <w:r>
                    <w:rPr>
                      <w:color w:val="auto"/>
                      <w:spacing w:val="7"/>
                      <w:sz w:val="21"/>
                      <w:szCs w:val="21"/>
                    </w:rPr>
                    <w:t>火电行业减排，全力推进钢铁行业超低排放改造，有序推进石化行业</w:t>
                  </w:r>
                  <w:r>
                    <w:rPr>
                      <w:color w:val="auto"/>
                      <w:spacing w:val="5"/>
                      <w:sz w:val="21"/>
                      <w:szCs w:val="21"/>
                    </w:rPr>
                    <w:t>“泄漏检测与修复</w:t>
                  </w:r>
                  <w:r>
                    <w:rPr>
                      <w:color w:val="auto"/>
                      <w:spacing w:val="-64"/>
                      <w:sz w:val="21"/>
                      <w:szCs w:val="21"/>
                    </w:rPr>
                    <w:t xml:space="preserve"> </w:t>
                  </w:r>
                  <w:r>
                    <w:rPr>
                      <w:color w:val="auto"/>
                      <w:spacing w:val="5"/>
                      <w:sz w:val="21"/>
                      <w:szCs w:val="21"/>
                    </w:rPr>
                    <w:t>”技术改造。强</w:t>
                  </w:r>
                  <w:r>
                    <w:rPr>
                      <w:color w:val="auto"/>
                      <w:spacing w:val="7"/>
                      <w:sz w:val="21"/>
                      <w:szCs w:val="21"/>
                    </w:rPr>
                    <w:t>化煤化工、石化、有机化工、表面涂装、包装印刷等重点行业挥发性有机物控制。深入开展燃煤锅炉污染综合整治，深化工业炉窑综合治</w:t>
                  </w:r>
                  <w:r>
                    <w:rPr>
                      <w:color w:val="auto"/>
                      <w:spacing w:val="-4"/>
                      <w:sz w:val="21"/>
                      <w:szCs w:val="21"/>
                    </w:rPr>
                    <w:t>理。加强“散乱污</w:t>
                  </w:r>
                  <w:r>
                    <w:rPr>
                      <w:color w:val="auto"/>
                      <w:spacing w:val="-57"/>
                      <w:sz w:val="21"/>
                      <w:szCs w:val="21"/>
                    </w:rPr>
                    <w:t xml:space="preserve"> </w:t>
                  </w:r>
                  <w:r>
                    <w:rPr>
                      <w:color w:val="auto"/>
                      <w:spacing w:val="-4"/>
                      <w:sz w:val="21"/>
                      <w:szCs w:val="21"/>
                    </w:rPr>
                    <w:t>”企业综合整治。</w:t>
                  </w:r>
                  <w:r>
                    <w:rPr>
                      <w:color w:val="auto"/>
                      <w:spacing w:val="7"/>
                      <w:sz w:val="21"/>
                      <w:szCs w:val="21"/>
                    </w:rPr>
                    <w:t>优化区域交通运输结构，加快货物</w:t>
                  </w:r>
                  <w:r>
                    <w:rPr>
                      <w:color w:val="auto"/>
                      <w:spacing w:val="22"/>
                      <w:sz w:val="21"/>
                      <w:szCs w:val="21"/>
                    </w:rPr>
                    <w:t>运输绿色转型，做好车油联合管</w:t>
                  </w:r>
                  <w:r>
                    <w:rPr>
                      <w:color w:val="auto"/>
                      <w:spacing w:val="15"/>
                      <w:sz w:val="21"/>
                      <w:szCs w:val="21"/>
                    </w:rPr>
                    <w:t>控。以改善流域水环境质量为核</w:t>
                  </w:r>
                  <w:r>
                    <w:rPr>
                      <w:color w:val="auto"/>
                      <w:spacing w:val="-2"/>
                      <w:sz w:val="21"/>
                      <w:szCs w:val="21"/>
                    </w:rPr>
                    <w:t>心，强化源头控制，“一河（湖）</w:t>
                  </w:r>
                  <w:r>
                    <w:rPr>
                      <w:color w:val="auto"/>
                      <w:spacing w:val="4"/>
                      <w:sz w:val="21"/>
                      <w:szCs w:val="21"/>
                    </w:rPr>
                    <w:t>一策”精准施治，减少水污染物排</w:t>
                  </w:r>
                  <w:r>
                    <w:rPr>
                      <w:color w:val="auto"/>
                      <w:spacing w:val="14"/>
                      <w:sz w:val="21"/>
                      <w:szCs w:val="21"/>
                    </w:rPr>
                    <w:t>放，持续改善</w:t>
                  </w:r>
                  <w:r>
                    <w:rPr>
                      <w:rFonts w:ascii="Times New Roman" w:hAnsi="Times New Roman" w:eastAsia="Times New Roman" w:cs="Times New Roman"/>
                      <w:color w:val="auto"/>
                      <w:spacing w:val="14"/>
                      <w:sz w:val="21"/>
                      <w:szCs w:val="21"/>
                    </w:rPr>
                    <w:t>"</w:t>
                  </w:r>
                  <w:r>
                    <w:rPr>
                      <w:color w:val="auto"/>
                      <w:spacing w:val="14"/>
                      <w:sz w:val="21"/>
                      <w:szCs w:val="21"/>
                    </w:rPr>
                    <w:t>水环境质量。强化</w:t>
                  </w:r>
                  <w:r>
                    <w:rPr>
                      <w:color w:val="auto"/>
                      <w:spacing w:val="16"/>
                      <w:sz w:val="21"/>
                      <w:szCs w:val="21"/>
                    </w:rPr>
                    <w:t>园区（工业集聚区</w:t>
                  </w:r>
                  <w:r>
                    <w:rPr>
                      <w:rFonts w:ascii="Times New Roman" w:hAnsi="Times New Roman" w:eastAsia="Times New Roman" w:cs="Times New Roman"/>
                      <w:color w:val="auto"/>
                      <w:spacing w:val="16"/>
                      <w:sz w:val="21"/>
                      <w:szCs w:val="21"/>
                    </w:rPr>
                    <w:t>)</w:t>
                  </w:r>
                  <w:r>
                    <w:rPr>
                      <w:color w:val="auto"/>
                      <w:spacing w:val="16"/>
                      <w:sz w:val="21"/>
                      <w:szCs w:val="21"/>
                    </w:rPr>
                    <w:t>水污染防治，</w:t>
                  </w:r>
                  <w:r>
                    <w:rPr>
                      <w:color w:val="auto"/>
                      <w:spacing w:val="6"/>
                      <w:sz w:val="21"/>
                      <w:szCs w:val="21"/>
                    </w:rPr>
                    <w:t>不断提高工业用水重复利用率。加</w:t>
                  </w:r>
                  <w:r>
                    <w:rPr>
                      <w:color w:val="auto"/>
                      <w:spacing w:val="21"/>
                      <w:sz w:val="21"/>
                      <w:szCs w:val="21"/>
                    </w:rPr>
                    <w:t>快实施城镇污水处理设施提质增</w:t>
                  </w:r>
                  <w:r>
                    <w:rPr>
                      <w:color w:val="auto"/>
                      <w:spacing w:val="6"/>
                      <w:sz w:val="21"/>
                      <w:szCs w:val="21"/>
                    </w:rPr>
                    <w:t>效，补齐生活污水收集和处理设施短板，提高再生水回用比例。持续推进农业农村污染防治。提升土壤环境监管能力，加强污染地块安全利用监管。强化工矿用地管理，严格建设用地土壤环境风险管控。加强农用地土壤污染源头控制，科学</w:t>
                  </w:r>
                  <w:r>
                    <w:rPr>
                      <w:color w:val="auto"/>
                      <w:spacing w:val="8"/>
                      <w:sz w:val="21"/>
                      <w:szCs w:val="21"/>
                    </w:rPr>
                    <w:t>施用化肥农药，提高农膜回收率。</w:t>
                  </w:r>
                </w:p>
              </w:tc>
              <w:tc>
                <w:tcPr>
                  <w:tcW w:w="2411" w:type="dxa"/>
                  <w:vAlign w:val="center"/>
                </w:tcPr>
                <w:p w14:paraId="6E61540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b/>
                      <w:bCs/>
                      <w:color w:val="auto"/>
                      <w:spacing w:val="-4"/>
                      <w:sz w:val="21"/>
                      <w:szCs w:val="21"/>
                      <w:vertAlign w:val="baseline"/>
                    </w:rPr>
                  </w:pPr>
                  <w:r>
                    <w:rPr>
                      <w:rFonts w:hint="eastAsia" w:ascii="Times New Roman" w:hAnsi="Times New Roman" w:eastAsia="宋体" w:cs="Times New Roman"/>
                      <w:color w:val="auto"/>
                      <w:kern w:val="2"/>
                      <w:sz w:val="21"/>
                      <w:szCs w:val="21"/>
                      <w:lang w:val="en-US" w:eastAsia="zh-CN" w:bidi="ar-SA"/>
                    </w:rPr>
                    <w:t>本项目为防洪除涝工程，综合治理河流长度11.4km；运营期无污染物排放，不涉及污染物排放管控，项目建设符合要求</w:t>
                  </w:r>
                  <w:r>
                    <w:rPr>
                      <w:color w:val="auto"/>
                      <w:spacing w:val="5"/>
                      <w:sz w:val="21"/>
                      <w:szCs w:val="21"/>
                    </w:rPr>
                    <w:t>。</w:t>
                  </w:r>
                </w:p>
              </w:tc>
              <w:tc>
                <w:tcPr>
                  <w:tcW w:w="979" w:type="dxa"/>
                  <w:vAlign w:val="center"/>
                </w:tcPr>
                <w:p w14:paraId="0F8EC32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b/>
                      <w:bCs/>
                      <w:color w:val="auto"/>
                      <w:spacing w:val="-4"/>
                      <w:sz w:val="21"/>
                      <w:szCs w:val="21"/>
                      <w:vertAlign w:val="baseline"/>
                    </w:rPr>
                  </w:pPr>
                  <w:r>
                    <w:rPr>
                      <w:color w:val="auto"/>
                      <w:spacing w:val="3"/>
                      <w:sz w:val="21"/>
                      <w:szCs w:val="21"/>
                    </w:rPr>
                    <w:t>符合</w:t>
                  </w:r>
                </w:p>
              </w:tc>
            </w:tr>
            <w:tr w14:paraId="5BFBF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dxa"/>
                  <w:vMerge w:val="restart"/>
                </w:tcPr>
                <w:p w14:paraId="7588418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b/>
                      <w:bCs/>
                      <w:color w:val="auto"/>
                      <w:spacing w:val="-4"/>
                      <w:sz w:val="21"/>
                      <w:szCs w:val="21"/>
                      <w:vertAlign w:val="baseline"/>
                    </w:rPr>
                  </w:pPr>
                </w:p>
              </w:tc>
              <w:tc>
                <w:tcPr>
                  <w:tcW w:w="2929" w:type="dxa"/>
                  <w:vAlign w:val="top"/>
                </w:tcPr>
                <w:p w14:paraId="53C34F8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rPr>
                      <w:b/>
                      <w:bCs/>
                      <w:color w:val="auto"/>
                      <w:spacing w:val="-4"/>
                      <w:sz w:val="21"/>
                      <w:szCs w:val="21"/>
                      <w:vertAlign w:val="baseline"/>
                    </w:rPr>
                  </w:pPr>
                  <w:r>
                    <w:rPr>
                      <w:color w:val="auto"/>
                      <w:spacing w:val="6"/>
                      <w:sz w:val="21"/>
                      <w:szCs w:val="21"/>
                    </w:rPr>
                    <w:t>禁止在化工园区外新建、扩建危险化学品生产项目。严格落实危险废物处置相关要求。加强重点流域水</w:t>
                  </w:r>
                  <w:r>
                    <w:rPr>
                      <w:color w:val="auto"/>
                      <w:spacing w:val="7"/>
                      <w:sz w:val="21"/>
                      <w:szCs w:val="21"/>
                    </w:rPr>
                    <w:t>环境风险管控，保障水环境安全。</w:t>
                  </w:r>
                </w:p>
              </w:tc>
              <w:tc>
                <w:tcPr>
                  <w:tcW w:w="2411" w:type="dxa"/>
                  <w:vAlign w:val="top"/>
                </w:tcPr>
                <w:p w14:paraId="408B218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1" w:firstLineChars="0"/>
                    <w:jc w:val="both"/>
                    <w:textAlignment w:val="auto"/>
                    <w:rPr>
                      <w:b/>
                      <w:bCs/>
                      <w:color w:val="auto"/>
                      <w:spacing w:val="-4"/>
                      <w:sz w:val="21"/>
                      <w:szCs w:val="21"/>
                      <w:vertAlign w:val="baseline"/>
                    </w:rPr>
                  </w:pPr>
                  <w:r>
                    <w:rPr>
                      <w:color w:val="auto"/>
                      <w:spacing w:val="39"/>
                      <w:sz w:val="21"/>
                      <w:szCs w:val="21"/>
                    </w:rPr>
                    <w:t>本项目为防洪除涝工</w:t>
                  </w:r>
                  <w:r>
                    <w:rPr>
                      <w:color w:val="auto"/>
                      <w:spacing w:val="16"/>
                      <w:sz w:val="21"/>
                      <w:szCs w:val="21"/>
                    </w:rPr>
                    <w:t>程，不属于危险化学品生产项目，不涉及环境风险防控，项目建设符</w:t>
                  </w:r>
                  <w:r>
                    <w:rPr>
                      <w:color w:val="auto"/>
                      <w:spacing w:val="4"/>
                      <w:sz w:val="21"/>
                      <w:szCs w:val="21"/>
                    </w:rPr>
                    <w:t>合要求。</w:t>
                  </w:r>
                </w:p>
              </w:tc>
              <w:tc>
                <w:tcPr>
                  <w:tcW w:w="979" w:type="dxa"/>
                  <w:vAlign w:val="center"/>
                </w:tcPr>
                <w:p w14:paraId="62CEEA4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b/>
                      <w:bCs/>
                      <w:color w:val="auto"/>
                      <w:spacing w:val="-4"/>
                      <w:sz w:val="21"/>
                      <w:szCs w:val="21"/>
                      <w:vertAlign w:val="baseline"/>
                    </w:rPr>
                  </w:pPr>
                  <w:r>
                    <w:rPr>
                      <w:color w:val="auto"/>
                      <w:spacing w:val="3"/>
                      <w:sz w:val="21"/>
                      <w:szCs w:val="21"/>
                    </w:rPr>
                    <w:t>符合</w:t>
                  </w:r>
                </w:p>
              </w:tc>
            </w:tr>
            <w:tr w14:paraId="7F085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dxa"/>
                  <w:vMerge w:val="continue"/>
                </w:tcPr>
                <w:p w14:paraId="569A5F5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b/>
                      <w:bCs/>
                      <w:color w:val="auto"/>
                      <w:spacing w:val="-4"/>
                      <w:sz w:val="21"/>
                      <w:szCs w:val="21"/>
                      <w:vertAlign w:val="baseline"/>
                    </w:rPr>
                  </w:pPr>
                </w:p>
              </w:tc>
              <w:tc>
                <w:tcPr>
                  <w:tcW w:w="2929" w:type="dxa"/>
                  <w:vAlign w:val="top"/>
                </w:tcPr>
                <w:p w14:paraId="4F52863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b/>
                      <w:bCs/>
                      <w:color w:val="auto"/>
                      <w:spacing w:val="-4"/>
                      <w:sz w:val="21"/>
                      <w:szCs w:val="21"/>
                      <w:vertAlign w:val="baseline"/>
                    </w:rPr>
                  </w:pPr>
                  <w:r>
                    <w:rPr>
                      <w:color w:val="auto"/>
                      <w:spacing w:val="6"/>
                      <w:sz w:val="21"/>
                      <w:szCs w:val="21"/>
                    </w:rPr>
                    <w:t>优化能源结构，控制煤炭等化石能源使用量，鼓励使用清洁能源，协</w:t>
                  </w:r>
                  <w:r>
                    <w:rPr>
                      <w:color w:val="auto"/>
                      <w:spacing w:val="5"/>
                      <w:sz w:val="21"/>
                      <w:szCs w:val="21"/>
                    </w:rPr>
                    <w:t>同推进减污降碳。全面实施节水工</w:t>
                  </w:r>
                  <w:r>
                    <w:rPr>
                      <w:color w:val="auto"/>
                      <w:spacing w:val="6"/>
                      <w:sz w:val="21"/>
                      <w:szCs w:val="21"/>
                    </w:rPr>
                    <w:t>程，合理开发利用水资源，提升水资源利用效率，保障生态用水，严</w:t>
                  </w:r>
                  <w:r>
                    <w:rPr>
                      <w:color w:val="auto"/>
                      <w:spacing w:val="5"/>
                      <w:sz w:val="21"/>
                      <w:szCs w:val="21"/>
                    </w:rPr>
                    <w:t>防地下水超采。</w:t>
                  </w:r>
                </w:p>
              </w:tc>
              <w:tc>
                <w:tcPr>
                  <w:tcW w:w="2411" w:type="dxa"/>
                  <w:vAlign w:val="center"/>
                </w:tcPr>
                <w:p w14:paraId="0B91A7A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b/>
                      <w:bCs/>
                      <w:color w:val="auto"/>
                      <w:spacing w:val="-4"/>
                      <w:sz w:val="21"/>
                      <w:szCs w:val="21"/>
                      <w:vertAlign w:val="baseline"/>
                    </w:rPr>
                  </w:pPr>
                  <w:r>
                    <w:rPr>
                      <w:color w:val="auto"/>
                      <w:spacing w:val="8"/>
                      <w:sz w:val="21"/>
                      <w:szCs w:val="21"/>
                    </w:rPr>
                    <w:t>本项目为防洪除涝工程不开采地下水，项目建</w:t>
                  </w:r>
                  <w:r>
                    <w:rPr>
                      <w:color w:val="auto"/>
                      <w:spacing w:val="5"/>
                      <w:sz w:val="21"/>
                      <w:szCs w:val="21"/>
                    </w:rPr>
                    <w:t>设符合要求。</w:t>
                  </w:r>
                </w:p>
              </w:tc>
              <w:tc>
                <w:tcPr>
                  <w:tcW w:w="979" w:type="dxa"/>
                  <w:vAlign w:val="center"/>
                </w:tcPr>
                <w:p w14:paraId="03D0B62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b/>
                      <w:bCs/>
                      <w:color w:val="auto"/>
                      <w:spacing w:val="-4"/>
                      <w:sz w:val="21"/>
                      <w:szCs w:val="21"/>
                      <w:vertAlign w:val="baseline"/>
                    </w:rPr>
                  </w:pPr>
                  <w:r>
                    <w:rPr>
                      <w:color w:val="auto"/>
                      <w:spacing w:val="3"/>
                      <w:sz w:val="21"/>
                      <w:szCs w:val="21"/>
                    </w:rPr>
                    <w:t>符合</w:t>
                  </w:r>
                </w:p>
              </w:tc>
            </w:tr>
          </w:tbl>
          <w:p w14:paraId="2D430B2D">
            <w:pPr>
              <w:keepNext w:val="0"/>
              <w:keepLines w:val="0"/>
              <w:pageBreakBefore w:val="0"/>
              <w:widowControl w:val="0"/>
              <w:numPr>
                <w:ilvl w:val="0"/>
                <w:numId w:val="4"/>
              </w:numPr>
              <w:kinsoku/>
              <w:wordWrap/>
              <w:overflowPunct w:val="0"/>
              <w:topLinePunct w:val="0"/>
              <w:autoSpaceDE/>
              <w:autoSpaceDN/>
              <w:bidi w:val="0"/>
              <w:adjustRightInd w:val="0"/>
              <w:snapToGrid w:val="0"/>
              <w:spacing w:line="360" w:lineRule="auto"/>
              <w:ind w:left="0" w:leftChars="0" w:firstLine="482" w:firstLineChars="200"/>
              <w:jc w:val="both"/>
              <w:textAlignment w:val="auto"/>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与《昌吉回族自治州生态环境分区管控动态更新成果》（2023版）文件符合性分析</w:t>
            </w:r>
          </w:p>
          <w:p w14:paraId="315EC7FD">
            <w:pPr>
              <w:pStyle w:val="65"/>
              <w:spacing w:line="359" w:lineRule="auto"/>
              <w:ind w:right="11" w:firstLine="464" w:firstLineChars="200"/>
              <w:rPr>
                <w:rFonts w:hint="default" w:ascii="Times New Roman" w:hAnsi="Times New Roman" w:cs="Times New Roman"/>
                <w:color w:val="auto"/>
                <w:spacing w:val="-4"/>
                <w:sz w:val="24"/>
                <w:szCs w:val="24"/>
                <w:lang w:val="en-US" w:eastAsia="zh-CN"/>
              </w:rPr>
            </w:pPr>
            <w:r>
              <w:rPr>
                <w:rFonts w:hint="default" w:ascii="Times New Roman" w:hAnsi="Times New Roman" w:cs="Times New Roman"/>
                <w:color w:val="auto"/>
                <w:spacing w:val="-4"/>
                <w:sz w:val="24"/>
                <w:szCs w:val="24"/>
              </w:rPr>
              <w:t>根据新疆维吾尔自治区“三线一单”信息应用平台，本项目区</w:t>
            </w:r>
            <w:r>
              <w:rPr>
                <w:rFonts w:hint="default" w:ascii="Times New Roman" w:hAnsi="Times New Roman" w:cs="Times New Roman"/>
                <w:color w:val="auto"/>
                <w:spacing w:val="-4"/>
                <w:sz w:val="24"/>
                <w:szCs w:val="24"/>
                <w:lang w:val="en-US" w:eastAsia="zh-CN"/>
              </w:rPr>
              <w:t>涉及</w:t>
            </w:r>
            <w:r>
              <w:rPr>
                <w:rFonts w:hint="eastAsia" w:ascii="Times New Roman" w:hAnsi="Times New Roman" w:cs="Times New Roman"/>
                <w:color w:val="auto"/>
                <w:spacing w:val="-4"/>
                <w:sz w:val="24"/>
                <w:szCs w:val="24"/>
                <w:lang w:val="en-US" w:eastAsia="zh-CN"/>
              </w:rPr>
              <w:t>2</w:t>
            </w:r>
            <w:r>
              <w:rPr>
                <w:rFonts w:hint="default" w:ascii="Times New Roman" w:hAnsi="Times New Roman" w:cs="Times New Roman"/>
                <w:color w:val="auto"/>
                <w:spacing w:val="-4"/>
                <w:sz w:val="24"/>
                <w:szCs w:val="24"/>
                <w:lang w:val="en-US" w:eastAsia="zh-CN"/>
              </w:rPr>
              <w:t>个环境管控单元，均为重点管控单元，分别是奇台县城镇集中建设区，编码</w:t>
            </w:r>
            <w:r>
              <w:rPr>
                <w:rFonts w:hint="eastAsia" w:ascii="Times New Roman" w:hAnsi="Times New Roman" w:cs="Times New Roman"/>
                <w:color w:val="auto"/>
                <w:spacing w:val="-4"/>
                <w:sz w:val="24"/>
                <w:szCs w:val="24"/>
                <w:lang w:val="en-US" w:eastAsia="zh-CN"/>
              </w:rPr>
              <w:t>：</w:t>
            </w:r>
            <w:r>
              <w:rPr>
                <w:rFonts w:hint="default" w:ascii="Times New Roman" w:hAnsi="Times New Roman" w:cs="Times New Roman"/>
                <w:color w:val="auto"/>
                <w:spacing w:val="-4"/>
                <w:sz w:val="24"/>
                <w:szCs w:val="24"/>
                <w:lang w:val="en-US" w:eastAsia="zh-CN"/>
              </w:rPr>
              <w:t>ZH65232520001；奇台县限采区，编码</w:t>
            </w:r>
            <w:r>
              <w:rPr>
                <w:rFonts w:hint="eastAsia" w:ascii="Times New Roman" w:hAnsi="Times New Roman" w:cs="Times New Roman"/>
                <w:color w:val="auto"/>
                <w:spacing w:val="-4"/>
                <w:sz w:val="24"/>
                <w:szCs w:val="24"/>
                <w:lang w:val="en-US" w:eastAsia="zh-CN"/>
              </w:rPr>
              <w:t>：</w:t>
            </w:r>
            <w:r>
              <w:rPr>
                <w:rFonts w:hint="default" w:ascii="Times New Roman" w:hAnsi="Times New Roman" w:cs="Times New Roman"/>
                <w:color w:val="auto"/>
                <w:spacing w:val="-4"/>
                <w:sz w:val="24"/>
                <w:szCs w:val="24"/>
                <w:lang w:val="en-US" w:eastAsia="zh-CN"/>
              </w:rPr>
              <w:t>ZH65232520007。</w:t>
            </w:r>
          </w:p>
          <w:p w14:paraId="71C4EBD7">
            <w:pPr>
              <w:pStyle w:val="65"/>
              <w:spacing w:line="359" w:lineRule="auto"/>
              <w:ind w:right="11" w:firstLine="464" w:firstLineChars="200"/>
              <w:rPr>
                <w:rFonts w:hint="default" w:ascii="Times New Roman" w:hAnsi="Times New Roman" w:cs="Times New Roman"/>
                <w:color w:val="auto"/>
                <w:spacing w:val="-4"/>
                <w:sz w:val="24"/>
                <w:szCs w:val="24"/>
                <w:lang w:val="en-US" w:eastAsia="zh-CN"/>
              </w:rPr>
            </w:pPr>
            <w:r>
              <w:rPr>
                <w:rFonts w:hint="default" w:ascii="Times New Roman" w:hAnsi="Times New Roman" w:cs="Times New Roman"/>
                <w:color w:val="auto"/>
                <w:spacing w:val="-4"/>
                <w:sz w:val="24"/>
                <w:szCs w:val="24"/>
                <w:lang w:val="en-US" w:eastAsia="zh-CN"/>
              </w:rPr>
              <w:t>本项目与《昌吉回族自治州生态环境分区管控动态更新成果》（2023版）（总体管控）符合性分析见表</w:t>
            </w:r>
            <w:r>
              <w:rPr>
                <w:rFonts w:hint="eastAsia" w:ascii="Times New Roman" w:hAnsi="Times New Roman" w:cs="Times New Roman"/>
                <w:color w:val="auto"/>
                <w:spacing w:val="-4"/>
                <w:sz w:val="24"/>
                <w:szCs w:val="24"/>
                <w:lang w:val="en-US" w:eastAsia="zh-CN"/>
              </w:rPr>
              <w:t>1-3</w:t>
            </w:r>
            <w:r>
              <w:rPr>
                <w:rFonts w:hint="default" w:ascii="Times New Roman" w:hAnsi="Times New Roman" w:cs="Times New Roman"/>
                <w:color w:val="auto"/>
                <w:spacing w:val="-4"/>
                <w:sz w:val="24"/>
                <w:szCs w:val="24"/>
                <w:lang w:val="en-US" w:eastAsia="zh-CN"/>
              </w:rPr>
              <w:t>，与《昌吉回族自治州生态环境分区管控动态更新成果》（2023版）（奇台县要求）文件符合性分析见</w:t>
            </w:r>
            <w:r>
              <w:rPr>
                <w:rFonts w:hint="eastAsia" w:ascii="Times New Roman" w:hAnsi="Times New Roman" w:cs="Times New Roman"/>
                <w:color w:val="auto"/>
                <w:spacing w:val="-4"/>
                <w:sz w:val="24"/>
                <w:szCs w:val="24"/>
                <w:lang w:val="en-US" w:eastAsia="zh-CN"/>
              </w:rPr>
              <w:t>表1-4，1-5，1-6，位置关系图见</w:t>
            </w:r>
            <w:r>
              <w:rPr>
                <w:rFonts w:hint="default" w:ascii="Times New Roman" w:hAnsi="Times New Roman" w:cs="Times New Roman"/>
                <w:color w:val="auto"/>
                <w:spacing w:val="-4"/>
                <w:sz w:val="24"/>
                <w:szCs w:val="24"/>
                <w:lang w:val="en-US" w:eastAsia="zh-CN"/>
              </w:rPr>
              <w:t>附图</w:t>
            </w:r>
            <w:r>
              <w:rPr>
                <w:rFonts w:hint="eastAsia" w:ascii="Times New Roman" w:hAnsi="Times New Roman" w:cs="Times New Roman"/>
                <w:color w:val="auto"/>
                <w:spacing w:val="-4"/>
                <w:sz w:val="24"/>
                <w:szCs w:val="24"/>
                <w:lang w:val="en-US" w:eastAsia="zh-CN"/>
              </w:rPr>
              <w:t>4</w:t>
            </w:r>
            <w:r>
              <w:rPr>
                <w:rFonts w:hint="default" w:ascii="Times New Roman" w:hAnsi="Times New Roman" w:cs="Times New Roman"/>
                <w:color w:val="auto"/>
                <w:spacing w:val="-4"/>
                <w:sz w:val="24"/>
                <w:szCs w:val="24"/>
                <w:lang w:val="en-US" w:eastAsia="zh-CN"/>
              </w:rPr>
              <w:t>。</w:t>
            </w:r>
          </w:p>
          <w:p w14:paraId="1FF9C3BE">
            <w:pPr>
              <w:keepNext w:val="0"/>
              <w:keepLines w:val="0"/>
              <w:pageBreakBefore w:val="0"/>
              <w:widowControl w:val="0"/>
              <w:numPr>
                <w:ilvl w:val="0"/>
                <w:numId w:val="5"/>
              </w:numPr>
              <w:kinsoku/>
              <w:wordWrap/>
              <w:overflowPunct w:val="0"/>
              <w:topLinePunct w:val="0"/>
              <w:autoSpaceDE/>
              <w:autoSpaceDN/>
              <w:bidi w:val="0"/>
              <w:adjustRightInd w:val="0"/>
              <w:snapToGrid w:val="0"/>
              <w:spacing w:line="240" w:lineRule="auto"/>
              <w:ind w:left="0" w:leftChars="0" w:firstLine="0" w:firstLineChars="0"/>
              <w:jc w:val="both"/>
              <w:textAlignment w:val="auto"/>
              <w:rPr>
                <w:b/>
                <w:bCs/>
                <w:color w:val="auto"/>
                <w:spacing w:val="7"/>
                <w:sz w:val="24"/>
                <w:szCs w:val="24"/>
              </w:rPr>
            </w:pPr>
            <w:r>
              <w:rPr>
                <w:b/>
                <w:bCs/>
                <w:color w:val="auto"/>
                <w:spacing w:val="7"/>
                <w:sz w:val="24"/>
                <w:szCs w:val="24"/>
              </w:rPr>
              <w:t>《昌吉回族自治州生态环境分区管控动态更新成果》（总体管控）文件符合性分析</w:t>
            </w:r>
          </w:p>
          <w:tbl>
            <w:tblPr>
              <w:tblStyle w:val="28"/>
              <w:tblW w:w="67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
              <w:gridCol w:w="765"/>
              <w:gridCol w:w="3555"/>
              <w:gridCol w:w="1125"/>
              <w:gridCol w:w="904"/>
            </w:tblGrid>
            <w:tr w14:paraId="2D57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4" w:type="dxa"/>
                  <w:gridSpan w:val="2"/>
                  <w:vAlign w:val="center"/>
                </w:tcPr>
                <w:p w14:paraId="2877AE4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b/>
                      <w:bCs/>
                      <w:color w:val="auto"/>
                      <w:spacing w:val="7"/>
                      <w:sz w:val="21"/>
                      <w:szCs w:val="21"/>
                      <w:vertAlign w:val="baseline"/>
                      <w:lang w:val="en-US" w:eastAsia="zh-CN"/>
                    </w:rPr>
                  </w:pPr>
                  <w:r>
                    <w:rPr>
                      <w:b/>
                      <w:bCs/>
                      <w:color w:val="auto"/>
                      <w:spacing w:val="5"/>
                      <w:sz w:val="21"/>
                      <w:szCs w:val="21"/>
                    </w:rPr>
                    <w:t>管控维度</w:t>
                  </w:r>
                </w:p>
              </w:tc>
              <w:tc>
                <w:tcPr>
                  <w:tcW w:w="3555" w:type="dxa"/>
                  <w:vAlign w:val="center"/>
                </w:tcPr>
                <w:p w14:paraId="5990E77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b/>
                      <w:bCs/>
                      <w:color w:val="auto"/>
                      <w:spacing w:val="7"/>
                      <w:sz w:val="21"/>
                      <w:szCs w:val="21"/>
                      <w:vertAlign w:val="baseline"/>
                      <w:lang w:val="en-US" w:eastAsia="zh-CN"/>
                    </w:rPr>
                  </w:pPr>
                  <w:r>
                    <w:rPr>
                      <w:b/>
                      <w:bCs/>
                      <w:color w:val="auto"/>
                      <w:spacing w:val="5"/>
                      <w:sz w:val="21"/>
                      <w:szCs w:val="21"/>
                    </w:rPr>
                    <w:t>管控要求</w:t>
                  </w:r>
                </w:p>
              </w:tc>
              <w:tc>
                <w:tcPr>
                  <w:tcW w:w="1125" w:type="dxa"/>
                  <w:vAlign w:val="center"/>
                </w:tcPr>
                <w:p w14:paraId="46F6632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b/>
                      <w:bCs/>
                      <w:color w:val="auto"/>
                      <w:spacing w:val="7"/>
                      <w:sz w:val="21"/>
                      <w:szCs w:val="21"/>
                      <w:vertAlign w:val="baseline"/>
                      <w:lang w:val="en-US" w:eastAsia="zh-CN"/>
                    </w:rPr>
                  </w:pPr>
                  <w:r>
                    <w:rPr>
                      <w:b/>
                      <w:bCs/>
                      <w:color w:val="auto"/>
                      <w:spacing w:val="6"/>
                      <w:sz w:val="21"/>
                      <w:szCs w:val="21"/>
                    </w:rPr>
                    <w:t>本项目情况</w:t>
                  </w:r>
                </w:p>
              </w:tc>
              <w:tc>
                <w:tcPr>
                  <w:tcW w:w="904" w:type="dxa"/>
                  <w:vAlign w:val="center"/>
                </w:tcPr>
                <w:p w14:paraId="52C5125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b/>
                      <w:bCs/>
                      <w:color w:val="auto"/>
                      <w:spacing w:val="7"/>
                      <w:sz w:val="21"/>
                      <w:szCs w:val="21"/>
                      <w:vertAlign w:val="baseline"/>
                      <w:lang w:val="en-US" w:eastAsia="zh-CN"/>
                    </w:rPr>
                  </w:pPr>
                  <w:r>
                    <w:rPr>
                      <w:b/>
                      <w:bCs/>
                      <w:color w:val="auto"/>
                      <w:spacing w:val="5"/>
                      <w:sz w:val="21"/>
                      <w:szCs w:val="21"/>
                    </w:rPr>
                    <w:t>符合性</w:t>
                  </w:r>
                </w:p>
              </w:tc>
            </w:tr>
            <w:tr w14:paraId="01C92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restart"/>
                  <w:vAlign w:val="center"/>
                </w:tcPr>
                <w:p w14:paraId="47D1A3F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5"/>
                      <w:sz w:val="21"/>
                      <w:szCs w:val="21"/>
                    </w:rPr>
                  </w:pPr>
                  <w:r>
                    <w:rPr>
                      <w:color w:val="auto"/>
                      <w:spacing w:val="8"/>
                      <w:sz w:val="21"/>
                      <w:szCs w:val="21"/>
                    </w:rPr>
                    <w:t>空间布局约束</w:t>
                  </w:r>
                </w:p>
              </w:tc>
              <w:tc>
                <w:tcPr>
                  <w:tcW w:w="765" w:type="dxa"/>
                  <w:vMerge w:val="restart"/>
                  <w:vAlign w:val="center"/>
                </w:tcPr>
                <w:p w14:paraId="784E304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r>
                    <w:rPr>
                      <w:color w:val="auto"/>
                      <w:spacing w:val="4"/>
                      <w:sz w:val="21"/>
                      <w:szCs w:val="21"/>
                    </w:rPr>
                    <w:t>禁止开发建设的活动</w:t>
                  </w:r>
                </w:p>
              </w:tc>
              <w:tc>
                <w:tcPr>
                  <w:tcW w:w="3555" w:type="dxa"/>
                  <w:vAlign w:val="top"/>
                </w:tcPr>
                <w:p w14:paraId="10F773B7">
                  <w:pPr>
                    <w:pStyle w:val="65"/>
                    <w:keepNext w:val="0"/>
                    <w:keepLines w:val="0"/>
                    <w:pageBreakBefore w:val="0"/>
                    <w:widowControl w:val="0"/>
                    <w:kinsoku/>
                    <w:wordWrap/>
                    <w:overflowPunct/>
                    <w:topLinePunct w:val="0"/>
                    <w:autoSpaceDE/>
                    <w:autoSpaceDN/>
                    <w:bidi w:val="0"/>
                    <w:adjustRightInd w:val="0"/>
                    <w:snapToGrid w:val="0"/>
                    <w:spacing w:line="240" w:lineRule="auto"/>
                    <w:ind w:right="0"/>
                    <w:textAlignment w:val="auto"/>
                    <w:rPr>
                      <w:color w:val="auto"/>
                      <w:sz w:val="21"/>
                      <w:szCs w:val="21"/>
                    </w:rPr>
                  </w:pPr>
                  <w:r>
                    <w:rPr>
                      <w:rFonts w:hint="eastAsia" w:ascii="Times New Roman" w:hAnsi="Times New Roman" w:eastAsia="宋体" w:cs="Times New Roman"/>
                      <w:color w:val="auto"/>
                      <w:spacing w:val="2"/>
                      <w:sz w:val="21"/>
                      <w:szCs w:val="21"/>
                      <w:lang w:eastAsia="zh-CN"/>
                    </w:rPr>
                    <w:t>1.</w:t>
                  </w:r>
                  <w:r>
                    <w:rPr>
                      <w:color w:val="auto"/>
                      <w:spacing w:val="2"/>
                      <w:sz w:val="21"/>
                      <w:szCs w:val="21"/>
                    </w:rPr>
                    <w:t>水质不能稳定达标的区域，</w:t>
                  </w:r>
                  <w:r>
                    <w:rPr>
                      <w:color w:val="auto"/>
                      <w:spacing w:val="9"/>
                      <w:sz w:val="21"/>
                      <w:szCs w:val="21"/>
                    </w:rPr>
                    <w:t>禁止建设新增相应不达标污染</w:t>
                  </w:r>
                  <w:r>
                    <w:rPr>
                      <w:color w:val="auto"/>
                      <w:spacing w:val="8"/>
                      <w:sz w:val="21"/>
                      <w:szCs w:val="21"/>
                    </w:rPr>
                    <w:t>物指标排放量的工业项目。</w:t>
                  </w:r>
                </w:p>
                <w:p w14:paraId="7546833B">
                  <w:pPr>
                    <w:pStyle w:val="65"/>
                    <w:keepNext w:val="0"/>
                    <w:keepLines w:val="0"/>
                    <w:pageBreakBefore w:val="0"/>
                    <w:widowControl w:val="0"/>
                    <w:kinsoku/>
                    <w:wordWrap/>
                    <w:overflowPunct/>
                    <w:topLinePunct w:val="0"/>
                    <w:autoSpaceDE/>
                    <w:autoSpaceDN/>
                    <w:bidi w:val="0"/>
                    <w:adjustRightInd w:val="0"/>
                    <w:snapToGrid w:val="0"/>
                    <w:spacing w:line="240" w:lineRule="auto"/>
                    <w:ind w:right="0"/>
                    <w:textAlignment w:val="auto"/>
                    <w:rPr>
                      <w:color w:val="auto"/>
                      <w:sz w:val="21"/>
                      <w:szCs w:val="21"/>
                    </w:rPr>
                  </w:pPr>
                  <w:r>
                    <w:rPr>
                      <w:rFonts w:hint="eastAsia" w:ascii="Times New Roman" w:hAnsi="Times New Roman" w:eastAsia="宋体" w:cs="Times New Roman"/>
                      <w:color w:val="auto"/>
                      <w:spacing w:val="7"/>
                      <w:sz w:val="21"/>
                      <w:szCs w:val="21"/>
                      <w:lang w:eastAsia="zh-CN"/>
                    </w:rPr>
                    <w:t>2.</w:t>
                  </w:r>
                  <w:r>
                    <w:rPr>
                      <w:color w:val="auto"/>
                      <w:spacing w:val="7"/>
                      <w:sz w:val="21"/>
                      <w:szCs w:val="21"/>
                    </w:rPr>
                    <w:t>禁止不符合环境管理要求的</w:t>
                  </w:r>
                  <w:r>
                    <w:rPr>
                      <w:color w:val="auto"/>
                      <w:spacing w:val="6"/>
                      <w:sz w:val="21"/>
                      <w:szCs w:val="21"/>
                    </w:rPr>
                    <w:t>污泥进入耕地。</w:t>
                  </w:r>
                </w:p>
                <w:p w14:paraId="2105E4C4">
                  <w:pPr>
                    <w:pStyle w:val="65"/>
                    <w:keepNext w:val="0"/>
                    <w:keepLines w:val="0"/>
                    <w:pageBreakBefore w:val="0"/>
                    <w:widowControl w:val="0"/>
                    <w:kinsoku/>
                    <w:wordWrap/>
                    <w:overflowPunct/>
                    <w:topLinePunct w:val="0"/>
                    <w:autoSpaceDE/>
                    <w:autoSpaceDN/>
                    <w:bidi w:val="0"/>
                    <w:adjustRightInd w:val="0"/>
                    <w:snapToGrid w:val="0"/>
                    <w:spacing w:line="240" w:lineRule="auto"/>
                    <w:ind w:right="0"/>
                    <w:textAlignment w:val="auto"/>
                    <w:rPr>
                      <w:color w:val="auto"/>
                      <w:sz w:val="21"/>
                      <w:szCs w:val="21"/>
                    </w:rPr>
                  </w:pPr>
                  <w:r>
                    <w:rPr>
                      <w:rFonts w:hint="eastAsia" w:ascii="Times New Roman" w:hAnsi="Times New Roman" w:eastAsia="宋体" w:cs="Times New Roman"/>
                      <w:color w:val="auto"/>
                      <w:spacing w:val="7"/>
                      <w:sz w:val="21"/>
                      <w:szCs w:val="21"/>
                      <w:lang w:eastAsia="zh-CN"/>
                    </w:rPr>
                    <w:t>3.</w:t>
                  </w:r>
                  <w:r>
                    <w:rPr>
                      <w:color w:val="auto"/>
                      <w:spacing w:val="7"/>
                      <w:sz w:val="21"/>
                      <w:szCs w:val="21"/>
                    </w:rPr>
                    <w:t>禁止生产、销售不符合节水标准的产品、设备。</w:t>
                  </w:r>
                </w:p>
                <w:p w14:paraId="7F8F422C">
                  <w:pPr>
                    <w:pStyle w:val="65"/>
                    <w:keepNext w:val="0"/>
                    <w:keepLines w:val="0"/>
                    <w:pageBreakBefore w:val="0"/>
                    <w:widowControl w:val="0"/>
                    <w:kinsoku/>
                    <w:wordWrap/>
                    <w:overflowPunct/>
                    <w:topLinePunct w:val="0"/>
                    <w:autoSpaceDE/>
                    <w:autoSpaceDN/>
                    <w:bidi w:val="0"/>
                    <w:adjustRightInd w:val="0"/>
                    <w:snapToGrid w:val="0"/>
                    <w:spacing w:line="240" w:lineRule="auto"/>
                    <w:ind w:right="0"/>
                    <w:textAlignment w:val="auto"/>
                    <w:rPr>
                      <w:color w:val="auto"/>
                      <w:sz w:val="21"/>
                      <w:szCs w:val="21"/>
                    </w:rPr>
                  </w:pPr>
                  <w:r>
                    <w:rPr>
                      <w:rFonts w:hint="eastAsia" w:ascii="Times New Roman" w:hAnsi="Times New Roman" w:eastAsia="宋体" w:cs="Times New Roman"/>
                      <w:color w:val="auto"/>
                      <w:spacing w:val="7"/>
                      <w:sz w:val="21"/>
                      <w:szCs w:val="21"/>
                      <w:lang w:eastAsia="zh-CN"/>
                    </w:rPr>
                    <w:t>4.</w:t>
                  </w:r>
                  <w:r>
                    <w:rPr>
                      <w:color w:val="auto"/>
                      <w:spacing w:val="7"/>
                      <w:sz w:val="21"/>
                      <w:szCs w:val="21"/>
                    </w:rPr>
                    <w:t>禁止无证排污和不按许可证</w:t>
                  </w:r>
                  <w:r>
                    <w:rPr>
                      <w:color w:val="auto"/>
                      <w:spacing w:val="5"/>
                      <w:sz w:val="21"/>
                      <w:szCs w:val="21"/>
                    </w:rPr>
                    <w:t>规定排污。</w:t>
                  </w:r>
                </w:p>
                <w:p w14:paraId="37D6EFAE">
                  <w:pPr>
                    <w:pStyle w:val="65"/>
                    <w:keepNext w:val="0"/>
                    <w:keepLines w:val="0"/>
                    <w:pageBreakBefore w:val="0"/>
                    <w:widowControl w:val="0"/>
                    <w:kinsoku/>
                    <w:wordWrap/>
                    <w:overflowPunct/>
                    <w:topLinePunct w:val="0"/>
                    <w:autoSpaceDE/>
                    <w:autoSpaceDN/>
                    <w:bidi w:val="0"/>
                    <w:adjustRightInd w:val="0"/>
                    <w:snapToGrid w:val="0"/>
                    <w:spacing w:line="240" w:lineRule="auto"/>
                    <w:ind w:right="0" w:rightChars="0"/>
                    <w:textAlignment w:val="auto"/>
                    <w:rPr>
                      <w:b/>
                      <w:bCs/>
                      <w:color w:val="auto"/>
                      <w:spacing w:val="5"/>
                      <w:sz w:val="21"/>
                      <w:szCs w:val="21"/>
                    </w:rPr>
                  </w:pPr>
                  <w:r>
                    <w:rPr>
                      <w:rFonts w:hint="eastAsia" w:ascii="Times New Roman" w:hAnsi="Times New Roman" w:eastAsia="宋体" w:cs="Times New Roman"/>
                      <w:color w:val="auto"/>
                      <w:spacing w:val="7"/>
                      <w:sz w:val="21"/>
                      <w:szCs w:val="21"/>
                      <w:lang w:eastAsia="zh-CN"/>
                    </w:rPr>
                    <w:t>5.</w:t>
                  </w:r>
                  <w:r>
                    <w:rPr>
                      <w:color w:val="auto"/>
                      <w:spacing w:val="7"/>
                      <w:sz w:val="21"/>
                      <w:szCs w:val="21"/>
                    </w:rPr>
                    <w:t>禁止侵占自然湿地等水源涵</w:t>
                  </w:r>
                  <w:r>
                    <w:rPr>
                      <w:color w:val="auto"/>
                      <w:spacing w:val="5"/>
                      <w:sz w:val="21"/>
                      <w:szCs w:val="21"/>
                    </w:rPr>
                    <w:t>养空间，已侵占的要限期予以恢</w:t>
                  </w:r>
                  <w:r>
                    <w:rPr>
                      <w:color w:val="auto"/>
                      <w:sz w:val="21"/>
                      <w:szCs w:val="21"/>
                    </w:rPr>
                    <w:t>复。</w:t>
                  </w:r>
                </w:p>
              </w:tc>
              <w:tc>
                <w:tcPr>
                  <w:tcW w:w="1125" w:type="dxa"/>
                  <w:vAlign w:val="center"/>
                </w:tcPr>
                <w:p w14:paraId="269AE0B7">
                  <w:pPr>
                    <w:pStyle w:val="6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pacing w:val="6"/>
                      <w:sz w:val="21"/>
                      <w:szCs w:val="21"/>
                    </w:rPr>
                  </w:pPr>
                  <w:r>
                    <w:rPr>
                      <w:color w:val="auto"/>
                      <w:spacing w:val="8"/>
                      <w:sz w:val="21"/>
                      <w:szCs w:val="21"/>
                    </w:rPr>
                    <w:t>本项目不涉及</w:t>
                  </w:r>
                </w:p>
              </w:tc>
              <w:tc>
                <w:tcPr>
                  <w:tcW w:w="904" w:type="dxa"/>
                  <w:vAlign w:val="center"/>
                </w:tcPr>
                <w:p w14:paraId="40816B0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5"/>
                      <w:sz w:val="21"/>
                      <w:szCs w:val="21"/>
                    </w:rPr>
                  </w:pPr>
                  <w:r>
                    <w:rPr>
                      <w:color w:val="auto"/>
                      <w:spacing w:val="3"/>
                      <w:sz w:val="21"/>
                      <w:szCs w:val="21"/>
                    </w:rPr>
                    <w:t>符合</w:t>
                  </w:r>
                </w:p>
              </w:tc>
            </w:tr>
            <w:tr w14:paraId="2064D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11B865A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p>
              </w:tc>
              <w:tc>
                <w:tcPr>
                  <w:tcW w:w="765" w:type="dxa"/>
                  <w:vMerge w:val="continue"/>
                  <w:vAlign w:val="center"/>
                </w:tcPr>
                <w:p w14:paraId="19A4867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p>
              </w:tc>
              <w:tc>
                <w:tcPr>
                  <w:tcW w:w="3555" w:type="dxa"/>
                  <w:vAlign w:val="top"/>
                </w:tcPr>
                <w:p w14:paraId="481CF44B">
                  <w:pPr>
                    <w:pStyle w:val="65"/>
                    <w:keepNext w:val="0"/>
                    <w:keepLines w:val="0"/>
                    <w:pageBreakBefore w:val="0"/>
                    <w:widowControl w:val="0"/>
                    <w:kinsoku/>
                    <w:wordWrap/>
                    <w:overflowPunct/>
                    <w:topLinePunct w:val="0"/>
                    <w:autoSpaceDE/>
                    <w:autoSpaceDN/>
                    <w:bidi w:val="0"/>
                    <w:adjustRightInd w:val="0"/>
                    <w:snapToGrid w:val="0"/>
                    <w:spacing w:line="240" w:lineRule="auto"/>
                    <w:ind w:right="0" w:rightChars="0"/>
                    <w:textAlignment w:val="auto"/>
                    <w:rPr>
                      <w:b/>
                      <w:bCs/>
                      <w:color w:val="auto"/>
                      <w:spacing w:val="5"/>
                      <w:sz w:val="21"/>
                      <w:szCs w:val="21"/>
                    </w:rPr>
                  </w:pPr>
                  <w:r>
                    <w:rPr>
                      <w:rFonts w:hint="eastAsia" w:ascii="Times New Roman" w:hAnsi="Times New Roman" w:cs="Times New Roman"/>
                      <w:color w:val="auto"/>
                      <w:spacing w:val="7"/>
                      <w:sz w:val="21"/>
                      <w:szCs w:val="21"/>
                      <w:lang w:val="en-US" w:eastAsia="zh-CN"/>
                    </w:rPr>
                    <w:t>6.</w:t>
                  </w:r>
                  <w:r>
                    <w:rPr>
                      <w:color w:val="auto"/>
                      <w:spacing w:val="9"/>
                      <w:sz w:val="21"/>
                      <w:szCs w:val="21"/>
                    </w:rPr>
                    <w:t>禁止使用国家明令淘汰的工艺</w:t>
                  </w:r>
                  <w:r>
                    <w:rPr>
                      <w:color w:val="auto"/>
                      <w:spacing w:val="5"/>
                      <w:sz w:val="21"/>
                      <w:szCs w:val="21"/>
                    </w:rPr>
                    <w:t>或设备，生产国家禁止生产的产</w:t>
                  </w:r>
                  <w:r>
                    <w:rPr>
                      <w:color w:val="auto"/>
                      <w:spacing w:val="-1"/>
                      <w:sz w:val="21"/>
                      <w:szCs w:val="21"/>
                    </w:rPr>
                    <w:t>品。</w:t>
                  </w:r>
                </w:p>
              </w:tc>
              <w:tc>
                <w:tcPr>
                  <w:tcW w:w="1125" w:type="dxa"/>
                  <w:vAlign w:val="center"/>
                </w:tcPr>
                <w:p w14:paraId="3A78EB5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r>
                    <w:rPr>
                      <w:color w:val="auto"/>
                      <w:spacing w:val="8"/>
                      <w:sz w:val="21"/>
                      <w:szCs w:val="21"/>
                    </w:rPr>
                    <w:t>本项目不涉及</w:t>
                  </w:r>
                </w:p>
              </w:tc>
              <w:tc>
                <w:tcPr>
                  <w:tcW w:w="904" w:type="dxa"/>
                  <w:vAlign w:val="center"/>
                </w:tcPr>
                <w:p w14:paraId="5993FD0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5"/>
                      <w:sz w:val="21"/>
                      <w:szCs w:val="21"/>
                    </w:rPr>
                  </w:pPr>
                  <w:r>
                    <w:rPr>
                      <w:color w:val="auto"/>
                      <w:spacing w:val="3"/>
                      <w:sz w:val="21"/>
                      <w:szCs w:val="21"/>
                    </w:rPr>
                    <w:t>符合</w:t>
                  </w:r>
                </w:p>
              </w:tc>
            </w:tr>
            <w:tr w14:paraId="33275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484976D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p>
              </w:tc>
              <w:tc>
                <w:tcPr>
                  <w:tcW w:w="765" w:type="dxa"/>
                  <w:vMerge w:val="restart"/>
                  <w:vAlign w:val="center"/>
                </w:tcPr>
                <w:p w14:paraId="72BD66F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r>
                    <w:rPr>
                      <w:color w:val="auto"/>
                      <w:spacing w:val="4"/>
                      <w:sz w:val="21"/>
                      <w:szCs w:val="21"/>
                    </w:rPr>
                    <w:t>限制开发建设的活动</w:t>
                  </w:r>
                </w:p>
              </w:tc>
              <w:tc>
                <w:tcPr>
                  <w:tcW w:w="3555" w:type="dxa"/>
                  <w:vAlign w:val="top"/>
                </w:tcPr>
                <w:p w14:paraId="3489F47B">
                  <w:pPr>
                    <w:pStyle w:val="65"/>
                    <w:keepNext w:val="0"/>
                    <w:keepLines w:val="0"/>
                    <w:pageBreakBefore w:val="0"/>
                    <w:widowControl w:val="0"/>
                    <w:kinsoku/>
                    <w:wordWrap/>
                    <w:overflowPunct/>
                    <w:topLinePunct w:val="0"/>
                    <w:autoSpaceDE/>
                    <w:autoSpaceDN/>
                    <w:bidi w:val="0"/>
                    <w:adjustRightInd w:val="0"/>
                    <w:snapToGrid w:val="0"/>
                    <w:spacing w:line="240" w:lineRule="auto"/>
                    <w:ind w:right="0"/>
                    <w:textAlignment w:val="auto"/>
                    <w:rPr>
                      <w:color w:val="auto"/>
                      <w:sz w:val="21"/>
                      <w:szCs w:val="21"/>
                    </w:rPr>
                  </w:pPr>
                  <w:r>
                    <w:rPr>
                      <w:rFonts w:hint="eastAsia" w:ascii="Times New Roman" w:hAnsi="Times New Roman" w:eastAsia="宋体" w:cs="Times New Roman"/>
                      <w:color w:val="auto"/>
                      <w:spacing w:val="6"/>
                      <w:sz w:val="21"/>
                      <w:szCs w:val="21"/>
                      <w:lang w:eastAsia="zh-CN"/>
                    </w:rPr>
                    <w:t>1.</w:t>
                  </w:r>
                  <w:r>
                    <w:rPr>
                      <w:color w:val="auto"/>
                      <w:spacing w:val="6"/>
                      <w:sz w:val="21"/>
                      <w:szCs w:val="21"/>
                    </w:rPr>
                    <w:t>新建项目一律不得违规占用</w:t>
                  </w:r>
                  <w:r>
                    <w:rPr>
                      <w:color w:val="auto"/>
                      <w:spacing w:val="2"/>
                      <w:sz w:val="21"/>
                      <w:szCs w:val="21"/>
                    </w:rPr>
                    <w:t>水域。</w:t>
                  </w:r>
                </w:p>
                <w:p w14:paraId="28EB904F">
                  <w:pPr>
                    <w:pStyle w:val="65"/>
                    <w:keepNext w:val="0"/>
                    <w:keepLines w:val="0"/>
                    <w:pageBreakBefore w:val="0"/>
                    <w:widowControl w:val="0"/>
                    <w:kinsoku/>
                    <w:wordWrap/>
                    <w:overflowPunct/>
                    <w:topLinePunct w:val="0"/>
                    <w:autoSpaceDE/>
                    <w:autoSpaceDN/>
                    <w:bidi w:val="0"/>
                    <w:adjustRightInd w:val="0"/>
                    <w:snapToGrid w:val="0"/>
                    <w:spacing w:line="240" w:lineRule="auto"/>
                    <w:ind w:right="0"/>
                    <w:textAlignment w:val="auto"/>
                    <w:rPr>
                      <w:color w:val="auto"/>
                      <w:sz w:val="21"/>
                      <w:szCs w:val="21"/>
                    </w:rPr>
                  </w:pPr>
                  <w:r>
                    <w:rPr>
                      <w:rFonts w:hint="eastAsia" w:ascii="Times New Roman" w:hAnsi="Times New Roman" w:eastAsia="宋体" w:cs="Times New Roman"/>
                      <w:color w:val="auto"/>
                      <w:spacing w:val="7"/>
                      <w:sz w:val="21"/>
                      <w:szCs w:val="21"/>
                      <w:lang w:eastAsia="zh-CN"/>
                    </w:rPr>
                    <w:t>2.</w:t>
                  </w:r>
                  <w:r>
                    <w:rPr>
                      <w:color w:val="auto"/>
                      <w:spacing w:val="7"/>
                      <w:sz w:val="21"/>
                      <w:szCs w:val="21"/>
                    </w:rPr>
                    <w:t>保障河流生态流量，严格控</w:t>
                  </w:r>
                  <w:r>
                    <w:rPr>
                      <w:color w:val="auto"/>
                      <w:spacing w:val="6"/>
                      <w:sz w:val="21"/>
                      <w:szCs w:val="21"/>
                    </w:rPr>
                    <w:t>制在主要流域内新建水电项目。</w:t>
                  </w:r>
                </w:p>
                <w:p w14:paraId="65AAB87C">
                  <w:pPr>
                    <w:pStyle w:val="65"/>
                    <w:keepNext w:val="0"/>
                    <w:keepLines w:val="0"/>
                    <w:pageBreakBefore w:val="0"/>
                    <w:widowControl w:val="0"/>
                    <w:kinsoku/>
                    <w:wordWrap/>
                    <w:overflowPunct/>
                    <w:topLinePunct w:val="0"/>
                    <w:autoSpaceDE/>
                    <w:autoSpaceDN/>
                    <w:bidi w:val="0"/>
                    <w:adjustRightInd w:val="0"/>
                    <w:snapToGrid w:val="0"/>
                    <w:spacing w:line="240" w:lineRule="auto"/>
                    <w:ind w:right="0"/>
                    <w:textAlignment w:val="auto"/>
                    <w:rPr>
                      <w:color w:val="auto"/>
                      <w:sz w:val="21"/>
                      <w:szCs w:val="21"/>
                    </w:rPr>
                  </w:pPr>
                  <w:r>
                    <w:rPr>
                      <w:rFonts w:hint="eastAsia" w:ascii="Times New Roman" w:hAnsi="Times New Roman" w:eastAsia="宋体" w:cs="Times New Roman"/>
                      <w:color w:val="auto"/>
                      <w:spacing w:val="7"/>
                      <w:sz w:val="21"/>
                      <w:szCs w:val="21"/>
                      <w:lang w:eastAsia="zh-CN"/>
                    </w:rPr>
                    <w:t>3.</w:t>
                  </w:r>
                  <w:r>
                    <w:rPr>
                      <w:color w:val="auto"/>
                      <w:spacing w:val="7"/>
                      <w:sz w:val="21"/>
                      <w:szCs w:val="21"/>
                    </w:rPr>
                    <w:t>不符合河流最小生态流量要求的水电站限制运行。</w:t>
                  </w:r>
                </w:p>
                <w:p w14:paraId="20558888">
                  <w:pPr>
                    <w:pStyle w:val="65"/>
                    <w:keepNext w:val="0"/>
                    <w:keepLines w:val="0"/>
                    <w:pageBreakBefore w:val="0"/>
                    <w:widowControl w:val="0"/>
                    <w:kinsoku/>
                    <w:wordWrap/>
                    <w:overflowPunct/>
                    <w:topLinePunct w:val="0"/>
                    <w:autoSpaceDE/>
                    <w:autoSpaceDN/>
                    <w:bidi w:val="0"/>
                    <w:adjustRightInd w:val="0"/>
                    <w:snapToGrid w:val="0"/>
                    <w:spacing w:line="240" w:lineRule="auto"/>
                    <w:ind w:right="0" w:rightChars="0"/>
                    <w:textAlignment w:val="auto"/>
                    <w:rPr>
                      <w:color w:val="auto"/>
                      <w:spacing w:val="9"/>
                      <w:sz w:val="21"/>
                      <w:szCs w:val="21"/>
                    </w:rPr>
                  </w:pPr>
                  <w:r>
                    <w:rPr>
                      <w:rFonts w:hint="eastAsia" w:ascii="Times New Roman" w:hAnsi="Times New Roman" w:eastAsia="宋体" w:cs="Times New Roman"/>
                      <w:color w:val="auto"/>
                      <w:spacing w:val="7"/>
                      <w:sz w:val="21"/>
                      <w:szCs w:val="21"/>
                      <w:lang w:eastAsia="zh-CN"/>
                    </w:rPr>
                    <w:t>4.</w:t>
                  </w:r>
                  <w:r>
                    <w:rPr>
                      <w:color w:val="auto"/>
                      <w:spacing w:val="7"/>
                      <w:sz w:val="21"/>
                      <w:szCs w:val="21"/>
                    </w:rPr>
                    <w:t>工业集聚区未按照规定建成</w:t>
                  </w:r>
                  <w:r>
                    <w:rPr>
                      <w:color w:val="auto"/>
                      <w:spacing w:val="9"/>
                      <w:sz w:val="21"/>
                      <w:szCs w:val="21"/>
                    </w:rPr>
                    <w:t>污水集中处理设施并安装自动</w:t>
                  </w:r>
                  <w:r>
                    <w:rPr>
                      <w:color w:val="auto"/>
                      <w:spacing w:val="6"/>
                      <w:sz w:val="21"/>
                      <w:szCs w:val="21"/>
                    </w:rPr>
                    <w:t>在线监控装置的，暂停审批和核</w:t>
                  </w:r>
                  <w:r>
                    <w:rPr>
                      <w:color w:val="auto"/>
                      <w:spacing w:val="9"/>
                      <w:sz w:val="21"/>
                      <w:szCs w:val="21"/>
                    </w:rPr>
                    <w:t>准其增加水污染物排放的建设</w:t>
                  </w:r>
                  <w:r>
                    <w:rPr>
                      <w:color w:val="auto"/>
                      <w:spacing w:val="3"/>
                      <w:sz w:val="21"/>
                      <w:szCs w:val="21"/>
                    </w:rPr>
                    <w:t>项目。</w:t>
                  </w:r>
                </w:p>
              </w:tc>
              <w:tc>
                <w:tcPr>
                  <w:tcW w:w="1125" w:type="dxa"/>
                  <w:vAlign w:val="center"/>
                </w:tcPr>
                <w:p w14:paraId="5EFA2705">
                  <w:pPr>
                    <w:pStyle w:val="65"/>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color w:val="auto"/>
                      <w:spacing w:val="8"/>
                      <w:sz w:val="21"/>
                      <w:szCs w:val="21"/>
                    </w:rPr>
                  </w:pPr>
                  <w:r>
                    <w:rPr>
                      <w:color w:val="auto"/>
                      <w:spacing w:val="39"/>
                      <w:sz w:val="21"/>
                      <w:szCs w:val="21"/>
                    </w:rPr>
                    <w:t>本项目为防洪除涝工</w:t>
                  </w:r>
                  <w:r>
                    <w:rPr>
                      <w:color w:val="auto"/>
                      <w:spacing w:val="16"/>
                      <w:sz w:val="21"/>
                      <w:szCs w:val="21"/>
                    </w:rPr>
                    <w:t>程，</w:t>
                  </w:r>
                  <w:r>
                    <w:rPr>
                      <w:color w:val="auto"/>
                      <w:spacing w:val="8"/>
                      <w:sz w:val="21"/>
                      <w:szCs w:val="21"/>
                    </w:rPr>
                    <w:t>项目的实施有利于提升渠道的防洪能</w:t>
                  </w:r>
                  <w:r>
                    <w:rPr>
                      <w:color w:val="auto"/>
                      <w:spacing w:val="-2"/>
                      <w:sz w:val="21"/>
                      <w:szCs w:val="21"/>
                    </w:rPr>
                    <w:t>力。</w:t>
                  </w:r>
                </w:p>
              </w:tc>
              <w:tc>
                <w:tcPr>
                  <w:tcW w:w="904" w:type="dxa"/>
                  <w:vAlign w:val="center"/>
                </w:tcPr>
                <w:p w14:paraId="6635996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3"/>
                      <w:sz w:val="21"/>
                      <w:szCs w:val="21"/>
                    </w:rPr>
                  </w:pPr>
                  <w:r>
                    <w:rPr>
                      <w:color w:val="auto"/>
                      <w:spacing w:val="3"/>
                      <w:sz w:val="21"/>
                      <w:szCs w:val="21"/>
                    </w:rPr>
                    <w:t>符合</w:t>
                  </w:r>
                </w:p>
              </w:tc>
            </w:tr>
            <w:tr w14:paraId="2F6A8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5EE86DE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p>
              </w:tc>
              <w:tc>
                <w:tcPr>
                  <w:tcW w:w="765" w:type="dxa"/>
                  <w:vMerge w:val="continue"/>
                  <w:vAlign w:val="center"/>
                </w:tcPr>
                <w:p w14:paraId="7A23352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p>
              </w:tc>
              <w:tc>
                <w:tcPr>
                  <w:tcW w:w="3555" w:type="dxa"/>
                  <w:vAlign w:val="top"/>
                </w:tcPr>
                <w:p w14:paraId="1955BEC3">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color w:val="auto"/>
                      <w:sz w:val="21"/>
                      <w:szCs w:val="21"/>
                    </w:rPr>
                  </w:pPr>
                  <w:r>
                    <w:rPr>
                      <w:rFonts w:hint="eastAsia" w:ascii="Times New Roman" w:hAnsi="Times New Roman" w:eastAsia="宋体" w:cs="Times New Roman"/>
                      <w:color w:val="auto"/>
                      <w:sz w:val="21"/>
                      <w:szCs w:val="21"/>
                      <w:lang w:eastAsia="zh-CN"/>
                    </w:rPr>
                    <w:t>1.</w:t>
                  </w:r>
                  <w:r>
                    <w:rPr>
                      <w:color w:val="auto"/>
                      <w:sz w:val="21"/>
                      <w:szCs w:val="21"/>
                    </w:rPr>
                    <w:t>严格控制高耗水新建、改建、</w:t>
                  </w:r>
                  <w:r>
                    <w:rPr>
                      <w:color w:val="auto"/>
                      <w:spacing w:val="5"/>
                      <w:sz w:val="21"/>
                      <w:szCs w:val="21"/>
                    </w:rPr>
                    <w:t>扩建项目。</w:t>
                  </w:r>
                </w:p>
                <w:p w14:paraId="7C165286">
                  <w:pPr>
                    <w:pStyle w:val="65"/>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color w:val="auto"/>
                      <w:spacing w:val="9"/>
                      <w:sz w:val="21"/>
                      <w:szCs w:val="21"/>
                    </w:rPr>
                  </w:pPr>
                  <w:r>
                    <w:rPr>
                      <w:rFonts w:hint="eastAsia" w:ascii="Times New Roman" w:hAnsi="Times New Roman" w:eastAsia="宋体" w:cs="Times New Roman"/>
                      <w:color w:val="auto"/>
                      <w:spacing w:val="7"/>
                      <w:sz w:val="21"/>
                      <w:szCs w:val="21"/>
                      <w:lang w:eastAsia="zh-CN"/>
                    </w:rPr>
                    <w:t>2.</w:t>
                  </w:r>
                  <w:r>
                    <w:rPr>
                      <w:color w:val="auto"/>
                      <w:spacing w:val="7"/>
                      <w:sz w:val="21"/>
                      <w:szCs w:val="21"/>
                    </w:rPr>
                    <w:t>严格控制高耗水、高污染行</w:t>
                  </w:r>
                  <w:r>
                    <w:rPr>
                      <w:color w:val="auto"/>
                      <w:spacing w:val="5"/>
                      <w:sz w:val="21"/>
                      <w:szCs w:val="21"/>
                    </w:rPr>
                    <w:t>业发展。</w:t>
                  </w:r>
                </w:p>
              </w:tc>
              <w:tc>
                <w:tcPr>
                  <w:tcW w:w="1125" w:type="dxa"/>
                  <w:vAlign w:val="center"/>
                </w:tcPr>
                <w:p w14:paraId="09D42CD8">
                  <w:pPr>
                    <w:pStyle w:val="65"/>
                    <w:spacing w:before="65" w:line="227" w:lineRule="auto"/>
                    <w:jc w:val="center"/>
                    <w:rPr>
                      <w:color w:val="auto"/>
                      <w:spacing w:val="8"/>
                      <w:sz w:val="21"/>
                      <w:szCs w:val="21"/>
                    </w:rPr>
                  </w:pPr>
                  <w:r>
                    <w:rPr>
                      <w:color w:val="auto"/>
                      <w:spacing w:val="8"/>
                      <w:sz w:val="21"/>
                      <w:szCs w:val="21"/>
                    </w:rPr>
                    <w:t>本项目不涉及</w:t>
                  </w:r>
                </w:p>
              </w:tc>
              <w:tc>
                <w:tcPr>
                  <w:tcW w:w="904" w:type="dxa"/>
                  <w:vAlign w:val="center"/>
                </w:tcPr>
                <w:p w14:paraId="533F136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3"/>
                      <w:sz w:val="21"/>
                      <w:szCs w:val="21"/>
                    </w:rPr>
                  </w:pPr>
                  <w:r>
                    <w:rPr>
                      <w:color w:val="auto"/>
                      <w:spacing w:val="3"/>
                      <w:sz w:val="21"/>
                      <w:szCs w:val="21"/>
                    </w:rPr>
                    <w:t>符合</w:t>
                  </w:r>
                </w:p>
              </w:tc>
            </w:tr>
            <w:tr w14:paraId="7F9A2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73968B1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p>
              </w:tc>
              <w:tc>
                <w:tcPr>
                  <w:tcW w:w="765" w:type="dxa"/>
                  <w:vMerge w:val="restart"/>
                  <w:vAlign w:val="center"/>
                </w:tcPr>
                <w:p w14:paraId="617CC18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4"/>
                      <w:sz w:val="21"/>
                      <w:szCs w:val="21"/>
                    </w:rPr>
                  </w:pPr>
                  <w:r>
                    <w:rPr>
                      <w:color w:val="auto"/>
                      <w:spacing w:val="4"/>
                      <w:sz w:val="21"/>
                      <w:szCs w:val="21"/>
                    </w:rPr>
                    <w:t>不符合空间布局要求活动的退出要求</w:t>
                  </w:r>
                </w:p>
              </w:tc>
              <w:tc>
                <w:tcPr>
                  <w:tcW w:w="3555" w:type="dxa"/>
                  <w:vAlign w:val="top"/>
                </w:tcPr>
                <w:p w14:paraId="1C630E41">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各县市、园区全面淘汰炉膛直径3米以下燃料类煤气发生炉。暂不能淘汰的煤气发生炉，煤气生产企业煤气应精脱硫后再供气。未经治理或治理后仍未达到国家规定治理要求的现有畜禽养殖场，实行关停或搬迁。</w:t>
                  </w:r>
                </w:p>
              </w:tc>
              <w:tc>
                <w:tcPr>
                  <w:tcW w:w="1125" w:type="dxa"/>
                  <w:vAlign w:val="center"/>
                </w:tcPr>
                <w:p w14:paraId="70E37F4C">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color w:val="auto"/>
                      <w:sz w:val="21"/>
                      <w:szCs w:val="21"/>
                    </w:rPr>
                  </w:pPr>
                  <w:r>
                    <w:rPr>
                      <w:color w:val="auto"/>
                      <w:sz w:val="21"/>
                      <w:szCs w:val="21"/>
                    </w:rPr>
                    <w:t>本项目不涉及</w:t>
                  </w:r>
                </w:p>
              </w:tc>
              <w:tc>
                <w:tcPr>
                  <w:tcW w:w="904" w:type="dxa"/>
                  <w:vAlign w:val="center"/>
                </w:tcPr>
                <w:p w14:paraId="01906F0D">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color w:val="auto"/>
                      <w:sz w:val="21"/>
                      <w:szCs w:val="21"/>
                    </w:rPr>
                  </w:pPr>
                  <w:r>
                    <w:rPr>
                      <w:color w:val="auto"/>
                      <w:sz w:val="21"/>
                      <w:szCs w:val="21"/>
                    </w:rPr>
                    <w:t>符合</w:t>
                  </w:r>
                </w:p>
              </w:tc>
            </w:tr>
            <w:tr w14:paraId="06442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432DF7C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p>
              </w:tc>
              <w:tc>
                <w:tcPr>
                  <w:tcW w:w="765" w:type="dxa"/>
                  <w:vMerge w:val="continue"/>
                  <w:vAlign w:val="center"/>
                </w:tcPr>
                <w:p w14:paraId="5982D9B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p>
              </w:tc>
              <w:tc>
                <w:tcPr>
                  <w:tcW w:w="3555" w:type="dxa"/>
                  <w:vAlign w:val="top"/>
                </w:tcPr>
                <w:p w14:paraId="7BA6B3DD">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持续开展现有畜禽养殖场限期治理工作，禁养区内现有的畜禽养殖场限期实现关停或搬迁；限养区内，不再新建、扩建各类排泄量较大的规模化畜禽养殖场（小区）；</w:t>
                  </w:r>
                </w:p>
              </w:tc>
              <w:tc>
                <w:tcPr>
                  <w:tcW w:w="1125" w:type="dxa"/>
                  <w:vAlign w:val="center"/>
                </w:tcPr>
                <w:p w14:paraId="7EF1A163">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color w:val="auto"/>
                      <w:sz w:val="21"/>
                      <w:szCs w:val="21"/>
                    </w:rPr>
                  </w:pPr>
                  <w:r>
                    <w:rPr>
                      <w:color w:val="auto"/>
                      <w:sz w:val="21"/>
                      <w:szCs w:val="21"/>
                    </w:rPr>
                    <w:t>本项目不涉及</w:t>
                  </w:r>
                </w:p>
              </w:tc>
              <w:tc>
                <w:tcPr>
                  <w:tcW w:w="904" w:type="dxa"/>
                  <w:vAlign w:val="center"/>
                </w:tcPr>
                <w:p w14:paraId="4D37FC0B">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color w:val="auto"/>
                      <w:sz w:val="21"/>
                      <w:szCs w:val="21"/>
                    </w:rPr>
                  </w:pPr>
                  <w:r>
                    <w:rPr>
                      <w:color w:val="auto"/>
                      <w:sz w:val="21"/>
                      <w:szCs w:val="21"/>
                    </w:rPr>
                    <w:t>符合</w:t>
                  </w:r>
                </w:p>
              </w:tc>
            </w:tr>
            <w:tr w14:paraId="7C8E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36FEB05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p>
              </w:tc>
              <w:tc>
                <w:tcPr>
                  <w:tcW w:w="765" w:type="dxa"/>
                  <w:vMerge w:val="continue"/>
                  <w:vAlign w:val="center"/>
                </w:tcPr>
                <w:p w14:paraId="3A9B095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p>
              </w:tc>
              <w:tc>
                <w:tcPr>
                  <w:tcW w:w="3555" w:type="dxa"/>
                  <w:vAlign w:val="top"/>
                </w:tcPr>
                <w:p w14:paraId="2A1F3321">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严格执行国家产业政策，依法依规淘汰落后产能，推动水泥、电解铝、石化、焦化、铸造等重点行业绿色转型；</w:t>
                  </w:r>
                </w:p>
                <w:p w14:paraId="55F454F7">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2.</w:t>
                  </w:r>
                  <w:r>
                    <w:rPr>
                      <w:rFonts w:hint="default" w:ascii="Times New Roman" w:hAnsi="Times New Roman" w:cs="Times New Roman"/>
                      <w:color w:val="auto"/>
                      <w:sz w:val="21"/>
                      <w:szCs w:val="21"/>
                    </w:rPr>
                    <w:t>昌吉州7县市、2园区范围内的65蒸吨以下燃煤锅炉全面淘汰，统筹完成“煤改气”“煤改电”、清洁能源替代或接入集中供热管网等项目建设；</w:t>
                  </w:r>
                </w:p>
                <w:p w14:paraId="71CFA054">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3.</w:t>
                  </w:r>
                  <w:r>
                    <w:rPr>
                      <w:rFonts w:hint="default" w:ascii="Times New Roman" w:hAnsi="Times New Roman" w:cs="Times New Roman"/>
                      <w:color w:val="auto"/>
                      <w:sz w:val="21"/>
                      <w:szCs w:val="21"/>
                    </w:rPr>
                    <w:t>大力淘汰老旧车辆和高能耗、高污染非道路移动机械，基本淘汰国三及以下排放标准汽车，推广使用新能源、清洁能源车辆和非道路移动机械。</w:t>
                  </w:r>
                </w:p>
              </w:tc>
              <w:tc>
                <w:tcPr>
                  <w:tcW w:w="1125" w:type="dxa"/>
                  <w:vAlign w:val="center"/>
                </w:tcPr>
                <w:p w14:paraId="15614995">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color w:val="auto"/>
                      <w:sz w:val="21"/>
                      <w:szCs w:val="21"/>
                    </w:rPr>
                  </w:pPr>
                  <w:r>
                    <w:rPr>
                      <w:color w:val="auto"/>
                      <w:sz w:val="21"/>
                      <w:szCs w:val="21"/>
                    </w:rPr>
                    <w:t>本项目不涉及</w:t>
                  </w:r>
                </w:p>
              </w:tc>
              <w:tc>
                <w:tcPr>
                  <w:tcW w:w="904" w:type="dxa"/>
                  <w:vAlign w:val="center"/>
                </w:tcPr>
                <w:p w14:paraId="4B95AEDE">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color w:val="auto"/>
                      <w:sz w:val="21"/>
                      <w:szCs w:val="21"/>
                    </w:rPr>
                  </w:pPr>
                  <w:r>
                    <w:rPr>
                      <w:color w:val="auto"/>
                      <w:sz w:val="21"/>
                      <w:szCs w:val="21"/>
                    </w:rPr>
                    <w:t>符合</w:t>
                  </w:r>
                </w:p>
              </w:tc>
            </w:tr>
            <w:tr w14:paraId="1B7EB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Align w:val="center"/>
                </w:tcPr>
                <w:p w14:paraId="2465475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r>
                    <w:rPr>
                      <w:color w:val="auto"/>
                      <w:spacing w:val="8"/>
                      <w:sz w:val="21"/>
                      <w:szCs w:val="21"/>
                    </w:rPr>
                    <w:t>空间布局约束</w:t>
                  </w:r>
                </w:p>
              </w:tc>
              <w:tc>
                <w:tcPr>
                  <w:tcW w:w="765" w:type="dxa"/>
                  <w:vAlign w:val="center"/>
                </w:tcPr>
                <w:p w14:paraId="6182276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1"/>
                      <w:szCs w:val="21"/>
                    </w:rPr>
                  </w:pPr>
                  <w:r>
                    <w:rPr>
                      <w:color w:val="auto"/>
                      <w:spacing w:val="4"/>
                      <w:sz w:val="21"/>
                      <w:szCs w:val="21"/>
                    </w:rPr>
                    <w:t>不符合空间布局要求活动的退出要求</w:t>
                  </w:r>
                </w:p>
              </w:tc>
              <w:tc>
                <w:tcPr>
                  <w:tcW w:w="3555" w:type="dxa"/>
                  <w:vAlign w:val="top"/>
                </w:tcPr>
                <w:p w14:paraId="499DF9D4">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对于现有不符合环保要求的晾晒池、蒸发塘等立即清理整顿。</w:t>
                  </w:r>
                </w:p>
                <w:p w14:paraId="3993907A">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2.</w:t>
                  </w:r>
                  <w:r>
                    <w:rPr>
                      <w:rFonts w:hint="default" w:ascii="Times New Roman" w:hAnsi="Times New Roman" w:cs="Times New Roman"/>
                      <w:color w:val="auto"/>
                      <w:sz w:val="21"/>
                      <w:szCs w:val="21"/>
                    </w:rPr>
                    <w:t>依法关闭或搬迁禁养区内的畜禽养殖场（小区）。</w:t>
                  </w:r>
                </w:p>
                <w:p w14:paraId="5392EB5D">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3.</w:t>
                  </w:r>
                  <w:r>
                    <w:rPr>
                      <w:rFonts w:hint="default" w:ascii="Times New Roman" w:hAnsi="Times New Roman" w:cs="Times New Roman"/>
                      <w:color w:val="auto"/>
                      <w:sz w:val="21"/>
                      <w:szCs w:val="21"/>
                    </w:rPr>
                    <w:t>城市建成区内现有钢铁、有色金属、造纸、印染、原料药制造、化工等污染较重的企业应有序搬迁改造或依法关闭。</w:t>
                  </w:r>
                </w:p>
                <w:p w14:paraId="1C20764C">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4.</w:t>
                  </w:r>
                  <w:r>
                    <w:rPr>
                      <w:rFonts w:hint="default" w:ascii="Times New Roman" w:hAnsi="Times New Roman" w:cs="Times New Roman"/>
                      <w:color w:val="auto"/>
                      <w:sz w:val="21"/>
                      <w:szCs w:val="21"/>
                    </w:rPr>
                    <w:t>根据各级人民政府编制完成的河湖及水利工程管理和保护范围划界确权实施方案，将划定的管理和保护范围线作为河湖保护红线，非法挤占的应限期退出。</w:t>
                  </w:r>
                </w:p>
                <w:p w14:paraId="0028D2BC">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5.</w:t>
                  </w:r>
                  <w:r>
                    <w:rPr>
                      <w:rFonts w:hint="default" w:ascii="Times New Roman" w:hAnsi="Times New Roman" w:cs="Times New Roman"/>
                      <w:color w:val="auto"/>
                      <w:sz w:val="21"/>
                      <w:szCs w:val="21"/>
                    </w:rPr>
                    <w:t>未经批准的和公共供水管网覆盖范围内的自备水井予以逐步关闭。</w:t>
                  </w:r>
                </w:p>
              </w:tc>
              <w:tc>
                <w:tcPr>
                  <w:tcW w:w="1125" w:type="dxa"/>
                  <w:vAlign w:val="center"/>
                </w:tcPr>
                <w:p w14:paraId="77BD6AE0">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7F247961">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46283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restart"/>
                  <w:vAlign w:val="center"/>
                </w:tcPr>
                <w:p w14:paraId="2536A2D9">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污染物排放控制</w:t>
                  </w:r>
                </w:p>
              </w:tc>
              <w:tc>
                <w:tcPr>
                  <w:tcW w:w="765" w:type="dxa"/>
                  <w:vMerge w:val="restart"/>
                  <w:vAlign w:val="center"/>
                </w:tcPr>
                <w:p w14:paraId="38343686">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允许排放量要求</w:t>
                  </w:r>
                </w:p>
              </w:tc>
              <w:tc>
                <w:tcPr>
                  <w:tcW w:w="3555" w:type="dxa"/>
                  <w:vAlign w:val="top"/>
                </w:tcPr>
                <w:p w14:paraId="6B4080FF">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到2025年全州挥发性有机物、氮氧化物、化学需氧量、氨氮等主要污染物排放总量减排率均控制在自治区下达的指标范围内。</w:t>
                  </w:r>
                </w:p>
                <w:p w14:paraId="49936EC1">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2.</w:t>
                  </w:r>
                  <w:r>
                    <w:rPr>
                      <w:rFonts w:hint="default" w:ascii="Times New Roman" w:hAnsi="Times New Roman" w:cs="Times New Roman"/>
                      <w:color w:val="auto"/>
                      <w:sz w:val="21"/>
                      <w:szCs w:val="21"/>
                    </w:rPr>
                    <w:t>全州各县市65蒸吨/小时及以上的燃煤锅炉（除层燃炉、抛煤机炉外）全部实现超低排放，其他燃煤锅炉全部达到特别排放限值要求。</w:t>
                  </w:r>
                </w:p>
                <w:p w14:paraId="0CA27B5E">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3.</w:t>
                  </w:r>
                  <w:r>
                    <w:rPr>
                      <w:rFonts w:hint="default" w:ascii="Times New Roman" w:hAnsi="Times New Roman" w:cs="Times New Roman"/>
                      <w:color w:val="auto"/>
                      <w:sz w:val="21"/>
                      <w:szCs w:val="21"/>
                    </w:rPr>
                    <w:t>提升城镇生活污水处理设施治污效能，新建城镇生活污水处理厂出水必须达到一级A标准。</w:t>
                  </w:r>
                </w:p>
              </w:tc>
              <w:tc>
                <w:tcPr>
                  <w:tcW w:w="1125" w:type="dxa"/>
                  <w:vMerge w:val="restart"/>
                  <w:vAlign w:val="center"/>
                </w:tcPr>
                <w:p w14:paraId="2A300B59">
                  <w:pPr>
                    <w:pStyle w:val="65"/>
                    <w:keepNext w:val="0"/>
                    <w:keepLines w:val="0"/>
                    <w:pageBreakBefore w:val="0"/>
                    <w:widowControl w:val="0"/>
                    <w:kinsoku/>
                    <w:wordWrap/>
                    <w:overflowPunct/>
                    <w:topLinePunct w:val="0"/>
                    <w:autoSpaceDE/>
                    <w:autoSpaceDN/>
                    <w:bidi w:val="0"/>
                    <w:adjustRightInd/>
                    <w:snapToGrid/>
                    <w:spacing w:line="240" w:lineRule="auto"/>
                    <w:ind w:right="0"/>
                    <w:jc w:val="both"/>
                    <w:textAlignment w:val="auto"/>
                    <w:rPr>
                      <w:rFonts w:hint="default" w:ascii="Times New Roman" w:hAnsi="Times New Roman" w:cs="Times New Roman"/>
                      <w:color w:val="auto"/>
                      <w:sz w:val="21"/>
                      <w:szCs w:val="21"/>
                    </w:rPr>
                  </w:pPr>
                  <w:r>
                    <w:rPr>
                      <w:color w:val="auto"/>
                      <w:spacing w:val="39"/>
                      <w:sz w:val="21"/>
                      <w:szCs w:val="21"/>
                    </w:rPr>
                    <w:t>本项目为防洪除涝工</w:t>
                  </w:r>
                  <w:r>
                    <w:rPr>
                      <w:color w:val="auto"/>
                      <w:spacing w:val="16"/>
                      <w:sz w:val="21"/>
                      <w:szCs w:val="21"/>
                    </w:rPr>
                    <w:t>程</w:t>
                  </w:r>
                  <w:r>
                    <w:rPr>
                      <w:rFonts w:hint="eastAsia"/>
                      <w:color w:val="auto"/>
                      <w:spacing w:val="16"/>
                      <w:sz w:val="21"/>
                      <w:szCs w:val="21"/>
                      <w:lang w:eastAsia="zh-CN"/>
                    </w:rPr>
                    <w:t>，</w:t>
                  </w:r>
                  <w:r>
                    <w:rPr>
                      <w:rFonts w:hint="eastAsia" w:ascii="Times New Roman" w:hAnsi="Times New Roman" w:cs="Times New Roman"/>
                      <w:color w:val="auto"/>
                      <w:sz w:val="21"/>
                      <w:szCs w:val="21"/>
                      <w:lang w:eastAsia="zh-CN"/>
                    </w:rPr>
                    <w:t>属于</w:t>
                  </w:r>
                  <w:r>
                    <w:rPr>
                      <w:rFonts w:hint="default" w:ascii="Times New Roman" w:hAnsi="Times New Roman" w:cs="Times New Roman"/>
                      <w:color w:val="auto"/>
                      <w:sz w:val="21"/>
                      <w:szCs w:val="21"/>
                    </w:rPr>
                    <w:t>生态影响类项目，不设总量控制指标，不涉及污染物削减/替代。</w:t>
                  </w:r>
                </w:p>
              </w:tc>
              <w:tc>
                <w:tcPr>
                  <w:tcW w:w="904" w:type="dxa"/>
                  <w:vAlign w:val="center"/>
                </w:tcPr>
                <w:p w14:paraId="768039CF">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22C22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1189B0A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0"/>
                      <w:szCs w:val="20"/>
                    </w:rPr>
                  </w:pPr>
                </w:p>
              </w:tc>
              <w:tc>
                <w:tcPr>
                  <w:tcW w:w="765" w:type="dxa"/>
                  <w:vMerge w:val="continue"/>
                  <w:vAlign w:val="center"/>
                </w:tcPr>
                <w:p w14:paraId="0E35361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1"/>
                      <w:sz w:val="20"/>
                      <w:szCs w:val="20"/>
                    </w:rPr>
                  </w:pPr>
                </w:p>
              </w:tc>
              <w:tc>
                <w:tcPr>
                  <w:tcW w:w="3555" w:type="dxa"/>
                  <w:vAlign w:val="top"/>
                </w:tcPr>
                <w:p w14:paraId="01841199">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“乌-昌-石”区域内，已实施超低排放的涉气排污单位，其实施超低排放改造的污染因子执行超低排放限值，其他污染因子执行特别排放限值和特别控制要求。</w:t>
                  </w:r>
                </w:p>
              </w:tc>
              <w:tc>
                <w:tcPr>
                  <w:tcW w:w="1125" w:type="dxa"/>
                  <w:vMerge w:val="continue"/>
                  <w:vAlign w:val="top"/>
                </w:tcPr>
                <w:p w14:paraId="5AA53596">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p>
              </w:tc>
              <w:tc>
                <w:tcPr>
                  <w:tcW w:w="904" w:type="dxa"/>
                  <w:vAlign w:val="center"/>
                </w:tcPr>
                <w:p w14:paraId="2A2628DF">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4DD1A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75394A6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0"/>
                      <w:szCs w:val="20"/>
                    </w:rPr>
                  </w:pPr>
                </w:p>
              </w:tc>
              <w:tc>
                <w:tcPr>
                  <w:tcW w:w="765" w:type="dxa"/>
                  <w:vMerge w:val="continue"/>
                  <w:vAlign w:val="center"/>
                </w:tcPr>
                <w:p w14:paraId="77E89DF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1"/>
                      <w:sz w:val="20"/>
                      <w:szCs w:val="20"/>
                    </w:rPr>
                  </w:pPr>
                </w:p>
              </w:tc>
              <w:tc>
                <w:tcPr>
                  <w:tcW w:w="3555" w:type="dxa"/>
                  <w:vAlign w:val="top"/>
                </w:tcPr>
                <w:p w14:paraId="1E0D3B03">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“十四五”期间，严格落实控制污染物排</w:t>
                  </w:r>
                  <w:r>
                    <w:rPr>
                      <w:rFonts w:hint="eastAsia" w:ascii="Times New Roman" w:hAnsi="Times New Roman" w:cs="Times New Roman"/>
                      <w:color w:val="auto"/>
                      <w:sz w:val="21"/>
                      <w:szCs w:val="21"/>
                      <w:lang w:val="en-US" w:eastAsia="zh-CN"/>
                    </w:rPr>
                    <w:t>污</w:t>
                  </w:r>
                  <w:r>
                    <w:rPr>
                      <w:rFonts w:hint="default" w:ascii="Times New Roman" w:hAnsi="Times New Roman" w:cs="Times New Roman"/>
                      <w:color w:val="auto"/>
                      <w:sz w:val="21"/>
                      <w:szCs w:val="21"/>
                    </w:rPr>
                    <w:t>许可</w:t>
                  </w:r>
                  <w:r>
                    <w:rPr>
                      <w:rFonts w:hint="eastAsia" w:ascii="Times New Roman" w:hAnsi="Times New Roman" w:cs="Times New Roman"/>
                      <w:color w:val="auto"/>
                      <w:sz w:val="21"/>
                      <w:szCs w:val="21"/>
                      <w:lang w:val="en-US" w:eastAsia="zh-CN"/>
                    </w:rPr>
                    <w:t>制度</w:t>
                  </w:r>
                  <w:r>
                    <w:rPr>
                      <w:rFonts w:hint="default" w:ascii="Times New Roman" w:hAnsi="Times New Roman" w:cs="Times New Roman"/>
                      <w:color w:val="auto"/>
                      <w:sz w:val="21"/>
                      <w:szCs w:val="21"/>
                    </w:rPr>
                    <w:t>，建设项目按程序申领排污许可证。</w:t>
                  </w:r>
                </w:p>
              </w:tc>
              <w:tc>
                <w:tcPr>
                  <w:tcW w:w="1125" w:type="dxa"/>
                  <w:vAlign w:val="center"/>
                </w:tcPr>
                <w:p w14:paraId="6D4D2277">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0369252F">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0635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064AD87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0"/>
                      <w:szCs w:val="20"/>
                    </w:rPr>
                  </w:pPr>
                </w:p>
              </w:tc>
              <w:tc>
                <w:tcPr>
                  <w:tcW w:w="765" w:type="dxa"/>
                  <w:vMerge w:val="continue"/>
                  <w:vAlign w:val="center"/>
                </w:tcPr>
                <w:p w14:paraId="3F8E232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1"/>
                      <w:sz w:val="20"/>
                      <w:szCs w:val="20"/>
                    </w:rPr>
                  </w:pPr>
                </w:p>
              </w:tc>
              <w:tc>
                <w:tcPr>
                  <w:tcW w:w="3555" w:type="dxa"/>
                  <w:vAlign w:val="top"/>
                </w:tcPr>
                <w:p w14:paraId="1C1FA3AE">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新建燃气锅炉氮氧化物排放浓度须低于50毫克/立方米。</w:t>
                  </w:r>
                </w:p>
              </w:tc>
              <w:tc>
                <w:tcPr>
                  <w:tcW w:w="1125" w:type="dxa"/>
                  <w:vAlign w:val="top"/>
                </w:tcPr>
                <w:p w14:paraId="393191FD">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1140B8C2">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5711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5828BF7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0"/>
                      <w:szCs w:val="20"/>
                    </w:rPr>
                  </w:pPr>
                </w:p>
              </w:tc>
              <w:tc>
                <w:tcPr>
                  <w:tcW w:w="765" w:type="dxa"/>
                  <w:vMerge w:val="continue"/>
                  <w:vAlign w:val="center"/>
                </w:tcPr>
                <w:p w14:paraId="3F68E8C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1"/>
                      <w:sz w:val="20"/>
                      <w:szCs w:val="20"/>
                    </w:rPr>
                  </w:pPr>
                </w:p>
              </w:tc>
              <w:tc>
                <w:tcPr>
                  <w:tcW w:w="3555" w:type="dxa"/>
                  <w:vAlign w:val="top"/>
                </w:tcPr>
                <w:p w14:paraId="605AB318">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 、新改扩建城镇污水处理设施要执行一级A排放标准。</w:t>
                  </w:r>
                </w:p>
                <w:p w14:paraId="66EEF7DB">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2.</w:t>
                  </w:r>
                  <w:r>
                    <w:rPr>
                      <w:rFonts w:hint="default" w:ascii="Times New Roman" w:hAnsi="Times New Roman" w:cs="Times New Roman"/>
                      <w:color w:val="auto"/>
                      <w:sz w:val="21"/>
                      <w:szCs w:val="21"/>
                    </w:rPr>
                    <w:t>严格控制污染物新增排放量，对超过重点污染物排放总量控制指标的地区，暂停审批新增重点水污染物排放总量的项目。</w:t>
                  </w:r>
                </w:p>
                <w:p w14:paraId="7CACAC01">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 、工业集聚区内工业废水必须经预处理达到集中处理要求，方可进入污水集中处理设施。工业集聚区应按照规定建成污水集中处理设施并安装自动在线监控装置。</w:t>
                  </w:r>
                </w:p>
              </w:tc>
              <w:tc>
                <w:tcPr>
                  <w:tcW w:w="1125" w:type="dxa"/>
                  <w:vAlign w:val="center"/>
                </w:tcPr>
                <w:p w14:paraId="20AC12C8">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2510DBDD">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74FD1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2FC3C52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0"/>
                      <w:szCs w:val="20"/>
                    </w:rPr>
                  </w:pPr>
                </w:p>
              </w:tc>
              <w:tc>
                <w:tcPr>
                  <w:tcW w:w="765" w:type="dxa"/>
                  <w:vMerge w:val="continue"/>
                  <w:vAlign w:val="center"/>
                </w:tcPr>
                <w:p w14:paraId="06C7F4A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1"/>
                      <w:sz w:val="20"/>
                      <w:szCs w:val="20"/>
                    </w:rPr>
                  </w:pPr>
                </w:p>
              </w:tc>
              <w:tc>
                <w:tcPr>
                  <w:tcW w:w="3555" w:type="dxa"/>
                  <w:vAlign w:val="top"/>
                </w:tcPr>
                <w:p w14:paraId="5FB049F6">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2023年起，在五彩湾矿区、大井矿区、西黑山矿区、白杨河矿区、阜康矿区、将军庙矿区、老君庙矿区、北塔山矿区、玛纳斯塔西河矿区等矿产资源开发活动集中区域及各县（市）安全利用类耕地集中区域，执行《铅、锌工业污染物排放标准》《铜、镍、钴工业污染物排放标准》《无机化学工业污染物排放标准》中颗粒物和镉等重点重金属特别排放限值。</w:t>
                  </w:r>
                </w:p>
              </w:tc>
              <w:tc>
                <w:tcPr>
                  <w:tcW w:w="1125" w:type="dxa"/>
                  <w:vAlign w:val="center"/>
                </w:tcPr>
                <w:p w14:paraId="54F94B61">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53A9A774">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49FC6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Align w:val="center"/>
                </w:tcPr>
                <w:p w14:paraId="3B1E2259">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污染物排放控制</w:t>
                  </w:r>
                </w:p>
              </w:tc>
              <w:tc>
                <w:tcPr>
                  <w:tcW w:w="765" w:type="dxa"/>
                  <w:vMerge w:val="continue"/>
                  <w:vAlign w:val="center"/>
                </w:tcPr>
                <w:p w14:paraId="7E24034E">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p>
              </w:tc>
              <w:tc>
                <w:tcPr>
                  <w:tcW w:w="3555" w:type="dxa"/>
                  <w:vAlign w:val="top"/>
                </w:tcPr>
                <w:p w14:paraId="107B1712">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新改扩建城镇污水处理设施要执行一级A排放标准。</w:t>
                  </w:r>
                </w:p>
                <w:p w14:paraId="66570AEE">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2.</w:t>
                  </w:r>
                  <w:r>
                    <w:rPr>
                      <w:rFonts w:hint="default" w:ascii="Times New Roman" w:hAnsi="Times New Roman" w:cs="Times New Roman"/>
                      <w:color w:val="auto"/>
                      <w:sz w:val="21"/>
                      <w:szCs w:val="21"/>
                    </w:rPr>
                    <w:t>严格控制污染物新增排放量，对超过重点污染物排放总量控制指标的地区，暂停审批新增重点水污染物排放总量的项目。</w:t>
                  </w:r>
                </w:p>
                <w:p w14:paraId="3BDEA618">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3.</w:t>
                  </w:r>
                  <w:r>
                    <w:rPr>
                      <w:rFonts w:hint="default" w:ascii="Times New Roman" w:hAnsi="Times New Roman" w:cs="Times New Roman"/>
                      <w:color w:val="auto"/>
                      <w:sz w:val="21"/>
                      <w:szCs w:val="21"/>
                    </w:rPr>
                    <w:t>工业集聚区内工业废水必须经预处理达到集中处理要求，方可进入污水集中处理设施。工业集聚区应按照规定建成污水集中处理设施并安装自动在线监控装置。</w:t>
                  </w:r>
                </w:p>
              </w:tc>
              <w:tc>
                <w:tcPr>
                  <w:tcW w:w="1125" w:type="dxa"/>
                  <w:vAlign w:val="center"/>
                </w:tcPr>
                <w:p w14:paraId="4D4BBAF7">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4A191339">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67404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Align w:val="center"/>
                </w:tcPr>
                <w:p w14:paraId="306834B6">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污染物排放控制</w:t>
                  </w:r>
                </w:p>
              </w:tc>
              <w:tc>
                <w:tcPr>
                  <w:tcW w:w="765" w:type="dxa"/>
                  <w:vAlign w:val="center"/>
                </w:tcPr>
                <w:p w14:paraId="1853A4A6">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允许排放量要求</w:t>
                  </w:r>
                </w:p>
              </w:tc>
              <w:tc>
                <w:tcPr>
                  <w:tcW w:w="3555" w:type="dxa"/>
                  <w:vAlign w:val="top"/>
                </w:tcPr>
                <w:p w14:paraId="6137FAAB">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2023年起，在五彩湾矿区、大井矿区、西黑山矿区、白杨河矿区、阜康矿区、将军庙矿区、老君庙矿区、北塔山矿区、玛纳斯塔西河矿区等矿产资源开发活动集中区域及各县（市）安全利用类耕地集中区域，执行《铅、锌工业污染物排放标准》《铜、镍、钴工业污染物排放标准》《无机化学工业污染物排放标准》中颗粒物和镉等重点重金属特别排放限值。</w:t>
                  </w:r>
                </w:p>
              </w:tc>
              <w:tc>
                <w:tcPr>
                  <w:tcW w:w="1125" w:type="dxa"/>
                  <w:vAlign w:val="center"/>
                </w:tcPr>
                <w:p w14:paraId="01D09D82">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397B6CD3">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725F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Align w:val="center"/>
                </w:tcPr>
                <w:p w14:paraId="67AE1EFB">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污染物排放控制</w:t>
                  </w:r>
                </w:p>
              </w:tc>
              <w:tc>
                <w:tcPr>
                  <w:tcW w:w="765" w:type="dxa"/>
                  <w:vAlign w:val="center"/>
                </w:tcPr>
                <w:p w14:paraId="636D24AB">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现有源提标升级改造</w:t>
                  </w:r>
                </w:p>
              </w:tc>
              <w:tc>
                <w:tcPr>
                  <w:tcW w:w="3555" w:type="dxa"/>
                  <w:vAlign w:val="top"/>
                </w:tcPr>
                <w:p w14:paraId="08B45EE7">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乌-昌-石”区域内，已实施超低排放的涉气排污单位，其实施超低排放改造的污染因子执行超低排放限值，其他污染因子执行特别排放限值和特别控制要求。非重点区域引导企业实施大气污染物特别排放限值提标改造。</w:t>
                  </w:r>
                </w:p>
                <w:p w14:paraId="5C66A7CA">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2.</w:t>
                  </w:r>
                  <w:r>
                    <w:rPr>
                      <w:rFonts w:hint="default" w:ascii="Times New Roman" w:hAnsi="Times New Roman" w:cs="Times New Roman"/>
                      <w:color w:val="auto"/>
                      <w:sz w:val="21"/>
                      <w:szCs w:val="21"/>
                    </w:rPr>
                    <w:t>阜康市、呼图壁县、吉木萨尔县有序推进钢铁行业超低排放改造。</w:t>
                  </w:r>
                </w:p>
              </w:tc>
              <w:tc>
                <w:tcPr>
                  <w:tcW w:w="1125" w:type="dxa"/>
                  <w:vAlign w:val="center"/>
                </w:tcPr>
                <w:p w14:paraId="6A131EFD">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38434307">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62EAE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restart"/>
                  <w:vAlign w:val="center"/>
                </w:tcPr>
                <w:p w14:paraId="41FF57F8">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环境风险防控</w:t>
                  </w:r>
                </w:p>
              </w:tc>
              <w:tc>
                <w:tcPr>
                  <w:tcW w:w="765" w:type="dxa"/>
                  <w:vMerge w:val="restart"/>
                  <w:vAlign w:val="center"/>
                </w:tcPr>
                <w:p w14:paraId="596105B7">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联防联控要求</w:t>
                  </w:r>
                </w:p>
              </w:tc>
              <w:tc>
                <w:tcPr>
                  <w:tcW w:w="3555" w:type="dxa"/>
                  <w:vAlign w:val="top"/>
                </w:tcPr>
                <w:p w14:paraId="024FC86F">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加强土壤环境管理信息共享，建立部门联动监管机制。各级自然资源部门及时与生态环境部门共享用途变更为“一住两公”的地块信息，土壤污染重点监管单位生产经营用地用途变更或土地使用权收回、转让信息，以及涉及疑似污染地块、污染地块国土空间规划等相关信息。</w:t>
                  </w:r>
                </w:p>
              </w:tc>
              <w:tc>
                <w:tcPr>
                  <w:tcW w:w="1125" w:type="dxa"/>
                  <w:vAlign w:val="center"/>
                </w:tcPr>
                <w:p w14:paraId="6C19CDD2">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1DD15159">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532FE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7DA4ACA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0"/>
                      <w:szCs w:val="20"/>
                    </w:rPr>
                  </w:pPr>
                </w:p>
              </w:tc>
              <w:tc>
                <w:tcPr>
                  <w:tcW w:w="765" w:type="dxa"/>
                  <w:vMerge w:val="continue"/>
                  <w:vAlign w:val="center"/>
                </w:tcPr>
                <w:p w14:paraId="7CF0F5A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4"/>
                      <w:sz w:val="20"/>
                      <w:szCs w:val="20"/>
                    </w:rPr>
                  </w:pPr>
                </w:p>
              </w:tc>
              <w:tc>
                <w:tcPr>
                  <w:tcW w:w="3555" w:type="dxa"/>
                  <w:vAlign w:val="top"/>
                </w:tcPr>
                <w:p w14:paraId="61D605E6">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以用途变更为住宅、公共管理与公共服务用地的地块，以及腾退工矿企业用地为重点，依法开展土壤污染状况调查和风险评估。</w:t>
                  </w:r>
                </w:p>
                <w:p w14:paraId="73EA4D52">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2.</w:t>
                  </w:r>
                  <w:r>
                    <w:rPr>
                      <w:rFonts w:hint="default" w:ascii="Times New Roman" w:hAnsi="Times New Roman" w:cs="Times New Roman"/>
                      <w:color w:val="auto"/>
                      <w:sz w:val="21"/>
                      <w:szCs w:val="21"/>
                    </w:rPr>
                    <w:t>列入建设用地土壤污染风险管控和修复名录的地块，不得作为住宅、公共管理与公共服务用地，未达到土壤污染风险评估报告确定的风险管控、修复目标的建设用地地块，禁止开工建设任何与风险管控、修复无关的项目。</w:t>
                  </w:r>
                </w:p>
                <w:p w14:paraId="17CD6857">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3.</w:t>
                  </w:r>
                  <w:r>
                    <w:rPr>
                      <w:rFonts w:hint="default" w:ascii="Times New Roman" w:hAnsi="Times New Roman" w:cs="Times New Roman"/>
                      <w:color w:val="auto"/>
                      <w:sz w:val="21"/>
                      <w:szCs w:val="21"/>
                    </w:rPr>
                    <w:t>重点强化准东开发区以及昌吉高新技术产业开发区、阜康市工业园区环境风险防控，深入推进园区有毒有害气体环境预警体系和水污染物多级防控体系试点建设。</w:t>
                  </w:r>
                </w:p>
                <w:p w14:paraId="3110AEE0">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4.</w:t>
                  </w:r>
                  <w:r>
                    <w:rPr>
                      <w:rFonts w:hint="default" w:ascii="Times New Roman" w:hAnsi="Times New Roman" w:cs="Times New Roman"/>
                      <w:color w:val="auto"/>
                      <w:sz w:val="21"/>
                      <w:szCs w:val="21"/>
                    </w:rPr>
                    <w:t>健全环境应急管理指挥体系，加强应急、公安、消防、水利、交通运输、住建、生态环境等部门间的应急联动，推进跨行政区域、跨流域环境应急联动机制建设，提高信息互通、资源共享和协同处置能力。</w:t>
                  </w:r>
                </w:p>
              </w:tc>
              <w:tc>
                <w:tcPr>
                  <w:tcW w:w="1125" w:type="dxa"/>
                  <w:vAlign w:val="center"/>
                </w:tcPr>
                <w:p w14:paraId="5F8A6A9E">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521B53F7">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12283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3E1AEF9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0"/>
                      <w:szCs w:val="20"/>
                    </w:rPr>
                  </w:pPr>
                </w:p>
              </w:tc>
              <w:tc>
                <w:tcPr>
                  <w:tcW w:w="765" w:type="dxa"/>
                  <w:vMerge w:val="continue"/>
                  <w:vAlign w:val="center"/>
                </w:tcPr>
                <w:p w14:paraId="73708AB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4"/>
                      <w:sz w:val="20"/>
                      <w:szCs w:val="20"/>
                    </w:rPr>
                  </w:pPr>
                </w:p>
              </w:tc>
              <w:tc>
                <w:tcPr>
                  <w:tcW w:w="3555" w:type="dxa"/>
                  <w:vAlign w:val="top"/>
                </w:tcPr>
                <w:p w14:paraId="7C096058">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加强流域环境应急队伍建设，定期开展流域环境应急演练。各县（市、区）重点针对重大环境风险企业突发污染事件，开展应急演练，加强多部门联合演练，加强环境应急专家队伍与救援队伍建设，加大环境应急资金投入。</w:t>
                  </w:r>
                </w:p>
              </w:tc>
              <w:tc>
                <w:tcPr>
                  <w:tcW w:w="1125" w:type="dxa"/>
                  <w:vAlign w:val="center"/>
                </w:tcPr>
                <w:p w14:paraId="0A684618">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31D4AD3A">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7F013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6ACD38E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0"/>
                      <w:szCs w:val="20"/>
                    </w:rPr>
                  </w:pPr>
                </w:p>
              </w:tc>
              <w:tc>
                <w:tcPr>
                  <w:tcW w:w="765" w:type="dxa"/>
                  <w:vMerge w:val="continue"/>
                  <w:vAlign w:val="center"/>
                </w:tcPr>
                <w:p w14:paraId="686245C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4"/>
                      <w:sz w:val="20"/>
                      <w:szCs w:val="20"/>
                    </w:rPr>
                  </w:pPr>
                </w:p>
              </w:tc>
              <w:tc>
                <w:tcPr>
                  <w:tcW w:w="3555" w:type="dxa"/>
                  <w:vAlign w:val="top"/>
                </w:tcPr>
                <w:p w14:paraId="30C5DCD4">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头屯河、三屯河、塔西河、呼图壁河、三工河、甘河子河、开垦河、木垒河等主要流域干流沿岸，要严格控制石油加工、化工原料和化学制品制造、医药制造、化学纤维制造、有色金属冶炼、造纸等项目环境风险，合理布局生产装置及危险化学品仓储等设施。根据县市人民政府批复的生态基流方案，保障重点河流生态基流，逐步恢复河湖生态环境。</w:t>
                  </w:r>
                </w:p>
              </w:tc>
              <w:tc>
                <w:tcPr>
                  <w:tcW w:w="1125" w:type="dxa"/>
                  <w:vAlign w:val="center"/>
                </w:tcPr>
                <w:p w14:paraId="1F774A40">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25FD1105">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59FA3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restart"/>
                  <w:vAlign w:val="center"/>
                </w:tcPr>
                <w:p w14:paraId="2707E44A">
                  <w:pPr>
                    <w:pStyle w:val="65"/>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color w:val="auto"/>
                      <w:spacing w:val="8"/>
                      <w:sz w:val="20"/>
                      <w:szCs w:val="20"/>
                    </w:rPr>
                  </w:pPr>
                  <w:r>
                    <w:rPr>
                      <w:rFonts w:hint="default" w:ascii="Times New Roman" w:hAnsi="Times New Roman" w:cs="Times New Roman"/>
                      <w:color w:val="auto"/>
                      <w:sz w:val="21"/>
                      <w:szCs w:val="21"/>
                    </w:rPr>
                    <w:t>资源利用要求</w:t>
                  </w:r>
                </w:p>
              </w:tc>
              <w:tc>
                <w:tcPr>
                  <w:tcW w:w="765" w:type="dxa"/>
                  <w:vMerge w:val="restart"/>
                  <w:vAlign w:val="center"/>
                </w:tcPr>
                <w:p w14:paraId="755D8869">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水资源利用总量及效率要求</w:t>
                  </w:r>
                </w:p>
              </w:tc>
              <w:tc>
                <w:tcPr>
                  <w:tcW w:w="3555" w:type="dxa"/>
                  <w:vAlign w:val="top"/>
                </w:tcPr>
                <w:p w14:paraId="3BF3092C">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用水总量控制在自治区下达</w:t>
                  </w:r>
                </w:p>
                <w:p w14:paraId="519AB47D">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的用水总量指标内。</w:t>
                  </w:r>
                </w:p>
              </w:tc>
              <w:tc>
                <w:tcPr>
                  <w:tcW w:w="1125" w:type="dxa"/>
                  <w:vAlign w:val="top"/>
                </w:tcPr>
                <w:p w14:paraId="344EA528">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项目的实施有利于节约水资源。</w:t>
                  </w:r>
                </w:p>
              </w:tc>
              <w:tc>
                <w:tcPr>
                  <w:tcW w:w="904" w:type="dxa"/>
                  <w:vAlign w:val="center"/>
                </w:tcPr>
                <w:p w14:paraId="598BCEDA">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670B1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2BB5CDD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0"/>
                      <w:szCs w:val="20"/>
                    </w:rPr>
                  </w:pPr>
                </w:p>
              </w:tc>
              <w:tc>
                <w:tcPr>
                  <w:tcW w:w="765" w:type="dxa"/>
                  <w:vMerge w:val="continue"/>
                  <w:vAlign w:val="center"/>
                </w:tcPr>
                <w:p w14:paraId="5CEFA07A">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p>
              </w:tc>
              <w:tc>
                <w:tcPr>
                  <w:tcW w:w="3555" w:type="dxa"/>
                  <w:vAlign w:val="top"/>
                </w:tcPr>
                <w:p w14:paraId="281F769B">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深入实施最严格水资源管理。严守水资源开发利用控制、用水效率控制和水功能区限制纳污“三条红线”，严格实行区域用水总量和强度控制，强化用水定额管理。推进地下水超采综合治理。开展河湖生态流量（水量）确定工作，强化生态用水保障。</w:t>
                  </w:r>
                </w:p>
              </w:tc>
              <w:tc>
                <w:tcPr>
                  <w:tcW w:w="1125" w:type="dxa"/>
                  <w:vAlign w:val="center"/>
                </w:tcPr>
                <w:p w14:paraId="2C65AC16">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项目的实施有利于节约水资源。</w:t>
                  </w:r>
                </w:p>
              </w:tc>
              <w:tc>
                <w:tcPr>
                  <w:tcW w:w="904" w:type="dxa"/>
                  <w:vAlign w:val="center"/>
                </w:tcPr>
                <w:p w14:paraId="4D4EDCF9">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5157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19362EC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0"/>
                      <w:szCs w:val="20"/>
                    </w:rPr>
                  </w:pPr>
                </w:p>
              </w:tc>
              <w:tc>
                <w:tcPr>
                  <w:tcW w:w="765" w:type="dxa"/>
                  <w:vMerge w:val="restart"/>
                  <w:vAlign w:val="center"/>
                </w:tcPr>
                <w:p w14:paraId="14DFB2C8">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能源利用总量及效率要求</w:t>
                  </w:r>
                </w:p>
              </w:tc>
              <w:tc>
                <w:tcPr>
                  <w:tcW w:w="3555" w:type="dxa"/>
                  <w:vAlign w:val="top"/>
                </w:tcPr>
                <w:p w14:paraId="6764E0D6">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“十四五”期间，昌吉州单位地区生产总值能耗下降15.5%，规模以上单位工业增加值能耗下降18%。</w:t>
                  </w:r>
                </w:p>
                <w:p w14:paraId="59B0854A">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2.</w:t>
                  </w:r>
                  <w:r>
                    <w:rPr>
                      <w:rFonts w:hint="default" w:ascii="Times New Roman" w:hAnsi="Times New Roman" w:cs="Times New Roman"/>
                      <w:color w:val="auto"/>
                      <w:sz w:val="21"/>
                      <w:szCs w:val="21"/>
                    </w:rPr>
                    <w:t>新上项目的单位工业增加值能耗原则上要低于全州和所属行业规模以上工业增加值能耗均值，仅低于其中一项的，实行能耗等量减量替代；新上项目可采用新增负荷消纳等方式配套建设新能源项目，实现用能绿色替代。</w:t>
                  </w:r>
                </w:p>
              </w:tc>
              <w:tc>
                <w:tcPr>
                  <w:tcW w:w="1125" w:type="dxa"/>
                  <w:vAlign w:val="center"/>
                </w:tcPr>
                <w:p w14:paraId="79C3A1DA">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50455814">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7291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32B0444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0"/>
                      <w:szCs w:val="20"/>
                    </w:rPr>
                  </w:pPr>
                </w:p>
              </w:tc>
              <w:tc>
                <w:tcPr>
                  <w:tcW w:w="765" w:type="dxa"/>
                  <w:vMerge w:val="continue"/>
                  <w:vAlign w:val="top"/>
                </w:tcPr>
                <w:p w14:paraId="11C24F37">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p>
              </w:tc>
              <w:tc>
                <w:tcPr>
                  <w:tcW w:w="3555" w:type="dxa"/>
                  <w:vAlign w:val="top"/>
                </w:tcPr>
                <w:p w14:paraId="347443B4">
                  <w:pPr>
                    <w:pStyle w:val="65"/>
                    <w:keepNext w:val="0"/>
                    <w:keepLines w:val="0"/>
                    <w:pageBreakBefore w:val="0"/>
                    <w:widowControl w:val="0"/>
                    <w:kinsoku/>
                    <w:wordWrap/>
                    <w:overflowPunct/>
                    <w:topLinePunct w:val="0"/>
                    <w:autoSpaceDE/>
                    <w:autoSpaceDN/>
                    <w:bidi w:val="0"/>
                    <w:adjustRightInd/>
                    <w:snapToGrid/>
                    <w:spacing w:line="240" w:lineRule="auto"/>
                    <w:ind w:right="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到2025年，绿色低碳循环发展经济体系初步形成。单位地区生产总值二氧化碳排放下降强度完成国家和自治区下达指标。</w:t>
                  </w:r>
                </w:p>
              </w:tc>
              <w:tc>
                <w:tcPr>
                  <w:tcW w:w="1125" w:type="dxa"/>
                  <w:vAlign w:val="center"/>
                </w:tcPr>
                <w:p w14:paraId="6D288BA1">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3D3D505E">
                  <w:pPr>
                    <w:pStyle w:val="65"/>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r w14:paraId="02B5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9" w:type="dxa"/>
                  <w:vMerge w:val="continue"/>
                  <w:vAlign w:val="center"/>
                </w:tcPr>
                <w:p w14:paraId="1D51BC5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8"/>
                      <w:sz w:val="20"/>
                      <w:szCs w:val="20"/>
                    </w:rPr>
                  </w:pPr>
                </w:p>
              </w:tc>
              <w:tc>
                <w:tcPr>
                  <w:tcW w:w="765" w:type="dxa"/>
                  <w:vAlign w:val="center"/>
                </w:tcPr>
                <w:p w14:paraId="3951D9ED">
                  <w:pPr>
                    <w:pStyle w:val="65"/>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禁燃区要求</w:t>
                  </w:r>
                </w:p>
              </w:tc>
              <w:tc>
                <w:tcPr>
                  <w:tcW w:w="3555" w:type="dxa"/>
                  <w:vAlign w:val="top"/>
                </w:tcPr>
                <w:p w14:paraId="59FCA6A4">
                  <w:pPr>
                    <w:pStyle w:val="65"/>
                    <w:keepNext w:val="0"/>
                    <w:keepLines w:val="0"/>
                    <w:pageBreakBefore w:val="0"/>
                    <w:widowControl w:val="0"/>
                    <w:kinsoku/>
                    <w:wordWrap/>
                    <w:overflowPunct/>
                    <w:topLinePunct w:val="0"/>
                    <w:autoSpaceDE/>
                    <w:autoSpaceDN/>
                    <w:bidi w:val="0"/>
                    <w:adjustRightInd w:val="0"/>
                    <w:snapToGrid w:val="0"/>
                    <w:spacing w:line="240" w:lineRule="auto"/>
                    <w:ind w:right="0"/>
                    <w:jc w:val="both"/>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1.</w:t>
                  </w:r>
                  <w:r>
                    <w:rPr>
                      <w:rFonts w:hint="default" w:ascii="Times New Roman" w:hAnsi="Times New Roman" w:cs="Times New Roman"/>
                      <w:color w:val="auto"/>
                      <w:sz w:val="21"/>
                      <w:szCs w:val="21"/>
                    </w:rPr>
                    <w:t>禁燃区内的单位、个体经营户和个人禁止生产、销售、燃用高污染燃料。</w:t>
                  </w:r>
                </w:p>
                <w:p w14:paraId="29878164">
                  <w:pPr>
                    <w:pStyle w:val="65"/>
                    <w:keepNext w:val="0"/>
                    <w:keepLines w:val="0"/>
                    <w:pageBreakBefore w:val="0"/>
                    <w:widowControl w:val="0"/>
                    <w:kinsoku/>
                    <w:wordWrap/>
                    <w:overflowPunct/>
                    <w:topLinePunct w:val="0"/>
                    <w:autoSpaceDE/>
                    <w:autoSpaceDN/>
                    <w:bidi w:val="0"/>
                    <w:adjustRightInd w:val="0"/>
                    <w:snapToGrid w:val="0"/>
                    <w:spacing w:line="240" w:lineRule="auto"/>
                    <w:ind w:right="0"/>
                    <w:jc w:val="both"/>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2.</w:t>
                  </w:r>
                  <w:r>
                    <w:rPr>
                      <w:rFonts w:hint="default" w:ascii="Times New Roman" w:hAnsi="Times New Roman" w:cs="Times New Roman"/>
                      <w:color w:val="auto"/>
                      <w:sz w:val="21"/>
                      <w:szCs w:val="21"/>
                    </w:rPr>
                    <w:t>禁燃区内的单位、个体经营户和个人禁止新建、扩建使用高污染燃料的设施；已建成的应当在各县（市）人民政府规定的期限内停止燃用高污染燃料，改用天然气、页岩气、液化气、油气、电等清洁能源或者在规定的期限内拆除。</w:t>
                  </w:r>
                </w:p>
              </w:tc>
              <w:tc>
                <w:tcPr>
                  <w:tcW w:w="1125" w:type="dxa"/>
                  <w:vAlign w:val="center"/>
                </w:tcPr>
                <w:p w14:paraId="1D683B5F">
                  <w:pPr>
                    <w:pStyle w:val="65"/>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本项目不涉及</w:t>
                  </w:r>
                </w:p>
              </w:tc>
              <w:tc>
                <w:tcPr>
                  <w:tcW w:w="904" w:type="dxa"/>
                  <w:vAlign w:val="center"/>
                </w:tcPr>
                <w:p w14:paraId="1D7DD02B">
                  <w:pPr>
                    <w:pStyle w:val="65"/>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符合</w:t>
                  </w:r>
                </w:p>
              </w:tc>
            </w:tr>
          </w:tbl>
          <w:p w14:paraId="3BC274A3">
            <w:pPr>
              <w:keepNext w:val="0"/>
              <w:keepLines w:val="0"/>
              <w:pageBreakBefore w:val="0"/>
              <w:widowControl w:val="0"/>
              <w:numPr>
                <w:ilvl w:val="0"/>
                <w:numId w:val="5"/>
              </w:numPr>
              <w:kinsoku/>
              <w:wordWrap/>
              <w:overflowPunct w:val="0"/>
              <w:topLinePunct w:val="0"/>
              <w:autoSpaceDE/>
              <w:autoSpaceDN/>
              <w:bidi w:val="0"/>
              <w:adjustRightInd w:val="0"/>
              <w:snapToGrid w:val="0"/>
              <w:spacing w:line="240" w:lineRule="auto"/>
              <w:ind w:left="0" w:leftChars="0" w:firstLine="0" w:firstLineChars="0"/>
              <w:jc w:val="both"/>
              <w:textAlignment w:val="auto"/>
              <w:rPr>
                <w:rFonts w:hint="default"/>
                <w:b/>
                <w:bCs/>
                <w:color w:val="auto"/>
                <w:spacing w:val="7"/>
                <w:sz w:val="24"/>
                <w:szCs w:val="24"/>
                <w:lang w:val="en-US" w:eastAsia="zh-CN"/>
              </w:rPr>
            </w:pPr>
            <w:r>
              <w:rPr>
                <w:b/>
                <w:bCs/>
                <w:color w:val="auto"/>
                <w:spacing w:val="7"/>
                <w:sz w:val="24"/>
                <w:szCs w:val="24"/>
              </w:rPr>
              <w:t>《昌吉回族自治州生态环境分区管控动态更新成果》（奇台县要求）文件符合性分析</w:t>
            </w:r>
          </w:p>
          <w:tbl>
            <w:tblPr>
              <w:tblStyle w:val="27"/>
              <w:tblW w:w="5000"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3795"/>
              <w:gridCol w:w="1764"/>
              <w:gridCol w:w="719"/>
            </w:tblGrid>
            <w:tr w14:paraId="4EE43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65" w:type="pct"/>
                  <w:gridSpan w:val="2"/>
                  <w:tcBorders>
                    <w:tl2br w:val="nil"/>
                    <w:tr2bl w:val="nil"/>
                  </w:tcBorders>
                  <w:noWrap w:val="0"/>
                  <w:vAlign w:val="center"/>
                </w:tcPr>
                <w:p w14:paraId="55C9DEBF">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highlight w:val="none"/>
                    </w:rPr>
                  </w:pPr>
                  <w:r>
                    <w:rPr>
                      <w:rFonts w:hint="eastAsia"/>
                      <w:color w:val="auto"/>
                      <w:sz w:val="21"/>
                      <w:szCs w:val="21"/>
                      <w:highlight w:val="none"/>
                    </w:rPr>
                    <w:t>环境管控单元名称</w:t>
                  </w:r>
                </w:p>
              </w:tc>
              <w:tc>
                <w:tcPr>
                  <w:tcW w:w="1834" w:type="pct"/>
                  <w:gridSpan w:val="2"/>
                  <w:tcBorders>
                    <w:tl2br w:val="nil"/>
                    <w:tr2bl w:val="nil"/>
                  </w:tcBorders>
                  <w:noWrap w:val="0"/>
                  <w:vAlign w:val="center"/>
                </w:tcPr>
                <w:p w14:paraId="298A9A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eastAsia="宋体"/>
                      <w:color w:val="auto"/>
                      <w:sz w:val="21"/>
                      <w:szCs w:val="21"/>
                      <w:highlight w:val="none"/>
                      <w:lang w:eastAsia="zh-CN"/>
                    </w:rPr>
                  </w:pPr>
                  <w:r>
                    <w:rPr>
                      <w:rFonts w:hint="eastAsia"/>
                      <w:color w:val="auto"/>
                      <w:sz w:val="21"/>
                      <w:szCs w:val="21"/>
                      <w:highlight w:val="none"/>
                      <w:lang w:eastAsia="zh-CN"/>
                    </w:rPr>
                    <w:t>奇台县城镇集中建设区</w:t>
                  </w:r>
                </w:p>
              </w:tc>
            </w:tr>
            <w:tr w14:paraId="7258E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trPr>
              <w:tc>
                <w:tcPr>
                  <w:tcW w:w="3165" w:type="pct"/>
                  <w:gridSpan w:val="2"/>
                  <w:tcBorders>
                    <w:tl2br w:val="nil"/>
                    <w:tr2bl w:val="nil"/>
                  </w:tcBorders>
                  <w:noWrap w:val="0"/>
                  <w:vAlign w:val="center"/>
                </w:tcPr>
                <w:p w14:paraId="1EA62FF1">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highlight w:val="none"/>
                    </w:rPr>
                  </w:pPr>
                  <w:r>
                    <w:rPr>
                      <w:rFonts w:hint="eastAsia"/>
                      <w:color w:val="auto"/>
                      <w:sz w:val="21"/>
                      <w:szCs w:val="21"/>
                      <w:highlight w:val="none"/>
                    </w:rPr>
                    <w:t>环境管控单元编码</w:t>
                  </w:r>
                </w:p>
              </w:tc>
              <w:tc>
                <w:tcPr>
                  <w:tcW w:w="1834" w:type="pct"/>
                  <w:gridSpan w:val="2"/>
                  <w:tcBorders>
                    <w:tl2br w:val="nil"/>
                    <w:tr2bl w:val="nil"/>
                  </w:tcBorders>
                  <w:noWrap w:val="0"/>
                  <w:vAlign w:val="center"/>
                </w:tcPr>
                <w:p w14:paraId="74CC73F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eastAsia="宋体"/>
                      <w:color w:val="auto"/>
                      <w:sz w:val="21"/>
                      <w:szCs w:val="21"/>
                      <w:highlight w:val="none"/>
                      <w:lang w:eastAsia="zh-CN"/>
                    </w:rPr>
                  </w:pPr>
                  <w:r>
                    <w:rPr>
                      <w:rFonts w:hint="eastAsia"/>
                      <w:color w:val="auto"/>
                      <w:sz w:val="21"/>
                      <w:szCs w:val="21"/>
                      <w:highlight w:val="none"/>
                      <w:lang w:eastAsia="zh-CN"/>
                    </w:rPr>
                    <w:t>ZH65232520001</w:t>
                  </w:r>
                </w:p>
              </w:tc>
            </w:tr>
            <w:tr w14:paraId="146F7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trPr>
              <w:tc>
                <w:tcPr>
                  <w:tcW w:w="3165" w:type="pct"/>
                  <w:gridSpan w:val="2"/>
                  <w:tcBorders>
                    <w:tl2br w:val="nil"/>
                    <w:tr2bl w:val="nil"/>
                  </w:tcBorders>
                  <w:noWrap w:val="0"/>
                  <w:vAlign w:val="center"/>
                </w:tcPr>
                <w:p w14:paraId="62DBEDC8">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highlight w:val="none"/>
                    </w:rPr>
                  </w:pPr>
                  <w:r>
                    <w:rPr>
                      <w:rFonts w:hint="eastAsia"/>
                      <w:color w:val="auto"/>
                      <w:sz w:val="21"/>
                      <w:szCs w:val="21"/>
                      <w:highlight w:val="none"/>
                    </w:rPr>
                    <w:t>所属区县</w:t>
                  </w:r>
                </w:p>
              </w:tc>
              <w:tc>
                <w:tcPr>
                  <w:tcW w:w="1834" w:type="pct"/>
                  <w:gridSpan w:val="2"/>
                  <w:tcBorders>
                    <w:tl2br w:val="nil"/>
                    <w:tr2bl w:val="nil"/>
                  </w:tcBorders>
                  <w:noWrap w:val="0"/>
                  <w:vAlign w:val="center"/>
                </w:tcPr>
                <w:p w14:paraId="3322506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eastAsia="宋体"/>
                      <w:color w:val="auto"/>
                      <w:sz w:val="21"/>
                      <w:szCs w:val="21"/>
                      <w:highlight w:val="none"/>
                      <w:lang w:eastAsia="zh-CN"/>
                    </w:rPr>
                  </w:pPr>
                  <w:r>
                    <w:rPr>
                      <w:rFonts w:hint="eastAsia"/>
                      <w:color w:val="auto"/>
                      <w:sz w:val="21"/>
                      <w:szCs w:val="21"/>
                      <w:highlight w:val="none"/>
                      <w:lang w:eastAsia="zh-CN"/>
                    </w:rPr>
                    <w:t>昌吉回族自治州奇台县</w:t>
                  </w:r>
                </w:p>
              </w:tc>
            </w:tr>
            <w:tr w14:paraId="20E9C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65" w:type="pct"/>
                  <w:gridSpan w:val="2"/>
                  <w:tcBorders>
                    <w:tl2br w:val="nil"/>
                    <w:tr2bl w:val="nil"/>
                  </w:tcBorders>
                  <w:noWrap w:val="0"/>
                  <w:vAlign w:val="center"/>
                </w:tcPr>
                <w:p w14:paraId="0C285F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olor w:val="auto"/>
                      <w:sz w:val="21"/>
                      <w:szCs w:val="21"/>
                      <w:highlight w:val="none"/>
                    </w:rPr>
                  </w:pPr>
                  <w:r>
                    <w:rPr>
                      <w:rFonts w:hint="eastAsia"/>
                      <w:color w:val="auto"/>
                      <w:sz w:val="21"/>
                      <w:szCs w:val="21"/>
                      <w:highlight w:val="none"/>
                    </w:rPr>
                    <w:t>管控单元分类</w:t>
                  </w:r>
                </w:p>
              </w:tc>
              <w:tc>
                <w:tcPr>
                  <w:tcW w:w="1834" w:type="pct"/>
                  <w:gridSpan w:val="2"/>
                  <w:tcBorders>
                    <w:tl2br w:val="nil"/>
                    <w:tr2bl w:val="nil"/>
                  </w:tcBorders>
                  <w:noWrap w:val="0"/>
                  <w:vAlign w:val="center"/>
                </w:tcPr>
                <w:p w14:paraId="4CBDB78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olor w:val="auto"/>
                      <w:sz w:val="21"/>
                      <w:szCs w:val="21"/>
                      <w:highlight w:val="none"/>
                    </w:rPr>
                  </w:pPr>
                  <w:r>
                    <w:rPr>
                      <w:rFonts w:hint="eastAsia"/>
                      <w:color w:val="auto"/>
                      <w:sz w:val="21"/>
                      <w:szCs w:val="21"/>
                      <w:highlight w:val="none"/>
                      <w:lang w:val="en-US" w:eastAsia="zh-CN"/>
                    </w:rPr>
                    <w:t>重点</w:t>
                  </w:r>
                  <w:r>
                    <w:rPr>
                      <w:rFonts w:hint="eastAsia"/>
                      <w:color w:val="auto"/>
                      <w:sz w:val="21"/>
                      <w:szCs w:val="21"/>
                      <w:highlight w:val="none"/>
                    </w:rPr>
                    <w:t>环境管控单元</w:t>
                  </w:r>
                </w:p>
              </w:tc>
            </w:tr>
            <w:tr w14:paraId="7BEC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3165" w:type="pct"/>
                  <w:gridSpan w:val="2"/>
                  <w:tcBorders>
                    <w:tl2br w:val="nil"/>
                    <w:tr2bl w:val="nil"/>
                  </w:tcBorders>
                  <w:noWrap w:val="0"/>
                  <w:vAlign w:val="center"/>
                </w:tcPr>
                <w:p w14:paraId="6C60E5C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olor w:val="auto"/>
                      <w:sz w:val="21"/>
                      <w:szCs w:val="21"/>
                      <w:highlight w:val="none"/>
                    </w:rPr>
                  </w:pPr>
                  <w:r>
                    <w:rPr>
                      <w:rFonts w:hint="eastAsia"/>
                      <w:color w:val="auto"/>
                      <w:sz w:val="21"/>
                      <w:szCs w:val="21"/>
                      <w:highlight w:val="none"/>
                    </w:rPr>
                    <w:t>面积</w:t>
                  </w:r>
                </w:p>
              </w:tc>
              <w:tc>
                <w:tcPr>
                  <w:tcW w:w="1834" w:type="pct"/>
                  <w:gridSpan w:val="2"/>
                  <w:tcBorders>
                    <w:tl2br w:val="nil"/>
                    <w:tr2bl w:val="nil"/>
                  </w:tcBorders>
                  <w:noWrap w:val="0"/>
                  <w:vAlign w:val="center"/>
                </w:tcPr>
                <w:p w14:paraId="2EFDAFB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olor w:val="auto"/>
                      <w:sz w:val="21"/>
                      <w:szCs w:val="21"/>
                      <w:highlight w:val="none"/>
                    </w:rPr>
                  </w:pPr>
                  <w:r>
                    <w:rPr>
                      <w:rFonts w:hint="eastAsia"/>
                      <w:color w:val="auto"/>
                      <w:sz w:val="21"/>
                      <w:szCs w:val="21"/>
                      <w:highlight w:val="none"/>
                      <w:lang w:val="en-US" w:eastAsia="zh-CN"/>
                    </w:rPr>
                    <w:t>1.168</w:t>
                  </w:r>
                  <w:r>
                    <w:rPr>
                      <w:rFonts w:hint="eastAsia"/>
                      <w:color w:val="auto"/>
                      <w:sz w:val="21"/>
                      <w:szCs w:val="21"/>
                      <w:highlight w:val="none"/>
                    </w:rPr>
                    <w:t>平方千米</w:t>
                  </w:r>
                </w:p>
              </w:tc>
            </w:tr>
            <w:tr w14:paraId="431D9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1" w:type="pct"/>
                  <w:tcBorders>
                    <w:tl2br w:val="nil"/>
                    <w:tr2bl w:val="nil"/>
                  </w:tcBorders>
                  <w:noWrap w:val="0"/>
                  <w:vAlign w:val="center"/>
                </w:tcPr>
                <w:p w14:paraId="7C7B33B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lang w:eastAsia="zh-CN"/>
                    </w:rPr>
                  </w:pPr>
                  <w:r>
                    <w:rPr>
                      <w:rFonts w:hint="eastAsia"/>
                      <w:b w:val="0"/>
                      <w:bCs w:val="0"/>
                      <w:color w:val="auto"/>
                      <w:sz w:val="21"/>
                      <w:szCs w:val="21"/>
                      <w:lang w:val="en-US" w:eastAsia="zh-CN"/>
                    </w:rPr>
                    <w:t>类别</w:t>
                  </w:r>
                </w:p>
              </w:tc>
              <w:tc>
                <w:tcPr>
                  <w:tcW w:w="2803" w:type="pct"/>
                  <w:tcBorders>
                    <w:tl2br w:val="nil"/>
                    <w:tr2bl w:val="nil"/>
                  </w:tcBorders>
                  <w:noWrap w:val="0"/>
                  <w:vAlign w:val="center"/>
                </w:tcPr>
                <w:p w14:paraId="7453050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val="0"/>
                      <w:bCs w:val="0"/>
                      <w:color w:val="auto"/>
                      <w:sz w:val="21"/>
                      <w:szCs w:val="21"/>
                    </w:rPr>
                  </w:pPr>
                  <w:r>
                    <w:rPr>
                      <w:b w:val="0"/>
                      <w:bCs w:val="0"/>
                      <w:color w:val="auto"/>
                      <w:sz w:val="21"/>
                      <w:szCs w:val="21"/>
                    </w:rPr>
                    <w:t>管控要求</w:t>
                  </w:r>
                </w:p>
              </w:tc>
              <w:tc>
                <w:tcPr>
                  <w:tcW w:w="1303" w:type="pct"/>
                  <w:tcBorders>
                    <w:tl2br w:val="nil"/>
                    <w:tr2bl w:val="nil"/>
                  </w:tcBorders>
                  <w:noWrap w:val="0"/>
                  <w:vAlign w:val="center"/>
                </w:tcPr>
                <w:p w14:paraId="0C2A997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val="0"/>
                      <w:bCs w:val="0"/>
                      <w:color w:val="auto"/>
                      <w:sz w:val="21"/>
                      <w:szCs w:val="21"/>
                    </w:rPr>
                  </w:pPr>
                  <w:r>
                    <w:rPr>
                      <w:b w:val="0"/>
                      <w:bCs w:val="0"/>
                      <w:color w:val="auto"/>
                      <w:sz w:val="21"/>
                      <w:szCs w:val="21"/>
                    </w:rPr>
                    <w:t>符合性分析</w:t>
                  </w:r>
                </w:p>
              </w:tc>
              <w:tc>
                <w:tcPr>
                  <w:tcW w:w="531" w:type="pct"/>
                  <w:tcBorders>
                    <w:tl2br w:val="nil"/>
                    <w:tr2bl w:val="nil"/>
                  </w:tcBorders>
                  <w:noWrap w:val="0"/>
                  <w:vAlign w:val="center"/>
                </w:tcPr>
                <w:p w14:paraId="138407D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val="0"/>
                      <w:bCs w:val="0"/>
                      <w:color w:val="auto"/>
                      <w:sz w:val="21"/>
                      <w:szCs w:val="21"/>
                    </w:rPr>
                  </w:pPr>
                  <w:r>
                    <w:rPr>
                      <w:b w:val="0"/>
                      <w:bCs w:val="0"/>
                      <w:color w:val="auto"/>
                      <w:sz w:val="21"/>
                      <w:szCs w:val="21"/>
                    </w:rPr>
                    <w:t>符合性</w:t>
                  </w:r>
                </w:p>
              </w:tc>
            </w:tr>
            <w:tr w14:paraId="0ECC2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1" w:type="pct"/>
                  <w:tcBorders>
                    <w:tl2br w:val="nil"/>
                    <w:tr2bl w:val="nil"/>
                  </w:tcBorders>
                  <w:noWrap w:val="0"/>
                  <w:vAlign w:val="center"/>
                </w:tcPr>
                <w:p w14:paraId="6638C11C">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rFonts w:ascii="Times New Roman" w:hAnsi="Times New Roman" w:cs="Times New Roman"/>
                      <w:color w:val="auto"/>
                      <w:kern w:val="0"/>
                      <w:sz w:val="21"/>
                      <w:szCs w:val="21"/>
                    </w:rPr>
                    <w:t>空间布局约束</w:t>
                  </w:r>
                </w:p>
              </w:tc>
              <w:tc>
                <w:tcPr>
                  <w:tcW w:w="2803" w:type="pct"/>
                  <w:tcBorders>
                    <w:tl2br w:val="nil"/>
                    <w:tr2bl w:val="nil"/>
                  </w:tcBorders>
                  <w:noWrap w:val="0"/>
                  <w:vAlign w:val="top"/>
                </w:tcPr>
                <w:p w14:paraId="6766E27E">
                  <w:pPr>
                    <w:keepNext w:val="0"/>
                    <w:keepLines w:val="0"/>
                    <w:pageBreakBefore w:val="0"/>
                    <w:widowControl w:val="0"/>
                    <w:numPr>
                      <w:ilvl w:val="0"/>
                      <w:numId w:val="6"/>
                    </w:numPr>
                    <w:kinsoku/>
                    <w:wordWrap/>
                    <w:overflowPunct/>
                    <w:topLinePunct w:val="0"/>
                    <w:autoSpaceDE/>
                    <w:autoSpaceDN/>
                    <w:bidi w:val="0"/>
                    <w:adjustRightInd w:val="0"/>
                    <w:snapToGrid w:val="0"/>
                    <w:jc w:val="both"/>
                    <w:textAlignment w:val="auto"/>
                    <w:rPr>
                      <w:rFonts w:hint="eastAsia" w:ascii="Times New Roman" w:hAnsi="Times New Roman" w:cs="Times New Roman"/>
                      <w:color w:val="auto"/>
                      <w:spacing w:val="4"/>
                      <w:kern w:val="2"/>
                      <w:sz w:val="21"/>
                      <w:szCs w:val="21"/>
                      <w:lang w:val="en-US" w:eastAsia="zh-CN" w:bidi="ar-SA"/>
                    </w:rPr>
                  </w:pPr>
                  <w:r>
                    <w:rPr>
                      <w:rFonts w:hint="eastAsia" w:ascii="Times New Roman" w:hAnsi="Times New Roman" w:cs="Times New Roman"/>
                      <w:color w:val="auto"/>
                      <w:spacing w:val="4"/>
                      <w:kern w:val="2"/>
                      <w:sz w:val="21"/>
                      <w:szCs w:val="21"/>
                      <w:lang w:val="en-US" w:eastAsia="zh-CN" w:bidi="ar-SA"/>
                    </w:rPr>
                    <w:t>城市建成区内不得建设高污染的火电、化工、冶金、造纸、钢铁、建材等工业项目</w:t>
                  </w:r>
                  <w:r>
                    <w:rPr>
                      <w:rFonts w:hint="eastAsia" w:cs="Times New Roman"/>
                      <w:color w:val="auto"/>
                      <w:spacing w:val="4"/>
                      <w:kern w:val="2"/>
                      <w:sz w:val="21"/>
                      <w:szCs w:val="21"/>
                      <w:lang w:val="en-US" w:eastAsia="zh-CN" w:bidi="ar-SA"/>
                    </w:rPr>
                    <w:t>；</w:t>
                  </w:r>
                  <w:r>
                    <w:rPr>
                      <w:rFonts w:hint="eastAsia" w:ascii="Times New Roman" w:hAnsi="Times New Roman" w:cs="Times New Roman"/>
                      <w:color w:val="auto"/>
                      <w:spacing w:val="4"/>
                      <w:kern w:val="2"/>
                      <w:sz w:val="21"/>
                      <w:szCs w:val="21"/>
                      <w:lang w:val="en-US" w:eastAsia="zh-CN" w:bidi="ar-SA"/>
                    </w:rPr>
                    <w:t>已经建成的，应当逐步搬迁。</w:t>
                  </w:r>
                </w:p>
                <w:p w14:paraId="22627BA3">
                  <w:pPr>
                    <w:keepNext w:val="0"/>
                    <w:keepLines w:val="0"/>
                    <w:pageBreakBefore w:val="0"/>
                    <w:widowControl w:val="0"/>
                    <w:numPr>
                      <w:ilvl w:val="0"/>
                      <w:numId w:val="6"/>
                    </w:numPr>
                    <w:kinsoku/>
                    <w:wordWrap/>
                    <w:overflowPunct/>
                    <w:topLinePunct w:val="0"/>
                    <w:autoSpaceDE/>
                    <w:autoSpaceDN/>
                    <w:bidi w:val="0"/>
                    <w:adjustRightInd w:val="0"/>
                    <w:snapToGrid w:val="0"/>
                    <w:jc w:val="both"/>
                    <w:textAlignment w:val="auto"/>
                    <w:rPr>
                      <w:rFonts w:hint="eastAsia" w:ascii="Times New Roman" w:hAnsi="Times New Roman" w:cs="Times New Roman"/>
                      <w:color w:val="auto"/>
                      <w:spacing w:val="4"/>
                      <w:kern w:val="2"/>
                      <w:sz w:val="21"/>
                      <w:szCs w:val="21"/>
                      <w:lang w:val="en-US" w:eastAsia="zh-CN" w:bidi="ar-SA"/>
                    </w:rPr>
                  </w:pPr>
                  <w:r>
                    <w:rPr>
                      <w:rFonts w:hint="eastAsia" w:ascii="Times New Roman" w:hAnsi="Times New Roman" w:cs="Times New Roman"/>
                      <w:color w:val="auto"/>
                      <w:spacing w:val="4"/>
                      <w:kern w:val="2"/>
                      <w:sz w:val="21"/>
                      <w:szCs w:val="21"/>
                      <w:lang w:val="en-US" w:eastAsia="zh-CN" w:bidi="ar-SA"/>
                    </w:rPr>
                    <w:t>禁止在居民住宅区等人口密集区域和机关、医院、学校、幼儿园、养老院等其他需要特殊保护的区域及其周边，新建、改建和扩建易产生恶臭气体的生产项目，或者从事其他产生恶臭气体的生产经营活动。已建成的，应当逐步搬迁或升级改造。</w:t>
                  </w:r>
                </w:p>
                <w:p w14:paraId="7AC44048">
                  <w:pPr>
                    <w:keepNext w:val="0"/>
                    <w:keepLines w:val="0"/>
                    <w:pageBreakBefore w:val="0"/>
                    <w:widowControl w:val="0"/>
                    <w:numPr>
                      <w:ilvl w:val="0"/>
                      <w:numId w:val="6"/>
                    </w:numPr>
                    <w:kinsoku/>
                    <w:wordWrap/>
                    <w:overflowPunct/>
                    <w:topLinePunct w:val="0"/>
                    <w:autoSpaceDE/>
                    <w:autoSpaceDN/>
                    <w:bidi w:val="0"/>
                    <w:adjustRightInd w:val="0"/>
                    <w:snapToGrid w:val="0"/>
                    <w:jc w:val="both"/>
                    <w:textAlignment w:val="auto"/>
                    <w:rPr>
                      <w:rFonts w:hint="eastAsia" w:ascii="Times New Roman" w:hAnsi="Times New Roman" w:cs="Times New Roman"/>
                      <w:color w:val="auto"/>
                      <w:spacing w:val="4"/>
                      <w:kern w:val="2"/>
                      <w:sz w:val="21"/>
                      <w:szCs w:val="21"/>
                      <w:lang w:val="en-US" w:eastAsia="zh-CN" w:bidi="ar-SA"/>
                    </w:rPr>
                  </w:pPr>
                  <w:r>
                    <w:rPr>
                      <w:rFonts w:hint="eastAsia" w:ascii="Times New Roman" w:hAnsi="Times New Roman" w:cs="Times New Roman"/>
                      <w:color w:val="auto"/>
                      <w:spacing w:val="4"/>
                      <w:kern w:val="2"/>
                      <w:sz w:val="21"/>
                      <w:szCs w:val="21"/>
                      <w:lang w:val="en-US" w:eastAsia="zh-CN" w:bidi="ar-SA"/>
                    </w:rPr>
                    <w:t>禁止在集中供热管网覆盖地区新建、扩建分散燃煤供热锅炉。</w:t>
                  </w:r>
                </w:p>
              </w:tc>
              <w:tc>
                <w:tcPr>
                  <w:tcW w:w="1303" w:type="pct"/>
                  <w:tcBorders>
                    <w:tl2br w:val="nil"/>
                    <w:tr2bl w:val="nil"/>
                  </w:tcBorders>
                  <w:noWrap w:val="0"/>
                  <w:vAlign w:val="center"/>
                </w:tcPr>
                <w:p w14:paraId="74211A9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eastAsia="宋体"/>
                      <w:color w:val="auto"/>
                      <w:sz w:val="21"/>
                      <w:szCs w:val="21"/>
                      <w:lang w:val="en-US" w:eastAsia="zh-CN"/>
                    </w:rPr>
                  </w:pPr>
                  <w:r>
                    <w:rPr>
                      <w:rFonts w:hint="default" w:ascii="Times New Roman" w:hAnsi="Times New Roman" w:cs="Times New Roman"/>
                      <w:color w:val="auto"/>
                      <w:sz w:val="21"/>
                      <w:szCs w:val="21"/>
                    </w:rPr>
                    <w:t>本项目不涉及</w:t>
                  </w:r>
                </w:p>
              </w:tc>
              <w:tc>
                <w:tcPr>
                  <w:tcW w:w="531" w:type="pct"/>
                  <w:tcBorders>
                    <w:tl2br w:val="nil"/>
                    <w:tr2bl w:val="nil"/>
                  </w:tcBorders>
                  <w:noWrap w:val="0"/>
                  <w:vAlign w:val="center"/>
                </w:tcPr>
                <w:p w14:paraId="6D74C851">
                  <w:pPr>
                    <w:keepNext w:val="0"/>
                    <w:keepLines w:val="0"/>
                    <w:pageBreakBefore w:val="0"/>
                    <w:widowControl w:val="0"/>
                    <w:kinsoku/>
                    <w:wordWrap/>
                    <w:overflowPunct/>
                    <w:topLinePunct w:val="0"/>
                    <w:autoSpaceDE/>
                    <w:autoSpaceDN/>
                    <w:bidi w:val="0"/>
                    <w:adjustRightInd w:val="0"/>
                    <w:snapToGrid w:val="0"/>
                    <w:jc w:val="right"/>
                    <w:textAlignment w:val="auto"/>
                    <w:rPr>
                      <w:color w:val="auto"/>
                      <w:sz w:val="21"/>
                      <w:szCs w:val="21"/>
                    </w:rPr>
                  </w:pPr>
                  <w:r>
                    <w:rPr>
                      <w:color w:val="auto"/>
                      <w:sz w:val="21"/>
                      <w:szCs w:val="21"/>
                    </w:rPr>
                    <w:t>符合</w:t>
                  </w:r>
                </w:p>
              </w:tc>
            </w:tr>
            <w:tr w14:paraId="25B97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361" w:type="pct"/>
                  <w:tcBorders>
                    <w:tl2br w:val="nil"/>
                    <w:tr2bl w:val="nil"/>
                  </w:tcBorders>
                  <w:noWrap w:val="0"/>
                  <w:vAlign w:val="center"/>
                </w:tcPr>
                <w:p w14:paraId="40AFA489">
                  <w:pPr>
                    <w:keepNext w:val="0"/>
                    <w:keepLines w:val="0"/>
                    <w:pageBreakBefore w:val="0"/>
                    <w:widowControl w:val="0"/>
                    <w:kinsoku/>
                    <w:wordWrap/>
                    <w:overflowPunct/>
                    <w:topLinePunct w:val="0"/>
                    <w:autoSpaceDE/>
                    <w:autoSpaceDN/>
                    <w:bidi w:val="0"/>
                    <w:adjustRightInd w:val="0"/>
                    <w:snapToGrid w:val="0"/>
                    <w:jc w:val="center"/>
                    <w:textAlignment w:val="auto"/>
                    <w:rPr>
                      <w:rFonts w:ascii="Times New Roman" w:hAnsi="Times New Roman" w:cs="Times New Roman"/>
                      <w:color w:val="auto"/>
                      <w:kern w:val="0"/>
                      <w:sz w:val="21"/>
                      <w:szCs w:val="21"/>
                    </w:rPr>
                  </w:pPr>
                  <w:r>
                    <w:rPr>
                      <w:rFonts w:ascii="Times New Roman" w:hAnsi="Times New Roman" w:cs="Times New Roman"/>
                      <w:color w:val="auto"/>
                      <w:kern w:val="0"/>
                      <w:sz w:val="21"/>
                      <w:szCs w:val="21"/>
                    </w:rPr>
                    <w:t>污染物排放管控</w:t>
                  </w:r>
                </w:p>
              </w:tc>
              <w:tc>
                <w:tcPr>
                  <w:tcW w:w="2803" w:type="pct"/>
                  <w:tcBorders>
                    <w:tl2br w:val="nil"/>
                    <w:tr2bl w:val="nil"/>
                  </w:tcBorders>
                  <w:noWrap w:val="0"/>
                  <w:vAlign w:val="center"/>
                </w:tcPr>
                <w:p w14:paraId="372D2A87">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cs="Times New Roman"/>
                      <w:color w:val="auto"/>
                      <w:spacing w:val="4"/>
                      <w:kern w:val="2"/>
                      <w:sz w:val="21"/>
                      <w:szCs w:val="21"/>
                      <w:lang w:val="en-US" w:eastAsia="zh-CN" w:bidi="ar-SA"/>
                    </w:rPr>
                  </w:pPr>
                  <w:r>
                    <w:rPr>
                      <w:rFonts w:hint="eastAsia" w:cs="Times New Roman"/>
                      <w:color w:val="auto"/>
                      <w:spacing w:val="4"/>
                      <w:kern w:val="2"/>
                      <w:sz w:val="21"/>
                      <w:szCs w:val="21"/>
                      <w:lang w:val="en-US" w:eastAsia="zh-CN" w:bidi="ar-SA"/>
                    </w:rPr>
                    <w:t>1.</w:t>
                  </w:r>
                  <w:r>
                    <w:rPr>
                      <w:rFonts w:hint="eastAsia" w:ascii="Times New Roman" w:hAnsi="Times New Roman" w:cs="Times New Roman"/>
                      <w:color w:val="auto"/>
                      <w:spacing w:val="4"/>
                      <w:kern w:val="2"/>
                      <w:sz w:val="21"/>
                      <w:szCs w:val="21"/>
                      <w:lang w:val="en-US" w:eastAsia="zh-CN" w:bidi="ar-SA"/>
                    </w:rPr>
                    <w:t>推进燃气锅炉低氮燃烧改造和65蒸吨/小时及以上燃煤锅炉超低排放改造，到2024年县级及以上城市建成区基本淘汰35蒸吨/小时及以下的燃煤锅炉。</w:t>
                  </w:r>
                </w:p>
              </w:tc>
              <w:tc>
                <w:tcPr>
                  <w:tcW w:w="1303" w:type="pct"/>
                  <w:tcBorders>
                    <w:tl2br w:val="nil"/>
                    <w:tr2bl w:val="nil"/>
                  </w:tcBorders>
                  <w:noWrap w:val="0"/>
                  <w:vAlign w:val="center"/>
                </w:tcPr>
                <w:p w14:paraId="439F4831">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rFonts w:hint="default" w:ascii="Times New Roman" w:hAnsi="Times New Roman" w:cs="Times New Roman"/>
                      <w:color w:val="auto"/>
                      <w:sz w:val="21"/>
                      <w:szCs w:val="21"/>
                    </w:rPr>
                    <w:t>本项目不涉及</w:t>
                  </w:r>
                </w:p>
              </w:tc>
              <w:tc>
                <w:tcPr>
                  <w:tcW w:w="531" w:type="pct"/>
                  <w:tcBorders>
                    <w:tl2br w:val="nil"/>
                    <w:tr2bl w:val="nil"/>
                  </w:tcBorders>
                  <w:noWrap w:val="0"/>
                  <w:vAlign w:val="center"/>
                </w:tcPr>
                <w:p w14:paraId="1FA019EF">
                  <w:pPr>
                    <w:keepNext w:val="0"/>
                    <w:keepLines w:val="0"/>
                    <w:pageBreakBefore w:val="0"/>
                    <w:widowControl w:val="0"/>
                    <w:kinsoku/>
                    <w:wordWrap/>
                    <w:overflowPunct/>
                    <w:topLinePunct w:val="0"/>
                    <w:autoSpaceDE/>
                    <w:autoSpaceDN/>
                    <w:bidi w:val="0"/>
                    <w:adjustRightInd w:val="0"/>
                    <w:snapToGrid w:val="0"/>
                    <w:jc w:val="right"/>
                    <w:textAlignment w:val="auto"/>
                    <w:rPr>
                      <w:color w:val="auto"/>
                      <w:sz w:val="21"/>
                      <w:szCs w:val="21"/>
                    </w:rPr>
                  </w:pPr>
                  <w:r>
                    <w:rPr>
                      <w:color w:val="auto"/>
                      <w:sz w:val="21"/>
                      <w:szCs w:val="21"/>
                    </w:rPr>
                    <w:t>符合</w:t>
                  </w:r>
                </w:p>
              </w:tc>
            </w:tr>
            <w:tr w14:paraId="18818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1" w:type="pct"/>
                  <w:tcBorders>
                    <w:tl2br w:val="nil"/>
                    <w:tr2bl w:val="nil"/>
                  </w:tcBorders>
                  <w:noWrap w:val="0"/>
                  <w:vAlign w:val="center"/>
                </w:tcPr>
                <w:p w14:paraId="2B38359F">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color w:val="auto"/>
                      <w:sz w:val="21"/>
                      <w:szCs w:val="21"/>
                    </w:rPr>
                    <w:t>环境风险防控</w:t>
                  </w:r>
                </w:p>
              </w:tc>
              <w:tc>
                <w:tcPr>
                  <w:tcW w:w="2803" w:type="pct"/>
                  <w:tcBorders>
                    <w:tl2br w:val="nil"/>
                    <w:tr2bl w:val="nil"/>
                  </w:tcBorders>
                  <w:noWrap w:val="0"/>
                  <w:vAlign w:val="top"/>
                </w:tcPr>
                <w:p w14:paraId="083D4657">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color w:val="auto"/>
                      <w:sz w:val="21"/>
                      <w:szCs w:val="21"/>
                    </w:rPr>
                  </w:pPr>
                  <w:r>
                    <w:rPr>
                      <w:rFonts w:hint="eastAsia"/>
                      <w:color w:val="auto"/>
                      <w:sz w:val="21"/>
                      <w:szCs w:val="21"/>
                      <w:lang w:eastAsia="zh-CN"/>
                    </w:rPr>
                    <w:t>1.</w:t>
                  </w:r>
                  <w:r>
                    <w:rPr>
                      <w:rFonts w:hint="eastAsia"/>
                      <w:color w:val="auto"/>
                      <w:sz w:val="21"/>
                      <w:szCs w:val="21"/>
                    </w:rPr>
                    <w:t>严格危险化学品废弃处置。对城镇人口密集区现有不符合安全和卫生防护距离要求的危险化学品生产企业，进行定量风险评估，就地改造达标、搬迁进入规范化工园区或关闭退出。2、提升饮用水安全保障水平。以县级及以上集中式饮用水水源地为重点，推进饮用水水源保护区规范化建设，统筹推进备用水源或应急水源建设。强化饮用水水源保护区环境应急管理，完善重大突发环境事件的物资和技术储备。针对汇水区、补给区存在兵地跨界的，建立统一的饮用水水源应急和执法机制，共享应急物资。</w:t>
                  </w:r>
                </w:p>
              </w:tc>
              <w:tc>
                <w:tcPr>
                  <w:tcW w:w="1303" w:type="pct"/>
                  <w:tcBorders>
                    <w:tl2br w:val="nil"/>
                    <w:tr2bl w:val="nil"/>
                  </w:tcBorders>
                  <w:noWrap w:val="0"/>
                  <w:vAlign w:val="center"/>
                </w:tcPr>
                <w:p w14:paraId="486D8690">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eastAsia="宋体"/>
                      <w:color w:val="auto"/>
                      <w:sz w:val="21"/>
                      <w:szCs w:val="21"/>
                      <w:lang w:val="en-US" w:eastAsia="zh-CN"/>
                    </w:rPr>
                  </w:pPr>
                  <w:r>
                    <w:rPr>
                      <w:rFonts w:hint="default" w:ascii="Times New Roman" w:hAnsi="Times New Roman" w:cs="Times New Roman"/>
                      <w:color w:val="auto"/>
                      <w:sz w:val="21"/>
                      <w:szCs w:val="21"/>
                    </w:rPr>
                    <w:t>本项目不涉及</w:t>
                  </w:r>
                </w:p>
              </w:tc>
              <w:tc>
                <w:tcPr>
                  <w:tcW w:w="531" w:type="pct"/>
                  <w:tcBorders>
                    <w:tl2br w:val="nil"/>
                    <w:tr2bl w:val="nil"/>
                  </w:tcBorders>
                  <w:noWrap w:val="0"/>
                  <w:vAlign w:val="center"/>
                </w:tcPr>
                <w:p w14:paraId="7E91F0E8">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color w:val="auto"/>
                      <w:sz w:val="21"/>
                      <w:szCs w:val="21"/>
                    </w:rPr>
                    <w:t>符合</w:t>
                  </w:r>
                </w:p>
              </w:tc>
            </w:tr>
            <w:tr w14:paraId="665DF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361" w:type="pct"/>
                  <w:tcBorders>
                    <w:tl2br w:val="nil"/>
                    <w:tr2bl w:val="nil"/>
                  </w:tcBorders>
                  <w:noWrap w:val="0"/>
                  <w:vAlign w:val="center"/>
                </w:tcPr>
                <w:p w14:paraId="6A296366">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资源开发效率要求</w:t>
                  </w:r>
                </w:p>
              </w:tc>
              <w:tc>
                <w:tcPr>
                  <w:tcW w:w="2803" w:type="pct"/>
                  <w:tcBorders>
                    <w:tl2br w:val="nil"/>
                    <w:tr2bl w:val="nil"/>
                  </w:tcBorders>
                  <w:noWrap w:val="0"/>
                  <w:vAlign w:val="center"/>
                </w:tcPr>
                <w:p w14:paraId="440F71CC">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auto"/>
                      <w:spacing w:val="4"/>
                      <w:kern w:val="2"/>
                      <w:sz w:val="21"/>
                      <w:szCs w:val="21"/>
                      <w:lang w:val="en-US" w:eastAsia="en-US" w:bidi="ar-SA"/>
                    </w:rPr>
                  </w:pPr>
                  <w:r>
                    <w:rPr>
                      <w:rFonts w:hint="eastAsia" w:cs="Times New Roman"/>
                      <w:color w:val="auto"/>
                      <w:spacing w:val="4"/>
                      <w:kern w:val="2"/>
                      <w:sz w:val="21"/>
                      <w:szCs w:val="21"/>
                      <w:lang w:val="en-US" w:eastAsia="zh-CN" w:bidi="ar-SA"/>
                    </w:rPr>
                    <w:t>1.</w:t>
                  </w:r>
                  <w:r>
                    <w:rPr>
                      <w:rFonts w:hint="default" w:ascii="Times New Roman" w:hAnsi="Times New Roman" w:eastAsia="宋体" w:cs="Times New Roman"/>
                      <w:color w:val="auto"/>
                      <w:spacing w:val="4"/>
                      <w:kern w:val="2"/>
                      <w:sz w:val="21"/>
                      <w:szCs w:val="21"/>
                      <w:lang w:val="en-US" w:eastAsia="en-US" w:bidi="ar-SA"/>
                    </w:rPr>
                    <w:t>禁止销售、燃用原煤、粉煤、各种可燃废物等高污染燃料</w:t>
                  </w:r>
                  <w:r>
                    <w:rPr>
                      <w:rFonts w:hint="eastAsia" w:cs="Times New Roman"/>
                      <w:color w:val="auto"/>
                      <w:spacing w:val="4"/>
                      <w:kern w:val="2"/>
                      <w:sz w:val="21"/>
                      <w:szCs w:val="21"/>
                      <w:lang w:val="en-US" w:eastAsia="zh-CN" w:bidi="ar-SA"/>
                    </w:rPr>
                    <w:t>；</w:t>
                  </w:r>
                  <w:r>
                    <w:rPr>
                      <w:rFonts w:hint="default" w:ascii="Times New Roman" w:hAnsi="Times New Roman" w:eastAsia="宋体" w:cs="Times New Roman"/>
                      <w:color w:val="auto"/>
                      <w:spacing w:val="4"/>
                      <w:kern w:val="2"/>
                      <w:sz w:val="21"/>
                      <w:szCs w:val="21"/>
                      <w:lang w:val="en-US" w:eastAsia="en-US" w:bidi="ar-SA"/>
                    </w:rPr>
                    <w:t>禁止新建、扩建燃用高污染燃料的设施，已建设成的，应当在规定的期限内改用清洁能源</w:t>
                  </w:r>
                  <w:r>
                    <w:rPr>
                      <w:rFonts w:hint="eastAsia" w:cs="Times New Roman"/>
                      <w:color w:val="auto"/>
                      <w:spacing w:val="4"/>
                      <w:kern w:val="2"/>
                      <w:sz w:val="21"/>
                      <w:szCs w:val="21"/>
                      <w:lang w:val="en-US" w:eastAsia="zh-CN" w:bidi="ar-SA"/>
                    </w:rPr>
                    <w:t>；</w:t>
                  </w:r>
                  <w:r>
                    <w:rPr>
                      <w:rFonts w:hint="default" w:ascii="Times New Roman" w:hAnsi="Times New Roman" w:eastAsia="宋体" w:cs="Times New Roman"/>
                      <w:color w:val="auto"/>
                      <w:spacing w:val="4"/>
                      <w:kern w:val="2"/>
                      <w:sz w:val="21"/>
                      <w:szCs w:val="21"/>
                      <w:lang w:val="en-US" w:eastAsia="en-US" w:bidi="ar-SA"/>
                    </w:rPr>
                    <w:t>严格控制引进高载能项目。</w:t>
                  </w:r>
                </w:p>
              </w:tc>
              <w:tc>
                <w:tcPr>
                  <w:tcW w:w="1303" w:type="pct"/>
                  <w:tcBorders>
                    <w:tl2br w:val="nil"/>
                    <w:tr2bl w:val="nil"/>
                  </w:tcBorders>
                  <w:noWrap w:val="0"/>
                  <w:vAlign w:val="center"/>
                </w:tcPr>
                <w:p w14:paraId="2E3DD524">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4"/>
                      <w:kern w:val="2"/>
                      <w:sz w:val="21"/>
                      <w:szCs w:val="21"/>
                      <w:lang w:val="en-US" w:eastAsia="en-US" w:bidi="ar-SA"/>
                    </w:rPr>
                  </w:pPr>
                  <w:r>
                    <w:rPr>
                      <w:rFonts w:hint="default" w:ascii="Times New Roman" w:hAnsi="Times New Roman" w:cs="Times New Roman"/>
                      <w:color w:val="auto"/>
                      <w:sz w:val="21"/>
                      <w:szCs w:val="21"/>
                    </w:rPr>
                    <w:t>本项目不涉及</w:t>
                  </w:r>
                </w:p>
              </w:tc>
              <w:tc>
                <w:tcPr>
                  <w:tcW w:w="531" w:type="pct"/>
                  <w:tcBorders>
                    <w:tl2br w:val="nil"/>
                    <w:tr2bl w:val="nil"/>
                  </w:tcBorders>
                  <w:noWrap w:val="0"/>
                  <w:vAlign w:val="center"/>
                </w:tcPr>
                <w:p w14:paraId="1D24CAFA">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color w:val="auto"/>
                      <w:sz w:val="21"/>
                      <w:szCs w:val="21"/>
                    </w:rPr>
                    <w:t>符合</w:t>
                  </w:r>
                </w:p>
              </w:tc>
            </w:tr>
          </w:tbl>
          <w:p w14:paraId="68CC1F49">
            <w:pPr>
              <w:keepNext w:val="0"/>
              <w:keepLines w:val="0"/>
              <w:pageBreakBefore w:val="0"/>
              <w:widowControl w:val="0"/>
              <w:numPr>
                <w:ilvl w:val="0"/>
                <w:numId w:val="5"/>
              </w:numPr>
              <w:kinsoku/>
              <w:wordWrap/>
              <w:overflowPunct w:val="0"/>
              <w:topLinePunct w:val="0"/>
              <w:autoSpaceDE/>
              <w:autoSpaceDN/>
              <w:bidi w:val="0"/>
              <w:adjustRightInd w:val="0"/>
              <w:snapToGrid w:val="0"/>
              <w:spacing w:line="240" w:lineRule="auto"/>
              <w:ind w:left="0" w:leftChars="0" w:firstLine="0" w:firstLineChars="0"/>
              <w:jc w:val="both"/>
              <w:textAlignment w:val="auto"/>
              <w:rPr>
                <w:rFonts w:hint="default"/>
                <w:b/>
                <w:bCs/>
                <w:color w:val="auto"/>
                <w:spacing w:val="7"/>
                <w:sz w:val="24"/>
                <w:szCs w:val="24"/>
                <w:lang w:val="en-US" w:eastAsia="zh-CN"/>
              </w:rPr>
            </w:pPr>
            <w:r>
              <w:rPr>
                <w:rFonts w:hint="eastAsia"/>
                <w:b/>
                <w:bCs/>
                <w:color w:val="auto"/>
                <w:spacing w:val="7"/>
                <w:sz w:val="24"/>
                <w:szCs w:val="24"/>
                <w:lang w:val="en-US" w:eastAsia="zh-CN"/>
              </w:rPr>
              <w:t>《昌吉回族自治州生态环境分区管控动态更新成果》（奇台县要求）文件符合性分析</w:t>
            </w:r>
          </w:p>
          <w:tbl>
            <w:tblPr>
              <w:tblStyle w:val="27"/>
              <w:tblW w:w="5000"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3885"/>
              <w:gridCol w:w="1674"/>
              <w:gridCol w:w="719"/>
            </w:tblGrid>
            <w:tr w14:paraId="19FBD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232" w:type="pct"/>
                  <w:gridSpan w:val="2"/>
                  <w:tcBorders>
                    <w:tl2br w:val="nil"/>
                    <w:tr2bl w:val="nil"/>
                  </w:tcBorders>
                  <w:noWrap w:val="0"/>
                  <w:vAlign w:val="center"/>
                </w:tcPr>
                <w:p w14:paraId="5F4F392E">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highlight w:val="none"/>
                    </w:rPr>
                  </w:pPr>
                  <w:r>
                    <w:rPr>
                      <w:rFonts w:hint="eastAsia"/>
                      <w:color w:val="auto"/>
                      <w:sz w:val="21"/>
                      <w:szCs w:val="21"/>
                      <w:highlight w:val="none"/>
                    </w:rPr>
                    <w:t>环境管控单元名称</w:t>
                  </w:r>
                </w:p>
              </w:tc>
              <w:tc>
                <w:tcPr>
                  <w:tcW w:w="1767" w:type="pct"/>
                  <w:gridSpan w:val="2"/>
                  <w:tcBorders>
                    <w:tl2br w:val="nil"/>
                    <w:tr2bl w:val="nil"/>
                  </w:tcBorders>
                  <w:noWrap w:val="0"/>
                  <w:vAlign w:val="center"/>
                </w:tcPr>
                <w:p w14:paraId="5F3CE9C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eastAsia="宋体"/>
                      <w:color w:val="auto"/>
                      <w:sz w:val="21"/>
                      <w:szCs w:val="21"/>
                      <w:highlight w:val="none"/>
                      <w:lang w:eastAsia="zh-CN"/>
                    </w:rPr>
                  </w:pPr>
                  <w:r>
                    <w:rPr>
                      <w:rFonts w:hint="default" w:ascii="Times New Roman" w:hAnsi="Times New Roman" w:eastAsia="宋体" w:cs="Times New Roman"/>
                      <w:color w:val="auto"/>
                      <w:spacing w:val="4"/>
                      <w:kern w:val="2"/>
                      <w:sz w:val="21"/>
                      <w:szCs w:val="21"/>
                      <w:lang w:val="en-US" w:eastAsia="en-US" w:bidi="ar-SA"/>
                    </w:rPr>
                    <w:t>奇台县限采区</w:t>
                  </w:r>
                </w:p>
              </w:tc>
            </w:tr>
            <w:tr w14:paraId="4ABF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trPr>
              <w:tc>
                <w:tcPr>
                  <w:tcW w:w="3232" w:type="pct"/>
                  <w:gridSpan w:val="2"/>
                  <w:tcBorders>
                    <w:tl2br w:val="nil"/>
                    <w:tr2bl w:val="nil"/>
                  </w:tcBorders>
                  <w:noWrap w:val="0"/>
                  <w:vAlign w:val="center"/>
                </w:tcPr>
                <w:p w14:paraId="34ADC229">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highlight w:val="none"/>
                    </w:rPr>
                  </w:pPr>
                  <w:r>
                    <w:rPr>
                      <w:rFonts w:hint="eastAsia"/>
                      <w:color w:val="auto"/>
                      <w:sz w:val="21"/>
                      <w:szCs w:val="21"/>
                      <w:highlight w:val="none"/>
                    </w:rPr>
                    <w:t>环境管控单元编码</w:t>
                  </w:r>
                </w:p>
              </w:tc>
              <w:tc>
                <w:tcPr>
                  <w:tcW w:w="1767" w:type="pct"/>
                  <w:gridSpan w:val="2"/>
                  <w:tcBorders>
                    <w:tl2br w:val="nil"/>
                    <w:tr2bl w:val="nil"/>
                  </w:tcBorders>
                  <w:noWrap w:val="0"/>
                  <w:vAlign w:val="center"/>
                </w:tcPr>
                <w:p w14:paraId="3624B9F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eastAsia="宋体"/>
                      <w:color w:val="auto"/>
                      <w:sz w:val="21"/>
                      <w:szCs w:val="21"/>
                      <w:highlight w:val="none"/>
                      <w:lang w:eastAsia="zh-CN"/>
                    </w:rPr>
                  </w:pPr>
                  <w:r>
                    <w:rPr>
                      <w:rFonts w:hint="default" w:ascii="Times New Roman" w:hAnsi="Times New Roman" w:eastAsia="宋体" w:cs="Times New Roman"/>
                      <w:color w:val="auto"/>
                      <w:spacing w:val="4"/>
                      <w:kern w:val="2"/>
                      <w:sz w:val="21"/>
                      <w:szCs w:val="21"/>
                      <w:lang w:val="en-US" w:eastAsia="en-US" w:bidi="ar-SA"/>
                    </w:rPr>
                    <w:t>ZH65232520007</w:t>
                  </w:r>
                </w:p>
              </w:tc>
            </w:tr>
            <w:tr w14:paraId="3FEC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trPr>
              <w:tc>
                <w:tcPr>
                  <w:tcW w:w="3232" w:type="pct"/>
                  <w:gridSpan w:val="2"/>
                  <w:tcBorders>
                    <w:tl2br w:val="nil"/>
                    <w:tr2bl w:val="nil"/>
                  </w:tcBorders>
                  <w:noWrap w:val="0"/>
                  <w:vAlign w:val="center"/>
                </w:tcPr>
                <w:p w14:paraId="3FFCD4F1">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highlight w:val="none"/>
                    </w:rPr>
                  </w:pPr>
                  <w:r>
                    <w:rPr>
                      <w:rFonts w:hint="eastAsia"/>
                      <w:color w:val="auto"/>
                      <w:sz w:val="21"/>
                      <w:szCs w:val="21"/>
                      <w:highlight w:val="none"/>
                    </w:rPr>
                    <w:t>所属区县</w:t>
                  </w:r>
                </w:p>
              </w:tc>
              <w:tc>
                <w:tcPr>
                  <w:tcW w:w="1767" w:type="pct"/>
                  <w:gridSpan w:val="2"/>
                  <w:tcBorders>
                    <w:tl2br w:val="nil"/>
                    <w:tr2bl w:val="nil"/>
                  </w:tcBorders>
                  <w:noWrap w:val="0"/>
                  <w:vAlign w:val="center"/>
                </w:tcPr>
                <w:p w14:paraId="3AC026B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eastAsia="宋体"/>
                      <w:color w:val="auto"/>
                      <w:sz w:val="21"/>
                      <w:szCs w:val="21"/>
                      <w:highlight w:val="none"/>
                      <w:lang w:eastAsia="zh-CN"/>
                    </w:rPr>
                  </w:pPr>
                  <w:r>
                    <w:rPr>
                      <w:rFonts w:hint="eastAsia"/>
                      <w:color w:val="auto"/>
                      <w:sz w:val="21"/>
                      <w:szCs w:val="21"/>
                      <w:highlight w:val="none"/>
                      <w:lang w:eastAsia="zh-CN"/>
                    </w:rPr>
                    <w:t>昌吉回族自治州奇台县</w:t>
                  </w:r>
                </w:p>
              </w:tc>
            </w:tr>
            <w:tr w14:paraId="3C9A1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232" w:type="pct"/>
                  <w:gridSpan w:val="2"/>
                  <w:tcBorders>
                    <w:tl2br w:val="nil"/>
                    <w:tr2bl w:val="nil"/>
                  </w:tcBorders>
                  <w:noWrap w:val="0"/>
                  <w:vAlign w:val="center"/>
                </w:tcPr>
                <w:p w14:paraId="7E20ACD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olor w:val="auto"/>
                      <w:sz w:val="21"/>
                      <w:szCs w:val="21"/>
                      <w:highlight w:val="none"/>
                    </w:rPr>
                  </w:pPr>
                  <w:r>
                    <w:rPr>
                      <w:rFonts w:hint="eastAsia"/>
                      <w:color w:val="auto"/>
                      <w:sz w:val="21"/>
                      <w:szCs w:val="21"/>
                      <w:highlight w:val="none"/>
                    </w:rPr>
                    <w:t>管控单元分类</w:t>
                  </w:r>
                </w:p>
              </w:tc>
              <w:tc>
                <w:tcPr>
                  <w:tcW w:w="1767" w:type="pct"/>
                  <w:gridSpan w:val="2"/>
                  <w:tcBorders>
                    <w:tl2br w:val="nil"/>
                    <w:tr2bl w:val="nil"/>
                  </w:tcBorders>
                  <w:noWrap w:val="0"/>
                  <w:vAlign w:val="center"/>
                </w:tcPr>
                <w:p w14:paraId="1245524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olor w:val="auto"/>
                      <w:sz w:val="21"/>
                      <w:szCs w:val="21"/>
                      <w:highlight w:val="none"/>
                    </w:rPr>
                  </w:pPr>
                  <w:r>
                    <w:rPr>
                      <w:rFonts w:hint="eastAsia"/>
                      <w:color w:val="auto"/>
                      <w:sz w:val="21"/>
                      <w:szCs w:val="21"/>
                      <w:highlight w:val="none"/>
                      <w:lang w:val="en-US" w:eastAsia="zh-CN"/>
                    </w:rPr>
                    <w:t>重点</w:t>
                  </w:r>
                  <w:r>
                    <w:rPr>
                      <w:rFonts w:hint="eastAsia"/>
                      <w:color w:val="auto"/>
                      <w:sz w:val="21"/>
                      <w:szCs w:val="21"/>
                      <w:highlight w:val="none"/>
                    </w:rPr>
                    <w:t>环境管控单元</w:t>
                  </w:r>
                </w:p>
              </w:tc>
            </w:tr>
            <w:tr w14:paraId="5AB3F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3232" w:type="pct"/>
                  <w:gridSpan w:val="2"/>
                  <w:tcBorders>
                    <w:tl2br w:val="nil"/>
                    <w:tr2bl w:val="nil"/>
                  </w:tcBorders>
                  <w:noWrap w:val="0"/>
                  <w:vAlign w:val="center"/>
                </w:tcPr>
                <w:p w14:paraId="478E3B9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olor w:val="auto"/>
                      <w:sz w:val="21"/>
                      <w:szCs w:val="21"/>
                      <w:highlight w:val="none"/>
                    </w:rPr>
                  </w:pPr>
                  <w:r>
                    <w:rPr>
                      <w:rFonts w:hint="eastAsia"/>
                      <w:color w:val="auto"/>
                      <w:sz w:val="21"/>
                      <w:szCs w:val="21"/>
                      <w:highlight w:val="none"/>
                    </w:rPr>
                    <w:t>面积</w:t>
                  </w:r>
                </w:p>
              </w:tc>
              <w:tc>
                <w:tcPr>
                  <w:tcW w:w="1767" w:type="pct"/>
                  <w:gridSpan w:val="2"/>
                  <w:tcBorders>
                    <w:tl2br w:val="nil"/>
                    <w:tr2bl w:val="nil"/>
                  </w:tcBorders>
                  <w:noWrap w:val="0"/>
                  <w:vAlign w:val="center"/>
                </w:tcPr>
                <w:p w14:paraId="2C4D703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olor w:val="auto"/>
                      <w:sz w:val="21"/>
                      <w:szCs w:val="21"/>
                      <w:highlight w:val="none"/>
                    </w:rPr>
                  </w:pPr>
                  <w:r>
                    <w:rPr>
                      <w:rFonts w:hint="default" w:ascii="Times New Roman" w:hAnsi="Times New Roman" w:eastAsia="宋体" w:cs="Times New Roman"/>
                      <w:color w:val="auto"/>
                      <w:spacing w:val="4"/>
                      <w:kern w:val="2"/>
                      <w:sz w:val="21"/>
                      <w:szCs w:val="21"/>
                      <w:lang w:val="en-US" w:eastAsia="en-US" w:bidi="ar-SA"/>
                    </w:rPr>
                    <w:t>5.982平方千米</w:t>
                  </w:r>
                </w:p>
              </w:tc>
            </w:tr>
            <w:tr w14:paraId="6E1C7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1" w:type="pct"/>
                  <w:tcBorders>
                    <w:tl2br w:val="nil"/>
                    <w:tr2bl w:val="nil"/>
                  </w:tcBorders>
                  <w:noWrap w:val="0"/>
                  <w:vAlign w:val="center"/>
                </w:tcPr>
                <w:p w14:paraId="449294E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lang w:eastAsia="zh-CN"/>
                    </w:rPr>
                  </w:pPr>
                  <w:r>
                    <w:rPr>
                      <w:rFonts w:hint="eastAsia"/>
                      <w:b w:val="0"/>
                      <w:bCs w:val="0"/>
                      <w:color w:val="auto"/>
                      <w:sz w:val="21"/>
                      <w:szCs w:val="21"/>
                      <w:lang w:val="en-US" w:eastAsia="zh-CN"/>
                    </w:rPr>
                    <w:t>类别</w:t>
                  </w:r>
                </w:p>
              </w:tc>
              <w:tc>
                <w:tcPr>
                  <w:tcW w:w="2870" w:type="pct"/>
                  <w:tcBorders>
                    <w:tl2br w:val="nil"/>
                    <w:tr2bl w:val="nil"/>
                  </w:tcBorders>
                  <w:noWrap w:val="0"/>
                  <w:vAlign w:val="center"/>
                </w:tcPr>
                <w:p w14:paraId="52B623E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val="0"/>
                      <w:bCs w:val="0"/>
                      <w:color w:val="auto"/>
                      <w:sz w:val="21"/>
                      <w:szCs w:val="21"/>
                    </w:rPr>
                  </w:pPr>
                  <w:r>
                    <w:rPr>
                      <w:b w:val="0"/>
                      <w:bCs w:val="0"/>
                      <w:color w:val="auto"/>
                      <w:sz w:val="21"/>
                      <w:szCs w:val="21"/>
                    </w:rPr>
                    <w:t>管控要求</w:t>
                  </w:r>
                </w:p>
              </w:tc>
              <w:tc>
                <w:tcPr>
                  <w:tcW w:w="1236" w:type="pct"/>
                  <w:tcBorders>
                    <w:tl2br w:val="nil"/>
                    <w:tr2bl w:val="nil"/>
                  </w:tcBorders>
                  <w:noWrap w:val="0"/>
                  <w:vAlign w:val="center"/>
                </w:tcPr>
                <w:p w14:paraId="61FAE1B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val="0"/>
                      <w:bCs w:val="0"/>
                      <w:color w:val="auto"/>
                      <w:sz w:val="21"/>
                      <w:szCs w:val="21"/>
                    </w:rPr>
                  </w:pPr>
                  <w:r>
                    <w:rPr>
                      <w:b w:val="0"/>
                      <w:bCs w:val="0"/>
                      <w:color w:val="auto"/>
                      <w:sz w:val="21"/>
                      <w:szCs w:val="21"/>
                    </w:rPr>
                    <w:t>符合性分析</w:t>
                  </w:r>
                </w:p>
              </w:tc>
              <w:tc>
                <w:tcPr>
                  <w:tcW w:w="531" w:type="pct"/>
                  <w:tcBorders>
                    <w:tl2br w:val="nil"/>
                    <w:tr2bl w:val="nil"/>
                  </w:tcBorders>
                  <w:noWrap w:val="0"/>
                  <w:vAlign w:val="center"/>
                </w:tcPr>
                <w:p w14:paraId="46A2F53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val="0"/>
                      <w:bCs w:val="0"/>
                      <w:color w:val="auto"/>
                      <w:sz w:val="21"/>
                      <w:szCs w:val="21"/>
                    </w:rPr>
                  </w:pPr>
                  <w:r>
                    <w:rPr>
                      <w:b w:val="0"/>
                      <w:bCs w:val="0"/>
                      <w:color w:val="auto"/>
                      <w:sz w:val="21"/>
                      <w:szCs w:val="21"/>
                    </w:rPr>
                    <w:t>符合性</w:t>
                  </w:r>
                </w:p>
              </w:tc>
            </w:tr>
            <w:tr w14:paraId="41D6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1" w:type="pct"/>
                  <w:tcBorders>
                    <w:tl2br w:val="nil"/>
                    <w:tr2bl w:val="nil"/>
                  </w:tcBorders>
                  <w:noWrap w:val="0"/>
                  <w:vAlign w:val="center"/>
                </w:tcPr>
                <w:p w14:paraId="5D06FFDD">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rFonts w:ascii="Times New Roman" w:hAnsi="Times New Roman" w:cs="Times New Roman"/>
                      <w:color w:val="auto"/>
                      <w:kern w:val="0"/>
                      <w:sz w:val="21"/>
                      <w:szCs w:val="21"/>
                    </w:rPr>
                    <w:t>空间布局约束</w:t>
                  </w:r>
                </w:p>
              </w:tc>
              <w:tc>
                <w:tcPr>
                  <w:tcW w:w="2870" w:type="pct"/>
                  <w:tcBorders>
                    <w:tl2br w:val="nil"/>
                    <w:tr2bl w:val="nil"/>
                  </w:tcBorders>
                  <w:noWrap w:val="0"/>
                  <w:vAlign w:val="top"/>
                </w:tcPr>
                <w:p w14:paraId="619A5711">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cs="Times New Roman"/>
                      <w:color w:val="auto"/>
                      <w:spacing w:val="4"/>
                      <w:kern w:val="2"/>
                      <w:sz w:val="21"/>
                      <w:szCs w:val="21"/>
                      <w:lang w:val="en-US" w:eastAsia="zh-CN" w:bidi="ar-SA"/>
                    </w:rPr>
                  </w:pPr>
                  <w:r>
                    <w:rPr>
                      <w:rFonts w:hint="eastAsia" w:cs="Times New Roman"/>
                      <w:color w:val="auto"/>
                      <w:spacing w:val="4"/>
                      <w:kern w:val="2"/>
                      <w:sz w:val="21"/>
                      <w:szCs w:val="21"/>
                      <w:lang w:val="en-US" w:eastAsia="zh-CN" w:bidi="ar-SA"/>
                    </w:rPr>
                    <w:t>1.</w:t>
                  </w:r>
                  <w:r>
                    <w:rPr>
                      <w:rFonts w:hint="eastAsia" w:ascii="Times New Roman" w:hAnsi="Times New Roman" w:cs="Times New Roman"/>
                      <w:color w:val="auto"/>
                      <w:spacing w:val="4"/>
                      <w:kern w:val="2"/>
                      <w:sz w:val="21"/>
                      <w:szCs w:val="21"/>
                      <w:lang w:val="en-US" w:eastAsia="zh-CN" w:bidi="ar-SA"/>
                    </w:rPr>
                    <w:t>严格控制缺水地区、水污染严重区域和敏感区域高耗水、高污染行业发展。</w:t>
                  </w:r>
                </w:p>
              </w:tc>
              <w:tc>
                <w:tcPr>
                  <w:tcW w:w="1236" w:type="pct"/>
                  <w:tcBorders>
                    <w:tl2br w:val="nil"/>
                    <w:tr2bl w:val="nil"/>
                  </w:tcBorders>
                  <w:noWrap w:val="0"/>
                  <w:vAlign w:val="center"/>
                </w:tcPr>
                <w:p w14:paraId="03B71244">
                  <w:pPr>
                    <w:keepNext w:val="0"/>
                    <w:keepLines w:val="0"/>
                    <w:pageBreakBefore w:val="0"/>
                    <w:widowControl w:val="0"/>
                    <w:kinsoku/>
                    <w:wordWrap/>
                    <w:overflowPunct/>
                    <w:topLinePunct w:val="0"/>
                    <w:autoSpaceDE/>
                    <w:autoSpaceDN/>
                    <w:bidi w:val="0"/>
                    <w:adjustRightInd w:val="0"/>
                    <w:snapToGrid w:val="0"/>
                    <w:textAlignment w:val="auto"/>
                    <w:rPr>
                      <w:rFonts w:hint="eastAsia" w:eastAsia="宋体"/>
                      <w:color w:val="auto"/>
                      <w:sz w:val="21"/>
                      <w:szCs w:val="21"/>
                      <w:lang w:val="en-US" w:eastAsia="zh-CN"/>
                    </w:rPr>
                  </w:pPr>
                  <w:r>
                    <w:rPr>
                      <w:rFonts w:hint="default" w:ascii="Times New Roman" w:hAnsi="Times New Roman" w:cs="Times New Roman"/>
                      <w:color w:val="auto"/>
                      <w:sz w:val="21"/>
                      <w:szCs w:val="21"/>
                    </w:rPr>
                    <w:t>本项目不涉及</w:t>
                  </w:r>
                </w:p>
              </w:tc>
              <w:tc>
                <w:tcPr>
                  <w:tcW w:w="531" w:type="pct"/>
                  <w:tcBorders>
                    <w:tl2br w:val="nil"/>
                    <w:tr2bl w:val="nil"/>
                  </w:tcBorders>
                  <w:noWrap w:val="0"/>
                  <w:vAlign w:val="center"/>
                </w:tcPr>
                <w:p w14:paraId="386BABEC">
                  <w:pPr>
                    <w:keepNext w:val="0"/>
                    <w:keepLines w:val="0"/>
                    <w:pageBreakBefore w:val="0"/>
                    <w:widowControl w:val="0"/>
                    <w:kinsoku/>
                    <w:wordWrap/>
                    <w:overflowPunct/>
                    <w:topLinePunct w:val="0"/>
                    <w:autoSpaceDE/>
                    <w:autoSpaceDN/>
                    <w:bidi w:val="0"/>
                    <w:adjustRightInd w:val="0"/>
                    <w:snapToGrid w:val="0"/>
                    <w:jc w:val="right"/>
                    <w:textAlignment w:val="auto"/>
                    <w:rPr>
                      <w:color w:val="auto"/>
                      <w:sz w:val="21"/>
                      <w:szCs w:val="21"/>
                    </w:rPr>
                  </w:pPr>
                  <w:r>
                    <w:rPr>
                      <w:color w:val="auto"/>
                      <w:sz w:val="21"/>
                      <w:szCs w:val="21"/>
                    </w:rPr>
                    <w:t>符合</w:t>
                  </w:r>
                </w:p>
              </w:tc>
            </w:tr>
            <w:tr w14:paraId="133A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361" w:type="pct"/>
                  <w:tcBorders>
                    <w:tl2br w:val="nil"/>
                    <w:tr2bl w:val="nil"/>
                  </w:tcBorders>
                  <w:noWrap w:val="0"/>
                  <w:vAlign w:val="center"/>
                </w:tcPr>
                <w:p w14:paraId="07B649D1">
                  <w:pPr>
                    <w:keepNext w:val="0"/>
                    <w:keepLines w:val="0"/>
                    <w:pageBreakBefore w:val="0"/>
                    <w:widowControl w:val="0"/>
                    <w:kinsoku/>
                    <w:wordWrap/>
                    <w:overflowPunct/>
                    <w:topLinePunct w:val="0"/>
                    <w:autoSpaceDE/>
                    <w:autoSpaceDN/>
                    <w:bidi w:val="0"/>
                    <w:adjustRightInd w:val="0"/>
                    <w:snapToGrid w:val="0"/>
                    <w:jc w:val="center"/>
                    <w:textAlignment w:val="auto"/>
                    <w:rPr>
                      <w:rFonts w:ascii="Times New Roman" w:hAnsi="Times New Roman" w:cs="Times New Roman"/>
                      <w:color w:val="auto"/>
                      <w:kern w:val="0"/>
                      <w:sz w:val="21"/>
                      <w:szCs w:val="21"/>
                    </w:rPr>
                  </w:pPr>
                  <w:r>
                    <w:rPr>
                      <w:rFonts w:ascii="Times New Roman" w:hAnsi="Times New Roman" w:cs="Times New Roman"/>
                      <w:color w:val="auto"/>
                      <w:kern w:val="0"/>
                      <w:sz w:val="21"/>
                      <w:szCs w:val="21"/>
                    </w:rPr>
                    <w:t>污染物排放管控</w:t>
                  </w:r>
                </w:p>
              </w:tc>
              <w:tc>
                <w:tcPr>
                  <w:tcW w:w="2870" w:type="pct"/>
                  <w:tcBorders>
                    <w:tl2br w:val="nil"/>
                    <w:tr2bl w:val="nil"/>
                  </w:tcBorders>
                  <w:noWrap w:val="0"/>
                  <w:vAlign w:val="top"/>
                </w:tcPr>
                <w:p w14:paraId="2E6730C4">
                  <w:pPr>
                    <w:keepNext w:val="0"/>
                    <w:keepLines w:val="0"/>
                    <w:pageBreakBefore w:val="0"/>
                    <w:widowControl w:val="0"/>
                    <w:numPr>
                      <w:ilvl w:val="0"/>
                      <w:numId w:val="0"/>
                    </w:numPr>
                    <w:kinsoku/>
                    <w:wordWrap/>
                    <w:overflowPunct/>
                    <w:topLinePunct w:val="0"/>
                    <w:autoSpaceDE/>
                    <w:autoSpaceDN/>
                    <w:bidi w:val="0"/>
                    <w:adjustRightInd w:val="0"/>
                    <w:snapToGrid w:val="0"/>
                    <w:textAlignment w:val="auto"/>
                    <w:rPr>
                      <w:rFonts w:hint="eastAsia" w:ascii="Times New Roman" w:hAnsi="Times New Roman" w:cs="Times New Roman"/>
                      <w:color w:val="auto"/>
                      <w:spacing w:val="4"/>
                      <w:kern w:val="2"/>
                      <w:sz w:val="21"/>
                      <w:szCs w:val="21"/>
                      <w:lang w:val="en-US" w:eastAsia="zh-CN" w:bidi="ar-SA"/>
                    </w:rPr>
                  </w:pPr>
                  <w:r>
                    <w:rPr>
                      <w:rFonts w:hint="eastAsia" w:cs="Times New Roman"/>
                      <w:color w:val="auto"/>
                      <w:spacing w:val="4"/>
                      <w:kern w:val="2"/>
                      <w:sz w:val="21"/>
                      <w:szCs w:val="21"/>
                      <w:lang w:val="en-US" w:eastAsia="zh-CN" w:bidi="ar-SA"/>
                    </w:rPr>
                    <w:t>1.</w:t>
                  </w:r>
                  <w:r>
                    <w:rPr>
                      <w:rFonts w:hint="eastAsia" w:ascii="Times New Roman" w:hAnsi="Times New Roman" w:cs="Times New Roman"/>
                      <w:color w:val="auto"/>
                      <w:spacing w:val="4"/>
                      <w:kern w:val="2"/>
                      <w:sz w:val="21"/>
                      <w:szCs w:val="21"/>
                      <w:lang w:val="en-US" w:eastAsia="zh-CN" w:bidi="ar-SA"/>
                    </w:rPr>
                    <w:t>推进地表水与地下水协同防治。以傍河型地下水饮用水水源为重点，防范受污染河段侧渗和垂直补给对地下水污染。加强化学品生产企业、工业聚集区、矿山开采区等污染源的地表、地下协同防治与环境风险管控。加强工业污染防治。推动重点行业、重点企业绿色发展，严格落实水污染物排放标准和排污许可制度。加强农副食品加工、化工、印染、棉浆粕、粘胶纤维、制糖等企业综合治理和清洁化改造。支持企业积极实施节水技术改造，加强工业园区污水集中处理设施运行管理，加快再生水回用设施建设，提升园区水资源循环利用水平。</w:t>
                  </w:r>
                </w:p>
              </w:tc>
              <w:tc>
                <w:tcPr>
                  <w:tcW w:w="1236" w:type="pct"/>
                  <w:tcBorders>
                    <w:tl2br w:val="nil"/>
                    <w:tr2bl w:val="nil"/>
                  </w:tcBorders>
                  <w:noWrap w:val="0"/>
                  <w:vAlign w:val="center"/>
                </w:tcPr>
                <w:p w14:paraId="572254F8">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rFonts w:hint="default" w:ascii="Times New Roman" w:hAnsi="Times New Roman" w:cs="Times New Roman"/>
                      <w:color w:val="auto"/>
                      <w:sz w:val="21"/>
                      <w:szCs w:val="21"/>
                    </w:rPr>
                    <w:t>本项目不涉及</w:t>
                  </w:r>
                </w:p>
              </w:tc>
              <w:tc>
                <w:tcPr>
                  <w:tcW w:w="531" w:type="pct"/>
                  <w:tcBorders>
                    <w:tl2br w:val="nil"/>
                    <w:tr2bl w:val="nil"/>
                  </w:tcBorders>
                  <w:noWrap w:val="0"/>
                  <w:vAlign w:val="center"/>
                </w:tcPr>
                <w:p w14:paraId="4E11A6BF">
                  <w:pPr>
                    <w:keepNext w:val="0"/>
                    <w:keepLines w:val="0"/>
                    <w:pageBreakBefore w:val="0"/>
                    <w:widowControl w:val="0"/>
                    <w:kinsoku/>
                    <w:wordWrap/>
                    <w:overflowPunct/>
                    <w:topLinePunct w:val="0"/>
                    <w:autoSpaceDE/>
                    <w:autoSpaceDN/>
                    <w:bidi w:val="0"/>
                    <w:adjustRightInd w:val="0"/>
                    <w:snapToGrid w:val="0"/>
                    <w:jc w:val="right"/>
                    <w:textAlignment w:val="auto"/>
                    <w:rPr>
                      <w:color w:val="auto"/>
                      <w:sz w:val="21"/>
                      <w:szCs w:val="21"/>
                    </w:rPr>
                  </w:pPr>
                  <w:r>
                    <w:rPr>
                      <w:color w:val="auto"/>
                      <w:sz w:val="21"/>
                      <w:szCs w:val="21"/>
                    </w:rPr>
                    <w:t>符合</w:t>
                  </w:r>
                </w:p>
              </w:tc>
            </w:tr>
            <w:tr w14:paraId="4C826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1" w:type="pct"/>
                  <w:tcBorders>
                    <w:tl2br w:val="nil"/>
                    <w:tr2bl w:val="nil"/>
                  </w:tcBorders>
                  <w:noWrap w:val="0"/>
                  <w:vAlign w:val="center"/>
                </w:tcPr>
                <w:p w14:paraId="003171DE">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color w:val="auto"/>
                      <w:sz w:val="21"/>
                      <w:szCs w:val="21"/>
                    </w:rPr>
                    <w:t>环境风险防控</w:t>
                  </w:r>
                </w:p>
              </w:tc>
              <w:tc>
                <w:tcPr>
                  <w:tcW w:w="2870" w:type="pct"/>
                  <w:tcBorders>
                    <w:tl2br w:val="nil"/>
                    <w:tr2bl w:val="nil"/>
                  </w:tcBorders>
                  <w:noWrap w:val="0"/>
                  <w:vAlign w:val="top"/>
                </w:tcPr>
                <w:p w14:paraId="3236506C">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color w:val="auto"/>
                      <w:sz w:val="21"/>
                      <w:szCs w:val="21"/>
                    </w:rPr>
                  </w:pPr>
                  <w:r>
                    <w:rPr>
                      <w:rFonts w:hint="eastAsia"/>
                      <w:color w:val="auto"/>
                      <w:sz w:val="21"/>
                      <w:szCs w:val="21"/>
                    </w:rPr>
                    <w:t>强化重点区域地下水环境风险管控。对化学品生产企业、工业集聚区、尾矿库、矿山开采区、危险废物处置场、垃圾填埋场等地下水污染源及周边区域，逐步开展地下水环境状况调查评估，加强风险管控。</w:t>
                  </w:r>
                </w:p>
              </w:tc>
              <w:tc>
                <w:tcPr>
                  <w:tcW w:w="1236" w:type="pct"/>
                  <w:tcBorders>
                    <w:tl2br w:val="nil"/>
                    <w:tr2bl w:val="nil"/>
                  </w:tcBorders>
                  <w:noWrap w:val="0"/>
                  <w:vAlign w:val="center"/>
                </w:tcPr>
                <w:p w14:paraId="0EFD652A">
                  <w:pPr>
                    <w:keepNext w:val="0"/>
                    <w:keepLines w:val="0"/>
                    <w:pageBreakBefore w:val="0"/>
                    <w:widowControl w:val="0"/>
                    <w:kinsoku/>
                    <w:wordWrap/>
                    <w:overflowPunct/>
                    <w:topLinePunct w:val="0"/>
                    <w:autoSpaceDE/>
                    <w:autoSpaceDN/>
                    <w:bidi w:val="0"/>
                    <w:adjustRightInd w:val="0"/>
                    <w:snapToGrid w:val="0"/>
                    <w:textAlignment w:val="auto"/>
                    <w:rPr>
                      <w:rFonts w:hint="default" w:eastAsia="宋体"/>
                      <w:color w:val="auto"/>
                      <w:sz w:val="21"/>
                      <w:szCs w:val="21"/>
                      <w:lang w:val="en-US" w:eastAsia="zh-CN"/>
                    </w:rPr>
                  </w:pPr>
                  <w:r>
                    <w:rPr>
                      <w:rFonts w:hint="default" w:ascii="Times New Roman" w:hAnsi="Times New Roman" w:cs="Times New Roman"/>
                      <w:color w:val="auto"/>
                      <w:sz w:val="21"/>
                      <w:szCs w:val="21"/>
                    </w:rPr>
                    <w:t>本项目不涉及</w:t>
                  </w:r>
                </w:p>
              </w:tc>
              <w:tc>
                <w:tcPr>
                  <w:tcW w:w="531" w:type="pct"/>
                  <w:tcBorders>
                    <w:tl2br w:val="nil"/>
                    <w:tr2bl w:val="nil"/>
                  </w:tcBorders>
                  <w:noWrap w:val="0"/>
                  <w:vAlign w:val="center"/>
                </w:tcPr>
                <w:p w14:paraId="6C995FCD">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color w:val="auto"/>
                      <w:sz w:val="21"/>
                      <w:szCs w:val="21"/>
                    </w:rPr>
                    <w:t>符合</w:t>
                  </w:r>
                </w:p>
              </w:tc>
            </w:tr>
            <w:tr w14:paraId="6AFFB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361" w:type="pct"/>
                  <w:tcBorders>
                    <w:tl2br w:val="nil"/>
                    <w:tr2bl w:val="nil"/>
                  </w:tcBorders>
                  <w:noWrap w:val="0"/>
                  <w:vAlign w:val="center"/>
                </w:tcPr>
                <w:p w14:paraId="1A65175C">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资源开发效率要求</w:t>
                  </w:r>
                </w:p>
              </w:tc>
              <w:tc>
                <w:tcPr>
                  <w:tcW w:w="2870" w:type="pct"/>
                  <w:tcBorders>
                    <w:tl2br w:val="nil"/>
                    <w:tr2bl w:val="nil"/>
                  </w:tcBorders>
                  <w:noWrap w:val="0"/>
                  <w:vAlign w:val="center"/>
                </w:tcPr>
                <w:p w14:paraId="70B89490">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auto"/>
                      <w:spacing w:val="4"/>
                      <w:kern w:val="2"/>
                      <w:sz w:val="21"/>
                      <w:szCs w:val="21"/>
                      <w:lang w:val="en-US" w:eastAsia="en-US" w:bidi="ar-SA"/>
                    </w:rPr>
                  </w:pPr>
                  <w:r>
                    <w:rPr>
                      <w:rFonts w:hint="eastAsia" w:cs="Times New Roman"/>
                      <w:color w:val="auto"/>
                      <w:spacing w:val="4"/>
                      <w:kern w:val="2"/>
                      <w:sz w:val="21"/>
                      <w:szCs w:val="21"/>
                      <w:lang w:val="en-US" w:eastAsia="zh-CN" w:bidi="ar-SA"/>
                    </w:rPr>
                    <w:t>1.</w:t>
                  </w:r>
                  <w:r>
                    <w:rPr>
                      <w:rFonts w:hint="default" w:ascii="Times New Roman" w:hAnsi="Times New Roman" w:eastAsia="宋体" w:cs="Times New Roman"/>
                      <w:color w:val="auto"/>
                      <w:spacing w:val="4"/>
                      <w:kern w:val="2"/>
                      <w:sz w:val="21"/>
                      <w:szCs w:val="21"/>
                      <w:lang w:val="en-US" w:eastAsia="en-US" w:bidi="ar-SA"/>
                    </w:rPr>
                    <w:t>县级以上人民政府水行政主管部门应当合理配置地表水、地下水，从严控制地下水取水总量。2、严守水资源开发利用控制、用水效率控制和水功能区限制纳污“三条红线”，严格实行区域用水总量和强度控制，强化用水定额管理。推进地下水超采综合治理。</w:t>
                  </w:r>
                </w:p>
              </w:tc>
              <w:tc>
                <w:tcPr>
                  <w:tcW w:w="1236" w:type="pct"/>
                  <w:tcBorders>
                    <w:tl2br w:val="nil"/>
                    <w:tr2bl w:val="nil"/>
                  </w:tcBorders>
                  <w:noWrap w:val="0"/>
                  <w:vAlign w:val="center"/>
                </w:tcPr>
                <w:p w14:paraId="73C3DF33">
                  <w:pPr>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pacing w:val="4"/>
                      <w:kern w:val="2"/>
                      <w:sz w:val="21"/>
                      <w:szCs w:val="21"/>
                      <w:lang w:val="en-US" w:eastAsia="en-US" w:bidi="ar-SA"/>
                    </w:rPr>
                  </w:pPr>
                  <w:r>
                    <w:rPr>
                      <w:rFonts w:hint="default" w:ascii="Times New Roman" w:hAnsi="Times New Roman" w:cs="Times New Roman"/>
                      <w:color w:val="auto"/>
                      <w:sz w:val="21"/>
                      <w:szCs w:val="21"/>
                    </w:rPr>
                    <w:t>本项目不涉及</w:t>
                  </w:r>
                </w:p>
              </w:tc>
              <w:tc>
                <w:tcPr>
                  <w:tcW w:w="531" w:type="pct"/>
                  <w:tcBorders>
                    <w:tl2br w:val="nil"/>
                    <w:tr2bl w:val="nil"/>
                  </w:tcBorders>
                  <w:noWrap w:val="0"/>
                  <w:vAlign w:val="center"/>
                </w:tcPr>
                <w:p w14:paraId="34453932">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color w:val="auto"/>
                      <w:sz w:val="21"/>
                      <w:szCs w:val="21"/>
                    </w:rPr>
                    <w:t>符合</w:t>
                  </w:r>
                </w:p>
              </w:tc>
            </w:tr>
          </w:tbl>
          <w:p w14:paraId="088BC541">
            <w:pPr>
              <w:keepNext w:val="0"/>
              <w:keepLines w:val="0"/>
              <w:pageBreakBefore w:val="0"/>
              <w:widowControl w:val="0"/>
              <w:numPr>
                <w:ilvl w:val="0"/>
                <w:numId w:val="4"/>
              </w:numPr>
              <w:kinsoku/>
              <w:wordWrap/>
              <w:overflowPunct w:val="0"/>
              <w:topLinePunct w:val="0"/>
              <w:autoSpaceDE/>
              <w:autoSpaceDN/>
              <w:bidi w:val="0"/>
              <w:adjustRightInd w:val="0"/>
              <w:snapToGrid w:val="0"/>
              <w:spacing w:line="360" w:lineRule="auto"/>
              <w:ind w:left="0" w:leftChars="0" w:firstLine="510" w:firstLineChars="200"/>
              <w:jc w:val="both"/>
              <w:textAlignment w:val="auto"/>
              <w:rPr>
                <w:rFonts w:ascii="Times New Roman" w:hAnsi="Times New Roman" w:eastAsia="宋体" w:cs="Times New Roman"/>
                <w:b/>
                <w:bCs/>
                <w:color w:val="auto"/>
                <w:sz w:val="24"/>
                <w:szCs w:val="24"/>
              </w:rPr>
            </w:pPr>
            <w:r>
              <w:rPr>
                <w:rFonts w:hint="eastAsia"/>
                <w:b/>
                <w:bCs/>
                <w:color w:val="auto"/>
                <w:spacing w:val="7"/>
                <w:sz w:val="24"/>
                <w:szCs w:val="24"/>
                <w:lang w:val="en-US" w:eastAsia="zh-CN"/>
              </w:rPr>
              <w:t>《新疆生产建设兵团“三线一单”生态环境分区管控方案》及动态更新</w:t>
            </w:r>
            <w:r>
              <w:rPr>
                <w:rFonts w:ascii="Times New Roman" w:hAnsi="Times New Roman" w:eastAsia="宋体" w:cs="Times New Roman"/>
                <w:b/>
                <w:bCs/>
                <w:color w:val="auto"/>
                <w:sz w:val="24"/>
                <w:szCs w:val="24"/>
              </w:rPr>
              <w:t>符合性分析</w:t>
            </w:r>
          </w:p>
          <w:p w14:paraId="66FD0B5E">
            <w:pPr>
              <w:pStyle w:val="65"/>
              <w:spacing w:line="359" w:lineRule="auto"/>
              <w:ind w:right="11" w:firstLine="464" w:firstLineChars="200"/>
              <w:rPr>
                <w:rFonts w:hint="default"/>
                <w:b/>
                <w:bCs/>
                <w:color w:val="auto"/>
                <w:spacing w:val="7"/>
                <w:sz w:val="24"/>
                <w:szCs w:val="24"/>
                <w:lang w:val="en-US" w:eastAsia="zh-CN"/>
              </w:rPr>
            </w:pPr>
            <w:r>
              <w:rPr>
                <w:rFonts w:hint="default" w:ascii="Times New Roman" w:hAnsi="Times New Roman" w:cs="Times New Roman"/>
                <w:color w:val="auto"/>
                <w:spacing w:val="-4"/>
                <w:sz w:val="24"/>
                <w:szCs w:val="24"/>
              </w:rPr>
              <w:t>根据兵团生态环境分区管控信息平台</w:t>
            </w:r>
            <w:r>
              <w:rPr>
                <w:rFonts w:hint="eastAsia" w:ascii="Times New Roman" w:hAnsi="Times New Roman" w:cs="Times New Roman"/>
                <w:color w:val="auto"/>
                <w:spacing w:val="-4"/>
                <w:sz w:val="24"/>
                <w:szCs w:val="24"/>
                <w:lang w:val="en-US" w:eastAsia="zh-CN"/>
              </w:rPr>
              <w:t>及《新疆生产建设兵团“三线一单”生态环境分区管控方案》及动态更新成果</w:t>
            </w:r>
            <w:r>
              <w:rPr>
                <w:rFonts w:hint="default" w:ascii="Times New Roman" w:hAnsi="Times New Roman" w:cs="Times New Roman"/>
                <w:color w:val="auto"/>
                <w:spacing w:val="-4"/>
                <w:sz w:val="24"/>
                <w:szCs w:val="24"/>
              </w:rPr>
              <w:t>，本项目</w:t>
            </w:r>
            <w:r>
              <w:rPr>
                <w:rFonts w:hint="eastAsia" w:ascii="Times New Roman" w:hAnsi="Times New Roman" w:cs="Times New Roman"/>
                <w:color w:val="auto"/>
                <w:spacing w:val="-4"/>
                <w:sz w:val="24"/>
                <w:szCs w:val="24"/>
                <w:lang w:val="en-US" w:eastAsia="zh-CN"/>
              </w:rPr>
              <w:t>改建1座1#交通桥工程</w:t>
            </w:r>
            <w:r>
              <w:rPr>
                <w:rFonts w:hint="default" w:ascii="Times New Roman" w:hAnsi="Times New Roman" w:cs="Times New Roman"/>
                <w:color w:val="auto"/>
                <w:spacing w:val="-4"/>
                <w:sz w:val="24"/>
                <w:szCs w:val="24"/>
              </w:rPr>
              <w:t>区</w:t>
            </w:r>
            <w:r>
              <w:rPr>
                <w:rFonts w:hint="default" w:ascii="Times New Roman" w:hAnsi="Times New Roman" w:cs="Times New Roman"/>
                <w:color w:val="auto"/>
                <w:spacing w:val="-4"/>
                <w:sz w:val="24"/>
                <w:szCs w:val="24"/>
                <w:lang w:val="en-US" w:eastAsia="zh-CN"/>
              </w:rPr>
              <w:t>涉及</w:t>
            </w:r>
            <w:r>
              <w:rPr>
                <w:rFonts w:hint="eastAsia" w:ascii="Times New Roman" w:hAnsi="Times New Roman" w:cs="Times New Roman"/>
                <w:color w:val="auto"/>
                <w:spacing w:val="-4"/>
                <w:sz w:val="24"/>
                <w:szCs w:val="24"/>
                <w:lang w:val="en-US" w:eastAsia="zh-CN"/>
              </w:rPr>
              <w:t>1</w:t>
            </w:r>
            <w:r>
              <w:rPr>
                <w:rFonts w:hint="default" w:ascii="Times New Roman" w:hAnsi="Times New Roman" w:cs="Times New Roman"/>
                <w:color w:val="auto"/>
                <w:spacing w:val="-4"/>
                <w:sz w:val="24"/>
                <w:szCs w:val="24"/>
                <w:lang w:val="en-US" w:eastAsia="zh-CN"/>
              </w:rPr>
              <w:t>个环境管控单元，</w:t>
            </w:r>
            <w:r>
              <w:rPr>
                <w:rFonts w:hint="eastAsia" w:ascii="Times New Roman" w:hAnsi="Times New Roman" w:cs="Times New Roman"/>
                <w:color w:val="auto"/>
                <w:spacing w:val="-4"/>
                <w:sz w:val="24"/>
                <w:szCs w:val="24"/>
                <w:lang w:val="en-US" w:eastAsia="zh-CN"/>
              </w:rPr>
              <w:t>为一般</w:t>
            </w:r>
            <w:r>
              <w:rPr>
                <w:rFonts w:hint="default" w:ascii="Times New Roman" w:hAnsi="Times New Roman" w:cs="Times New Roman"/>
                <w:color w:val="auto"/>
                <w:spacing w:val="-4"/>
                <w:sz w:val="24"/>
                <w:szCs w:val="24"/>
                <w:lang w:val="en-US" w:eastAsia="zh-CN"/>
              </w:rPr>
              <w:t>管控单元</w:t>
            </w:r>
            <w:r>
              <w:rPr>
                <w:rFonts w:hint="eastAsia" w:ascii="Times New Roman" w:hAnsi="Times New Roman" w:cs="Times New Roman"/>
                <w:color w:val="auto"/>
                <w:spacing w:val="-4"/>
                <w:sz w:val="24"/>
                <w:szCs w:val="24"/>
                <w:lang w:val="en-US" w:eastAsia="zh-CN"/>
              </w:rPr>
              <w:t>，具体分析情况见表1-7，位置关系图见</w:t>
            </w:r>
            <w:r>
              <w:rPr>
                <w:rFonts w:hint="default" w:ascii="Times New Roman" w:hAnsi="Times New Roman" w:cs="Times New Roman"/>
                <w:color w:val="auto"/>
                <w:spacing w:val="-4"/>
                <w:sz w:val="24"/>
                <w:szCs w:val="24"/>
                <w:lang w:val="en-US" w:eastAsia="zh-CN"/>
              </w:rPr>
              <w:t>附图</w:t>
            </w:r>
            <w:r>
              <w:rPr>
                <w:rFonts w:hint="eastAsia" w:ascii="Times New Roman" w:hAnsi="Times New Roman" w:cs="Times New Roman"/>
                <w:color w:val="auto"/>
                <w:spacing w:val="-4"/>
                <w:sz w:val="24"/>
                <w:szCs w:val="24"/>
                <w:lang w:val="en-US" w:eastAsia="zh-CN"/>
              </w:rPr>
              <w:t>5</w:t>
            </w:r>
            <w:r>
              <w:rPr>
                <w:rFonts w:hint="default" w:ascii="Times New Roman" w:hAnsi="Times New Roman" w:cs="Times New Roman"/>
                <w:color w:val="auto"/>
                <w:spacing w:val="-4"/>
                <w:sz w:val="24"/>
                <w:szCs w:val="24"/>
                <w:lang w:val="en-US" w:eastAsia="zh-CN"/>
              </w:rPr>
              <w:t>。</w:t>
            </w:r>
          </w:p>
          <w:p w14:paraId="50A17DD3">
            <w:pPr>
              <w:keepNext w:val="0"/>
              <w:keepLines w:val="0"/>
              <w:pageBreakBefore w:val="0"/>
              <w:widowControl w:val="0"/>
              <w:numPr>
                <w:ilvl w:val="0"/>
                <w:numId w:val="5"/>
              </w:numPr>
              <w:kinsoku/>
              <w:wordWrap/>
              <w:overflowPunct w:val="0"/>
              <w:topLinePunct w:val="0"/>
              <w:autoSpaceDE/>
              <w:autoSpaceDN/>
              <w:bidi w:val="0"/>
              <w:adjustRightInd w:val="0"/>
              <w:snapToGrid w:val="0"/>
              <w:spacing w:line="240" w:lineRule="auto"/>
              <w:ind w:left="0" w:leftChars="0" w:firstLine="0" w:firstLineChars="0"/>
              <w:jc w:val="both"/>
              <w:textAlignment w:val="auto"/>
              <w:rPr>
                <w:rFonts w:hint="default"/>
                <w:b/>
                <w:bCs/>
                <w:color w:val="auto"/>
                <w:spacing w:val="7"/>
                <w:sz w:val="24"/>
                <w:szCs w:val="24"/>
                <w:lang w:val="en-US" w:eastAsia="zh-CN"/>
              </w:rPr>
            </w:pPr>
            <w:r>
              <w:rPr>
                <w:rFonts w:hint="eastAsia"/>
                <w:b/>
                <w:bCs/>
                <w:color w:val="auto"/>
                <w:spacing w:val="7"/>
                <w:sz w:val="24"/>
                <w:szCs w:val="24"/>
                <w:lang w:val="en-US" w:eastAsia="zh-CN"/>
              </w:rPr>
              <w:t>《新疆生产建设兵团“三线一单”生态环境分区管控方案》及动态更新符合性分析</w:t>
            </w:r>
          </w:p>
          <w:tbl>
            <w:tblPr>
              <w:tblStyle w:val="27"/>
              <w:tblW w:w="5000"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3180"/>
              <w:gridCol w:w="2379"/>
              <w:gridCol w:w="719"/>
            </w:tblGrid>
            <w:tr w14:paraId="0184C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11" w:type="pct"/>
                  <w:gridSpan w:val="2"/>
                  <w:tcBorders>
                    <w:tl2br w:val="nil"/>
                    <w:tr2bl w:val="nil"/>
                  </w:tcBorders>
                  <w:noWrap w:val="0"/>
                  <w:vAlign w:val="center"/>
                </w:tcPr>
                <w:p w14:paraId="76F29F18">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highlight w:val="none"/>
                    </w:rPr>
                  </w:pPr>
                  <w:r>
                    <w:rPr>
                      <w:rFonts w:hint="eastAsia"/>
                      <w:color w:val="auto"/>
                      <w:sz w:val="21"/>
                      <w:szCs w:val="21"/>
                      <w:highlight w:val="none"/>
                    </w:rPr>
                    <w:t>环境管控单元名称</w:t>
                  </w:r>
                </w:p>
              </w:tc>
              <w:tc>
                <w:tcPr>
                  <w:tcW w:w="2288" w:type="pct"/>
                  <w:gridSpan w:val="2"/>
                  <w:tcBorders>
                    <w:tl2br w:val="nil"/>
                    <w:tr2bl w:val="nil"/>
                  </w:tcBorders>
                  <w:noWrap w:val="0"/>
                  <w:vAlign w:val="center"/>
                </w:tcPr>
                <w:p w14:paraId="22F427B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eastAsia="宋体"/>
                      <w:color w:val="auto"/>
                      <w:sz w:val="21"/>
                      <w:szCs w:val="21"/>
                      <w:highlight w:val="none"/>
                      <w:lang w:eastAsia="zh-CN"/>
                    </w:rPr>
                  </w:pPr>
                  <w:r>
                    <w:rPr>
                      <w:rFonts w:hint="default" w:ascii="Times New Roman" w:hAnsi="Times New Roman" w:eastAsia="宋体" w:cs="Times New Roman"/>
                      <w:color w:val="auto"/>
                      <w:spacing w:val="4"/>
                      <w:kern w:val="2"/>
                      <w:sz w:val="21"/>
                      <w:szCs w:val="21"/>
                      <w:lang w:val="en-US" w:eastAsia="en-US" w:bidi="ar-SA"/>
                    </w:rPr>
                    <w:t>奇台农场一般管控单元</w:t>
                  </w:r>
                </w:p>
              </w:tc>
            </w:tr>
            <w:tr w14:paraId="6AFA3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trPr>
              <w:tc>
                <w:tcPr>
                  <w:tcW w:w="2711" w:type="pct"/>
                  <w:gridSpan w:val="2"/>
                  <w:tcBorders>
                    <w:tl2br w:val="nil"/>
                    <w:tr2bl w:val="nil"/>
                  </w:tcBorders>
                  <w:noWrap w:val="0"/>
                  <w:vAlign w:val="center"/>
                </w:tcPr>
                <w:p w14:paraId="6D236141">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highlight w:val="none"/>
                    </w:rPr>
                  </w:pPr>
                  <w:r>
                    <w:rPr>
                      <w:rFonts w:hint="eastAsia"/>
                      <w:color w:val="auto"/>
                      <w:sz w:val="21"/>
                      <w:szCs w:val="21"/>
                      <w:highlight w:val="none"/>
                    </w:rPr>
                    <w:t>环境管控单元编码</w:t>
                  </w:r>
                </w:p>
              </w:tc>
              <w:tc>
                <w:tcPr>
                  <w:tcW w:w="2288" w:type="pct"/>
                  <w:gridSpan w:val="2"/>
                  <w:tcBorders>
                    <w:tl2br w:val="nil"/>
                    <w:tr2bl w:val="nil"/>
                  </w:tcBorders>
                  <w:noWrap w:val="0"/>
                  <w:vAlign w:val="center"/>
                </w:tcPr>
                <w:p w14:paraId="6E75A5C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eastAsia="宋体"/>
                      <w:color w:val="auto"/>
                      <w:sz w:val="21"/>
                      <w:szCs w:val="21"/>
                      <w:highlight w:val="none"/>
                      <w:lang w:eastAsia="zh-CN"/>
                    </w:rPr>
                  </w:pPr>
                  <w:r>
                    <w:rPr>
                      <w:rFonts w:hint="eastAsia" w:eastAsia="宋体"/>
                      <w:color w:val="auto"/>
                      <w:sz w:val="21"/>
                      <w:szCs w:val="21"/>
                      <w:highlight w:val="none"/>
                      <w:lang w:eastAsia="zh-CN"/>
                    </w:rPr>
                    <w:t>ZH65761330001</w:t>
                  </w:r>
                </w:p>
              </w:tc>
            </w:tr>
            <w:tr w14:paraId="63A2C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trPr>
              <w:tc>
                <w:tcPr>
                  <w:tcW w:w="2711" w:type="pct"/>
                  <w:gridSpan w:val="2"/>
                  <w:tcBorders>
                    <w:tl2br w:val="nil"/>
                    <w:tr2bl w:val="nil"/>
                  </w:tcBorders>
                  <w:noWrap w:val="0"/>
                  <w:vAlign w:val="center"/>
                </w:tcPr>
                <w:p w14:paraId="30E7CA5F">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市县/团</w:t>
                  </w:r>
                </w:p>
              </w:tc>
              <w:tc>
                <w:tcPr>
                  <w:tcW w:w="2288" w:type="pct"/>
                  <w:gridSpan w:val="2"/>
                  <w:tcBorders>
                    <w:tl2br w:val="nil"/>
                    <w:tr2bl w:val="nil"/>
                  </w:tcBorders>
                  <w:noWrap w:val="0"/>
                  <w:vAlign w:val="center"/>
                </w:tcPr>
                <w:p w14:paraId="3D440F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eastAsia="宋体"/>
                      <w:color w:val="auto"/>
                      <w:sz w:val="21"/>
                      <w:szCs w:val="21"/>
                      <w:highlight w:val="none"/>
                      <w:lang w:eastAsia="zh-CN"/>
                    </w:rPr>
                  </w:pPr>
                  <w:r>
                    <w:rPr>
                      <w:rFonts w:hint="default" w:ascii="Times New Roman" w:hAnsi="Times New Roman" w:eastAsia="宋体" w:cs="Times New Roman"/>
                      <w:color w:val="auto"/>
                      <w:spacing w:val="4"/>
                      <w:kern w:val="2"/>
                      <w:sz w:val="21"/>
                      <w:szCs w:val="21"/>
                      <w:lang w:val="en-US" w:eastAsia="en-US" w:bidi="ar-SA"/>
                    </w:rPr>
                    <w:t>奇台农场</w:t>
                  </w:r>
                </w:p>
              </w:tc>
            </w:tr>
            <w:tr w14:paraId="0116A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11" w:type="pct"/>
                  <w:gridSpan w:val="2"/>
                  <w:tcBorders>
                    <w:tl2br w:val="nil"/>
                    <w:tr2bl w:val="nil"/>
                  </w:tcBorders>
                  <w:noWrap w:val="0"/>
                  <w:vAlign w:val="center"/>
                </w:tcPr>
                <w:p w14:paraId="55D116F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olor w:val="auto"/>
                      <w:sz w:val="21"/>
                      <w:szCs w:val="21"/>
                      <w:highlight w:val="none"/>
                    </w:rPr>
                  </w:pPr>
                  <w:r>
                    <w:rPr>
                      <w:rFonts w:hint="eastAsia"/>
                      <w:color w:val="auto"/>
                      <w:sz w:val="21"/>
                      <w:szCs w:val="21"/>
                      <w:highlight w:val="none"/>
                    </w:rPr>
                    <w:t>管控单元分类</w:t>
                  </w:r>
                </w:p>
              </w:tc>
              <w:tc>
                <w:tcPr>
                  <w:tcW w:w="2288" w:type="pct"/>
                  <w:gridSpan w:val="2"/>
                  <w:tcBorders>
                    <w:tl2br w:val="nil"/>
                    <w:tr2bl w:val="nil"/>
                  </w:tcBorders>
                  <w:noWrap w:val="0"/>
                  <w:vAlign w:val="center"/>
                </w:tcPr>
                <w:p w14:paraId="1A8A94C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olor w:val="auto"/>
                      <w:sz w:val="21"/>
                      <w:szCs w:val="21"/>
                      <w:highlight w:val="none"/>
                    </w:rPr>
                  </w:pPr>
                  <w:r>
                    <w:rPr>
                      <w:rFonts w:hint="default" w:ascii="Times New Roman" w:hAnsi="Times New Roman" w:eastAsia="宋体" w:cs="Times New Roman"/>
                      <w:color w:val="auto"/>
                      <w:spacing w:val="4"/>
                      <w:kern w:val="2"/>
                      <w:sz w:val="21"/>
                      <w:szCs w:val="21"/>
                      <w:lang w:val="en-US" w:eastAsia="en-US" w:bidi="ar-SA"/>
                    </w:rPr>
                    <w:t>一般</w:t>
                  </w:r>
                  <w:r>
                    <w:rPr>
                      <w:rFonts w:hint="eastAsia"/>
                      <w:color w:val="auto"/>
                      <w:sz w:val="21"/>
                      <w:szCs w:val="21"/>
                      <w:highlight w:val="none"/>
                    </w:rPr>
                    <w:t>环境管控单元</w:t>
                  </w:r>
                </w:p>
              </w:tc>
            </w:tr>
            <w:tr w14:paraId="47C0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11" w:type="pct"/>
                  <w:gridSpan w:val="2"/>
                  <w:tcBorders>
                    <w:tl2br w:val="nil"/>
                    <w:tr2bl w:val="nil"/>
                  </w:tcBorders>
                  <w:noWrap w:val="0"/>
                  <w:vAlign w:val="center"/>
                </w:tcPr>
                <w:p w14:paraId="78B5D37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olor w:val="auto"/>
                      <w:sz w:val="21"/>
                      <w:szCs w:val="21"/>
                      <w:highlight w:val="none"/>
                    </w:rPr>
                  </w:pPr>
                  <w:r>
                    <w:rPr>
                      <w:rFonts w:hint="eastAsia"/>
                      <w:color w:val="auto"/>
                      <w:sz w:val="21"/>
                      <w:szCs w:val="21"/>
                      <w:highlight w:val="none"/>
                    </w:rPr>
                    <w:t>面积</w:t>
                  </w:r>
                </w:p>
              </w:tc>
              <w:tc>
                <w:tcPr>
                  <w:tcW w:w="2288" w:type="pct"/>
                  <w:gridSpan w:val="2"/>
                  <w:tcBorders>
                    <w:tl2br w:val="nil"/>
                    <w:tr2bl w:val="nil"/>
                  </w:tcBorders>
                  <w:noWrap w:val="0"/>
                  <w:vAlign w:val="center"/>
                </w:tcPr>
                <w:p w14:paraId="25C7140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olor w:val="auto"/>
                      <w:sz w:val="21"/>
                      <w:szCs w:val="21"/>
                      <w:highlight w:val="none"/>
                    </w:rPr>
                  </w:pPr>
                  <w:r>
                    <w:rPr>
                      <w:rFonts w:hint="default" w:ascii="Times New Roman" w:hAnsi="Times New Roman" w:eastAsia="宋体" w:cs="Times New Roman"/>
                      <w:color w:val="auto"/>
                      <w:spacing w:val="4"/>
                      <w:kern w:val="2"/>
                      <w:sz w:val="21"/>
                      <w:szCs w:val="21"/>
                      <w:lang w:val="en-US" w:eastAsia="en-US" w:bidi="ar-SA"/>
                    </w:rPr>
                    <w:t>319.27平方公里</w:t>
                  </w:r>
                </w:p>
              </w:tc>
            </w:tr>
            <w:tr w14:paraId="41913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1" w:type="pct"/>
                  <w:tcBorders>
                    <w:tl2br w:val="nil"/>
                    <w:tr2bl w:val="nil"/>
                  </w:tcBorders>
                  <w:noWrap w:val="0"/>
                  <w:vAlign w:val="center"/>
                </w:tcPr>
                <w:p w14:paraId="05C10C8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lang w:eastAsia="zh-CN"/>
                    </w:rPr>
                  </w:pPr>
                  <w:r>
                    <w:rPr>
                      <w:rFonts w:hint="eastAsia"/>
                      <w:b w:val="0"/>
                      <w:bCs w:val="0"/>
                      <w:color w:val="auto"/>
                      <w:sz w:val="21"/>
                      <w:szCs w:val="21"/>
                      <w:lang w:val="en-US" w:eastAsia="zh-CN"/>
                    </w:rPr>
                    <w:t>类别</w:t>
                  </w:r>
                </w:p>
              </w:tc>
              <w:tc>
                <w:tcPr>
                  <w:tcW w:w="2349" w:type="pct"/>
                  <w:tcBorders>
                    <w:tl2br w:val="nil"/>
                    <w:tr2bl w:val="nil"/>
                  </w:tcBorders>
                  <w:noWrap w:val="0"/>
                  <w:vAlign w:val="center"/>
                </w:tcPr>
                <w:p w14:paraId="231478D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val="0"/>
                      <w:bCs w:val="0"/>
                      <w:color w:val="auto"/>
                      <w:sz w:val="21"/>
                      <w:szCs w:val="21"/>
                    </w:rPr>
                  </w:pPr>
                  <w:r>
                    <w:rPr>
                      <w:b w:val="0"/>
                      <w:bCs w:val="0"/>
                      <w:color w:val="auto"/>
                      <w:sz w:val="21"/>
                      <w:szCs w:val="21"/>
                    </w:rPr>
                    <w:t>管控要求</w:t>
                  </w:r>
                </w:p>
              </w:tc>
              <w:tc>
                <w:tcPr>
                  <w:tcW w:w="1757" w:type="pct"/>
                  <w:tcBorders>
                    <w:tl2br w:val="nil"/>
                    <w:tr2bl w:val="nil"/>
                  </w:tcBorders>
                  <w:noWrap w:val="0"/>
                  <w:vAlign w:val="center"/>
                </w:tcPr>
                <w:p w14:paraId="5307B73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val="0"/>
                      <w:bCs w:val="0"/>
                      <w:color w:val="auto"/>
                      <w:sz w:val="21"/>
                      <w:szCs w:val="21"/>
                    </w:rPr>
                  </w:pPr>
                  <w:r>
                    <w:rPr>
                      <w:b w:val="0"/>
                      <w:bCs w:val="0"/>
                      <w:color w:val="auto"/>
                      <w:sz w:val="21"/>
                      <w:szCs w:val="21"/>
                    </w:rPr>
                    <w:t>符合性分析</w:t>
                  </w:r>
                </w:p>
              </w:tc>
              <w:tc>
                <w:tcPr>
                  <w:tcW w:w="531" w:type="pct"/>
                  <w:tcBorders>
                    <w:tl2br w:val="nil"/>
                    <w:tr2bl w:val="nil"/>
                  </w:tcBorders>
                  <w:noWrap w:val="0"/>
                  <w:vAlign w:val="center"/>
                </w:tcPr>
                <w:p w14:paraId="4E73F3C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val="0"/>
                      <w:bCs w:val="0"/>
                      <w:color w:val="auto"/>
                      <w:sz w:val="21"/>
                      <w:szCs w:val="21"/>
                    </w:rPr>
                  </w:pPr>
                  <w:r>
                    <w:rPr>
                      <w:b w:val="0"/>
                      <w:bCs w:val="0"/>
                      <w:color w:val="auto"/>
                      <w:sz w:val="21"/>
                      <w:szCs w:val="21"/>
                    </w:rPr>
                    <w:t>符合性</w:t>
                  </w:r>
                </w:p>
              </w:tc>
            </w:tr>
            <w:tr w14:paraId="57644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1" w:type="pct"/>
                  <w:tcBorders>
                    <w:tl2br w:val="nil"/>
                    <w:tr2bl w:val="nil"/>
                  </w:tcBorders>
                  <w:noWrap w:val="0"/>
                  <w:vAlign w:val="center"/>
                </w:tcPr>
                <w:p w14:paraId="18821CF5">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rFonts w:ascii="Times New Roman" w:hAnsi="Times New Roman" w:cs="Times New Roman"/>
                      <w:color w:val="auto"/>
                      <w:kern w:val="0"/>
                      <w:sz w:val="21"/>
                      <w:szCs w:val="21"/>
                    </w:rPr>
                    <w:t>空间布局约束</w:t>
                  </w:r>
                </w:p>
              </w:tc>
              <w:tc>
                <w:tcPr>
                  <w:tcW w:w="2349" w:type="pct"/>
                  <w:tcBorders>
                    <w:tl2br w:val="nil"/>
                    <w:tr2bl w:val="nil"/>
                  </w:tcBorders>
                  <w:noWrap w:val="0"/>
                  <w:vAlign w:val="center"/>
                </w:tcPr>
                <w:p w14:paraId="32333CF2">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cs="Times New Roman"/>
                      <w:color w:val="auto"/>
                      <w:spacing w:val="4"/>
                      <w:kern w:val="2"/>
                      <w:sz w:val="21"/>
                      <w:szCs w:val="21"/>
                      <w:lang w:val="en-US" w:eastAsia="zh-CN" w:bidi="ar-SA"/>
                    </w:rPr>
                  </w:pPr>
                  <w:r>
                    <w:rPr>
                      <w:rFonts w:hint="eastAsia" w:ascii="Times New Roman" w:hAnsi="Times New Roman" w:cs="Times New Roman"/>
                      <w:color w:val="auto"/>
                      <w:spacing w:val="4"/>
                      <w:kern w:val="2"/>
                      <w:sz w:val="21"/>
                      <w:szCs w:val="21"/>
                      <w:lang w:val="en-US" w:eastAsia="zh-CN" w:bidi="ar-SA"/>
                    </w:rPr>
                    <w:t>执行师市空间布局约束总体管控要求。</w:t>
                  </w:r>
                </w:p>
              </w:tc>
              <w:tc>
                <w:tcPr>
                  <w:tcW w:w="1757" w:type="pct"/>
                  <w:tcBorders>
                    <w:tl2br w:val="nil"/>
                    <w:tr2bl w:val="nil"/>
                  </w:tcBorders>
                  <w:noWrap w:val="0"/>
                  <w:vAlign w:val="center"/>
                </w:tcPr>
                <w:p w14:paraId="6C72802E">
                  <w:pPr>
                    <w:keepNext w:val="0"/>
                    <w:keepLines w:val="0"/>
                    <w:pageBreakBefore w:val="0"/>
                    <w:widowControl w:val="0"/>
                    <w:kinsoku/>
                    <w:wordWrap/>
                    <w:overflowPunct/>
                    <w:topLinePunct w:val="0"/>
                    <w:autoSpaceDE/>
                    <w:autoSpaceDN/>
                    <w:bidi w:val="0"/>
                    <w:adjustRightInd w:val="0"/>
                    <w:snapToGrid w:val="0"/>
                    <w:textAlignment w:val="auto"/>
                    <w:rPr>
                      <w:rFonts w:hint="eastAsia" w:eastAsia="宋体"/>
                      <w:color w:val="auto"/>
                      <w:sz w:val="21"/>
                      <w:szCs w:val="21"/>
                      <w:lang w:val="en-US" w:eastAsia="zh-CN"/>
                    </w:rPr>
                  </w:pPr>
                  <w:r>
                    <w:rPr>
                      <w:rFonts w:hint="eastAsia" w:cs="Times New Roman"/>
                      <w:color w:val="auto"/>
                      <w:spacing w:val="4"/>
                      <w:kern w:val="2"/>
                      <w:sz w:val="21"/>
                      <w:szCs w:val="21"/>
                      <w:lang w:val="en-US" w:eastAsia="zh-CN" w:bidi="ar-SA"/>
                    </w:rPr>
                    <w:t>改造1#交通桥工程，通过采取各项污染物排放措施，严格执行各项污染物排放标准，各类生产生活废水均达标处理综合利用不外排。工程影响范围内不涉及农产品资源，施工临时迹地及时恢复农业生态系统。</w:t>
                  </w:r>
                </w:p>
              </w:tc>
              <w:tc>
                <w:tcPr>
                  <w:tcW w:w="531" w:type="pct"/>
                  <w:tcBorders>
                    <w:tl2br w:val="nil"/>
                    <w:tr2bl w:val="nil"/>
                  </w:tcBorders>
                  <w:noWrap w:val="0"/>
                  <w:vAlign w:val="center"/>
                </w:tcPr>
                <w:p w14:paraId="304BA1AA">
                  <w:pPr>
                    <w:keepNext w:val="0"/>
                    <w:keepLines w:val="0"/>
                    <w:pageBreakBefore w:val="0"/>
                    <w:widowControl w:val="0"/>
                    <w:kinsoku/>
                    <w:wordWrap/>
                    <w:overflowPunct/>
                    <w:topLinePunct w:val="0"/>
                    <w:autoSpaceDE/>
                    <w:autoSpaceDN/>
                    <w:bidi w:val="0"/>
                    <w:adjustRightInd w:val="0"/>
                    <w:snapToGrid w:val="0"/>
                    <w:jc w:val="right"/>
                    <w:textAlignment w:val="auto"/>
                    <w:rPr>
                      <w:color w:val="auto"/>
                      <w:sz w:val="21"/>
                      <w:szCs w:val="21"/>
                    </w:rPr>
                  </w:pPr>
                  <w:r>
                    <w:rPr>
                      <w:color w:val="auto"/>
                      <w:sz w:val="21"/>
                      <w:szCs w:val="21"/>
                    </w:rPr>
                    <w:t>符合</w:t>
                  </w:r>
                </w:p>
              </w:tc>
            </w:tr>
            <w:tr w14:paraId="0F88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361" w:type="pct"/>
                  <w:tcBorders>
                    <w:tl2br w:val="nil"/>
                    <w:tr2bl w:val="nil"/>
                  </w:tcBorders>
                  <w:noWrap w:val="0"/>
                  <w:vAlign w:val="center"/>
                </w:tcPr>
                <w:p w14:paraId="67EC1AEA">
                  <w:pPr>
                    <w:keepNext w:val="0"/>
                    <w:keepLines w:val="0"/>
                    <w:pageBreakBefore w:val="0"/>
                    <w:widowControl w:val="0"/>
                    <w:kinsoku/>
                    <w:wordWrap/>
                    <w:overflowPunct/>
                    <w:topLinePunct w:val="0"/>
                    <w:autoSpaceDE/>
                    <w:autoSpaceDN/>
                    <w:bidi w:val="0"/>
                    <w:adjustRightInd w:val="0"/>
                    <w:snapToGrid w:val="0"/>
                    <w:jc w:val="center"/>
                    <w:textAlignment w:val="auto"/>
                    <w:rPr>
                      <w:rFonts w:ascii="Times New Roman" w:hAnsi="Times New Roman" w:cs="Times New Roman"/>
                      <w:color w:val="auto"/>
                      <w:kern w:val="0"/>
                      <w:sz w:val="21"/>
                      <w:szCs w:val="21"/>
                    </w:rPr>
                  </w:pPr>
                  <w:r>
                    <w:rPr>
                      <w:rFonts w:ascii="Times New Roman" w:hAnsi="Times New Roman" w:cs="Times New Roman"/>
                      <w:color w:val="auto"/>
                      <w:kern w:val="0"/>
                      <w:sz w:val="21"/>
                      <w:szCs w:val="21"/>
                    </w:rPr>
                    <w:t>污染物排放管控</w:t>
                  </w:r>
                </w:p>
              </w:tc>
              <w:tc>
                <w:tcPr>
                  <w:tcW w:w="2349" w:type="pct"/>
                  <w:tcBorders>
                    <w:tl2br w:val="nil"/>
                    <w:tr2bl w:val="nil"/>
                  </w:tcBorders>
                  <w:noWrap w:val="0"/>
                  <w:vAlign w:val="top"/>
                </w:tcPr>
                <w:p w14:paraId="7E9301F5">
                  <w:pPr>
                    <w:keepNext w:val="0"/>
                    <w:keepLines w:val="0"/>
                    <w:pageBreakBefore w:val="0"/>
                    <w:widowControl w:val="0"/>
                    <w:numPr>
                      <w:ilvl w:val="0"/>
                      <w:numId w:val="0"/>
                    </w:numPr>
                    <w:kinsoku/>
                    <w:wordWrap/>
                    <w:overflowPunct/>
                    <w:topLinePunct w:val="0"/>
                    <w:autoSpaceDE/>
                    <w:autoSpaceDN/>
                    <w:bidi w:val="0"/>
                    <w:adjustRightInd w:val="0"/>
                    <w:snapToGrid w:val="0"/>
                    <w:textAlignment w:val="auto"/>
                    <w:rPr>
                      <w:rFonts w:hint="eastAsia" w:ascii="Times New Roman" w:hAnsi="Times New Roman" w:cs="Times New Roman"/>
                      <w:color w:val="auto"/>
                      <w:spacing w:val="4"/>
                      <w:kern w:val="2"/>
                      <w:sz w:val="21"/>
                      <w:szCs w:val="21"/>
                      <w:lang w:val="en-US" w:eastAsia="zh-CN" w:bidi="ar-SA"/>
                    </w:rPr>
                  </w:pPr>
                  <w:r>
                    <w:rPr>
                      <w:rFonts w:hint="eastAsia" w:cs="Times New Roman"/>
                      <w:color w:val="auto"/>
                      <w:spacing w:val="4"/>
                      <w:kern w:val="2"/>
                      <w:sz w:val="21"/>
                      <w:szCs w:val="21"/>
                      <w:lang w:val="en-US" w:eastAsia="zh-CN" w:bidi="ar-SA"/>
                    </w:rPr>
                    <w:t>1.</w:t>
                  </w:r>
                  <w:r>
                    <w:rPr>
                      <w:rFonts w:hint="eastAsia" w:ascii="Times New Roman" w:hAnsi="Times New Roman" w:cs="Times New Roman"/>
                      <w:color w:val="auto"/>
                      <w:spacing w:val="4"/>
                      <w:kern w:val="2"/>
                      <w:sz w:val="21"/>
                      <w:szCs w:val="21"/>
                      <w:lang w:val="en-US" w:eastAsia="zh-CN" w:bidi="ar-SA"/>
                    </w:rPr>
                    <w:t>在连队建设符合本地特点的小型污水处理站，同时新建污水管网、完善污水收集系统，将污泥运送到团场统一处理。加强生活垃圾处理。加强改厕与生活污水治理的有效衔接。</w:t>
                  </w:r>
                </w:p>
                <w:p w14:paraId="2B179A18">
                  <w:pPr>
                    <w:keepNext w:val="0"/>
                    <w:keepLines w:val="0"/>
                    <w:pageBreakBefore w:val="0"/>
                    <w:widowControl w:val="0"/>
                    <w:numPr>
                      <w:ilvl w:val="0"/>
                      <w:numId w:val="0"/>
                    </w:numPr>
                    <w:kinsoku/>
                    <w:wordWrap/>
                    <w:overflowPunct/>
                    <w:topLinePunct w:val="0"/>
                    <w:autoSpaceDE/>
                    <w:autoSpaceDN/>
                    <w:bidi w:val="0"/>
                    <w:adjustRightInd w:val="0"/>
                    <w:snapToGrid w:val="0"/>
                    <w:textAlignment w:val="auto"/>
                    <w:rPr>
                      <w:rFonts w:hint="eastAsia" w:ascii="Times New Roman" w:hAnsi="Times New Roman" w:cs="Times New Roman"/>
                      <w:color w:val="auto"/>
                      <w:spacing w:val="4"/>
                      <w:kern w:val="2"/>
                      <w:sz w:val="21"/>
                      <w:szCs w:val="21"/>
                      <w:lang w:val="en-US" w:eastAsia="zh-CN" w:bidi="ar-SA"/>
                    </w:rPr>
                  </w:pPr>
                  <w:r>
                    <w:rPr>
                      <w:rFonts w:hint="eastAsia" w:cs="Times New Roman"/>
                      <w:color w:val="auto"/>
                      <w:spacing w:val="4"/>
                      <w:kern w:val="2"/>
                      <w:sz w:val="21"/>
                      <w:szCs w:val="21"/>
                      <w:lang w:val="en-US" w:eastAsia="zh-CN" w:bidi="ar-SA"/>
                    </w:rPr>
                    <w:t>2.</w:t>
                  </w:r>
                  <w:r>
                    <w:rPr>
                      <w:rFonts w:hint="eastAsia" w:ascii="Times New Roman" w:hAnsi="Times New Roman" w:cs="Times New Roman"/>
                      <w:color w:val="auto"/>
                      <w:spacing w:val="4"/>
                      <w:kern w:val="2"/>
                      <w:sz w:val="21"/>
                      <w:szCs w:val="21"/>
                      <w:lang w:val="en-US" w:eastAsia="zh-CN" w:bidi="ar-SA"/>
                    </w:rPr>
                    <w:t>合理使用化肥农药，鼓励使用配方肥。加强废弃农膜回收利用，提高农膜质量，严厉打击违法生产和销售不合格农膜的行为。</w:t>
                  </w:r>
                </w:p>
              </w:tc>
              <w:tc>
                <w:tcPr>
                  <w:tcW w:w="1757" w:type="pct"/>
                  <w:tcBorders>
                    <w:tl2br w:val="nil"/>
                    <w:tr2bl w:val="nil"/>
                  </w:tcBorders>
                  <w:noWrap w:val="0"/>
                  <w:vAlign w:val="center"/>
                </w:tcPr>
                <w:p w14:paraId="343ABE4A">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eastAsia="宋体"/>
                      <w:color w:val="auto"/>
                      <w:sz w:val="21"/>
                      <w:szCs w:val="21"/>
                      <w:lang w:val="en-US" w:eastAsia="zh-CN"/>
                    </w:rPr>
                  </w:pPr>
                  <w:r>
                    <w:rPr>
                      <w:rFonts w:hint="eastAsia"/>
                      <w:color w:val="auto"/>
                      <w:sz w:val="21"/>
                      <w:szCs w:val="21"/>
                      <w:lang w:val="en-US" w:eastAsia="zh-CN"/>
                    </w:rPr>
                    <w:t>本项目不涉及</w:t>
                  </w:r>
                </w:p>
              </w:tc>
              <w:tc>
                <w:tcPr>
                  <w:tcW w:w="531" w:type="pct"/>
                  <w:tcBorders>
                    <w:tl2br w:val="nil"/>
                    <w:tr2bl w:val="nil"/>
                  </w:tcBorders>
                  <w:noWrap w:val="0"/>
                  <w:vAlign w:val="center"/>
                </w:tcPr>
                <w:p w14:paraId="34534262">
                  <w:pPr>
                    <w:keepNext w:val="0"/>
                    <w:keepLines w:val="0"/>
                    <w:pageBreakBefore w:val="0"/>
                    <w:widowControl w:val="0"/>
                    <w:kinsoku/>
                    <w:wordWrap/>
                    <w:overflowPunct/>
                    <w:topLinePunct w:val="0"/>
                    <w:autoSpaceDE/>
                    <w:autoSpaceDN/>
                    <w:bidi w:val="0"/>
                    <w:adjustRightInd w:val="0"/>
                    <w:snapToGrid w:val="0"/>
                    <w:jc w:val="right"/>
                    <w:textAlignment w:val="auto"/>
                    <w:rPr>
                      <w:color w:val="auto"/>
                      <w:sz w:val="21"/>
                      <w:szCs w:val="21"/>
                    </w:rPr>
                  </w:pPr>
                  <w:r>
                    <w:rPr>
                      <w:color w:val="auto"/>
                      <w:sz w:val="21"/>
                      <w:szCs w:val="21"/>
                    </w:rPr>
                    <w:t>符合</w:t>
                  </w:r>
                </w:p>
              </w:tc>
            </w:tr>
            <w:tr w14:paraId="37609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1" w:type="pct"/>
                  <w:tcBorders>
                    <w:tl2br w:val="nil"/>
                    <w:tr2bl w:val="nil"/>
                  </w:tcBorders>
                  <w:noWrap w:val="0"/>
                  <w:vAlign w:val="center"/>
                </w:tcPr>
                <w:p w14:paraId="46351165">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color w:val="auto"/>
                      <w:sz w:val="21"/>
                      <w:szCs w:val="21"/>
                    </w:rPr>
                    <w:t>环境风险防控</w:t>
                  </w:r>
                </w:p>
              </w:tc>
              <w:tc>
                <w:tcPr>
                  <w:tcW w:w="2349" w:type="pct"/>
                  <w:tcBorders>
                    <w:tl2br w:val="nil"/>
                    <w:tr2bl w:val="nil"/>
                  </w:tcBorders>
                  <w:noWrap w:val="0"/>
                  <w:vAlign w:val="center"/>
                </w:tcPr>
                <w:p w14:paraId="121C0695">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color w:val="auto"/>
                      <w:sz w:val="21"/>
                      <w:szCs w:val="21"/>
                    </w:rPr>
                  </w:pPr>
                  <w:r>
                    <w:rPr>
                      <w:rFonts w:hint="eastAsia" w:cs="Times New Roman"/>
                      <w:color w:val="auto"/>
                      <w:spacing w:val="4"/>
                      <w:kern w:val="2"/>
                      <w:sz w:val="21"/>
                      <w:szCs w:val="21"/>
                      <w:lang w:val="en-US" w:eastAsia="zh-CN" w:bidi="ar-SA"/>
                    </w:rPr>
                    <w:t>1.</w:t>
                  </w:r>
                  <w:r>
                    <w:rPr>
                      <w:rFonts w:hint="eastAsia" w:ascii="Times New Roman" w:hAnsi="Times New Roman" w:cs="Times New Roman"/>
                      <w:color w:val="auto"/>
                      <w:spacing w:val="4"/>
                      <w:kern w:val="2"/>
                      <w:sz w:val="21"/>
                      <w:szCs w:val="21"/>
                      <w:lang w:val="en-US" w:eastAsia="zh-CN" w:bidi="ar-SA"/>
                    </w:rPr>
                    <w:t>对耕地面积减少或土壤环境质量下降的团场要进行预警提醒。</w:t>
                  </w:r>
                </w:p>
              </w:tc>
              <w:tc>
                <w:tcPr>
                  <w:tcW w:w="1757" w:type="pct"/>
                  <w:tcBorders>
                    <w:tl2br w:val="nil"/>
                    <w:tr2bl w:val="nil"/>
                  </w:tcBorders>
                  <w:noWrap w:val="0"/>
                  <w:vAlign w:val="center"/>
                </w:tcPr>
                <w:p w14:paraId="116D9F5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eastAsia="宋体"/>
                      <w:color w:val="auto"/>
                      <w:sz w:val="21"/>
                      <w:szCs w:val="21"/>
                      <w:lang w:val="en-US" w:eastAsia="zh-CN"/>
                    </w:rPr>
                  </w:pPr>
                  <w:r>
                    <w:rPr>
                      <w:rFonts w:hint="eastAsia"/>
                      <w:color w:val="auto"/>
                      <w:sz w:val="21"/>
                      <w:szCs w:val="21"/>
                      <w:lang w:val="en-US" w:eastAsia="zh-CN"/>
                    </w:rPr>
                    <w:t>本项目不涉及</w:t>
                  </w:r>
                </w:p>
              </w:tc>
              <w:tc>
                <w:tcPr>
                  <w:tcW w:w="531" w:type="pct"/>
                  <w:tcBorders>
                    <w:tl2br w:val="nil"/>
                    <w:tr2bl w:val="nil"/>
                  </w:tcBorders>
                  <w:noWrap w:val="0"/>
                  <w:vAlign w:val="center"/>
                </w:tcPr>
                <w:p w14:paraId="5FAEEE1B">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color w:val="auto"/>
                      <w:sz w:val="21"/>
                      <w:szCs w:val="21"/>
                    </w:rPr>
                    <w:t>符合</w:t>
                  </w:r>
                </w:p>
              </w:tc>
            </w:tr>
            <w:tr w14:paraId="4435E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361" w:type="pct"/>
                  <w:tcBorders>
                    <w:tl2br w:val="nil"/>
                    <w:tr2bl w:val="nil"/>
                  </w:tcBorders>
                  <w:noWrap w:val="0"/>
                  <w:vAlign w:val="center"/>
                </w:tcPr>
                <w:p w14:paraId="204EAFCA">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资源开发效率要求</w:t>
                  </w:r>
                </w:p>
              </w:tc>
              <w:tc>
                <w:tcPr>
                  <w:tcW w:w="2349" w:type="pct"/>
                  <w:tcBorders>
                    <w:tl2br w:val="nil"/>
                    <w:tr2bl w:val="nil"/>
                  </w:tcBorders>
                  <w:noWrap w:val="0"/>
                  <w:vAlign w:val="center"/>
                </w:tcPr>
                <w:p w14:paraId="5EC278C6">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cs="Times New Roman"/>
                      <w:color w:val="auto"/>
                      <w:spacing w:val="4"/>
                      <w:kern w:val="2"/>
                      <w:sz w:val="21"/>
                      <w:szCs w:val="21"/>
                      <w:lang w:val="en-US" w:eastAsia="zh-CN" w:bidi="ar-SA"/>
                    </w:rPr>
                  </w:pPr>
                  <w:r>
                    <w:rPr>
                      <w:rFonts w:hint="eastAsia" w:cs="Times New Roman"/>
                      <w:color w:val="auto"/>
                      <w:spacing w:val="4"/>
                      <w:kern w:val="2"/>
                      <w:sz w:val="21"/>
                      <w:szCs w:val="21"/>
                      <w:lang w:val="en-US" w:eastAsia="zh-CN" w:bidi="ar-SA"/>
                    </w:rPr>
                    <w:t>1.</w:t>
                  </w:r>
                  <w:r>
                    <w:rPr>
                      <w:rFonts w:hint="eastAsia" w:ascii="Times New Roman" w:hAnsi="Times New Roman" w:cs="Times New Roman"/>
                      <w:color w:val="auto"/>
                      <w:spacing w:val="4"/>
                      <w:kern w:val="2"/>
                      <w:sz w:val="21"/>
                      <w:szCs w:val="21"/>
                      <w:lang w:val="en-US" w:eastAsia="zh-CN" w:bidi="ar-SA"/>
                    </w:rPr>
                    <w:t>推行秸秆还田、增施有机肥、少耕免耕、粮豆轮作、化肥农药减量、农膜减量与回收利用等措施，切实保护耕地土壤环境质量。</w:t>
                  </w:r>
                </w:p>
                <w:p w14:paraId="4A1EE74A">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default" w:ascii="Times New Roman" w:hAnsi="Times New Roman" w:eastAsia="宋体" w:cs="Times New Roman"/>
                      <w:color w:val="auto"/>
                      <w:spacing w:val="4"/>
                      <w:kern w:val="2"/>
                      <w:sz w:val="21"/>
                      <w:szCs w:val="21"/>
                      <w:lang w:val="en-US" w:eastAsia="en-US" w:bidi="ar-SA"/>
                    </w:rPr>
                  </w:pPr>
                  <w:r>
                    <w:rPr>
                      <w:rFonts w:hint="eastAsia" w:cs="Times New Roman"/>
                      <w:color w:val="auto"/>
                      <w:spacing w:val="4"/>
                      <w:kern w:val="2"/>
                      <w:sz w:val="21"/>
                      <w:szCs w:val="21"/>
                      <w:lang w:val="en-US" w:eastAsia="zh-CN" w:bidi="ar-SA"/>
                    </w:rPr>
                    <w:t>2.</w:t>
                  </w:r>
                  <w:r>
                    <w:rPr>
                      <w:rFonts w:hint="eastAsia" w:ascii="Times New Roman" w:hAnsi="Times New Roman" w:cs="Times New Roman"/>
                      <w:color w:val="auto"/>
                      <w:spacing w:val="4"/>
                      <w:kern w:val="2"/>
                      <w:sz w:val="21"/>
                      <w:szCs w:val="21"/>
                      <w:lang w:val="en-US" w:eastAsia="zh-CN" w:bidi="ar-SA"/>
                    </w:rPr>
                    <w:t>加强城镇节水，禁止生产、销售不符合节水标准的产品、设备，加快城镇老旧供水管网更新改造，开展节水型城市创建活动。</w:t>
                  </w:r>
                </w:p>
              </w:tc>
              <w:tc>
                <w:tcPr>
                  <w:tcW w:w="1757" w:type="pct"/>
                  <w:tcBorders>
                    <w:tl2br w:val="nil"/>
                    <w:tr2bl w:val="nil"/>
                  </w:tcBorders>
                  <w:noWrap w:val="0"/>
                  <w:vAlign w:val="center"/>
                </w:tcPr>
                <w:p w14:paraId="58DBBD9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auto"/>
                      <w:spacing w:val="4"/>
                      <w:kern w:val="2"/>
                      <w:sz w:val="21"/>
                      <w:szCs w:val="21"/>
                      <w:lang w:val="en-US" w:eastAsia="zh-CN" w:bidi="ar-SA"/>
                    </w:rPr>
                  </w:pPr>
                  <w:r>
                    <w:rPr>
                      <w:rFonts w:hint="eastAsia"/>
                      <w:color w:val="auto"/>
                      <w:sz w:val="21"/>
                      <w:szCs w:val="21"/>
                      <w:lang w:val="en-US" w:eastAsia="zh-CN"/>
                    </w:rPr>
                    <w:t>本项目不涉及</w:t>
                  </w:r>
                </w:p>
              </w:tc>
              <w:tc>
                <w:tcPr>
                  <w:tcW w:w="531" w:type="pct"/>
                  <w:tcBorders>
                    <w:tl2br w:val="nil"/>
                    <w:tr2bl w:val="nil"/>
                  </w:tcBorders>
                  <w:noWrap w:val="0"/>
                  <w:vAlign w:val="center"/>
                </w:tcPr>
                <w:p w14:paraId="38D66A00">
                  <w:pPr>
                    <w:keepNext w:val="0"/>
                    <w:keepLines w:val="0"/>
                    <w:pageBreakBefore w:val="0"/>
                    <w:widowControl w:val="0"/>
                    <w:kinsoku/>
                    <w:wordWrap/>
                    <w:overflowPunct/>
                    <w:topLinePunct w:val="0"/>
                    <w:autoSpaceDE/>
                    <w:autoSpaceDN/>
                    <w:bidi w:val="0"/>
                    <w:adjustRightInd w:val="0"/>
                    <w:snapToGrid w:val="0"/>
                    <w:jc w:val="center"/>
                    <w:textAlignment w:val="auto"/>
                    <w:rPr>
                      <w:color w:val="auto"/>
                      <w:sz w:val="21"/>
                      <w:szCs w:val="21"/>
                    </w:rPr>
                  </w:pPr>
                  <w:r>
                    <w:rPr>
                      <w:color w:val="auto"/>
                      <w:sz w:val="21"/>
                      <w:szCs w:val="21"/>
                    </w:rPr>
                    <w:t>符合</w:t>
                  </w:r>
                </w:p>
              </w:tc>
            </w:tr>
          </w:tbl>
          <w:p w14:paraId="500DA699">
            <w:pPr>
              <w:keepNext w:val="0"/>
              <w:keepLines w:val="0"/>
              <w:pageBreakBefore w:val="0"/>
              <w:widowControl w:val="0"/>
              <w:numPr>
                <w:ilvl w:val="0"/>
                <w:numId w:val="7"/>
              </w:numPr>
              <w:kinsoku/>
              <w:wordWrap/>
              <w:overflowPunct w:val="0"/>
              <w:topLinePunct w:val="0"/>
              <w:autoSpaceDE/>
              <w:autoSpaceDN/>
              <w:bidi w:val="0"/>
              <w:adjustRightInd w:val="0"/>
              <w:snapToGrid w:val="0"/>
              <w:spacing w:line="360" w:lineRule="auto"/>
              <w:ind w:left="425" w:leftChars="0" w:hanging="425" w:firstLineChars="0"/>
              <w:jc w:val="both"/>
              <w:textAlignment w:val="auto"/>
              <w:rPr>
                <w:b/>
                <w:bCs/>
                <w:color w:val="auto"/>
                <w:spacing w:val="-3"/>
                <w:sz w:val="24"/>
                <w:szCs w:val="24"/>
              </w:rPr>
            </w:pPr>
            <w:r>
              <w:rPr>
                <w:rFonts w:hint="eastAsia"/>
                <w:b/>
                <w:bCs/>
                <w:color w:val="auto"/>
                <w:spacing w:val="-3"/>
                <w:sz w:val="24"/>
                <w:szCs w:val="24"/>
                <w:lang w:eastAsia="zh-CN"/>
              </w:rPr>
              <w:t>其他符合性分析</w:t>
            </w:r>
          </w:p>
          <w:p w14:paraId="5CBBEB7B">
            <w:pPr>
              <w:pStyle w:val="11"/>
              <w:keepNext w:val="0"/>
              <w:keepLines w:val="0"/>
              <w:pageBreakBefore w:val="0"/>
              <w:widowControl w:val="0"/>
              <w:numPr>
                <w:ilvl w:val="0"/>
                <w:numId w:val="8"/>
              </w:numPr>
              <w:kinsoku/>
              <w:wordWrap/>
              <w:overflowPunct/>
              <w:topLinePunct w:val="0"/>
              <w:autoSpaceDE/>
              <w:autoSpaceDN/>
              <w:bidi w:val="0"/>
              <w:adjustRightInd w:val="0"/>
              <w:snapToGrid w:val="0"/>
              <w:spacing w:after="0" w:line="360" w:lineRule="auto"/>
              <w:ind w:left="425" w:leftChars="0" w:hanging="425" w:firstLineChars="0"/>
              <w:textAlignment w:val="auto"/>
              <w:rPr>
                <w:b/>
                <w:bCs/>
                <w:color w:val="auto"/>
                <w:spacing w:val="-3"/>
                <w:sz w:val="24"/>
                <w:szCs w:val="24"/>
              </w:rPr>
            </w:pPr>
            <w:r>
              <w:rPr>
                <w:b/>
                <w:bCs/>
                <w:color w:val="auto"/>
                <w:spacing w:val="-3"/>
                <w:sz w:val="24"/>
                <w:szCs w:val="24"/>
              </w:rPr>
              <w:t>《新疆维吾尔自治区大气污染防治条例》符合性分析</w:t>
            </w:r>
          </w:p>
          <w:p w14:paraId="5AF66209">
            <w:pPr>
              <w:keepNext w:val="0"/>
              <w:keepLines w:val="0"/>
              <w:pageBreakBefore w:val="0"/>
              <w:widowControl w:val="0"/>
              <w:numPr>
                <w:ilvl w:val="0"/>
                <w:numId w:val="5"/>
              </w:numPr>
              <w:kinsoku/>
              <w:wordWrap/>
              <w:overflowPunct w:val="0"/>
              <w:topLinePunct w:val="0"/>
              <w:autoSpaceDE/>
              <w:autoSpaceDN/>
              <w:bidi w:val="0"/>
              <w:adjustRightInd w:val="0"/>
              <w:snapToGrid w:val="0"/>
              <w:spacing w:line="240" w:lineRule="auto"/>
              <w:ind w:left="0" w:leftChars="0" w:firstLine="0" w:firstLineChars="0"/>
              <w:jc w:val="both"/>
              <w:textAlignment w:val="auto"/>
              <w:rPr>
                <w:b/>
                <w:bCs/>
                <w:color w:val="auto"/>
                <w:spacing w:val="7"/>
                <w:sz w:val="24"/>
                <w:szCs w:val="24"/>
              </w:rPr>
            </w:pPr>
            <w:r>
              <w:rPr>
                <w:b/>
                <w:bCs/>
                <w:color w:val="auto"/>
                <w:spacing w:val="7"/>
                <w:sz w:val="24"/>
                <w:szCs w:val="24"/>
              </w:rPr>
              <w:t>《新疆维吾尔自治区大气污染防治条例》符合性分析表</w:t>
            </w:r>
          </w:p>
          <w:tbl>
            <w:tblPr>
              <w:tblStyle w:val="28"/>
              <w:tblW w:w="67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19"/>
              <w:gridCol w:w="2040"/>
              <w:gridCol w:w="919"/>
            </w:tblGrid>
            <w:tr w14:paraId="77F88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9" w:type="dxa"/>
                  <w:vAlign w:val="center"/>
                </w:tcPr>
                <w:p w14:paraId="531BD20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vertAlign w:val="baseline"/>
                    </w:rPr>
                  </w:pPr>
                  <w:r>
                    <w:rPr>
                      <w:b/>
                      <w:bCs/>
                      <w:color w:val="auto"/>
                      <w:spacing w:val="7"/>
                      <w:sz w:val="21"/>
                      <w:szCs w:val="21"/>
                    </w:rPr>
                    <w:t>条例</w:t>
                  </w:r>
                  <w:r>
                    <w:rPr>
                      <w:b/>
                      <w:bCs/>
                      <w:color w:val="auto"/>
                      <w:spacing w:val="6"/>
                      <w:sz w:val="21"/>
                      <w:szCs w:val="21"/>
                    </w:rPr>
                    <w:t>要求</w:t>
                  </w:r>
                </w:p>
              </w:tc>
              <w:tc>
                <w:tcPr>
                  <w:tcW w:w="2040" w:type="dxa"/>
                  <w:vAlign w:val="center"/>
                </w:tcPr>
                <w:p w14:paraId="7D52051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z w:val="21"/>
                      <w:szCs w:val="21"/>
                      <w:vertAlign w:val="baseline"/>
                    </w:rPr>
                  </w:pPr>
                  <w:r>
                    <w:rPr>
                      <w:b/>
                      <w:bCs/>
                      <w:color w:val="auto"/>
                      <w:spacing w:val="6"/>
                      <w:sz w:val="21"/>
                      <w:szCs w:val="21"/>
                    </w:rPr>
                    <w:t>本项目情况</w:t>
                  </w:r>
                </w:p>
              </w:tc>
              <w:tc>
                <w:tcPr>
                  <w:tcW w:w="919" w:type="dxa"/>
                  <w:vAlign w:val="center"/>
                </w:tcPr>
                <w:p w14:paraId="4D70A24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z w:val="21"/>
                      <w:szCs w:val="21"/>
                      <w:vertAlign w:val="baseline"/>
                    </w:rPr>
                  </w:pPr>
                  <w:r>
                    <w:rPr>
                      <w:b/>
                      <w:bCs/>
                      <w:color w:val="auto"/>
                      <w:spacing w:val="5"/>
                      <w:sz w:val="21"/>
                      <w:szCs w:val="21"/>
                    </w:rPr>
                    <w:t>符合性</w:t>
                  </w:r>
                </w:p>
              </w:tc>
            </w:tr>
            <w:tr w14:paraId="0CA76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9" w:type="dxa"/>
                  <w:vAlign w:val="center"/>
                </w:tcPr>
                <w:p w14:paraId="3715D769">
                  <w:pPr>
                    <w:pStyle w:val="65"/>
                    <w:keepNext w:val="0"/>
                    <w:keepLines w:val="0"/>
                    <w:pageBreakBefore w:val="0"/>
                    <w:widowControl w:val="0"/>
                    <w:kinsoku/>
                    <w:wordWrap/>
                    <w:overflowPunct/>
                    <w:topLinePunct w:val="0"/>
                    <w:autoSpaceDE/>
                    <w:autoSpaceDN/>
                    <w:bidi w:val="0"/>
                    <w:adjustRightInd w:val="0"/>
                    <w:snapToGrid w:val="0"/>
                    <w:spacing w:line="240" w:lineRule="auto"/>
                    <w:ind w:right="0" w:rightChars="0"/>
                    <w:jc w:val="center"/>
                    <w:textAlignment w:val="auto"/>
                    <w:rPr>
                      <w:color w:val="auto"/>
                      <w:sz w:val="21"/>
                      <w:szCs w:val="21"/>
                      <w:vertAlign w:val="baseline"/>
                    </w:rPr>
                  </w:pPr>
                  <w:r>
                    <w:rPr>
                      <w:color w:val="auto"/>
                      <w:spacing w:val="9"/>
                      <w:sz w:val="21"/>
                      <w:szCs w:val="21"/>
                    </w:rPr>
                    <w:t>第三十七条各级人民政府应当加强对建设</w:t>
                  </w:r>
                  <w:r>
                    <w:rPr>
                      <w:color w:val="auto"/>
                      <w:spacing w:val="5"/>
                      <w:sz w:val="21"/>
                      <w:szCs w:val="21"/>
                    </w:rPr>
                    <w:t>施工、矿产资源开采、物料运输的扬尘和沙尘污染的治理，保持道路清洁、控制料堆和</w:t>
                  </w:r>
                  <w:r>
                    <w:rPr>
                      <w:color w:val="auto"/>
                      <w:spacing w:val="-2"/>
                      <w:sz w:val="21"/>
                      <w:szCs w:val="21"/>
                    </w:rPr>
                    <w:t>渣土堆放，科学合理扩大绿地、水面、湿地、</w:t>
                  </w:r>
                  <w:r>
                    <w:rPr>
                      <w:color w:val="auto"/>
                      <w:spacing w:val="5"/>
                      <w:sz w:val="21"/>
                      <w:szCs w:val="21"/>
                    </w:rPr>
                    <w:t>地面铺装和防风固沙绿化面积，防治扬尘污</w:t>
                  </w:r>
                  <w:r>
                    <w:rPr>
                      <w:color w:val="auto"/>
                      <w:sz w:val="21"/>
                      <w:szCs w:val="21"/>
                    </w:rPr>
                    <w:t>染。</w:t>
                  </w:r>
                </w:p>
              </w:tc>
              <w:tc>
                <w:tcPr>
                  <w:tcW w:w="2040" w:type="dxa"/>
                  <w:vAlign w:val="center"/>
                </w:tcPr>
                <w:p w14:paraId="20F12B22">
                  <w:pPr>
                    <w:pStyle w:val="65"/>
                    <w:keepNext w:val="0"/>
                    <w:keepLines w:val="0"/>
                    <w:pageBreakBefore w:val="0"/>
                    <w:widowControl w:val="0"/>
                    <w:kinsoku/>
                    <w:wordWrap/>
                    <w:overflowPunct/>
                    <w:topLinePunct w:val="0"/>
                    <w:autoSpaceDE/>
                    <w:autoSpaceDN/>
                    <w:bidi w:val="0"/>
                    <w:adjustRightInd w:val="0"/>
                    <w:snapToGrid w:val="0"/>
                    <w:spacing w:line="240" w:lineRule="auto"/>
                    <w:ind w:right="0" w:rightChars="0"/>
                    <w:jc w:val="center"/>
                    <w:textAlignment w:val="auto"/>
                    <w:rPr>
                      <w:color w:val="auto"/>
                      <w:sz w:val="21"/>
                      <w:szCs w:val="21"/>
                      <w:vertAlign w:val="baseline"/>
                    </w:rPr>
                  </w:pPr>
                  <w:r>
                    <w:rPr>
                      <w:color w:val="auto"/>
                      <w:spacing w:val="8"/>
                      <w:sz w:val="21"/>
                      <w:szCs w:val="21"/>
                    </w:rPr>
                    <w:t>本项目施工期采取设</w:t>
                  </w:r>
                  <w:r>
                    <w:rPr>
                      <w:color w:val="auto"/>
                      <w:spacing w:val="9"/>
                      <w:sz w:val="21"/>
                      <w:szCs w:val="21"/>
                    </w:rPr>
                    <w:t>置围挡、洒水抑尘等防治扬尘污染的措施</w:t>
                  </w:r>
                </w:p>
              </w:tc>
              <w:tc>
                <w:tcPr>
                  <w:tcW w:w="919" w:type="dxa"/>
                  <w:vAlign w:val="center"/>
                </w:tcPr>
                <w:p w14:paraId="0A9C3032">
                  <w:pPr>
                    <w:pStyle w:val="65"/>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color w:val="auto"/>
                      <w:sz w:val="21"/>
                      <w:szCs w:val="21"/>
                      <w:vertAlign w:val="baseline"/>
                    </w:rPr>
                  </w:pPr>
                  <w:r>
                    <w:rPr>
                      <w:color w:val="auto"/>
                      <w:spacing w:val="3"/>
                      <w:sz w:val="21"/>
                      <w:szCs w:val="21"/>
                    </w:rPr>
                    <w:t>符合</w:t>
                  </w:r>
                </w:p>
              </w:tc>
            </w:tr>
            <w:tr w14:paraId="3AA8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9" w:type="dxa"/>
                  <w:vAlign w:val="center"/>
                </w:tcPr>
                <w:p w14:paraId="07FCABB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color w:val="auto"/>
                      <w:sz w:val="21"/>
                      <w:szCs w:val="21"/>
                    </w:rPr>
                  </w:pPr>
                  <w:r>
                    <w:rPr>
                      <w:color w:val="auto"/>
                      <w:spacing w:val="5"/>
                      <w:sz w:val="21"/>
                      <w:szCs w:val="21"/>
                    </w:rPr>
                    <w:t>第三十八条房屋建筑、市政基础设施建设和</w:t>
                  </w:r>
                  <w:r>
                    <w:rPr>
                      <w:color w:val="auto"/>
                      <w:spacing w:val="9"/>
                      <w:sz w:val="21"/>
                      <w:szCs w:val="21"/>
                    </w:rPr>
                    <w:t>城市规划区内水利工程等可能产生扬尘污</w:t>
                  </w:r>
                  <w:r>
                    <w:rPr>
                      <w:color w:val="auto"/>
                      <w:spacing w:val="5"/>
                      <w:sz w:val="21"/>
                      <w:szCs w:val="21"/>
                    </w:rPr>
                    <w:t>染活动的施工现场，施工单位应当采取下列防尘措施：</w:t>
                  </w:r>
                </w:p>
                <w:p w14:paraId="556E080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color w:val="auto"/>
                      <w:sz w:val="21"/>
                      <w:szCs w:val="21"/>
                    </w:rPr>
                  </w:pPr>
                  <w:r>
                    <w:rPr>
                      <w:color w:val="auto"/>
                      <w:spacing w:val="4"/>
                      <w:sz w:val="21"/>
                      <w:szCs w:val="21"/>
                    </w:rPr>
                    <w:t>（一）建设工程开工前，按照标准在施工现</w:t>
                  </w:r>
                  <w:r>
                    <w:rPr>
                      <w:color w:val="auto"/>
                      <w:spacing w:val="8"/>
                      <w:sz w:val="21"/>
                      <w:szCs w:val="21"/>
                    </w:rPr>
                    <w:t>场周边设置围挡，并对围挡进行维护；</w:t>
                  </w:r>
                </w:p>
                <w:p w14:paraId="112C253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color w:val="auto"/>
                      <w:sz w:val="21"/>
                      <w:szCs w:val="21"/>
                    </w:rPr>
                  </w:pPr>
                  <w:r>
                    <w:rPr>
                      <w:color w:val="auto"/>
                      <w:spacing w:val="4"/>
                      <w:sz w:val="21"/>
                      <w:szCs w:val="21"/>
                    </w:rPr>
                    <w:t>（二）在施工现场出入口公示施工现场负责</w:t>
                  </w:r>
                  <w:r>
                    <w:rPr>
                      <w:color w:val="auto"/>
                      <w:spacing w:val="7"/>
                      <w:sz w:val="21"/>
                      <w:szCs w:val="21"/>
                    </w:rPr>
                    <w:t>人、环保监督员、扬尘污染主要控制措施、举报电话等信息；</w:t>
                  </w:r>
                </w:p>
                <w:p w14:paraId="697B2BD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color w:val="auto"/>
                      <w:sz w:val="21"/>
                      <w:szCs w:val="21"/>
                    </w:rPr>
                  </w:pPr>
                  <w:r>
                    <w:rPr>
                      <w:color w:val="auto"/>
                      <w:spacing w:val="4"/>
                      <w:sz w:val="21"/>
                      <w:szCs w:val="21"/>
                    </w:rPr>
                    <w:t>（三）对施工现场内主要道路和物料堆放场</w:t>
                  </w:r>
                  <w:r>
                    <w:rPr>
                      <w:color w:val="auto"/>
                      <w:spacing w:val="5"/>
                      <w:sz w:val="21"/>
                      <w:szCs w:val="21"/>
                    </w:rPr>
                    <w:t>地进行硬化，对其他裸露场地进行覆盖或者临时绿化，对土方进行集中堆放，并采取覆</w:t>
                  </w:r>
                  <w:r>
                    <w:rPr>
                      <w:color w:val="auto"/>
                      <w:spacing w:val="7"/>
                      <w:sz w:val="21"/>
                      <w:szCs w:val="21"/>
                    </w:rPr>
                    <w:t>盖或者密闭等措施；</w:t>
                  </w:r>
                </w:p>
                <w:p w14:paraId="7A1BA0E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color w:val="auto"/>
                      <w:sz w:val="21"/>
                      <w:szCs w:val="21"/>
                    </w:rPr>
                  </w:pPr>
                  <w:r>
                    <w:rPr>
                      <w:color w:val="auto"/>
                      <w:spacing w:val="4"/>
                      <w:sz w:val="21"/>
                      <w:szCs w:val="21"/>
                    </w:rPr>
                    <w:t>（四）施工现场出口处应当设置车辆冲洗设</w:t>
                  </w:r>
                  <w:r>
                    <w:rPr>
                      <w:color w:val="auto"/>
                      <w:spacing w:val="8"/>
                      <w:sz w:val="21"/>
                      <w:szCs w:val="21"/>
                    </w:rPr>
                    <w:t>施，施工车辆冲洗干净后方可上路行驶；</w:t>
                  </w:r>
                </w:p>
                <w:p w14:paraId="5292AD7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9"/>
                    <w:jc w:val="both"/>
                    <w:textAlignment w:val="auto"/>
                    <w:rPr>
                      <w:color w:val="auto"/>
                      <w:sz w:val="21"/>
                      <w:szCs w:val="21"/>
                    </w:rPr>
                  </w:pPr>
                  <w:r>
                    <w:rPr>
                      <w:color w:val="auto"/>
                      <w:spacing w:val="4"/>
                      <w:sz w:val="21"/>
                      <w:szCs w:val="21"/>
                    </w:rPr>
                    <w:t>（五）道路挖掘施工过程中，及时覆盖破损</w:t>
                  </w:r>
                  <w:r>
                    <w:rPr>
                      <w:color w:val="auto"/>
                      <w:spacing w:val="5"/>
                      <w:sz w:val="21"/>
                      <w:szCs w:val="21"/>
                    </w:rPr>
                    <w:t>路面，并采取洒水等措施防治扬尘污染；道路挖掘施工完成后应当及时修复路面；临时</w:t>
                  </w:r>
                  <w:r>
                    <w:rPr>
                      <w:color w:val="auto"/>
                      <w:spacing w:val="8"/>
                      <w:sz w:val="21"/>
                      <w:szCs w:val="21"/>
                    </w:rPr>
                    <w:t>便道应当进行硬化处理，并定时洒水；</w:t>
                  </w:r>
                </w:p>
                <w:p w14:paraId="09372D3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color w:val="auto"/>
                      <w:sz w:val="21"/>
                      <w:szCs w:val="21"/>
                    </w:rPr>
                  </w:pPr>
                  <w:r>
                    <w:rPr>
                      <w:color w:val="auto"/>
                      <w:spacing w:val="4"/>
                      <w:sz w:val="21"/>
                      <w:szCs w:val="21"/>
                    </w:rPr>
                    <w:t>（六）及时对施工现场进行清理和平整，不</w:t>
                  </w:r>
                  <w:r>
                    <w:rPr>
                      <w:color w:val="auto"/>
                      <w:spacing w:val="9"/>
                      <w:sz w:val="21"/>
                      <w:szCs w:val="21"/>
                    </w:rPr>
                    <w:t>得从高处向下倾倒或者</w:t>
                  </w:r>
                  <w:r>
                    <w:rPr>
                      <w:rFonts w:hint="eastAsia"/>
                      <w:color w:val="auto"/>
                      <w:spacing w:val="9"/>
                      <w:sz w:val="21"/>
                      <w:szCs w:val="21"/>
                      <w:lang w:eastAsia="zh-CN"/>
                    </w:rPr>
                    <w:t>抛撒</w:t>
                  </w:r>
                  <w:r>
                    <w:rPr>
                      <w:color w:val="auto"/>
                      <w:spacing w:val="9"/>
                      <w:sz w:val="21"/>
                      <w:szCs w:val="21"/>
                    </w:rPr>
                    <w:t>各类物料和建</w:t>
                  </w:r>
                  <w:r>
                    <w:rPr>
                      <w:color w:val="auto"/>
                      <w:spacing w:val="4"/>
                      <w:sz w:val="21"/>
                      <w:szCs w:val="21"/>
                    </w:rPr>
                    <w:t>筑垃圾。</w:t>
                  </w:r>
                </w:p>
                <w:p w14:paraId="5A7C21B8">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jc w:val="both"/>
                    <w:textAlignment w:val="auto"/>
                    <w:rPr>
                      <w:color w:val="auto"/>
                      <w:sz w:val="21"/>
                      <w:szCs w:val="21"/>
                      <w:vertAlign w:val="baseline"/>
                    </w:rPr>
                  </w:pPr>
                  <w:r>
                    <w:rPr>
                      <w:color w:val="auto"/>
                      <w:spacing w:val="-3"/>
                      <w:sz w:val="21"/>
                      <w:szCs w:val="21"/>
                    </w:rPr>
                    <w:t>拆除建（构）筑物，应当配备防风抑尘设备，</w:t>
                  </w:r>
                  <w:r>
                    <w:rPr>
                      <w:color w:val="auto"/>
                      <w:spacing w:val="7"/>
                      <w:sz w:val="21"/>
                      <w:szCs w:val="21"/>
                    </w:rPr>
                    <w:t>进行湿法作业。</w:t>
                  </w:r>
                </w:p>
              </w:tc>
              <w:tc>
                <w:tcPr>
                  <w:tcW w:w="2040" w:type="dxa"/>
                  <w:vAlign w:val="center"/>
                </w:tcPr>
                <w:p w14:paraId="0734032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color w:val="auto"/>
                      <w:sz w:val="21"/>
                      <w:szCs w:val="21"/>
                      <w:vertAlign w:val="baseline"/>
                    </w:rPr>
                  </w:pPr>
                  <w:r>
                    <w:rPr>
                      <w:color w:val="auto"/>
                      <w:spacing w:val="8"/>
                      <w:sz w:val="21"/>
                      <w:szCs w:val="21"/>
                    </w:rPr>
                    <w:t>本项目采取设置围挡、设置施工工地扬尘污染防治监管公示牌、洒水抑尘、施工</w:t>
                  </w:r>
                  <w:r>
                    <w:rPr>
                      <w:color w:val="auto"/>
                      <w:spacing w:val="9"/>
                      <w:sz w:val="21"/>
                      <w:szCs w:val="21"/>
                    </w:rPr>
                    <w:t>道路硬化、减少扬尘</w:t>
                  </w:r>
                  <w:r>
                    <w:rPr>
                      <w:color w:val="auto"/>
                      <w:spacing w:val="3"/>
                      <w:sz w:val="21"/>
                      <w:szCs w:val="21"/>
                    </w:rPr>
                    <w:t>污染</w:t>
                  </w:r>
                </w:p>
              </w:tc>
              <w:tc>
                <w:tcPr>
                  <w:tcW w:w="919" w:type="dxa"/>
                  <w:vAlign w:val="center"/>
                </w:tcPr>
                <w:p w14:paraId="4A33920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z w:val="21"/>
                      <w:szCs w:val="21"/>
                      <w:vertAlign w:val="baseline"/>
                    </w:rPr>
                  </w:pPr>
                  <w:r>
                    <w:rPr>
                      <w:color w:val="auto"/>
                      <w:spacing w:val="3"/>
                      <w:sz w:val="21"/>
                      <w:szCs w:val="21"/>
                    </w:rPr>
                    <w:t>符合</w:t>
                  </w:r>
                </w:p>
              </w:tc>
            </w:tr>
            <w:tr w14:paraId="6BA63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9" w:type="dxa"/>
                  <w:vAlign w:val="top"/>
                </w:tcPr>
                <w:p w14:paraId="32A3A92A">
                  <w:pPr>
                    <w:pStyle w:val="65"/>
                    <w:keepNext w:val="0"/>
                    <w:keepLines w:val="0"/>
                    <w:pageBreakBefore w:val="0"/>
                    <w:widowControl w:val="0"/>
                    <w:kinsoku/>
                    <w:wordWrap/>
                    <w:overflowPunct/>
                    <w:topLinePunct w:val="0"/>
                    <w:autoSpaceDE/>
                    <w:autoSpaceDN/>
                    <w:bidi w:val="0"/>
                    <w:adjustRightInd w:val="0"/>
                    <w:snapToGrid w:val="0"/>
                    <w:spacing w:line="240" w:lineRule="auto"/>
                    <w:ind w:right="0" w:rightChars="0"/>
                    <w:jc w:val="both"/>
                    <w:textAlignment w:val="auto"/>
                    <w:rPr>
                      <w:rFonts w:ascii="Times New Roman" w:hAnsi="Times New Roman" w:eastAsia="宋体" w:cs="Times New Roman"/>
                      <w:color w:val="auto"/>
                      <w:spacing w:val="-3"/>
                      <w:kern w:val="0"/>
                      <w:sz w:val="21"/>
                      <w:szCs w:val="21"/>
                      <w:lang w:val="en-US" w:eastAsia="zh-CN" w:bidi="ar-SA"/>
                    </w:rPr>
                  </w:pPr>
                  <w:r>
                    <w:rPr>
                      <w:rFonts w:ascii="Times New Roman" w:hAnsi="Times New Roman" w:eastAsia="宋体" w:cs="Times New Roman"/>
                      <w:color w:val="auto"/>
                      <w:spacing w:val="-3"/>
                      <w:kern w:val="0"/>
                      <w:sz w:val="21"/>
                      <w:szCs w:val="21"/>
                      <w:lang w:val="en-US" w:eastAsia="zh-CN" w:bidi="ar-SA"/>
                    </w:rPr>
                    <w:t>第三十九条运输、处置建筑垃圾，应当经工程所在地的县（市、区）人民政府确定的监督管理部门同意，按照规定的运输时间、路线和要求清运到指定的场所处理；在场地内堆存的，应当有效覆盖。</w:t>
                  </w:r>
                </w:p>
              </w:tc>
              <w:tc>
                <w:tcPr>
                  <w:tcW w:w="2040" w:type="dxa"/>
                  <w:vAlign w:val="top"/>
                </w:tcPr>
                <w:p w14:paraId="4C0D4EFE">
                  <w:pPr>
                    <w:pStyle w:val="65"/>
                    <w:spacing w:before="165" w:line="228" w:lineRule="auto"/>
                    <w:rPr>
                      <w:rFonts w:ascii="Times New Roman" w:hAnsi="Times New Roman" w:eastAsia="宋体" w:cs="Times New Roman"/>
                      <w:color w:val="auto"/>
                      <w:spacing w:val="-3"/>
                      <w:kern w:val="0"/>
                      <w:sz w:val="21"/>
                      <w:szCs w:val="21"/>
                      <w:lang w:val="en-US" w:eastAsia="zh-CN" w:bidi="ar-SA"/>
                    </w:rPr>
                  </w:pPr>
                  <w:r>
                    <w:rPr>
                      <w:rFonts w:ascii="Times New Roman" w:hAnsi="Times New Roman" w:eastAsia="宋体" w:cs="Times New Roman"/>
                      <w:color w:val="auto"/>
                      <w:spacing w:val="-3"/>
                      <w:kern w:val="0"/>
                      <w:sz w:val="21"/>
                      <w:szCs w:val="21"/>
                      <w:lang w:val="en-US" w:eastAsia="zh-CN" w:bidi="ar-SA"/>
                    </w:rPr>
                    <w:t>项目分段施工，应做到施工完毕后“工完、料尽、场地清”，现场无杂物</w:t>
                  </w:r>
                </w:p>
              </w:tc>
              <w:tc>
                <w:tcPr>
                  <w:tcW w:w="919" w:type="dxa"/>
                  <w:vAlign w:val="center"/>
                </w:tcPr>
                <w:p w14:paraId="405B1F6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ascii="Times New Roman" w:hAnsi="Times New Roman" w:eastAsia="宋体" w:cs="Times New Roman"/>
                      <w:color w:val="auto"/>
                      <w:spacing w:val="-3"/>
                      <w:kern w:val="0"/>
                      <w:sz w:val="21"/>
                      <w:szCs w:val="21"/>
                      <w:lang w:val="en-US" w:eastAsia="zh-CN" w:bidi="ar-SA"/>
                    </w:rPr>
                  </w:pPr>
                  <w:r>
                    <w:rPr>
                      <w:rFonts w:ascii="Times New Roman" w:hAnsi="Times New Roman" w:eastAsia="宋体" w:cs="Times New Roman"/>
                      <w:color w:val="auto"/>
                      <w:spacing w:val="-3"/>
                      <w:kern w:val="0"/>
                      <w:sz w:val="21"/>
                      <w:szCs w:val="21"/>
                      <w:lang w:val="en-US" w:eastAsia="zh-CN" w:bidi="ar-SA"/>
                    </w:rPr>
                    <w:t>符合</w:t>
                  </w:r>
                </w:p>
              </w:tc>
            </w:tr>
            <w:tr w14:paraId="30EB5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9" w:type="dxa"/>
                  <w:vAlign w:val="center"/>
                </w:tcPr>
                <w:p w14:paraId="617A54B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rPr>
                      <w:rFonts w:ascii="Times New Roman" w:hAnsi="Times New Roman" w:eastAsia="宋体" w:cs="Times New Roman"/>
                      <w:color w:val="auto"/>
                      <w:spacing w:val="-3"/>
                      <w:kern w:val="0"/>
                      <w:sz w:val="21"/>
                      <w:szCs w:val="21"/>
                      <w:lang w:val="en-US" w:eastAsia="zh-CN" w:bidi="ar-SA"/>
                    </w:rPr>
                  </w:pPr>
                  <w:r>
                    <w:rPr>
                      <w:rFonts w:ascii="Times New Roman" w:hAnsi="Times New Roman" w:eastAsia="宋体" w:cs="Times New Roman"/>
                      <w:color w:val="auto"/>
                      <w:spacing w:val="-3"/>
                      <w:kern w:val="0"/>
                      <w:sz w:val="21"/>
                      <w:szCs w:val="21"/>
                      <w:lang w:val="en-US" w:eastAsia="zh-CN" w:bidi="ar-SA"/>
                    </w:rPr>
                    <w:t>第四十条城市建成区内的施工工地，禁止现场搅拌混凝土；施工现场设置砂浆搅拌机的，应当配备降尘装置。</w:t>
                  </w:r>
                </w:p>
              </w:tc>
              <w:tc>
                <w:tcPr>
                  <w:tcW w:w="2040" w:type="dxa"/>
                  <w:vAlign w:val="top"/>
                </w:tcPr>
                <w:p w14:paraId="41F0945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1" w:firstLineChars="0"/>
                    <w:jc w:val="both"/>
                    <w:textAlignment w:val="auto"/>
                    <w:rPr>
                      <w:rFonts w:ascii="Times New Roman" w:hAnsi="Times New Roman" w:eastAsia="宋体" w:cs="Times New Roman"/>
                      <w:color w:val="auto"/>
                      <w:spacing w:val="-3"/>
                      <w:kern w:val="0"/>
                      <w:sz w:val="21"/>
                      <w:szCs w:val="21"/>
                      <w:lang w:val="en-US" w:eastAsia="zh-CN" w:bidi="ar-SA"/>
                    </w:rPr>
                  </w:pPr>
                  <w:r>
                    <w:rPr>
                      <w:rFonts w:ascii="Times New Roman" w:hAnsi="Times New Roman" w:eastAsia="宋体" w:cs="Times New Roman"/>
                      <w:color w:val="auto"/>
                      <w:spacing w:val="-3"/>
                      <w:kern w:val="0"/>
                      <w:sz w:val="21"/>
                      <w:szCs w:val="21"/>
                      <w:lang w:val="en-US" w:eastAsia="zh-CN" w:bidi="ar-SA"/>
                    </w:rPr>
                    <w:t>本项目不在城市建成区设</w:t>
                  </w:r>
                  <w:r>
                    <w:rPr>
                      <w:rFonts w:hint="eastAsia" w:ascii="Times New Roman" w:hAnsi="Times New Roman" w:cs="Times New Roman"/>
                      <w:color w:val="auto"/>
                      <w:spacing w:val="-3"/>
                      <w:kern w:val="0"/>
                      <w:sz w:val="21"/>
                      <w:szCs w:val="21"/>
                      <w:lang w:val="en-US" w:eastAsia="zh-CN" w:bidi="ar-SA"/>
                    </w:rPr>
                    <w:t>置混凝土</w:t>
                  </w:r>
                  <w:r>
                    <w:rPr>
                      <w:rFonts w:ascii="Times New Roman" w:hAnsi="Times New Roman" w:eastAsia="宋体" w:cs="Times New Roman"/>
                      <w:color w:val="auto"/>
                      <w:spacing w:val="-3"/>
                      <w:kern w:val="0"/>
                      <w:sz w:val="21"/>
                      <w:szCs w:val="21"/>
                      <w:lang w:val="en-US" w:eastAsia="zh-CN" w:bidi="ar-SA"/>
                    </w:rPr>
                    <w:t>临时</w:t>
                  </w:r>
                  <w:r>
                    <w:rPr>
                      <w:rFonts w:hint="eastAsia" w:ascii="Times New Roman" w:hAnsi="Times New Roman" w:cs="Times New Roman"/>
                      <w:color w:val="auto"/>
                      <w:spacing w:val="-3"/>
                      <w:kern w:val="0"/>
                      <w:sz w:val="21"/>
                      <w:szCs w:val="21"/>
                      <w:lang w:val="en-US" w:eastAsia="zh-CN" w:bidi="ar-SA"/>
                    </w:rPr>
                    <w:t>拌合站</w:t>
                  </w:r>
                  <w:r>
                    <w:rPr>
                      <w:rFonts w:ascii="Times New Roman" w:hAnsi="Times New Roman" w:eastAsia="宋体" w:cs="Times New Roman"/>
                      <w:color w:val="auto"/>
                      <w:spacing w:val="-3"/>
                      <w:kern w:val="0"/>
                      <w:sz w:val="21"/>
                      <w:szCs w:val="21"/>
                      <w:lang w:val="en-US" w:eastAsia="zh-CN" w:bidi="ar-SA"/>
                    </w:rPr>
                    <w:t>，</w:t>
                  </w:r>
                  <w:r>
                    <w:rPr>
                      <w:rFonts w:hint="eastAsia" w:ascii="Times New Roman" w:hAnsi="Times New Roman" w:cs="Times New Roman"/>
                      <w:color w:val="auto"/>
                      <w:spacing w:val="-3"/>
                      <w:kern w:val="0"/>
                      <w:sz w:val="21"/>
                      <w:szCs w:val="21"/>
                      <w:lang w:val="en-US" w:eastAsia="zh-CN" w:bidi="ar-SA"/>
                    </w:rPr>
                    <w:t>项目</w:t>
                  </w:r>
                  <w:r>
                    <w:rPr>
                      <w:rFonts w:hint="eastAsia"/>
                      <w:color w:val="auto"/>
                      <w:highlight w:val="none"/>
                      <w:lang w:val="en-US" w:eastAsia="zh-CN"/>
                    </w:rPr>
                    <w:t>临时拌和机</w:t>
                  </w:r>
                  <w:r>
                    <w:rPr>
                      <w:rFonts w:hint="default"/>
                      <w:color w:val="auto"/>
                      <w:highlight w:val="none"/>
                      <w:lang w:val="en-US" w:eastAsia="en-US"/>
                    </w:rPr>
                    <w:t>的骨料仓封闭，砂石骨料定期洒水润湿，上料过程产生的粉尘采用仓顶自带袋式除尘器除尘后</w:t>
                  </w:r>
                  <w:r>
                    <w:rPr>
                      <w:rFonts w:hint="eastAsia"/>
                      <w:color w:val="auto"/>
                      <w:highlight w:val="none"/>
                      <w:lang w:val="en-US" w:eastAsia="zh-CN"/>
                    </w:rPr>
                    <w:t>有组织</w:t>
                  </w:r>
                  <w:r>
                    <w:rPr>
                      <w:rFonts w:hint="default"/>
                      <w:color w:val="auto"/>
                      <w:highlight w:val="none"/>
                      <w:lang w:val="en-US" w:eastAsia="en-US"/>
                    </w:rPr>
                    <w:t>排放。</w:t>
                  </w:r>
                  <w:r>
                    <w:rPr>
                      <w:rFonts w:ascii="Times New Roman" w:hAnsi="Times New Roman" w:eastAsia="宋体" w:cs="Times New Roman"/>
                      <w:color w:val="auto"/>
                      <w:spacing w:val="-3"/>
                      <w:kern w:val="0"/>
                      <w:sz w:val="21"/>
                      <w:szCs w:val="21"/>
                      <w:lang w:val="en-US" w:eastAsia="zh-CN" w:bidi="ar-SA"/>
                    </w:rPr>
                    <w:t>。</w:t>
                  </w:r>
                </w:p>
              </w:tc>
              <w:tc>
                <w:tcPr>
                  <w:tcW w:w="919" w:type="dxa"/>
                  <w:vAlign w:val="center"/>
                </w:tcPr>
                <w:p w14:paraId="26E3370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ascii="Times New Roman" w:hAnsi="Times New Roman" w:eastAsia="宋体" w:cs="Times New Roman"/>
                      <w:color w:val="auto"/>
                      <w:spacing w:val="-3"/>
                      <w:kern w:val="0"/>
                      <w:sz w:val="21"/>
                      <w:szCs w:val="21"/>
                      <w:lang w:val="en-US" w:eastAsia="zh-CN" w:bidi="ar-SA"/>
                    </w:rPr>
                  </w:pPr>
                  <w:r>
                    <w:rPr>
                      <w:rFonts w:ascii="Times New Roman" w:hAnsi="Times New Roman" w:eastAsia="宋体" w:cs="Times New Roman"/>
                      <w:color w:val="auto"/>
                      <w:spacing w:val="-3"/>
                      <w:kern w:val="0"/>
                      <w:sz w:val="21"/>
                      <w:szCs w:val="21"/>
                      <w:lang w:val="en-US" w:eastAsia="zh-CN" w:bidi="ar-SA"/>
                    </w:rPr>
                    <w:t>符合</w:t>
                  </w:r>
                </w:p>
              </w:tc>
            </w:tr>
            <w:tr w14:paraId="6FB0C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9" w:type="dxa"/>
                  <w:vAlign w:val="center"/>
                </w:tcPr>
                <w:p w14:paraId="1D0396E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left"/>
                    <w:textAlignment w:val="auto"/>
                    <w:rPr>
                      <w:rFonts w:ascii="Times New Roman" w:hAnsi="Times New Roman" w:eastAsia="宋体" w:cs="Times New Roman"/>
                      <w:color w:val="auto"/>
                      <w:spacing w:val="-3"/>
                      <w:kern w:val="0"/>
                      <w:sz w:val="21"/>
                      <w:szCs w:val="21"/>
                      <w:lang w:val="en-US" w:eastAsia="zh-CN" w:bidi="ar-SA"/>
                    </w:rPr>
                  </w:pPr>
                  <w:r>
                    <w:rPr>
                      <w:rFonts w:ascii="Times New Roman" w:hAnsi="Times New Roman" w:eastAsia="宋体" w:cs="Times New Roman"/>
                      <w:color w:val="auto"/>
                      <w:spacing w:val="-3"/>
                      <w:kern w:val="0"/>
                      <w:sz w:val="21"/>
                      <w:szCs w:val="21"/>
                      <w:lang w:val="en-US" w:eastAsia="zh-CN" w:bidi="ar-SA"/>
                    </w:rPr>
                    <w:t>第四十三条贮存易产生扬尘的煤炭、煤矸石、煤渣、煤灰、水泥、石灰、石膏、砂土等物料的堆场应当密闭；不能密闭的，贮存单位或者个人应当采取下列防尘措施：</w:t>
                  </w:r>
                </w:p>
                <w:p w14:paraId="6CF2E23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rFonts w:ascii="Times New Roman" w:hAnsi="Times New Roman" w:eastAsia="宋体" w:cs="Times New Roman"/>
                      <w:color w:val="auto"/>
                      <w:spacing w:val="-3"/>
                      <w:kern w:val="0"/>
                      <w:sz w:val="21"/>
                      <w:szCs w:val="21"/>
                      <w:lang w:val="en-US" w:eastAsia="zh-CN" w:bidi="ar-SA"/>
                    </w:rPr>
                  </w:pPr>
                  <w:r>
                    <w:rPr>
                      <w:rFonts w:ascii="Times New Roman" w:hAnsi="Times New Roman" w:eastAsia="宋体" w:cs="Times New Roman"/>
                      <w:color w:val="auto"/>
                      <w:spacing w:val="-3"/>
                      <w:kern w:val="0"/>
                      <w:sz w:val="21"/>
                      <w:szCs w:val="21"/>
                      <w:lang w:val="en-US" w:eastAsia="zh-CN" w:bidi="ar-SA"/>
                    </w:rPr>
                    <w:t>（一）堆场的场坪、路面应当进行硬化处理，并保持路面整洁；</w:t>
                  </w:r>
                </w:p>
                <w:p w14:paraId="3C0BAA2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rFonts w:ascii="Times New Roman" w:hAnsi="Times New Roman" w:eastAsia="宋体" w:cs="Times New Roman"/>
                      <w:color w:val="auto"/>
                      <w:spacing w:val="-3"/>
                      <w:kern w:val="0"/>
                      <w:sz w:val="21"/>
                      <w:szCs w:val="21"/>
                      <w:lang w:val="en-US" w:eastAsia="zh-CN" w:bidi="ar-SA"/>
                    </w:rPr>
                  </w:pPr>
                  <w:r>
                    <w:rPr>
                      <w:rFonts w:ascii="Times New Roman" w:hAnsi="Times New Roman" w:eastAsia="宋体" w:cs="Times New Roman"/>
                      <w:color w:val="auto"/>
                      <w:spacing w:val="-3"/>
                      <w:kern w:val="0"/>
                      <w:sz w:val="21"/>
                      <w:szCs w:val="21"/>
                      <w:lang w:val="en-US" w:eastAsia="zh-CN" w:bidi="ar-SA"/>
                    </w:rPr>
                    <w:t>（二）堆场周边应当配备高于堆存物料的围挡、防风抑尘网等设施；</w:t>
                  </w:r>
                </w:p>
                <w:p w14:paraId="443CD72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rFonts w:ascii="Times New Roman" w:hAnsi="Times New Roman" w:eastAsia="宋体" w:cs="Times New Roman"/>
                      <w:color w:val="auto"/>
                      <w:spacing w:val="-3"/>
                      <w:kern w:val="0"/>
                      <w:sz w:val="21"/>
                      <w:szCs w:val="21"/>
                      <w:lang w:val="en-US" w:eastAsia="zh-CN" w:bidi="ar-SA"/>
                    </w:rPr>
                  </w:pPr>
                  <w:r>
                    <w:rPr>
                      <w:rFonts w:ascii="Times New Roman" w:hAnsi="Times New Roman" w:eastAsia="宋体" w:cs="Times New Roman"/>
                      <w:color w:val="auto"/>
                      <w:spacing w:val="-3"/>
                      <w:kern w:val="0"/>
                      <w:sz w:val="21"/>
                      <w:szCs w:val="21"/>
                      <w:lang w:val="en-US" w:eastAsia="zh-CN" w:bidi="ar-SA"/>
                    </w:rPr>
                    <w:t>（三）按照物料类别采取相应的覆盖、喷淋和围挡等防风抑尘措施。露天装卸物料应当采取密闭或者喷淋等抑尘措施；输送的物料应当在装料、卸料处配备吸尘、喷淋等防尘设施。</w:t>
                  </w:r>
                </w:p>
              </w:tc>
              <w:tc>
                <w:tcPr>
                  <w:tcW w:w="2040" w:type="dxa"/>
                  <w:vAlign w:val="center"/>
                </w:tcPr>
                <w:p w14:paraId="7C4771B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rFonts w:ascii="Times New Roman" w:hAnsi="Times New Roman" w:eastAsia="宋体" w:cs="Times New Roman"/>
                      <w:color w:val="auto"/>
                      <w:spacing w:val="-3"/>
                      <w:kern w:val="0"/>
                      <w:sz w:val="21"/>
                      <w:szCs w:val="21"/>
                      <w:lang w:val="en-US" w:eastAsia="zh-CN" w:bidi="ar-SA"/>
                    </w:rPr>
                  </w:pPr>
                  <w:r>
                    <w:rPr>
                      <w:rFonts w:ascii="Times New Roman" w:hAnsi="Times New Roman" w:eastAsia="宋体" w:cs="Times New Roman"/>
                      <w:color w:val="auto"/>
                      <w:spacing w:val="-3"/>
                      <w:kern w:val="0"/>
                      <w:sz w:val="21"/>
                      <w:szCs w:val="21"/>
                      <w:lang w:val="en-US" w:eastAsia="zh-CN" w:bidi="ar-SA"/>
                    </w:rPr>
                    <w:t>施工现场所采用的水泥、灰土、砂石等易产生扬尘的细颗粒建筑材料应密闭存放或进行覆盖，使用过程中应采取有效措施防止扬尘</w:t>
                  </w:r>
                </w:p>
              </w:tc>
              <w:tc>
                <w:tcPr>
                  <w:tcW w:w="919" w:type="dxa"/>
                  <w:vAlign w:val="center"/>
                </w:tcPr>
                <w:p w14:paraId="1BAA0EE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ascii="Times New Roman" w:hAnsi="Times New Roman" w:eastAsia="宋体" w:cs="Times New Roman"/>
                      <w:color w:val="auto"/>
                      <w:spacing w:val="-3"/>
                      <w:kern w:val="0"/>
                      <w:sz w:val="21"/>
                      <w:szCs w:val="21"/>
                      <w:lang w:val="en-US" w:eastAsia="zh-CN" w:bidi="ar-SA"/>
                    </w:rPr>
                  </w:pPr>
                  <w:r>
                    <w:rPr>
                      <w:rFonts w:ascii="Times New Roman" w:hAnsi="Times New Roman" w:eastAsia="宋体" w:cs="Times New Roman"/>
                      <w:color w:val="auto"/>
                      <w:spacing w:val="-3"/>
                      <w:kern w:val="0"/>
                      <w:sz w:val="21"/>
                      <w:szCs w:val="21"/>
                      <w:lang w:val="en-US" w:eastAsia="zh-CN" w:bidi="ar-SA"/>
                    </w:rPr>
                    <w:t>符合</w:t>
                  </w:r>
                </w:p>
              </w:tc>
            </w:tr>
          </w:tbl>
          <w:p w14:paraId="5401C675">
            <w:pPr>
              <w:pStyle w:val="65"/>
              <w:keepNext w:val="0"/>
              <w:keepLines w:val="0"/>
              <w:pageBreakBefore w:val="0"/>
              <w:widowControl w:val="0"/>
              <w:kinsoku/>
              <w:wordWrap/>
              <w:overflowPunct/>
              <w:topLinePunct w:val="0"/>
              <w:autoSpaceDE/>
              <w:autoSpaceDN/>
              <w:bidi w:val="0"/>
              <w:adjustRightInd w:val="0"/>
              <w:snapToGrid w:val="0"/>
              <w:spacing w:line="360" w:lineRule="auto"/>
              <w:jc w:val="right"/>
              <w:textAlignment w:val="auto"/>
              <w:rPr>
                <w:color w:val="auto"/>
                <w:sz w:val="24"/>
                <w:szCs w:val="24"/>
              </w:rPr>
            </w:pPr>
            <w:r>
              <w:rPr>
                <w:color w:val="auto"/>
                <w:spacing w:val="-8"/>
                <w:sz w:val="24"/>
                <w:szCs w:val="24"/>
              </w:rPr>
              <w:t>综上，本项目符合《新疆维吾尔自治区大气污染防治条例》要求。</w:t>
            </w:r>
          </w:p>
          <w:p w14:paraId="4106C6B9">
            <w:pPr>
              <w:pStyle w:val="11"/>
              <w:keepNext w:val="0"/>
              <w:keepLines w:val="0"/>
              <w:pageBreakBefore w:val="0"/>
              <w:widowControl w:val="0"/>
              <w:numPr>
                <w:ilvl w:val="0"/>
                <w:numId w:val="8"/>
              </w:numPr>
              <w:kinsoku/>
              <w:wordWrap/>
              <w:overflowPunct/>
              <w:topLinePunct w:val="0"/>
              <w:autoSpaceDE/>
              <w:autoSpaceDN/>
              <w:bidi w:val="0"/>
              <w:adjustRightInd w:val="0"/>
              <w:snapToGrid w:val="0"/>
              <w:spacing w:after="0" w:line="360" w:lineRule="auto"/>
              <w:ind w:left="425" w:leftChars="0" w:hanging="425" w:firstLineChars="0"/>
              <w:textAlignment w:val="auto"/>
              <w:rPr>
                <w:b/>
                <w:bCs/>
                <w:color w:val="auto"/>
                <w:spacing w:val="-3"/>
                <w:sz w:val="24"/>
                <w:szCs w:val="24"/>
              </w:rPr>
            </w:pPr>
            <w:r>
              <w:rPr>
                <w:b/>
                <w:bCs/>
                <w:color w:val="auto"/>
                <w:spacing w:val="-3"/>
                <w:sz w:val="24"/>
                <w:szCs w:val="24"/>
              </w:rPr>
              <w:t>《水利建设项目（河湖整治与防洪除涝工程）环境影响评价文件审批原则》符合性分析</w:t>
            </w:r>
          </w:p>
          <w:p w14:paraId="1CF7BBB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8"/>
              <w:jc w:val="both"/>
              <w:textAlignment w:val="auto"/>
              <w:rPr>
                <w:color w:val="auto"/>
                <w:sz w:val="24"/>
                <w:szCs w:val="24"/>
              </w:rPr>
            </w:pPr>
            <w:r>
              <w:rPr>
                <w:color w:val="auto"/>
                <w:sz w:val="24"/>
                <w:szCs w:val="24"/>
              </w:rPr>
              <w:t>环境保护部于</w:t>
            </w:r>
            <w:r>
              <w:rPr>
                <w:rFonts w:ascii="Times New Roman" w:hAnsi="Times New Roman" w:eastAsia="Times New Roman" w:cs="Times New Roman"/>
                <w:color w:val="auto"/>
                <w:sz w:val="24"/>
                <w:szCs w:val="24"/>
              </w:rPr>
              <w:t>2018</w:t>
            </w:r>
            <w:r>
              <w:rPr>
                <w:color w:val="auto"/>
                <w:sz w:val="24"/>
                <w:szCs w:val="24"/>
              </w:rPr>
              <w:t>年</w:t>
            </w:r>
            <w:r>
              <w:rPr>
                <w:rFonts w:ascii="Times New Roman" w:hAnsi="Times New Roman" w:eastAsia="Times New Roman" w:cs="Times New Roman"/>
                <w:color w:val="auto"/>
                <w:sz w:val="24"/>
                <w:szCs w:val="24"/>
              </w:rPr>
              <w:t>1</w:t>
            </w:r>
            <w:r>
              <w:rPr>
                <w:color w:val="auto"/>
                <w:sz w:val="24"/>
                <w:szCs w:val="24"/>
              </w:rPr>
              <w:t>月</w:t>
            </w:r>
            <w:r>
              <w:rPr>
                <w:rFonts w:ascii="Times New Roman" w:hAnsi="Times New Roman" w:eastAsia="Times New Roman" w:cs="Times New Roman"/>
                <w:color w:val="auto"/>
                <w:sz w:val="24"/>
                <w:szCs w:val="24"/>
              </w:rPr>
              <w:t>5</w:t>
            </w:r>
            <w:r>
              <w:rPr>
                <w:color w:val="auto"/>
                <w:sz w:val="24"/>
                <w:szCs w:val="24"/>
              </w:rPr>
              <w:t>日印发了机场、港口、水利（河湖整治与防洪除涝工程）三个行业建设项目环境影响评价文件审批原则，本</w:t>
            </w:r>
            <w:r>
              <w:rPr>
                <w:color w:val="auto"/>
                <w:spacing w:val="-4"/>
                <w:sz w:val="24"/>
                <w:szCs w:val="24"/>
              </w:rPr>
              <w:t>项目属于防洪除涝工程，项目</w:t>
            </w:r>
            <w:r>
              <w:rPr>
                <w:rFonts w:hint="eastAsia"/>
                <w:color w:val="auto"/>
                <w:spacing w:val="-4"/>
                <w:sz w:val="24"/>
                <w:szCs w:val="24"/>
                <w:lang w:val="en-US" w:eastAsia="zh-CN"/>
              </w:rPr>
              <w:t>与</w:t>
            </w:r>
            <w:r>
              <w:rPr>
                <w:color w:val="auto"/>
                <w:spacing w:val="-4"/>
                <w:sz w:val="24"/>
                <w:szCs w:val="24"/>
              </w:rPr>
              <w:t>附件</w:t>
            </w:r>
            <w:r>
              <w:rPr>
                <w:rFonts w:ascii="Times New Roman" w:hAnsi="Times New Roman" w:eastAsia="Times New Roman" w:cs="Times New Roman"/>
                <w:color w:val="auto"/>
                <w:spacing w:val="-4"/>
                <w:sz w:val="24"/>
                <w:szCs w:val="24"/>
              </w:rPr>
              <w:t>3</w:t>
            </w:r>
            <w:r>
              <w:rPr>
                <w:color w:val="auto"/>
                <w:spacing w:val="-4"/>
                <w:sz w:val="24"/>
                <w:szCs w:val="24"/>
              </w:rPr>
              <w:t>“水利建设项目（河湖整治与防</w:t>
            </w:r>
            <w:r>
              <w:rPr>
                <w:color w:val="auto"/>
                <w:spacing w:val="-1"/>
                <w:sz w:val="24"/>
                <w:szCs w:val="24"/>
              </w:rPr>
              <w:t>洪除涝工程）环境影响评价文件审批原则</w:t>
            </w:r>
            <w:r>
              <w:rPr>
                <w:color w:val="auto"/>
                <w:spacing w:val="-80"/>
                <w:sz w:val="24"/>
                <w:szCs w:val="24"/>
              </w:rPr>
              <w:t xml:space="preserve"> </w:t>
            </w:r>
            <w:r>
              <w:rPr>
                <w:color w:val="auto"/>
                <w:spacing w:val="-1"/>
                <w:sz w:val="24"/>
                <w:szCs w:val="24"/>
              </w:rPr>
              <w:t>”</w:t>
            </w:r>
            <w:r>
              <w:rPr>
                <w:rFonts w:hint="eastAsia"/>
                <w:color w:val="auto"/>
                <w:spacing w:val="-1"/>
                <w:sz w:val="24"/>
                <w:szCs w:val="24"/>
                <w:lang w:val="en-US" w:eastAsia="zh-CN"/>
              </w:rPr>
              <w:t>符合性分析如下</w:t>
            </w:r>
            <w:r>
              <w:rPr>
                <w:color w:val="auto"/>
                <w:spacing w:val="-1"/>
                <w:sz w:val="24"/>
                <w:szCs w:val="24"/>
              </w:rPr>
              <w:t>。</w:t>
            </w:r>
          </w:p>
          <w:p w14:paraId="5C634326">
            <w:pPr>
              <w:keepNext w:val="0"/>
              <w:keepLines w:val="0"/>
              <w:pageBreakBefore w:val="0"/>
              <w:widowControl w:val="0"/>
              <w:numPr>
                <w:ilvl w:val="0"/>
                <w:numId w:val="5"/>
              </w:numPr>
              <w:kinsoku/>
              <w:wordWrap/>
              <w:overflowPunct w:val="0"/>
              <w:topLinePunct w:val="0"/>
              <w:autoSpaceDE/>
              <w:autoSpaceDN/>
              <w:bidi w:val="0"/>
              <w:adjustRightInd w:val="0"/>
              <w:snapToGrid w:val="0"/>
              <w:spacing w:line="240" w:lineRule="auto"/>
              <w:ind w:left="0" w:leftChars="0" w:firstLine="0" w:firstLineChars="0"/>
              <w:jc w:val="center"/>
              <w:textAlignment w:val="auto"/>
              <w:rPr>
                <w:b/>
                <w:bCs/>
                <w:color w:val="auto"/>
                <w:spacing w:val="7"/>
                <w:sz w:val="24"/>
                <w:szCs w:val="24"/>
              </w:rPr>
            </w:pPr>
            <w:r>
              <w:rPr>
                <w:b/>
                <w:bCs/>
                <w:color w:val="auto"/>
                <w:spacing w:val="7"/>
                <w:sz w:val="24"/>
                <w:szCs w:val="24"/>
              </w:rPr>
              <w:t>审批原则符合性分析表</w:t>
            </w:r>
          </w:p>
          <w:tbl>
            <w:tblPr>
              <w:tblStyle w:val="28"/>
              <w:tblW w:w="67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9"/>
              <w:gridCol w:w="2340"/>
              <w:gridCol w:w="919"/>
            </w:tblGrid>
            <w:tr w14:paraId="58441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center"/>
                </w:tcPr>
                <w:p w14:paraId="6564C97B">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jc w:val="center"/>
                    <w:textAlignment w:val="auto"/>
                    <w:rPr>
                      <w:rFonts w:hint="eastAsia" w:eastAsia="宋体"/>
                      <w:color w:val="auto"/>
                      <w:sz w:val="21"/>
                      <w:szCs w:val="21"/>
                      <w:vertAlign w:val="baseline"/>
                      <w:lang w:val="en-US" w:eastAsia="zh-CN"/>
                    </w:rPr>
                  </w:pPr>
                  <w:r>
                    <w:rPr>
                      <w:b/>
                      <w:bCs/>
                      <w:color w:val="auto"/>
                      <w:spacing w:val="6"/>
                      <w:sz w:val="21"/>
                      <w:szCs w:val="21"/>
                    </w:rPr>
                    <w:t>审批原则</w:t>
                  </w:r>
                  <w:r>
                    <w:rPr>
                      <w:rFonts w:hint="eastAsia"/>
                      <w:b/>
                      <w:bCs/>
                      <w:color w:val="auto"/>
                      <w:spacing w:val="6"/>
                      <w:sz w:val="21"/>
                      <w:szCs w:val="21"/>
                      <w:lang w:val="en-US" w:eastAsia="zh-CN"/>
                    </w:rPr>
                    <w:t>要求</w:t>
                  </w:r>
                </w:p>
              </w:tc>
              <w:tc>
                <w:tcPr>
                  <w:tcW w:w="2340" w:type="dxa"/>
                  <w:vAlign w:val="center"/>
                </w:tcPr>
                <w:p w14:paraId="658958A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z w:val="21"/>
                      <w:szCs w:val="21"/>
                      <w:vertAlign w:val="baseline"/>
                    </w:rPr>
                  </w:pPr>
                  <w:r>
                    <w:rPr>
                      <w:b/>
                      <w:bCs/>
                      <w:color w:val="auto"/>
                      <w:spacing w:val="6"/>
                      <w:sz w:val="21"/>
                      <w:szCs w:val="21"/>
                    </w:rPr>
                    <w:t>本项目情况</w:t>
                  </w:r>
                </w:p>
              </w:tc>
              <w:tc>
                <w:tcPr>
                  <w:tcW w:w="919" w:type="dxa"/>
                  <w:vAlign w:val="center"/>
                </w:tcPr>
                <w:p w14:paraId="1D1E3A7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z w:val="21"/>
                      <w:szCs w:val="21"/>
                      <w:vertAlign w:val="baseline"/>
                    </w:rPr>
                  </w:pPr>
                  <w:r>
                    <w:rPr>
                      <w:b/>
                      <w:bCs/>
                      <w:color w:val="auto"/>
                      <w:spacing w:val="5"/>
                      <w:sz w:val="21"/>
                      <w:szCs w:val="21"/>
                    </w:rPr>
                    <w:t>符合性</w:t>
                  </w:r>
                </w:p>
              </w:tc>
            </w:tr>
            <w:tr w14:paraId="7FDA7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19" w:type="dxa"/>
                  <w:vAlign w:val="top"/>
                </w:tcPr>
                <w:p w14:paraId="1843E72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textAlignment w:val="auto"/>
                    <w:rPr>
                      <w:color w:val="auto"/>
                      <w:sz w:val="21"/>
                      <w:szCs w:val="21"/>
                      <w:vertAlign w:val="baseline"/>
                    </w:rPr>
                  </w:pPr>
                  <w:r>
                    <w:rPr>
                      <w:color w:val="auto"/>
                      <w:spacing w:val="9"/>
                      <w:sz w:val="21"/>
                      <w:szCs w:val="21"/>
                    </w:rPr>
                    <w:t>第一条本原则适用于河湖整治与防洪除涝</w:t>
                  </w:r>
                  <w:r>
                    <w:rPr>
                      <w:color w:val="auto"/>
                      <w:spacing w:val="5"/>
                      <w:sz w:val="21"/>
                      <w:szCs w:val="21"/>
                    </w:rPr>
                    <w:t>工程环境影响评价文件的审批，工程建设内容包括疏浚、堤防建设、闸坝闸站建设、岸线治理、水系连通、蓄（滞）洪区建设、排涝治理等（引调水、防洪水库等水利枢纽工</w:t>
                  </w:r>
                  <w:r>
                    <w:rPr>
                      <w:color w:val="auto"/>
                      <w:spacing w:val="8"/>
                      <w:sz w:val="21"/>
                      <w:szCs w:val="21"/>
                    </w:rPr>
                    <w:t>程除外）。其他类似工程可参照执行。</w:t>
                  </w:r>
                </w:p>
              </w:tc>
              <w:tc>
                <w:tcPr>
                  <w:tcW w:w="2340" w:type="dxa"/>
                  <w:vAlign w:val="center"/>
                </w:tcPr>
                <w:p w14:paraId="45272CD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85" w:firstLineChars="0"/>
                    <w:jc w:val="center"/>
                    <w:textAlignment w:val="auto"/>
                    <w:rPr>
                      <w:color w:val="auto"/>
                      <w:sz w:val="21"/>
                      <w:szCs w:val="21"/>
                      <w:vertAlign w:val="baseline"/>
                    </w:rPr>
                  </w:pPr>
                  <w:r>
                    <w:rPr>
                      <w:color w:val="auto"/>
                      <w:spacing w:val="8"/>
                      <w:sz w:val="21"/>
                      <w:szCs w:val="21"/>
                    </w:rPr>
                    <w:t>本项目为防洪除涝工</w:t>
                  </w:r>
                  <w:r>
                    <w:rPr>
                      <w:color w:val="auto"/>
                      <w:spacing w:val="4"/>
                      <w:sz w:val="21"/>
                      <w:szCs w:val="21"/>
                    </w:rPr>
                    <w:t>程，适用于水利建设项目（河湖整治与防洪除涝工程）环境影响评价</w:t>
                  </w:r>
                  <w:r>
                    <w:rPr>
                      <w:color w:val="auto"/>
                      <w:spacing w:val="7"/>
                      <w:sz w:val="21"/>
                      <w:szCs w:val="21"/>
                    </w:rPr>
                    <w:t>文件审批原则（试行）</w:t>
                  </w:r>
                </w:p>
              </w:tc>
              <w:tc>
                <w:tcPr>
                  <w:tcW w:w="919" w:type="dxa"/>
                  <w:vAlign w:val="center"/>
                </w:tcPr>
                <w:p w14:paraId="7E9878B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z w:val="21"/>
                      <w:szCs w:val="21"/>
                      <w:vertAlign w:val="baseline"/>
                    </w:rPr>
                  </w:pPr>
                  <w:r>
                    <w:rPr>
                      <w:color w:val="auto"/>
                      <w:spacing w:val="3"/>
                      <w:sz w:val="21"/>
                      <w:szCs w:val="21"/>
                    </w:rPr>
                    <w:t>符合</w:t>
                  </w:r>
                </w:p>
              </w:tc>
            </w:tr>
            <w:tr w14:paraId="2E254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tcPr>
                <w:p w14:paraId="1C3BBECA">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textAlignment w:val="auto"/>
                    <w:rPr>
                      <w:color w:val="auto"/>
                      <w:sz w:val="21"/>
                      <w:szCs w:val="21"/>
                      <w:vertAlign w:val="baseline"/>
                    </w:rPr>
                  </w:pPr>
                  <w:r>
                    <w:rPr>
                      <w:color w:val="auto"/>
                      <w:spacing w:val="9"/>
                      <w:sz w:val="21"/>
                      <w:szCs w:val="21"/>
                    </w:rPr>
                    <w:t>第二条项目符合环境保护相关法律法规和</w:t>
                  </w:r>
                  <w:r>
                    <w:rPr>
                      <w:color w:val="auto"/>
                      <w:spacing w:val="5"/>
                      <w:sz w:val="21"/>
                      <w:szCs w:val="21"/>
                    </w:rPr>
                    <w:t>政策要求，与主体功能区规划、生态功能区划、水环境功能区划、水功能区划、生态环境保护规划、流域综合规划、防洪规划等相协调，满足相关规划环评要求。工程涉及岸线调整（治导线变化）、裁弯取直、围垦水面和占用河湖滩地等建设内容的，充分论证了方案环境可行性，最大程度保持了河湖自然形态，最大限度维护了河湖健康、生态系</w:t>
                  </w:r>
                  <w:r>
                    <w:rPr>
                      <w:color w:val="auto"/>
                      <w:spacing w:val="7"/>
                      <w:sz w:val="21"/>
                      <w:szCs w:val="21"/>
                    </w:rPr>
                    <w:t>统功能和生物多样性。</w:t>
                  </w:r>
                </w:p>
              </w:tc>
              <w:tc>
                <w:tcPr>
                  <w:tcW w:w="2340" w:type="dxa"/>
                </w:tcPr>
                <w:p w14:paraId="3CD9EF1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color w:val="auto"/>
                      <w:sz w:val="21"/>
                      <w:szCs w:val="21"/>
                      <w:vertAlign w:val="baseline"/>
                    </w:rPr>
                  </w:pPr>
                  <w:r>
                    <w:rPr>
                      <w:color w:val="auto"/>
                      <w:spacing w:val="8"/>
                      <w:sz w:val="21"/>
                      <w:szCs w:val="21"/>
                    </w:rPr>
                    <w:t>本项目建设符合环境保护相关法律法规和</w:t>
                  </w:r>
                  <w:r>
                    <w:rPr>
                      <w:color w:val="auto"/>
                      <w:spacing w:val="4"/>
                      <w:sz w:val="21"/>
                      <w:szCs w:val="21"/>
                    </w:rPr>
                    <w:t>政策要求；与主体功能</w:t>
                  </w:r>
                  <w:r>
                    <w:rPr>
                      <w:color w:val="auto"/>
                      <w:spacing w:val="3"/>
                      <w:sz w:val="21"/>
                      <w:szCs w:val="21"/>
                    </w:rPr>
                    <w:t>区规划、生态功能区划</w:t>
                  </w:r>
                  <w:r>
                    <w:rPr>
                      <w:color w:val="auto"/>
                      <w:spacing w:val="4"/>
                      <w:sz w:val="21"/>
                      <w:szCs w:val="21"/>
                    </w:rPr>
                    <w:t>等相协调；本项目不涉及岸线调整（治导线变化）、裁弯取直、围垦</w:t>
                  </w:r>
                  <w:r>
                    <w:rPr>
                      <w:color w:val="auto"/>
                      <w:spacing w:val="8"/>
                      <w:sz w:val="21"/>
                      <w:szCs w:val="21"/>
                    </w:rPr>
                    <w:t>水面和占用河湖滩地</w:t>
                  </w:r>
                  <w:r>
                    <w:rPr>
                      <w:color w:val="auto"/>
                      <w:spacing w:val="7"/>
                      <w:sz w:val="21"/>
                      <w:szCs w:val="21"/>
                    </w:rPr>
                    <w:t>等建设内容</w:t>
                  </w:r>
                </w:p>
              </w:tc>
              <w:tc>
                <w:tcPr>
                  <w:tcW w:w="919" w:type="dxa"/>
                  <w:vAlign w:val="center"/>
                </w:tcPr>
                <w:p w14:paraId="72FC8882">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jc w:val="center"/>
                    <w:textAlignment w:val="auto"/>
                    <w:rPr>
                      <w:color w:val="auto"/>
                      <w:sz w:val="21"/>
                      <w:szCs w:val="21"/>
                      <w:vertAlign w:val="baseline"/>
                    </w:rPr>
                  </w:pPr>
                  <w:r>
                    <w:rPr>
                      <w:color w:val="auto"/>
                      <w:spacing w:val="3"/>
                      <w:sz w:val="21"/>
                      <w:szCs w:val="21"/>
                    </w:rPr>
                    <w:t>符合</w:t>
                  </w:r>
                </w:p>
              </w:tc>
            </w:tr>
            <w:tr w14:paraId="64F65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top"/>
                </w:tcPr>
                <w:p w14:paraId="0D54F6F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textAlignment w:val="auto"/>
                    <w:rPr>
                      <w:color w:val="auto"/>
                      <w:sz w:val="21"/>
                      <w:szCs w:val="21"/>
                      <w:vertAlign w:val="baseline"/>
                    </w:rPr>
                  </w:pPr>
                  <w:r>
                    <w:rPr>
                      <w:color w:val="auto"/>
                      <w:spacing w:val="5"/>
                      <w:sz w:val="21"/>
                      <w:szCs w:val="21"/>
                    </w:rPr>
                    <w:t>第三条工程选址选线、施工布置原则上不占用自然保护区、风景名胜区、世界文化和自</w:t>
                  </w:r>
                  <w:r>
                    <w:rPr>
                      <w:color w:val="auto"/>
                      <w:spacing w:val="9"/>
                      <w:sz w:val="21"/>
                      <w:szCs w:val="21"/>
                    </w:rPr>
                    <w:t>然遗产地以及其他生态保护红线等环境敏</w:t>
                  </w:r>
                  <w:r>
                    <w:rPr>
                      <w:color w:val="auto"/>
                      <w:spacing w:val="5"/>
                      <w:sz w:val="21"/>
                      <w:szCs w:val="21"/>
                    </w:rPr>
                    <w:t>感区中法律法规禁止占用的区域，并与饮用</w:t>
                  </w:r>
                  <w:r>
                    <w:rPr>
                      <w:color w:val="auto"/>
                      <w:spacing w:val="9"/>
                      <w:sz w:val="21"/>
                      <w:szCs w:val="21"/>
                    </w:rPr>
                    <w:t>水水源保护区的保护要求相协调。法律法</w:t>
                  </w:r>
                  <w:r>
                    <w:rPr>
                      <w:color w:val="auto"/>
                      <w:spacing w:val="8"/>
                      <w:sz w:val="21"/>
                      <w:szCs w:val="21"/>
                    </w:rPr>
                    <w:t>规、政策另有规定的从其规定。</w:t>
                  </w:r>
                </w:p>
              </w:tc>
              <w:tc>
                <w:tcPr>
                  <w:tcW w:w="2340" w:type="dxa"/>
                  <w:vAlign w:val="center"/>
                </w:tcPr>
                <w:p w14:paraId="7A22680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color w:val="auto"/>
                      <w:sz w:val="21"/>
                      <w:szCs w:val="21"/>
                      <w:vertAlign w:val="baseline"/>
                    </w:rPr>
                  </w:pPr>
                  <w:r>
                    <w:rPr>
                      <w:color w:val="auto"/>
                      <w:spacing w:val="8"/>
                      <w:sz w:val="21"/>
                      <w:szCs w:val="21"/>
                    </w:rPr>
                    <w:t>本项目不占用自然保</w:t>
                  </w:r>
                  <w:r>
                    <w:rPr>
                      <w:color w:val="auto"/>
                      <w:spacing w:val="4"/>
                      <w:sz w:val="21"/>
                      <w:szCs w:val="21"/>
                    </w:rPr>
                    <w:t>护区、风景名胜区、世</w:t>
                  </w:r>
                  <w:r>
                    <w:rPr>
                      <w:color w:val="auto"/>
                      <w:spacing w:val="8"/>
                      <w:sz w:val="21"/>
                      <w:szCs w:val="21"/>
                    </w:rPr>
                    <w:t>界文化和自然遗产地</w:t>
                  </w:r>
                  <w:r>
                    <w:rPr>
                      <w:color w:val="auto"/>
                      <w:spacing w:val="6"/>
                      <w:sz w:val="21"/>
                      <w:szCs w:val="21"/>
                    </w:rPr>
                    <w:t>以及其他生态保护红</w:t>
                  </w:r>
                  <w:r>
                    <w:rPr>
                      <w:color w:val="auto"/>
                      <w:spacing w:val="8"/>
                      <w:sz w:val="21"/>
                      <w:szCs w:val="21"/>
                    </w:rPr>
                    <w:t>线等环境敏感区中法律法规禁止占用的区</w:t>
                  </w:r>
                  <w:r>
                    <w:rPr>
                      <w:color w:val="auto"/>
                      <w:spacing w:val="4"/>
                      <w:sz w:val="21"/>
                      <w:szCs w:val="21"/>
                    </w:rPr>
                    <w:t>域；不涉及饮用水水源</w:t>
                  </w:r>
                  <w:r>
                    <w:rPr>
                      <w:color w:val="auto"/>
                      <w:spacing w:val="6"/>
                      <w:sz w:val="21"/>
                      <w:szCs w:val="21"/>
                    </w:rPr>
                    <w:t>保护区</w:t>
                  </w:r>
                </w:p>
              </w:tc>
              <w:tc>
                <w:tcPr>
                  <w:tcW w:w="919" w:type="dxa"/>
                  <w:vAlign w:val="center"/>
                </w:tcPr>
                <w:p w14:paraId="3872976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z w:val="21"/>
                      <w:szCs w:val="21"/>
                      <w:vertAlign w:val="baseline"/>
                    </w:rPr>
                  </w:pPr>
                  <w:r>
                    <w:rPr>
                      <w:color w:val="auto"/>
                      <w:spacing w:val="3"/>
                      <w:sz w:val="21"/>
                      <w:szCs w:val="21"/>
                    </w:rPr>
                    <w:t>符合</w:t>
                  </w:r>
                </w:p>
              </w:tc>
            </w:tr>
            <w:tr w14:paraId="770C3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top"/>
                </w:tcPr>
                <w:p w14:paraId="70B6ADE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color w:val="auto"/>
                      <w:sz w:val="21"/>
                      <w:szCs w:val="21"/>
                      <w:vertAlign w:val="baseline"/>
                    </w:rPr>
                  </w:pPr>
                  <w:r>
                    <w:rPr>
                      <w:color w:val="auto"/>
                      <w:spacing w:val="9"/>
                      <w:sz w:val="21"/>
                      <w:szCs w:val="21"/>
                    </w:rPr>
                    <w:t>第四条项目实施改变水动力条件或水文过</w:t>
                  </w:r>
                  <w:r>
                    <w:rPr>
                      <w:color w:val="auto"/>
                      <w:spacing w:val="5"/>
                      <w:sz w:val="21"/>
                      <w:szCs w:val="21"/>
                    </w:rPr>
                    <w:t>程且对水质产生不利影响的，提出了工程优化调整、科学调度、实施区域流域水污染防治等措施。对地下水环境产生不利影响或次</w:t>
                  </w:r>
                  <w:r>
                    <w:rPr>
                      <w:color w:val="auto"/>
                      <w:spacing w:val="-2"/>
                      <w:sz w:val="21"/>
                      <w:szCs w:val="21"/>
                    </w:rPr>
                    <w:t>生环境影响的，提出了优化工程设计、导排、</w:t>
                  </w:r>
                  <w:r>
                    <w:rPr>
                      <w:color w:val="auto"/>
                      <w:spacing w:val="8"/>
                      <w:sz w:val="21"/>
                      <w:szCs w:val="21"/>
                    </w:rPr>
                    <w:t>防护等针对性的防治措施。</w:t>
                  </w:r>
                  <w:r>
                    <w:rPr>
                      <w:color w:val="auto"/>
                      <w:spacing w:val="5"/>
                      <w:sz w:val="21"/>
                      <w:szCs w:val="21"/>
                    </w:rPr>
                    <w:t>在采取上述措施后，对水环境的不利影响能够得到缓解和控制，居民用水安全能够得到</w:t>
                  </w:r>
                  <w:r>
                    <w:rPr>
                      <w:color w:val="auto"/>
                      <w:spacing w:val="9"/>
                      <w:sz w:val="21"/>
                      <w:szCs w:val="21"/>
                    </w:rPr>
                    <w:t>保障，相关区域不会出现显著的土壤潜育</w:t>
                  </w:r>
                  <w:r>
                    <w:rPr>
                      <w:color w:val="auto"/>
                      <w:spacing w:val="8"/>
                      <w:sz w:val="21"/>
                      <w:szCs w:val="21"/>
                    </w:rPr>
                    <w:t>化、沼泽化、盐碱化等次生环境问题。</w:t>
                  </w:r>
                </w:p>
              </w:tc>
              <w:tc>
                <w:tcPr>
                  <w:tcW w:w="2340" w:type="dxa"/>
                  <w:vAlign w:val="center"/>
                </w:tcPr>
                <w:p w14:paraId="2EF9958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color w:val="auto"/>
                      <w:sz w:val="21"/>
                      <w:szCs w:val="21"/>
                      <w:vertAlign w:val="baseline"/>
                    </w:rPr>
                  </w:pPr>
                  <w:r>
                    <w:rPr>
                      <w:color w:val="auto"/>
                      <w:spacing w:val="8"/>
                      <w:sz w:val="21"/>
                      <w:szCs w:val="21"/>
                    </w:rPr>
                    <w:t>本项目建设内容为修</w:t>
                  </w:r>
                  <w:r>
                    <w:rPr>
                      <w:color w:val="auto"/>
                      <w:spacing w:val="4"/>
                      <w:sz w:val="21"/>
                      <w:szCs w:val="21"/>
                    </w:rPr>
                    <w:t>筑护岸，对水动力条件</w:t>
                  </w:r>
                  <w:r>
                    <w:rPr>
                      <w:color w:val="auto"/>
                      <w:spacing w:val="8"/>
                      <w:sz w:val="21"/>
                      <w:szCs w:val="21"/>
                    </w:rPr>
                    <w:t>和水文过程以及水质</w:t>
                  </w:r>
                  <w:r>
                    <w:rPr>
                      <w:color w:val="auto"/>
                      <w:spacing w:val="7"/>
                      <w:sz w:val="21"/>
                      <w:szCs w:val="21"/>
                    </w:rPr>
                    <w:t>影响较小</w:t>
                  </w:r>
                </w:p>
              </w:tc>
              <w:tc>
                <w:tcPr>
                  <w:tcW w:w="919" w:type="dxa"/>
                  <w:vAlign w:val="center"/>
                </w:tcPr>
                <w:p w14:paraId="11D6C4B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z w:val="21"/>
                      <w:szCs w:val="21"/>
                      <w:vertAlign w:val="baseline"/>
                    </w:rPr>
                  </w:pPr>
                  <w:r>
                    <w:rPr>
                      <w:color w:val="auto"/>
                      <w:spacing w:val="3"/>
                      <w:sz w:val="21"/>
                      <w:szCs w:val="21"/>
                    </w:rPr>
                    <w:t>符合</w:t>
                  </w:r>
                </w:p>
              </w:tc>
            </w:tr>
            <w:tr w14:paraId="0301B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top"/>
                </w:tcPr>
                <w:p w14:paraId="6CADA83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textAlignment w:val="auto"/>
                    <w:rPr>
                      <w:color w:val="auto"/>
                      <w:sz w:val="21"/>
                      <w:szCs w:val="21"/>
                      <w:vertAlign w:val="baseline"/>
                    </w:rPr>
                  </w:pPr>
                  <w:r>
                    <w:rPr>
                      <w:color w:val="auto"/>
                      <w:spacing w:val="9"/>
                      <w:sz w:val="21"/>
                      <w:szCs w:val="21"/>
                    </w:rPr>
                    <w:t>第五条项目对鱼类等水生生物的洄游通道</w:t>
                  </w:r>
                  <w:r>
                    <w:rPr>
                      <w:color w:val="auto"/>
                      <w:spacing w:val="3"/>
                      <w:sz w:val="21"/>
                      <w:szCs w:val="21"/>
                    </w:rPr>
                    <w:t>及“三场</w:t>
                  </w:r>
                  <w:r>
                    <w:rPr>
                      <w:color w:val="auto"/>
                      <w:spacing w:val="-61"/>
                      <w:sz w:val="21"/>
                      <w:szCs w:val="21"/>
                    </w:rPr>
                    <w:t xml:space="preserve"> </w:t>
                  </w:r>
                  <w:r>
                    <w:rPr>
                      <w:color w:val="auto"/>
                      <w:spacing w:val="3"/>
                      <w:sz w:val="21"/>
                      <w:szCs w:val="21"/>
                    </w:rPr>
                    <w:t>”等重要生境、物种多样性及资源</w:t>
                  </w:r>
                  <w:r>
                    <w:rPr>
                      <w:color w:val="auto"/>
                      <w:spacing w:val="9"/>
                      <w:sz w:val="21"/>
                      <w:szCs w:val="21"/>
                    </w:rPr>
                    <w:t>量等产生不利影响的，提出了下泄生态流</w:t>
                  </w:r>
                  <w:r>
                    <w:rPr>
                      <w:color w:val="auto"/>
                      <w:spacing w:val="5"/>
                      <w:sz w:val="21"/>
                      <w:szCs w:val="21"/>
                    </w:rPr>
                    <w:t>量、恢复鱼类洄游通道、采用生态友好型护</w:t>
                  </w:r>
                  <w:r>
                    <w:rPr>
                      <w:color w:val="auto"/>
                      <w:spacing w:val="-2"/>
                      <w:sz w:val="21"/>
                      <w:szCs w:val="21"/>
                    </w:rPr>
                    <w:t>岸（坡、底）、生态修复、增殖放流等措施。</w:t>
                  </w:r>
                  <w:r>
                    <w:rPr>
                      <w:color w:val="auto"/>
                      <w:spacing w:val="5"/>
                      <w:sz w:val="21"/>
                      <w:szCs w:val="21"/>
                    </w:rPr>
                    <w:t>在采取上述措施后，对水生生物的不利影响能够得到缓解和控制，不会造成原有珍稀濒危保护、区域特有或重要经济水生生物在相关河段消失，不会对相关河段水生生态系统</w:t>
                  </w:r>
                  <w:r>
                    <w:rPr>
                      <w:color w:val="auto"/>
                      <w:spacing w:val="7"/>
                      <w:sz w:val="21"/>
                      <w:szCs w:val="21"/>
                    </w:rPr>
                    <w:t>造成重大不利影响。</w:t>
                  </w:r>
                </w:p>
              </w:tc>
              <w:tc>
                <w:tcPr>
                  <w:tcW w:w="2340" w:type="dxa"/>
                  <w:vAlign w:val="center"/>
                </w:tcPr>
                <w:p w14:paraId="5ACA6F2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color w:val="auto"/>
                      <w:sz w:val="21"/>
                      <w:szCs w:val="21"/>
                      <w:vertAlign w:val="baseline"/>
                    </w:rPr>
                  </w:pPr>
                  <w:r>
                    <w:rPr>
                      <w:color w:val="auto"/>
                      <w:spacing w:val="8"/>
                      <w:sz w:val="21"/>
                      <w:szCs w:val="21"/>
                    </w:rPr>
                    <w:t>本项目区域不涉及鱼类等水生生物的洄游</w:t>
                  </w:r>
                  <w:r>
                    <w:rPr>
                      <w:color w:val="auto"/>
                      <w:spacing w:val="1"/>
                      <w:sz w:val="21"/>
                      <w:szCs w:val="21"/>
                    </w:rPr>
                    <w:t>通道及“三场</w:t>
                  </w:r>
                  <w:r>
                    <w:rPr>
                      <w:color w:val="auto"/>
                      <w:spacing w:val="-63"/>
                      <w:sz w:val="21"/>
                      <w:szCs w:val="21"/>
                    </w:rPr>
                    <w:t xml:space="preserve"> </w:t>
                  </w:r>
                  <w:r>
                    <w:rPr>
                      <w:color w:val="auto"/>
                      <w:spacing w:val="1"/>
                      <w:sz w:val="21"/>
                      <w:szCs w:val="21"/>
                    </w:rPr>
                    <w:t>”等重要</w:t>
                  </w:r>
                  <w:r>
                    <w:rPr>
                      <w:color w:val="auto"/>
                      <w:spacing w:val="3"/>
                      <w:sz w:val="21"/>
                      <w:szCs w:val="21"/>
                    </w:rPr>
                    <w:t>生境</w:t>
                  </w:r>
                </w:p>
              </w:tc>
              <w:tc>
                <w:tcPr>
                  <w:tcW w:w="919" w:type="dxa"/>
                  <w:vAlign w:val="center"/>
                </w:tcPr>
                <w:p w14:paraId="4DE1A4F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z w:val="21"/>
                      <w:szCs w:val="21"/>
                      <w:vertAlign w:val="baseline"/>
                    </w:rPr>
                  </w:pPr>
                  <w:r>
                    <w:rPr>
                      <w:color w:val="auto"/>
                      <w:spacing w:val="3"/>
                      <w:sz w:val="21"/>
                      <w:szCs w:val="21"/>
                    </w:rPr>
                    <w:t>符合</w:t>
                  </w:r>
                </w:p>
              </w:tc>
            </w:tr>
            <w:tr w14:paraId="52953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top"/>
                </w:tcPr>
                <w:p w14:paraId="13D36A6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textAlignment w:val="auto"/>
                    <w:rPr>
                      <w:color w:val="auto"/>
                      <w:spacing w:val="9"/>
                      <w:sz w:val="21"/>
                      <w:szCs w:val="21"/>
                    </w:rPr>
                  </w:pPr>
                  <w:r>
                    <w:rPr>
                      <w:color w:val="auto"/>
                      <w:spacing w:val="5"/>
                      <w:sz w:val="21"/>
                      <w:szCs w:val="21"/>
                    </w:rPr>
                    <w:t>第六条项目对湿地生态系统结构和功能、河湖生态缓冲带造成不利影响的，提出了优化</w:t>
                  </w:r>
                  <w:r>
                    <w:rPr>
                      <w:color w:val="auto"/>
                      <w:spacing w:val="9"/>
                      <w:sz w:val="21"/>
                      <w:szCs w:val="21"/>
                    </w:rPr>
                    <w:t>工程设计及调度运行方案、生态修复等措</w:t>
                  </w:r>
                  <w:r>
                    <w:rPr>
                      <w:color w:val="auto"/>
                      <w:spacing w:val="7"/>
                      <w:sz w:val="21"/>
                      <w:szCs w:val="21"/>
                    </w:rPr>
                    <w:t>施。对珍稀濒危保护植物造成不利影响的，</w:t>
                  </w:r>
                  <w:r>
                    <w:rPr>
                      <w:color w:val="auto"/>
                      <w:spacing w:val="5"/>
                      <w:sz w:val="21"/>
                      <w:szCs w:val="21"/>
                    </w:rPr>
                    <w:t>提出了避让、原位防护、移栽等措施。对陆</w:t>
                  </w:r>
                  <w:r>
                    <w:rPr>
                      <w:color w:val="auto"/>
                      <w:spacing w:val="9"/>
                      <w:sz w:val="21"/>
                      <w:szCs w:val="21"/>
                    </w:rPr>
                    <w:t>生珍稀濒危保护动物及其生境造成不利影</w:t>
                  </w:r>
                  <w:r>
                    <w:rPr>
                      <w:color w:val="auto"/>
                      <w:spacing w:val="7"/>
                      <w:sz w:val="21"/>
                      <w:szCs w:val="21"/>
                    </w:rPr>
                    <w:t>响的，提出了避让、救护、迁徙廊道构建、生境再造等措施。对景观产生不利影响的，提出了避让、优化设计、景观塑造等措施。</w:t>
                  </w:r>
                  <w:r>
                    <w:rPr>
                      <w:color w:val="auto"/>
                      <w:spacing w:val="5"/>
                      <w:sz w:val="21"/>
                      <w:szCs w:val="21"/>
                    </w:rPr>
                    <w:t>在采取上述措施后，对湿地以及陆生动植物的不利影响能够得到缓解和控制，与区域景观相协调，不会造成原有珍稀濒危保护动植物在相关区域消失，不会对陆生生态系统造</w:t>
                  </w:r>
                  <w:r>
                    <w:rPr>
                      <w:color w:val="auto"/>
                      <w:spacing w:val="7"/>
                      <w:sz w:val="21"/>
                      <w:szCs w:val="21"/>
                    </w:rPr>
                    <w:t>成重大不利影响。</w:t>
                  </w:r>
                </w:p>
              </w:tc>
              <w:tc>
                <w:tcPr>
                  <w:tcW w:w="2340" w:type="dxa"/>
                  <w:vAlign w:val="center"/>
                </w:tcPr>
                <w:p w14:paraId="070E535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pacing w:val="3"/>
                      <w:sz w:val="21"/>
                      <w:szCs w:val="21"/>
                    </w:rPr>
                  </w:pPr>
                  <w:r>
                    <w:rPr>
                      <w:color w:val="auto"/>
                      <w:spacing w:val="8"/>
                      <w:sz w:val="21"/>
                      <w:szCs w:val="21"/>
                    </w:rPr>
                    <w:t>本项目建设对湿地生</w:t>
                  </w:r>
                  <w:r>
                    <w:rPr>
                      <w:color w:val="auto"/>
                      <w:spacing w:val="4"/>
                      <w:sz w:val="21"/>
                      <w:szCs w:val="21"/>
                    </w:rPr>
                    <w:t>态系统结构和功能、河</w:t>
                  </w:r>
                  <w:r>
                    <w:rPr>
                      <w:color w:val="auto"/>
                      <w:spacing w:val="9"/>
                      <w:sz w:val="21"/>
                      <w:szCs w:val="21"/>
                    </w:rPr>
                    <w:t>湖生态缓冲带影响较</w:t>
                  </w:r>
                  <w:r>
                    <w:rPr>
                      <w:color w:val="auto"/>
                      <w:sz w:val="21"/>
                      <w:szCs w:val="21"/>
                    </w:rPr>
                    <w:t>小</w:t>
                  </w:r>
                </w:p>
              </w:tc>
              <w:tc>
                <w:tcPr>
                  <w:tcW w:w="919" w:type="dxa"/>
                  <w:vAlign w:val="center"/>
                </w:tcPr>
                <w:p w14:paraId="1B1AFC4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3"/>
                      <w:sz w:val="21"/>
                      <w:szCs w:val="21"/>
                    </w:rPr>
                  </w:pPr>
                  <w:r>
                    <w:rPr>
                      <w:color w:val="auto"/>
                      <w:spacing w:val="3"/>
                      <w:sz w:val="21"/>
                      <w:szCs w:val="21"/>
                    </w:rPr>
                    <w:t>符合</w:t>
                  </w:r>
                </w:p>
              </w:tc>
            </w:tr>
            <w:tr w14:paraId="79AB8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top"/>
                </w:tcPr>
                <w:p w14:paraId="6591B74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1"/>
                    <w:textAlignment w:val="auto"/>
                    <w:rPr>
                      <w:color w:val="auto"/>
                      <w:sz w:val="21"/>
                      <w:szCs w:val="21"/>
                    </w:rPr>
                  </w:pPr>
                  <w:r>
                    <w:rPr>
                      <w:color w:val="auto"/>
                      <w:spacing w:val="8"/>
                      <w:sz w:val="21"/>
                      <w:szCs w:val="21"/>
                    </w:rPr>
                    <w:t>第七条项目施工组织方案具有环境合理性，</w:t>
                  </w:r>
                  <w:r>
                    <w:rPr>
                      <w:color w:val="auto"/>
                      <w:spacing w:val="5"/>
                      <w:sz w:val="21"/>
                      <w:szCs w:val="21"/>
                    </w:rPr>
                    <w:t>对料场、弃土（渣）场等施工场地提出了水土流失防治和生态修复等措施。根据环境保</w:t>
                  </w:r>
                  <w:r>
                    <w:rPr>
                      <w:color w:val="auto"/>
                      <w:spacing w:val="8"/>
                      <w:sz w:val="21"/>
                      <w:szCs w:val="21"/>
                    </w:rPr>
                    <w:t>护相关标准和要求，对施工期各类废（污）</w:t>
                  </w:r>
                  <w:r>
                    <w:rPr>
                      <w:color w:val="auto"/>
                      <w:spacing w:val="5"/>
                      <w:sz w:val="21"/>
                      <w:szCs w:val="21"/>
                    </w:rPr>
                    <w:t>水、扬尘、废气、噪声、固体废物等提出了防治或处置措施。其中，涉水施工涉及饮用</w:t>
                  </w:r>
                  <w:r>
                    <w:rPr>
                      <w:color w:val="auto"/>
                      <w:spacing w:val="9"/>
                      <w:sz w:val="21"/>
                      <w:szCs w:val="21"/>
                    </w:rPr>
                    <w:t>水水源保护区或取水口并可能对水质造成</w:t>
                  </w:r>
                  <w:r>
                    <w:rPr>
                      <w:color w:val="auto"/>
                      <w:spacing w:val="8"/>
                      <w:sz w:val="21"/>
                      <w:szCs w:val="21"/>
                    </w:rPr>
                    <w:t>不利影响的，提出了避让、施工方案优化、</w:t>
                  </w:r>
                  <w:r>
                    <w:rPr>
                      <w:color w:val="auto"/>
                      <w:spacing w:val="5"/>
                      <w:sz w:val="21"/>
                      <w:szCs w:val="21"/>
                    </w:rPr>
                    <w:t>污染物控制等措施；涉水施工对鱼类等水生生物及其重要生境造成不利影响的，提出了</w:t>
                  </w:r>
                  <w:r>
                    <w:rPr>
                      <w:color w:val="auto"/>
                      <w:spacing w:val="-2"/>
                      <w:sz w:val="21"/>
                      <w:szCs w:val="21"/>
                    </w:rPr>
                    <w:t>避让、施工方案优化、控制施工噪声等措施；</w:t>
                  </w:r>
                  <w:r>
                    <w:rPr>
                      <w:color w:val="auto"/>
                      <w:spacing w:val="5"/>
                      <w:sz w:val="21"/>
                      <w:szCs w:val="21"/>
                    </w:rPr>
                    <w:t>针对清淤、疏浚等产生的淤泥，提出了符合</w:t>
                  </w:r>
                  <w:r>
                    <w:rPr>
                      <w:color w:val="auto"/>
                      <w:spacing w:val="8"/>
                      <w:sz w:val="21"/>
                      <w:szCs w:val="21"/>
                    </w:rPr>
                    <w:t>相关规定的处置或综合利用方案。</w:t>
                  </w:r>
                </w:p>
                <w:p w14:paraId="5C25E14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hanging="1" w:firstLineChars="0"/>
                    <w:textAlignment w:val="auto"/>
                    <w:rPr>
                      <w:color w:val="auto"/>
                      <w:spacing w:val="9"/>
                      <w:sz w:val="21"/>
                      <w:szCs w:val="21"/>
                    </w:rPr>
                  </w:pPr>
                  <w:r>
                    <w:rPr>
                      <w:color w:val="auto"/>
                      <w:spacing w:val="5"/>
                      <w:sz w:val="21"/>
                      <w:szCs w:val="21"/>
                    </w:rPr>
                    <w:t>在采取上述措施后，施工期的不利环境影响能够得到缓解和控制，不会对周围环境和敏</w:t>
                  </w:r>
                  <w:r>
                    <w:rPr>
                      <w:color w:val="auto"/>
                      <w:spacing w:val="8"/>
                      <w:sz w:val="21"/>
                      <w:szCs w:val="21"/>
                    </w:rPr>
                    <w:t>感保护目标造成重大不利影响。</w:t>
                  </w:r>
                </w:p>
              </w:tc>
              <w:tc>
                <w:tcPr>
                  <w:tcW w:w="2340" w:type="dxa"/>
                  <w:vAlign w:val="center"/>
                </w:tcPr>
                <w:p w14:paraId="6D182CF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85" w:firstLineChars="0"/>
                    <w:jc w:val="both"/>
                    <w:textAlignment w:val="auto"/>
                    <w:rPr>
                      <w:color w:val="auto"/>
                      <w:spacing w:val="3"/>
                      <w:sz w:val="21"/>
                      <w:szCs w:val="21"/>
                    </w:rPr>
                  </w:pPr>
                  <w:r>
                    <w:rPr>
                      <w:color w:val="auto"/>
                      <w:spacing w:val="8"/>
                      <w:sz w:val="21"/>
                      <w:szCs w:val="21"/>
                    </w:rPr>
                    <w:t>本工程对施工期各类</w:t>
                  </w:r>
                  <w:r>
                    <w:rPr>
                      <w:color w:val="auto"/>
                      <w:spacing w:val="4"/>
                      <w:sz w:val="21"/>
                      <w:szCs w:val="21"/>
                    </w:rPr>
                    <w:t>废（污）水、扬尘、废气、噪声、固体废物等</w:t>
                  </w:r>
                  <w:r>
                    <w:rPr>
                      <w:color w:val="auto"/>
                      <w:spacing w:val="18"/>
                      <w:sz w:val="21"/>
                      <w:szCs w:val="21"/>
                    </w:rPr>
                    <w:t>均提出了防治或处置</w:t>
                  </w:r>
                  <w:r>
                    <w:rPr>
                      <w:color w:val="auto"/>
                      <w:spacing w:val="4"/>
                      <w:sz w:val="21"/>
                      <w:szCs w:val="21"/>
                    </w:rPr>
                    <w:t>措施。工程施工不涉及</w:t>
                  </w:r>
                  <w:r>
                    <w:rPr>
                      <w:color w:val="auto"/>
                      <w:spacing w:val="18"/>
                      <w:sz w:val="21"/>
                      <w:szCs w:val="21"/>
                    </w:rPr>
                    <w:t>饮用水水源保护区或</w:t>
                  </w:r>
                  <w:r>
                    <w:rPr>
                      <w:color w:val="auto"/>
                      <w:spacing w:val="4"/>
                      <w:sz w:val="21"/>
                      <w:szCs w:val="21"/>
                    </w:rPr>
                    <w:t>取水口；对水生生物及</w:t>
                  </w:r>
                  <w:r>
                    <w:rPr>
                      <w:color w:val="auto"/>
                      <w:spacing w:val="18"/>
                      <w:sz w:val="21"/>
                      <w:szCs w:val="21"/>
                    </w:rPr>
                    <w:t>其重要生境影响较小</w:t>
                  </w:r>
                </w:p>
              </w:tc>
              <w:tc>
                <w:tcPr>
                  <w:tcW w:w="919" w:type="dxa"/>
                  <w:vAlign w:val="center"/>
                </w:tcPr>
                <w:p w14:paraId="3296E62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3"/>
                      <w:sz w:val="21"/>
                      <w:szCs w:val="21"/>
                    </w:rPr>
                  </w:pPr>
                  <w:r>
                    <w:rPr>
                      <w:color w:val="auto"/>
                      <w:spacing w:val="3"/>
                      <w:sz w:val="21"/>
                      <w:szCs w:val="21"/>
                    </w:rPr>
                    <w:t>符合</w:t>
                  </w:r>
                </w:p>
              </w:tc>
            </w:tr>
            <w:tr w14:paraId="3EF26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top"/>
                </w:tcPr>
                <w:p w14:paraId="3F0C602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color w:val="auto"/>
                      <w:sz w:val="21"/>
                      <w:szCs w:val="21"/>
                    </w:rPr>
                  </w:pPr>
                  <w:r>
                    <w:rPr>
                      <w:color w:val="auto"/>
                      <w:spacing w:val="9"/>
                      <w:sz w:val="21"/>
                      <w:szCs w:val="21"/>
                    </w:rPr>
                    <w:t>第八条项目移民安置的选址和建设方式具</w:t>
                  </w:r>
                  <w:r>
                    <w:rPr>
                      <w:color w:val="auto"/>
                      <w:spacing w:val="-2"/>
                      <w:sz w:val="21"/>
                      <w:szCs w:val="21"/>
                    </w:rPr>
                    <w:t>有环境合理性，提出了生态保护、污水处理、</w:t>
                  </w:r>
                  <w:r>
                    <w:rPr>
                      <w:color w:val="auto"/>
                      <w:spacing w:val="7"/>
                      <w:sz w:val="21"/>
                      <w:szCs w:val="21"/>
                    </w:rPr>
                    <w:t>固体废物处置等措施。</w:t>
                  </w:r>
                </w:p>
                <w:p w14:paraId="4A85050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hanging="3" w:firstLineChars="0"/>
                    <w:textAlignment w:val="auto"/>
                    <w:rPr>
                      <w:color w:val="auto"/>
                      <w:spacing w:val="9"/>
                      <w:sz w:val="21"/>
                      <w:szCs w:val="21"/>
                    </w:rPr>
                  </w:pPr>
                  <w:r>
                    <w:rPr>
                      <w:color w:val="auto"/>
                      <w:spacing w:val="5"/>
                      <w:sz w:val="21"/>
                      <w:szCs w:val="21"/>
                    </w:rPr>
                    <w:t>针对蓄滞洪区的环境污染、新增占地涉及污</w:t>
                  </w:r>
                  <w:r>
                    <w:rPr>
                      <w:color w:val="auto"/>
                      <w:spacing w:val="8"/>
                      <w:sz w:val="21"/>
                      <w:szCs w:val="21"/>
                    </w:rPr>
                    <w:t>染场地等，提出了环境管理对策建议。</w:t>
                  </w:r>
                </w:p>
              </w:tc>
              <w:tc>
                <w:tcPr>
                  <w:tcW w:w="2340" w:type="dxa"/>
                  <w:vAlign w:val="center"/>
                </w:tcPr>
                <w:p w14:paraId="57D69EA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3"/>
                      <w:sz w:val="21"/>
                      <w:szCs w:val="21"/>
                    </w:rPr>
                  </w:pPr>
                  <w:r>
                    <w:rPr>
                      <w:color w:val="auto"/>
                      <w:spacing w:val="8"/>
                      <w:sz w:val="21"/>
                      <w:szCs w:val="21"/>
                    </w:rPr>
                    <w:t>本项目不涉及</w:t>
                  </w:r>
                </w:p>
              </w:tc>
              <w:tc>
                <w:tcPr>
                  <w:tcW w:w="919" w:type="dxa"/>
                  <w:vAlign w:val="center"/>
                </w:tcPr>
                <w:p w14:paraId="35DE9AE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3"/>
                      <w:sz w:val="21"/>
                      <w:szCs w:val="21"/>
                    </w:rPr>
                  </w:pPr>
                  <w:r>
                    <w:rPr>
                      <w:color w:val="auto"/>
                      <w:spacing w:val="3"/>
                      <w:sz w:val="21"/>
                      <w:szCs w:val="21"/>
                    </w:rPr>
                    <w:t>符合</w:t>
                  </w:r>
                </w:p>
              </w:tc>
            </w:tr>
            <w:tr w14:paraId="53D96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top"/>
                </w:tcPr>
                <w:p w14:paraId="01D51A1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rPr>
                      <w:color w:val="auto"/>
                      <w:spacing w:val="9"/>
                      <w:sz w:val="21"/>
                      <w:szCs w:val="21"/>
                    </w:rPr>
                  </w:pPr>
                  <w:r>
                    <w:rPr>
                      <w:color w:val="auto"/>
                      <w:spacing w:val="5"/>
                      <w:sz w:val="21"/>
                      <w:szCs w:val="21"/>
                    </w:rPr>
                    <w:t>第九条项目存在河湖水质污染、富营养化或外来物种入侵等环境风险的，提出了针对性的风险防范措施以及环境应急预案编制、建</w:t>
                  </w:r>
                  <w:r>
                    <w:rPr>
                      <w:color w:val="auto"/>
                      <w:spacing w:val="8"/>
                      <w:sz w:val="21"/>
                      <w:szCs w:val="21"/>
                    </w:rPr>
                    <w:t>立必要的应急联动机制等要求。</w:t>
                  </w:r>
                </w:p>
              </w:tc>
              <w:tc>
                <w:tcPr>
                  <w:tcW w:w="2340" w:type="dxa"/>
                  <w:vAlign w:val="center"/>
                </w:tcPr>
                <w:p w14:paraId="09E52A1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3"/>
                      <w:sz w:val="21"/>
                      <w:szCs w:val="21"/>
                    </w:rPr>
                  </w:pPr>
                  <w:r>
                    <w:rPr>
                      <w:color w:val="auto"/>
                      <w:spacing w:val="8"/>
                      <w:sz w:val="21"/>
                      <w:szCs w:val="21"/>
                    </w:rPr>
                    <w:t>本项目不涉及</w:t>
                  </w:r>
                </w:p>
              </w:tc>
              <w:tc>
                <w:tcPr>
                  <w:tcW w:w="919" w:type="dxa"/>
                  <w:vAlign w:val="center"/>
                </w:tcPr>
                <w:p w14:paraId="324E6EF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3"/>
                      <w:sz w:val="21"/>
                      <w:szCs w:val="21"/>
                    </w:rPr>
                  </w:pPr>
                  <w:r>
                    <w:rPr>
                      <w:color w:val="auto"/>
                      <w:spacing w:val="3"/>
                      <w:sz w:val="21"/>
                      <w:szCs w:val="21"/>
                    </w:rPr>
                    <w:t>符合</w:t>
                  </w:r>
                </w:p>
              </w:tc>
            </w:tr>
            <w:tr w14:paraId="6E034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top"/>
                </w:tcPr>
                <w:p w14:paraId="5F4AD8D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hanging="3" w:firstLineChars="0"/>
                    <w:jc w:val="both"/>
                    <w:textAlignment w:val="auto"/>
                    <w:rPr>
                      <w:color w:val="auto"/>
                      <w:spacing w:val="9"/>
                      <w:sz w:val="21"/>
                      <w:szCs w:val="21"/>
                    </w:rPr>
                  </w:pPr>
                  <w:r>
                    <w:rPr>
                      <w:color w:val="auto"/>
                      <w:spacing w:val="5"/>
                      <w:sz w:val="21"/>
                      <w:szCs w:val="21"/>
                    </w:rPr>
                    <w:t>第十条改、扩建项目在全面梳理了与项目有</w:t>
                  </w:r>
                  <w:r>
                    <w:rPr>
                      <w:color w:val="auto"/>
                      <w:spacing w:val="4"/>
                      <w:sz w:val="21"/>
                      <w:szCs w:val="21"/>
                    </w:rPr>
                    <w:t>关的现有工程环境问题基础上，提出了与项</w:t>
                  </w:r>
                  <w:r>
                    <w:rPr>
                      <w:color w:val="auto"/>
                      <w:spacing w:val="3"/>
                      <w:sz w:val="21"/>
                      <w:szCs w:val="21"/>
                    </w:rPr>
                    <w:t>目相适应的“</w:t>
                  </w:r>
                  <w:r>
                    <w:rPr>
                      <w:color w:val="auto"/>
                      <w:spacing w:val="-58"/>
                      <w:sz w:val="21"/>
                      <w:szCs w:val="21"/>
                    </w:rPr>
                    <w:t xml:space="preserve"> </w:t>
                  </w:r>
                  <w:r>
                    <w:rPr>
                      <w:color w:val="auto"/>
                      <w:spacing w:val="3"/>
                      <w:sz w:val="21"/>
                      <w:szCs w:val="21"/>
                    </w:rPr>
                    <w:t>以新带老</w:t>
                  </w:r>
                  <w:r>
                    <w:rPr>
                      <w:color w:val="auto"/>
                      <w:spacing w:val="-70"/>
                      <w:sz w:val="21"/>
                      <w:szCs w:val="21"/>
                    </w:rPr>
                    <w:t xml:space="preserve"> </w:t>
                  </w:r>
                  <w:r>
                    <w:rPr>
                      <w:color w:val="auto"/>
                      <w:spacing w:val="3"/>
                      <w:sz w:val="21"/>
                      <w:szCs w:val="21"/>
                    </w:rPr>
                    <w:t>”措施。</w:t>
                  </w:r>
                </w:p>
              </w:tc>
              <w:tc>
                <w:tcPr>
                  <w:tcW w:w="2340" w:type="dxa"/>
                  <w:vAlign w:val="center"/>
                </w:tcPr>
                <w:p w14:paraId="3C98AD9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3"/>
                      <w:sz w:val="21"/>
                      <w:szCs w:val="21"/>
                    </w:rPr>
                  </w:pPr>
                  <w:r>
                    <w:rPr>
                      <w:color w:val="auto"/>
                      <w:spacing w:val="8"/>
                      <w:sz w:val="21"/>
                      <w:szCs w:val="21"/>
                      <w:lang w:val="en-US" w:eastAsia="en-US"/>
                    </w:rPr>
                    <w:t>本项目为</w:t>
                  </w:r>
                  <w:r>
                    <w:rPr>
                      <w:rFonts w:hint="eastAsia"/>
                      <w:color w:val="auto"/>
                      <w:spacing w:val="8"/>
                      <w:sz w:val="21"/>
                      <w:szCs w:val="21"/>
                      <w:lang w:val="en-US" w:eastAsia="zh-CN"/>
                    </w:rPr>
                    <w:t>新建护坡，改建1座交通桥</w:t>
                  </w:r>
                  <w:r>
                    <w:rPr>
                      <w:color w:val="auto"/>
                      <w:spacing w:val="8"/>
                      <w:sz w:val="21"/>
                      <w:szCs w:val="21"/>
                      <w:lang w:val="en-US" w:eastAsia="en-US"/>
                    </w:rPr>
                    <w:t>项目</w:t>
                  </w:r>
                </w:p>
              </w:tc>
              <w:tc>
                <w:tcPr>
                  <w:tcW w:w="919" w:type="dxa"/>
                  <w:vAlign w:val="center"/>
                </w:tcPr>
                <w:p w14:paraId="3C1E2B5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3"/>
                      <w:sz w:val="21"/>
                      <w:szCs w:val="21"/>
                    </w:rPr>
                  </w:pPr>
                  <w:r>
                    <w:rPr>
                      <w:color w:val="auto"/>
                      <w:spacing w:val="3"/>
                      <w:sz w:val="21"/>
                      <w:szCs w:val="21"/>
                    </w:rPr>
                    <w:t>符合</w:t>
                  </w:r>
                </w:p>
              </w:tc>
            </w:tr>
            <w:tr w14:paraId="03A73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top"/>
                </w:tcPr>
                <w:p w14:paraId="26347AB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textAlignment w:val="auto"/>
                    <w:rPr>
                      <w:color w:val="auto"/>
                      <w:spacing w:val="9"/>
                      <w:sz w:val="21"/>
                      <w:szCs w:val="21"/>
                    </w:rPr>
                  </w:pPr>
                  <w:r>
                    <w:rPr>
                      <w:color w:val="auto"/>
                      <w:spacing w:val="5"/>
                      <w:sz w:val="21"/>
                      <w:szCs w:val="21"/>
                    </w:rPr>
                    <w:t>第十一条按相关导则及规定要求，制定了水环境、生态等环境监测计划，明确了监测网点、因子、频次等有关要求，提出了开展环</w:t>
                  </w:r>
                  <w:r>
                    <w:rPr>
                      <w:color w:val="auto"/>
                      <w:spacing w:val="9"/>
                      <w:sz w:val="21"/>
                      <w:szCs w:val="21"/>
                    </w:rPr>
                    <w:t>境影响后评价及根据监测评估结果优化环</w:t>
                  </w:r>
                  <w:r>
                    <w:rPr>
                      <w:color w:val="auto"/>
                      <w:spacing w:val="7"/>
                      <w:sz w:val="21"/>
                      <w:szCs w:val="21"/>
                    </w:rPr>
                    <w:t>境保护措施的要求。根据需要和相关规定，提出了环境保护设计、开展相关科学研究、环境管理等要求。</w:t>
                  </w:r>
                </w:p>
              </w:tc>
              <w:tc>
                <w:tcPr>
                  <w:tcW w:w="2340" w:type="dxa"/>
                  <w:vAlign w:val="center"/>
                </w:tcPr>
                <w:p w14:paraId="1B34A7B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pacing w:val="3"/>
                      <w:sz w:val="21"/>
                      <w:szCs w:val="21"/>
                    </w:rPr>
                  </w:pPr>
                  <w:r>
                    <w:rPr>
                      <w:color w:val="auto"/>
                      <w:spacing w:val="4"/>
                      <w:sz w:val="21"/>
                      <w:szCs w:val="21"/>
                    </w:rPr>
                    <w:t>本项目对施工期、运营期水环境、生态环境设</w:t>
                  </w:r>
                  <w:r>
                    <w:rPr>
                      <w:color w:val="auto"/>
                      <w:spacing w:val="5"/>
                      <w:sz w:val="21"/>
                      <w:szCs w:val="21"/>
                    </w:rPr>
                    <w:t>置了监测计划，明确了</w:t>
                  </w:r>
                  <w:r>
                    <w:rPr>
                      <w:color w:val="auto"/>
                      <w:spacing w:val="6"/>
                      <w:sz w:val="21"/>
                      <w:szCs w:val="21"/>
                    </w:rPr>
                    <w:t>因子、频次等要求</w:t>
                  </w:r>
                </w:p>
              </w:tc>
              <w:tc>
                <w:tcPr>
                  <w:tcW w:w="919" w:type="dxa"/>
                  <w:vAlign w:val="center"/>
                </w:tcPr>
                <w:p w14:paraId="13D6F0C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3"/>
                      <w:sz w:val="21"/>
                      <w:szCs w:val="21"/>
                    </w:rPr>
                  </w:pPr>
                  <w:r>
                    <w:rPr>
                      <w:color w:val="auto"/>
                      <w:spacing w:val="3"/>
                      <w:sz w:val="21"/>
                      <w:szCs w:val="21"/>
                    </w:rPr>
                    <w:t>符合</w:t>
                  </w:r>
                </w:p>
              </w:tc>
            </w:tr>
            <w:tr w14:paraId="4E723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top"/>
                </w:tcPr>
                <w:p w14:paraId="5599AAC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hanging="1" w:firstLineChars="0"/>
                    <w:jc w:val="both"/>
                    <w:textAlignment w:val="auto"/>
                    <w:rPr>
                      <w:color w:val="auto"/>
                      <w:spacing w:val="5"/>
                      <w:sz w:val="21"/>
                      <w:szCs w:val="21"/>
                    </w:rPr>
                  </w:pPr>
                  <w:r>
                    <w:rPr>
                      <w:color w:val="auto"/>
                      <w:spacing w:val="7"/>
                      <w:sz w:val="21"/>
                      <w:szCs w:val="21"/>
                    </w:rPr>
                    <w:t>第十二条对环境保护措施进行了深入论证，建设单位主体责任、投资估算、时间节点、预期效果明确，确保科学有效、安全可行、</w:t>
                  </w:r>
                  <w:r>
                    <w:rPr>
                      <w:color w:val="auto"/>
                      <w:spacing w:val="5"/>
                      <w:sz w:val="21"/>
                      <w:szCs w:val="21"/>
                    </w:rPr>
                    <w:t>绿色协调。</w:t>
                  </w:r>
                </w:p>
              </w:tc>
              <w:tc>
                <w:tcPr>
                  <w:tcW w:w="2340" w:type="dxa"/>
                  <w:vAlign w:val="center"/>
                </w:tcPr>
                <w:p w14:paraId="1748541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hanging="101" w:firstLineChars="0"/>
                    <w:jc w:val="center"/>
                    <w:textAlignment w:val="auto"/>
                    <w:rPr>
                      <w:color w:val="auto"/>
                      <w:spacing w:val="6"/>
                      <w:sz w:val="21"/>
                      <w:szCs w:val="21"/>
                    </w:rPr>
                  </w:pPr>
                  <w:r>
                    <w:rPr>
                      <w:color w:val="auto"/>
                      <w:spacing w:val="8"/>
                      <w:sz w:val="21"/>
                      <w:szCs w:val="21"/>
                    </w:rPr>
                    <w:t>本项目对环境保护措施进行了深入论证</w:t>
                  </w:r>
                </w:p>
              </w:tc>
              <w:tc>
                <w:tcPr>
                  <w:tcW w:w="919" w:type="dxa"/>
                  <w:vAlign w:val="center"/>
                </w:tcPr>
                <w:p w14:paraId="4F7B3EA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3"/>
                      <w:sz w:val="21"/>
                      <w:szCs w:val="21"/>
                    </w:rPr>
                  </w:pPr>
                  <w:r>
                    <w:rPr>
                      <w:color w:val="auto"/>
                      <w:spacing w:val="3"/>
                      <w:sz w:val="21"/>
                      <w:szCs w:val="21"/>
                    </w:rPr>
                    <w:t>符合</w:t>
                  </w:r>
                </w:p>
              </w:tc>
            </w:tr>
            <w:tr w14:paraId="0E612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top"/>
                </w:tcPr>
                <w:p w14:paraId="60DE9E1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textAlignment w:val="auto"/>
                    <w:rPr>
                      <w:color w:val="auto"/>
                      <w:spacing w:val="5"/>
                      <w:sz w:val="21"/>
                      <w:szCs w:val="21"/>
                    </w:rPr>
                  </w:pPr>
                  <w:r>
                    <w:rPr>
                      <w:color w:val="auto"/>
                      <w:spacing w:val="9"/>
                      <w:sz w:val="21"/>
                      <w:szCs w:val="21"/>
                    </w:rPr>
                    <w:t>第十三条按相关规定开展了信息公开和公</w:t>
                  </w:r>
                  <w:r>
                    <w:rPr>
                      <w:color w:val="auto"/>
                      <w:spacing w:val="4"/>
                      <w:sz w:val="21"/>
                      <w:szCs w:val="21"/>
                    </w:rPr>
                    <w:t>众参与。</w:t>
                  </w:r>
                </w:p>
              </w:tc>
              <w:tc>
                <w:tcPr>
                  <w:tcW w:w="2340" w:type="dxa"/>
                  <w:vAlign w:val="center"/>
                </w:tcPr>
                <w:p w14:paraId="1938891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6"/>
                      <w:sz w:val="21"/>
                      <w:szCs w:val="21"/>
                    </w:rPr>
                  </w:pPr>
                  <w:r>
                    <w:rPr>
                      <w:color w:val="auto"/>
                      <w:spacing w:val="8"/>
                      <w:sz w:val="21"/>
                      <w:szCs w:val="21"/>
                    </w:rPr>
                    <w:t>本项目不涉及</w:t>
                  </w:r>
                </w:p>
              </w:tc>
              <w:tc>
                <w:tcPr>
                  <w:tcW w:w="919" w:type="dxa"/>
                  <w:vAlign w:val="center"/>
                </w:tcPr>
                <w:p w14:paraId="3474C02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3"/>
                      <w:sz w:val="21"/>
                      <w:szCs w:val="21"/>
                    </w:rPr>
                  </w:pPr>
                  <w:r>
                    <w:rPr>
                      <w:color w:val="auto"/>
                      <w:spacing w:val="3"/>
                      <w:sz w:val="21"/>
                      <w:szCs w:val="21"/>
                    </w:rPr>
                    <w:t>符合</w:t>
                  </w:r>
                </w:p>
              </w:tc>
            </w:tr>
            <w:tr w14:paraId="607F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9" w:type="dxa"/>
                  <w:vAlign w:val="top"/>
                </w:tcPr>
                <w:p w14:paraId="7EAEE5C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textAlignment w:val="auto"/>
                    <w:rPr>
                      <w:color w:val="auto"/>
                      <w:spacing w:val="5"/>
                      <w:sz w:val="21"/>
                      <w:szCs w:val="21"/>
                    </w:rPr>
                  </w:pPr>
                  <w:r>
                    <w:rPr>
                      <w:color w:val="auto"/>
                      <w:spacing w:val="5"/>
                      <w:sz w:val="21"/>
                      <w:szCs w:val="21"/>
                    </w:rPr>
                    <w:t>第十四条环境影响评价文件编制规范，符合</w:t>
                  </w:r>
                  <w:r>
                    <w:rPr>
                      <w:color w:val="auto"/>
                      <w:spacing w:val="8"/>
                      <w:sz w:val="21"/>
                      <w:szCs w:val="21"/>
                    </w:rPr>
                    <w:t>相关管理规定和环评技术标准要求。</w:t>
                  </w:r>
                </w:p>
              </w:tc>
              <w:tc>
                <w:tcPr>
                  <w:tcW w:w="2340" w:type="dxa"/>
                  <w:vAlign w:val="center"/>
                </w:tcPr>
                <w:p w14:paraId="33156EF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pacing w:val="6"/>
                      <w:sz w:val="21"/>
                      <w:szCs w:val="21"/>
                    </w:rPr>
                  </w:pPr>
                  <w:r>
                    <w:rPr>
                      <w:color w:val="auto"/>
                      <w:spacing w:val="8"/>
                      <w:sz w:val="21"/>
                      <w:szCs w:val="21"/>
                    </w:rPr>
                    <w:t>本项目按照指南进行</w:t>
                  </w:r>
                  <w:r>
                    <w:rPr>
                      <w:color w:val="auto"/>
                      <w:spacing w:val="4"/>
                      <w:sz w:val="21"/>
                      <w:szCs w:val="21"/>
                    </w:rPr>
                    <w:t>编制，符合相关管理规</w:t>
                  </w:r>
                  <w:r>
                    <w:rPr>
                      <w:color w:val="auto"/>
                      <w:spacing w:val="8"/>
                      <w:sz w:val="21"/>
                      <w:szCs w:val="21"/>
                    </w:rPr>
                    <w:t>定和环评技术标准要</w:t>
                  </w:r>
                  <w:r>
                    <w:rPr>
                      <w:color w:val="auto"/>
                      <w:sz w:val="21"/>
                      <w:szCs w:val="21"/>
                    </w:rPr>
                    <w:t>求</w:t>
                  </w:r>
                </w:p>
              </w:tc>
              <w:tc>
                <w:tcPr>
                  <w:tcW w:w="919" w:type="dxa"/>
                  <w:vAlign w:val="center"/>
                </w:tcPr>
                <w:p w14:paraId="31E67E7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color w:val="auto"/>
                      <w:spacing w:val="3"/>
                      <w:sz w:val="21"/>
                      <w:szCs w:val="21"/>
                    </w:rPr>
                  </w:pPr>
                  <w:r>
                    <w:rPr>
                      <w:color w:val="auto"/>
                      <w:spacing w:val="3"/>
                      <w:sz w:val="21"/>
                      <w:szCs w:val="21"/>
                    </w:rPr>
                    <w:t>符合</w:t>
                  </w:r>
                </w:p>
              </w:tc>
            </w:tr>
          </w:tbl>
          <w:p w14:paraId="6C1D33AA">
            <w:pPr>
              <w:pStyle w:val="11"/>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76" w:firstLineChars="200"/>
              <w:textAlignment w:val="auto"/>
              <w:rPr>
                <w:color w:val="auto"/>
              </w:rPr>
            </w:pPr>
            <w:r>
              <w:rPr>
                <w:color w:val="auto"/>
                <w:spacing w:val="-1"/>
              </w:rPr>
              <w:t>因此，本项目与水利建设项目（河湖整治与防洪除涝工程）环境影响评价文件审批原则（试行）相符。</w:t>
            </w:r>
          </w:p>
          <w:p w14:paraId="4BEB0FDB">
            <w:pPr>
              <w:pStyle w:val="11"/>
              <w:keepNext w:val="0"/>
              <w:keepLines w:val="0"/>
              <w:pageBreakBefore w:val="0"/>
              <w:widowControl w:val="0"/>
              <w:numPr>
                <w:ilvl w:val="0"/>
                <w:numId w:val="9"/>
              </w:numPr>
              <w:kinsoku/>
              <w:wordWrap/>
              <w:overflowPunct/>
              <w:topLinePunct w:val="0"/>
              <w:autoSpaceDE/>
              <w:autoSpaceDN/>
              <w:bidi w:val="0"/>
              <w:adjustRightInd w:val="0"/>
              <w:snapToGrid w:val="0"/>
              <w:spacing w:after="0" w:line="360" w:lineRule="auto"/>
              <w:ind w:left="0" w:leftChars="0"/>
              <w:textAlignment w:val="auto"/>
              <w:rPr>
                <w:b/>
                <w:bCs/>
                <w:color w:val="auto"/>
                <w:spacing w:val="-3"/>
                <w:sz w:val="24"/>
                <w:szCs w:val="24"/>
              </w:rPr>
            </w:pPr>
            <w:r>
              <w:rPr>
                <w:b/>
                <w:bCs/>
                <w:color w:val="auto"/>
                <w:spacing w:val="-3"/>
                <w:sz w:val="24"/>
                <w:szCs w:val="24"/>
              </w:rPr>
              <w:t>《国务院关于切实加强中小河流治理和山洪地质灾害防治的若干意见》符合性</w:t>
            </w:r>
            <w:r>
              <w:rPr>
                <w:rFonts w:hint="eastAsia"/>
                <w:b/>
                <w:bCs/>
                <w:color w:val="auto"/>
                <w:spacing w:val="-3"/>
                <w:sz w:val="24"/>
                <w:szCs w:val="24"/>
                <w:lang w:val="en-US" w:eastAsia="zh-CN"/>
              </w:rPr>
              <w:t>分析</w:t>
            </w:r>
          </w:p>
          <w:p w14:paraId="5003BE05">
            <w:pPr>
              <w:pStyle w:val="65"/>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right="0" w:firstLine="480" w:firstLineChars="200"/>
              <w:textAlignment w:val="auto"/>
              <w:rPr>
                <w:color w:val="auto"/>
                <w:sz w:val="24"/>
                <w:szCs w:val="24"/>
              </w:rPr>
            </w:pPr>
            <w:r>
              <w:rPr>
                <w:color w:val="auto"/>
                <w:sz w:val="24"/>
                <w:szCs w:val="24"/>
              </w:rPr>
              <w:t>《国务院关于切实加强中小河流治理和山洪地质灾害防治的若</w:t>
            </w:r>
            <w:r>
              <w:rPr>
                <w:color w:val="auto"/>
                <w:spacing w:val="-1"/>
                <w:sz w:val="24"/>
                <w:szCs w:val="24"/>
              </w:rPr>
              <w:t>干意见》总体要求。</w:t>
            </w:r>
          </w:p>
          <w:p w14:paraId="18E9AC6B">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4"/>
              <w:textAlignment w:val="auto"/>
              <w:rPr>
                <w:color w:val="auto"/>
                <w:sz w:val="24"/>
                <w:szCs w:val="24"/>
              </w:rPr>
            </w:pPr>
            <w:r>
              <w:rPr>
                <w:color w:val="auto"/>
                <w:spacing w:val="-8"/>
                <w:sz w:val="24"/>
                <w:szCs w:val="24"/>
              </w:rPr>
              <w:t>深入贯彻落实科学发展观，坚持以人为本、科学防治。依法防治、</w:t>
            </w:r>
            <w:r>
              <w:rPr>
                <w:color w:val="auto"/>
                <w:spacing w:val="-1"/>
                <w:sz w:val="24"/>
                <w:szCs w:val="24"/>
              </w:rPr>
              <w:t>防治结合、以防为主的方针，按照总体规划、分步实施、</w:t>
            </w:r>
            <w:r>
              <w:rPr>
                <w:color w:val="auto"/>
                <w:spacing w:val="-2"/>
                <w:sz w:val="24"/>
                <w:szCs w:val="24"/>
              </w:rPr>
              <w:t>突出重点、落实责任的原则，在继续加快大江大河治理的同时，以防洪薄弱地区和山洪地质灾害易发地区为重点，以中小河流治理和中小水库</w:t>
            </w:r>
            <w:r>
              <w:rPr>
                <w:color w:val="auto"/>
                <w:spacing w:val="-3"/>
                <w:sz w:val="24"/>
                <w:szCs w:val="24"/>
              </w:rPr>
              <w:t>除险加固、山洪地质灾害防治、易灾地区生态环境综合治理为核心内容。</w:t>
            </w:r>
          </w:p>
          <w:p w14:paraId="7B871F8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8"/>
              <w:textAlignment w:val="auto"/>
              <w:rPr>
                <w:color w:val="auto"/>
                <w:sz w:val="24"/>
                <w:szCs w:val="24"/>
              </w:rPr>
            </w:pPr>
            <w:r>
              <w:rPr>
                <w:color w:val="auto"/>
                <w:sz w:val="24"/>
                <w:szCs w:val="24"/>
              </w:rPr>
              <w:t>本项目为中小河流治理，符合《国务院关于切实加强中小河流治</w:t>
            </w:r>
            <w:r>
              <w:rPr>
                <w:color w:val="auto"/>
                <w:spacing w:val="-1"/>
                <w:sz w:val="24"/>
                <w:szCs w:val="24"/>
              </w:rPr>
              <w:t>理和山洪地质灾害防治的若干意见》的总体要求。</w:t>
            </w:r>
          </w:p>
          <w:p w14:paraId="1C26A37C">
            <w:pPr>
              <w:pStyle w:val="65"/>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left="0" w:leftChars="0" w:right="0" w:firstLine="480" w:firstLineChars="200"/>
              <w:textAlignment w:val="auto"/>
              <w:rPr>
                <w:color w:val="auto"/>
                <w:sz w:val="24"/>
                <w:szCs w:val="24"/>
              </w:rPr>
            </w:pPr>
            <w:r>
              <w:rPr>
                <w:color w:val="auto"/>
                <w:sz w:val="24"/>
                <w:szCs w:val="24"/>
              </w:rPr>
              <w:t>《国务院关于切实加强中小河流治理和山洪地质灾害防治的若干意见》中加大堤防建设和河道整治力度。</w:t>
            </w:r>
          </w:p>
          <w:p w14:paraId="2DA36395">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jc w:val="both"/>
              <w:textAlignment w:val="auto"/>
              <w:rPr>
                <w:color w:val="auto"/>
                <w:sz w:val="24"/>
                <w:szCs w:val="24"/>
              </w:rPr>
            </w:pPr>
            <w:r>
              <w:rPr>
                <w:color w:val="auto"/>
                <w:spacing w:val="-2"/>
                <w:sz w:val="24"/>
                <w:szCs w:val="24"/>
              </w:rPr>
              <w:t>统筹协调上下游、干支流、区域和流域的关系，优先</w:t>
            </w:r>
            <w:r>
              <w:rPr>
                <w:color w:val="auto"/>
                <w:spacing w:val="-3"/>
                <w:sz w:val="24"/>
                <w:szCs w:val="24"/>
              </w:rPr>
              <w:t>治理洪涝灾</w:t>
            </w:r>
            <w:r>
              <w:rPr>
                <w:color w:val="auto"/>
                <w:sz w:val="24"/>
                <w:szCs w:val="24"/>
              </w:rPr>
              <w:t>害易发、保护区人口密集、保护对象重要的河流及河段。力争用</w:t>
            </w:r>
            <w:r>
              <w:rPr>
                <w:rFonts w:ascii="Times New Roman" w:hAnsi="Times New Roman" w:eastAsia="Times New Roman" w:cs="Times New Roman"/>
                <w:color w:val="auto"/>
                <w:sz w:val="24"/>
                <w:szCs w:val="24"/>
              </w:rPr>
              <w:t>5</w:t>
            </w:r>
            <w:r>
              <w:rPr>
                <w:color w:val="auto"/>
                <w:sz w:val="24"/>
                <w:szCs w:val="24"/>
              </w:rPr>
              <w:t>年</w:t>
            </w:r>
            <w:r>
              <w:rPr>
                <w:color w:val="auto"/>
                <w:spacing w:val="-2"/>
                <w:sz w:val="24"/>
                <w:szCs w:val="24"/>
              </w:rPr>
              <w:t>时间，基本完成流域面积</w:t>
            </w:r>
            <w:r>
              <w:rPr>
                <w:rFonts w:ascii="Times New Roman" w:hAnsi="Times New Roman" w:eastAsia="Times New Roman" w:cs="Times New Roman"/>
                <w:color w:val="auto"/>
                <w:spacing w:val="-2"/>
                <w:sz w:val="24"/>
                <w:szCs w:val="24"/>
              </w:rPr>
              <w:t>200km</w:t>
            </w:r>
            <w:r>
              <w:rPr>
                <w:rFonts w:hint="eastAsia" w:ascii="Times New Roman" w:hAnsi="Times New Roman" w:eastAsia="宋体" w:cs="Times New Roman"/>
                <w:color w:val="auto"/>
                <w:spacing w:val="-2"/>
                <w:sz w:val="24"/>
                <w:szCs w:val="24"/>
                <w:vertAlign w:val="superscript"/>
                <w:lang w:val="en-US" w:eastAsia="zh-CN"/>
              </w:rPr>
              <w:t>2</w:t>
            </w:r>
            <w:r>
              <w:rPr>
                <w:color w:val="auto"/>
                <w:spacing w:val="-2"/>
                <w:sz w:val="24"/>
                <w:szCs w:val="24"/>
              </w:rPr>
              <w:t>以上有防洪任务的重点中小河流</w:t>
            </w:r>
            <w:r>
              <w:rPr>
                <w:rFonts w:ascii="Times New Roman" w:hAnsi="Times New Roman" w:eastAsia="Times New Roman" w:cs="Times New Roman"/>
                <w:color w:val="auto"/>
                <w:spacing w:val="-2"/>
                <w:sz w:val="24"/>
                <w:szCs w:val="24"/>
              </w:rPr>
              <w:t>(</w:t>
            </w:r>
            <w:r>
              <w:rPr>
                <w:color w:val="auto"/>
                <w:spacing w:val="-2"/>
                <w:sz w:val="24"/>
                <w:szCs w:val="24"/>
              </w:rPr>
              <w:t>包</w:t>
            </w:r>
            <w:r>
              <w:rPr>
                <w:color w:val="auto"/>
                <w:spacing w:val="-5"/>
                <w:sz w:val="24"/>
                <w:szCs w:val="24"/>
              </w:rPr>
              <w:t>括大江大河支流、独流入海河流和内陆河流</w:t>
            </w:r>
            <w:r>
              <w:rPr>
                <w:rFonts w:ascii="Times New Roman" w:hAnsi="Times New Roman" w:eastAsia="Times New Roman" w:cs="Times New Roman"/>
                <w:color w:val="auto"/>
                <w:spacing w:val="-5"/>
                <w:sz w:val="24"/>
                <w:szCs w:val="24"/>
              </w:rPr>
              <w:t>)</w:t>
            </w:r>
            <w:r>
              <w:rPr>
                <w:color w:val="auto"/>
                <w:spacing w:val="-5"/>
                <w:sz w:val="24"/>
                <w:szCs w:val="24"/>
              </w:rPr>
              <w:t>治理，使治理河段基本达</w:t>
            </w:r>
            <w:r>
              <w:rPr>
                <w:color w:val="auto"/>
                <w:spacing w:val="-2"/>
                <w:sz w:val="24"/>
                <w:szCs w:val="24"/>
              </w:rPr>
              <w:t>到国家确定的防洪标准。要按照流域防洪规划和有关规程规范，合理确定中小河流的防洪标准、治理范围和建设规模。针对中小河流的不</w:t>
            </w:r>
            <w:r>
              <w:rPr>
                <w:color w:val="auto"/>
                <w:spacing w:val="-7"/>
                <w:sz w:val="24"/>
                <w:szCs w:val="24"/>
              </w:rPr>
              <w:t>同情况，科学设防、因势利导，因地制宜地采取加高加固和</w:t>
            </w:r>
            <w:r>
              <w:rPr>
                <w:color w:val="auto"/>
                <w:spacing w:val="-8"/>
                <w:sz w:val="24"/>
                <w:szCs w:val="24"/>
              </w:rPr>
              <w:t>新建堤防、</w:t>
            </w:r>
            <w:r>
              <w:rPr>
                <w:color w:val="auto"/>
                <w:spacing w:val="-2"/>
                <w:sz w:val="24"/>
                <w:szCs w:val="24"/>
              </w:rPr>
              <w:t>河道疏浚、河势控制、护岸护坡等措施，有计划、有步骤地推进工程建设。要尊重自然规律，在保障防洪安全的前提下，兼顾水资源综合</w:t>
            </w:r>
            <w:r>
              <w:rPr>
                <w:color w:val="auto"/>
                <w:spacing w:val="-3"/>
                <w:sz w:val="24"/>
                <w:szCs w:val="24"/>
              </w:rPr>
              <w:t>利用和生态需要，尽量保持河道自然形态，促进人水和谐。</w:t>
            </w:r>
          </w:p>
          <w:p w14:paraId="3AB1610A">
            <w:pPr>
              <w:pStyle w:val="11"/>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firstLine="468" w:firstLineChars="200"/>
              <w:textAlignment w:val="auto"/>
              <w:rPr>
                <w:rFonts w:ascii="宋体" w:hAnsi="宋体" w:eastAsia="宋体" w:cs="宋体"/>
                <w:color w:val="auto"/>
                <w:spacing w:val="-3"/>
                <w:kern w:val="2"/>
                <w:sz w:val="24"/>
                <w:szCs w:val="24"/>
                <w:lang w:val="en-US" w:eastAsia="en-US" w:bidi="ar-SA"/>
              </w:rPr>
            </w:pPr>
            <w:r>
              <w:rPr>
                <w:rFonts w:ascii="宋体" w:hAnsi="宋体" w:eastAsia="宋体" w:cs="宋体"/>
                <w:color w:val="auto"/>
                <w:spacing w:val="-3"/>
                <w:kern w:val="2"/>
                <w:sz w:val="24"/>
                <w:szCs w:val="24"/>
                <w:lang w:val="en-US" w:eastAsia="en-US" w:bidi="ar-SA"/>
              </w:rPr>
              <w:t>本项目为防洪除涝项目，符合《国务院关于切实加强中小河流治理和山洪地质灾害防治的若干意见》中加大堤防建设和河道整治力度。</w:t>
            </w:r>
          </w:p>
          <w:p w14:paraId="1B186676">
            <w:pPr>
              <w:pStyle w:val="11"/>
              <w:keepNext w:val="0"/>
              <w:keepLines w:val="0"/>
              <w:pageBreakBefore w:val="0"/>
              <w:widowControl w:val="0"/>
              <w:numPr>
                <w:ilvl w:val="0"/>
                <w:numId w:val="9"/>
              </w:numPr>
              <w:kinsoku/>
              <w:wordWrap/>
              <w:overflowPunct/>
              <w:topLinePunct w:val="0"/>
              <w:autoSpaceDE/>
              <w:autoSpaceDN/>
              <w:bidi w:val="0"/>
              <w:adjustRightInd w:val="0"/>
              <w:snapToGrid w:val="0"/>
              <w:spacing w:after="0" w:line="360" w:lineRule="auto"/>
              <w:ind w:left="0" w:leftChars="0"/>
              <w:textAlignment w:val="auto"/>
              <w:rPr>
                <w:b/>
                <w:bCs/>
                <w:color w:val="auto"/>
                <w:spacing w:val="-3"/>
                <w:sz w:val="24"/>
                <w:szCs w:val="24"/>
              </w:rPr>
            </w:pPr>
            <w:r>
              <w:rPr>
                <w:rFonts w:hint="default" w:ascii="Times New Roman" w:hAnsi="Times New Roman" w:cs="Times New Roman" w:eastAsiaTheme="minorEastAsia"/>
                <w:b/>
                <w:bCs/>
                <w:color w:val="auto"/>
                <w:kern w:val="0"/>
                <w:sz w:val="24"/>
                <w:szCs w:val="24"/>
                <w:highlight w:val="none"/>
                <w:lang w:val="en-US" w:eastAsia="zh-CN"/>
              </w:rPr>
              <w:t>《自然资源部关于规范临时用地管理的通知》</w:t>
            </w:r>
            <w:r>
              <w:rPr>
                <w:rFonts w:hint="eastAsia" w:cs="Times New Roman" w:eastAsiaTheme="minorEastAsia"/>
                <w:b/>
                <w:bCs/>
                <w:color w:val="auto"/>
                <w:kern w:val="0"/>
                <w:sz w:val="24"/>
                <w:szCs w:val="24"/>
                <w:highlight w:val="none"/>
                <w:lang w:val="en-US" w:eastAsia="zh-CN"/>
              </w:rPr>
              <w:t>（</w:t>
            </w:r>
            <w:r>
              <w:rPr>
                <w:rFonts w:hint="default" w:ascii="Times New Roman" w:hAnsi="Times New Roman" w:cs="Times New Roman" w:eastAsiaTheme="minorEastAsia"/>
                <w:b/>
                <w:bCs/>
                <w:color w:val="auto"/>
                <w:kern w:val="0"/>
                <w:sz w:val="24"/>
                <w:szCs w:val="24"/>
                <w:highlight w:val="none"/>
                <w:lang w:val="en-US" w:eastAsia="zh-CN"/>
              </w:rPr>
              <w:t>自然资规(2021)2号</w:t>
            </w:r>
            <w:r>
              <w:rPr>
                <w:rFonts w:hint="eastAsia" w:cs="Times New Roman" w:eastAsiaTheme="minorEastAsia"/>
                <w:b/>
                <w:bCs/>
                <w:color w:val="auto"/>
                <w:kern w:val="0"/>
                <w:sz w:val="24"/>
                <w:szCs w:val="24"/>
                <w:highlight w:val="none"/>
                <w:lang w:val="en-US" w:eastAsia="zh-CN"/>
              </w:rPr>
              <w:t>）</w:t>
            </w:r>
            <w:r>
              <w:rPr>
                <w:b/>
                <w:bCs/>
                <w:color w:val="auto"/>
                <w:spacing w:val="-3"/>
                <w:sz w:val="24"/>
                <w:szCs w:val="24"/>
              </w:rPr>
              <w:t>符合性</w:t>
            </w:r>
            <w:r>
              <w:rPr>
                <w:rFonts w:hint="eastAsia"/>
                <w:b/>
                <w:bCs/>
                <w:color w:val="auto"/>
                <w:spacing w:val="-3"/>
                <w:sz w:val="24"/>
                <w:szCs w:val="24"/>
                <w:lang w:val="en-US" w:eastAsia="zh-CN"/>
              </w:rPr>
              <w:t>分析</w:t>
            </w:r>
          </w:p>
          <w:p w14:paraId="610EA038">
            <w:pPr>
              <w:keepNext w:val="0"/>
              <w:keepLines w:val="0"/>
              <w:pageBreakBefore w:val="0"/>
              <w:widowControl w:val="0"/>
              <w:numPr>
                <w:ilvl w:val="0"/>
                <w:numId w:val="5"/>
              </w:numPr>
              <w:kinsoku/>
              <w:wordWrap/>
              <w:overflowPunct w:val="0"/>
              <w:topLinePunct w:val="0"/>
              <w:autoSpaceDE/>
              <w:autoSpaceDN/>
              <w:bidi w:val="0"/>
              <w:adjustRightInd w:val="0"/>
              <w:snapToGrid w:val="0"/>
              <w:spacing w:line="240" w:lineRule="auto"/>
              <w:ind w:left="0" w:leftChars="0" w:firstLine="0" w:firstLineChars="0"/>
              <w:jc w:val="center"/>
              <w:textAlignment w:val="auto"/>
              <w:rPr>
                <w:color w:val="auto"/>
              </w:rPr>
            </w:pPr>
            <w:r>
              <w:rPr>
                <w:rFonts w:hint="default" w:ascii="Times New Roman" w:hAnsi="Times New Roman" w:cs="Times New Roman" w:eastAsiaTheme="minorEastAsia"/>
                <w:b/>
                <w:bCs/>
                <w:color w:val="auto"/>
                <w:kern w:val="0"/>
                <w:sz w:val="24"/>
                <w:szCs w:val="24"/>
                <w:highlight w:val="none"/>
                <w:lang w:val="en-US" w:eastAsia="zh-CN"/>
              </w:rPr>
              <w:t>《自然资源部关于规范临时用地管理的通知》</w:t>
            </w:r>
            <w:r>
              <w:rPr>
                <w:rFonts w:hint="eastAsia" w:cs="Times New Roman" w:eastAsiaTheme="minorEastAsia"/>
                <w:b/>
                <w:bCs/>
                <w:color w:val="auto"/>
                <w:kern w:val="0"/>
                <w:sz w:val="24"/>
                <w:szCs w:val="24"/>
                <w:highlight w:val="none"/>
                <w:lang w:val="en-US" w:eastAsia="zh-CN"/>
              </w:rPr>
              <w:t>（</w:t>
            </w:r>
            <w:r>
              <w:rPr>
                <w:rFonts w:hint="default" w:ascii="Times New Roman" w:hAnsi="Times New Roman" w:cs="Times New Roman" w:eastAsiaTheme="minorEastAsia"/>
                <w:b/>
                <w:bCs/>
                <w:color w:val="auto"/>
                <w:kern w:val="0"/>
                <w:sz w:val="24"/>
                <w:szCs w:val="24"/>
                <w:highlight w:val="none"/>
                <w:lang w:val="en-US" w:eastAsia="zh-CN"/>
              </w:rPr>
              <w:t>自然资规(2021)2号</w:t>
            </w:r>
            <w:r>
              <w:rPr>
                <w:b/>
                <w:bCs/>
                <w:color w:val="auto"/>
                <w:spacing w:val="7"/>
                <w:sz w:val="24"/>
                <w:szCs w:val="24"/>
              </w:rPr>
              <w:t>符合性分析表</w:t>
            </w:r>
          </w:p>
          <w:tbl>
            <w:tblPr>
              <w:tblStyle w:val="28"/>
              <w:tblW w:w="67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9"/>
              <w:gridCol w:w="1897"/>
              <w:gridCol w:w="972"/>
            </w:tblGrid>
            <w:tr w14:paraId="1AA6C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9" w:type="dxa"/>
                  <w:vAlign w:val="center"/>
                </w:tcPr>
                <w:p w14:paraId="4DFFFD9B">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color w:val="auto"/>
                      <w:vertAlign w:val="baseline"/>
                    </w:rPr>
                  </w:pPr>
                  <w:r>
                    <w:rPr>
                      <w:rFonts w:hint="eastAsia"/>
                      <w:b/>
                      <w:bCs/>
                      <w:color w:val="auto"/>
                      <w:spacing w:val="6"/>
                      <w:sz w:val="21"/>
                      <w:szCs w:val="21"/>
                      <w:lang w:val="en-US" w:eastAsia="zh-CN"/>
                    </w:rPr>
                    <w:t>通知要求</w:t>
                  </w:r>
                </w:p>
              </w:tc>
              <w:tc>
                <w:tcPr>
                  <w:tcW w:w="1897" w:type="dxa"/>
                  <w:vAlign w:val="center"/>
                </w:tcPr>
                <w:p w14:paraId="1A1204D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color w:val="auto"/>
                      <w:vertAlign w:val="baseline"/>
                    </w:rPr>
                  </w:pPr>
                  <w:r>
                    <w:rPr>
                      <w:b/>
                      <w:bCs/>
                      <w:color w:val="auto"/>
                      <w:spacing w:val="6"/>
                      <w:sz w:val="21"/>
                      <w:szCs w:val="21"/>
                    </w:rPr>
                    <w:t>本项目情况</w:t>
                  </w:r>
                </w:p>
              </w:tc>
              <w:tc>
                <w:tcPr>
                  <w:tcW w:w="972" w:type="dxa"/>
                  <w:vAlign w:val="center"/>
                </w:tcPr>
                <w:p w14:paraId="263FF90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color w:val="auto"/>
                      <w:vertAlign w:val="baseline"/>
                    </w:rPr>
                  </w:pPr>
                  <w:r>
                    <w:rPr>
                      <w:b/>
                      <w:bCs/>
                      <w:color w:val="auto"/>
                      <w:spacing w:val="5"/>
                      <w:sz w:val="21"/>
                      <w:szCs w:val="21"/>
                    </w:rPr>
                    <w:t>符合性</w:t>
                  </w:r>
                </w:p>
              </w:tc>
            </w:tr>
            <w:tr w14:paraId="27676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9" w:type="dxa"/>
                  <w:vAlign w:val="center"/>
                </w:tcPr>
                <w:p w14:paraId="3AAE9E62">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both"/>
                    <w:textAlignment w:val="auto"/>
                    <w:rPr>
                      <w:rFonts w:hint="eastAsia"/>
                      <w:b/>
                      <w:bCs/>
                      <w:color w:val="auto"/>
                      <w:spacing w:val="6"/>
                      <w:sz w:val="21"/>
                      <w:szCs w:val="21"/>
                      <w:lang w:val="en-US" w:eastAsia="zh-CN"/>
                    </w:rPr>
                  </w:pPr>
                  <w:r>
                    <w:rPr>
                      <w:rFonts w:hint="eastAsia"/>
                      <w:b w:val="0"/>
                      <w:bCs w:val="0"/>
                      <w:color w:val="auto"/>
                      <w:spacing w:val="6"/>
                      <w:sz w:val="21"/>
                      <w:szCs w:val="21"/>
                      <w:lang w:val="en-US" w:eastAsia="zh-CN"/>
                    </w:rPr>
                    <w:t>1.建设项目施工、地质勘查使用临时用地时应坚持“用多少、批多少占多少、尽量不占或者少占耕地。使用后土地复垦难度较大的临时用地要严格控制占用耕地。铁路、公路等单独选址建设项目，应科学组织施工，节约集约使用临时用地。制梁场、拌合站等难以恢复原种植条件的不得以临时用地方式占用耕地和永久基本农田，可以建设用地方式或者临时占用未利用地方式使用土地。临时用地确需占用永久基本农田的，必须能够恢复原种植条件，并符合《自然资源部农业农村部关于加强和改进永久基本农田保护工作的通知》(自然资规[2019]1号)中申请条件、土壤剥离、复垦验收等有关规定。临时用地使用期限一般不超过两年。建设周期较长的能源、交通、水利等基础设施建设项目施工使用的临时用地，期限不超过四年。城摸开发边界内临时建设用地规划许可、临时建设工程规划许可的期限应当与临时用地期限相衔接。临时用地使用期限，从批准之日起算。</w:t>
                  </w:r>
                </w:p>
              </w:tc>
              <w:tc>
                <w:tcPr>
                  <w:tcW w:w="1897" w:type="dxa"/>
                  <w:vAlign w:val="center"/>
                </w:tcPr>
                <w:p w14:paraId="3B4F6B5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rPr>
                      <w:b/>
                      <w:bCs/>
                      <w:color w:val="auto"/>
                      <w:spacing w:val="6"/>
                      <w:sz w:val="21"/>
                      <w:szCs w:val="21"/>
                    </w:rPr>
                  </w:pPr>
                  <w:r>
                    <w:rPr>
                      <w:rFonts w:hint="eastAsia" w:ascii="Times New Roman" w:hAnsi="Times New Roman" w:eastAsia="宋体" w:cs="Times New Roman"/>
                      <w:b w:val="0"/>
                      <w:bCs w:val="0"/>
                      <w:color w:val="auto"/>
                      <w:spacing w:val="6"/>
                      <w:kern w:val="0"/>
                      <w:sz w:val="21"/>
                      <w:szCs w:val="21"/>
                      <w:lang w:val="en-US" w:eastAsia="zh-CN" w:bidi="ar-SA"/>
                    </w:rPr>
                    <w:t>尽可能利用现有施工场地或工程永久管理范围占地作为施工期临时用地，减少征地范围。临时拌合站不占用耕地。本工程施工期为7个月，施工结束后，对临时用地及时恢复。</w:t>
                  </w:r>
                </w:p>
              </w:tc>
              <w:tc>
                <w:tcPr>
                  <w:tcW w:w="972" w:type="dxa"/>
                  <w:vAlign w:val="center"/>
                </w:tcPr>
                <w:p w14:paraId="3C7A123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eastAsia="宋体"/>
                      <w:b/>
                      <w:bCs/>
                      <w:color w:val="auto"/>
                      <w:spacing w:val="5"/>
                      <w:sz w:val="21"/>
                      <w:szCs w:val="21"/>
                      <w:lang w:val="en-US" w:eastAsia="zh-CN"/>
                    </w:rPr>
                  </w:pPr>
                  <w:r>
                    <w:rPr>
                      <w:rFonts w:hint="eastAsia" w:ascii="Times New Roman" w:hAnsi="Times New Roman" w:eastAsia="宋体" w:cs="Times New Roman"/>
                      <w:b w:val="0"/>
                      <w:bCs w:val="0"/>
                      <w:color w:val="auto"/>
                      <w:spacing w:val="6"/>
                      <w:kern w:val="0"/>
                      <w:sz w:val="21"/>
                      <w:szCs w:val="21"/>
                      <w:lang w:val="en-US" w:eastAsia="zh-CN" w:bidi="ar-SA"/>
                    </w:rPr>
                    <w:t>符合</w:t>
                  </w:r>
                </w:p>
              </w:tc>
            </w:tr>
            <w:tr w14:paraId="2961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9" w:type="dxa"/>
                  <w:vAlign w:val="center"/>
                </w:tcPr>
                <w:p w14:paraId="2C60ED30">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both"/>
                    <w:textAlignment w:val="auto"/>
                    <w:rPr>
                      <w:rFonts w:hint="eastAsia"/>
                      <w:b w:val="0"/>
                      <w:bCs w:val="0"/>
                      <w:color w:val="auto"/>
                      <w:spacing w:val="6"/>
                      <w:sz w:val="21"/>
                      <w:szCs w:val="21"/>
                      <w:lang w:val="en-US" w:eastAsia="zh-CN"/>
                    </w:rPr>
                  </w:pPr>
                  <w:r>
                    <w:rPr>
                      <w:rFonts w:hint="eastAsia"/>
                      <w:b w:val="0"/>
                      <w:bCs w:val="0"/>
                      <w:color w:val="auto"/>
                      <w:spacing w:val="6"/>
                      <w:sz w:val="21"/>
                      <w:szCs w:val="21"/>
                      <w:lang w:val="en-US" w:eastAsia="zh-CN"/>
                    </w:rPr>
                    <w:t>2.县(市)自然资源主管部门负责临时用地审批，其中涉及占用耕地和永久基本农田的，由市级或者市级以上自然资源主管部门负责审批。临时用地申请人应当编制临时用地土地复垦方案报告表，由有关自然资源主管部门负责审核。</w:t>
                  </w:r>
                </w:p>
              </w:tc>
              <w:tc>
                <w:tcPr>
                  <w:tcW w:w="1897" w:type="dxa"/>
                  <w:vAlign w:val="center"/>
                </w:tcPr>
                <w:p w14:paraId="07E9342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cs="Times New Roman"/>
                      <w:b w:val="0"/>
                      <w:bCs w:val="0"/>
                      <w:color w:val="auto"/>
                      <w:spacing w:val="6"/>
                      <w:kern w:val="0"/>
                      <w:sz w:val="21"/>
                      <w:szCs w:val="21"/>
                      <w:lang w:val="en-US" w:eastAsia="zh-CN" w:bidi="ar-SA"/>
                    </w:rPr>
                    <w:t>本项目已取得临时用地审批手续，并编制</w:t>
                  </w:r>
                  <w:r>
                    <w:rPr>
                      <w:rFonts w:hint="eastAsia"/>
                      <w:b w:val="0"/>
                      <w:bCs w:val="0"/>
                      <w:color w:val="auto"/>
                      <w:spacing w:val="6"/>
                      <w:sz w:val="21"/>
                      <w:szCs w:val="21"/>
                      <w:lang w:val="en-US" w:eastAsia="zh-CN"/>
                    </w:rPr>
                    <w:t>临时用地土地复垦方案报告表</w:t>
                  </w:r>
                </w:p>
              </w:tc>
              <w:tc>
                <w:tcPr>
                  <w:tcW w:w="972" w:type="dxa"/>
                  <w:vAlign w:val="center"/>
                </w:tcPr>
                <w:p w14:paraId="73AA8EE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符合</w:t>
                  </w:r>
                </w:p>
              </w:tc>
            </w:tr>
            <w:tr w14:paraId="0AB72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9" w:type="dxa"/>
                  <w:vAlign w:val="center"/>
                </w:tcPr>
                <w:p w14:paraId="1273922F">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both"/>
                    <w:textAlignment w:val="auto"/>
                    <w:rPr>
                      <w:rFonts w:hint="default"/>
                      <w:b w:val="0"/>
                      <w:bCs w:val="0"/>
                      <w:color w:val="auto"/>
                      <w:spacing w:val="6"/>
                      <w:sz w:val="21"/>
                      <w:szCs w:val="21"/>
                      <w:lang w:val="en-US" w:eastAsia="zh-CN"/>
                    </w:rPr>
                  </w:pPr>
                  <w:r>
                    <w:rPr>
                      <w:rFonts w:hint="eastAsia"/>
                      <w:b w:val="0"/>
                      <w:bCs w:val="0"/>
                      <w:color w:val="auto"/>
                      <w:spacing w:val="6"/>
                      <w:sz w:val="21"/>
                      <w:szCs w:val="21"/>
                      <w:lang w:val="en-US" w:eastAsia="zh-CN"/>
                    </w:rPr>
                    <w:t>3.临时用地使用人应当按照批准的用途使用土地，不得转让、出租、抵押临时用地。临时用地使用人应当自临时用地期满之日起一年内完成土地复垦，因气候、灾害等不可抗力因素影响复垦的，经批准可以适当延长复垦期限。严格落实临时用地恢复责任，临时用地期满后应当拆除临时建(构)筑物，使用耕地的应当复垦为耕地，确保耕地面积不减少、质量不降低;使用耕地以外的其他农用地的应当恢复为农用地;使用未利用地的，对于符合条件的鼓励复垦为耕地。</w:t>
                  </w:r>
                </w:p>
              </w:tc>
              <w:tc>
                <w:tcPr>
                  <w:tcW w:w="1897" w:type="dxa"/>
                  <w:vAlign w:val="center"/>
                </w:tcPr>
                <w:p w14:paraId="472FE42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both"/>
                    <w:textAlignment w:val="auto"/>
                    <w:rPr>
                      <w:rFonts w:hint="default" w:ascii="Times New Roman" w:hAnsi="Times New Roman" w:cs="Times New Roman"/>
                      <w:b w:val="0"/>
                      <w:bCs w:val="0"/>
                      <w:color w:val="auto"/>
                      <w:spacing w:val="6"/>
                      <w:kern w:val="0"/>
                      <w:sz w:val="21"/>
                      <w:szCs w:val="21"/>
                      <w:lang w:val="en-US" w:eastAsia="zh-CN" w:bidi="ar-SA"/>
                    </w:rPr>
                  </w:pPr>
                  <w:r>
                    <w:rPr>
                      <w:rFonts w:hint="eastAsia" w:ascii="Times New Roman" w:hAnsi="Times New Roman" w:cs="Times New Roman"/>
                      <w:b w:val="0"/>
                      <w:bCs w:val="0"/>
                      <w:color w:val="auto"/>
                      <w:spacing w:val="6"/>
                      <w:kern w:val="0"/>
                      <w:sz w:val="21"/>
                      <w:szCs w:val="21"/>
                      <w:lang w:val="en-US" w:eastAsia="zh-CN" w:bidi="ar-SA"/>
                    </w:rPr>
                    <w:t>本项目临时用地用于防洪除涝工程，不转让、出租、抵押临时用地，</w:t>
                  </w:r>
                  <w:r>
                    <w:rPr>
                      <w:rFonts w:hint="eastAsia" w:ascii="Times New Roman" w:hAnsi="Times New Roman" w:eastAsia="宋体" w:cs="Times New Roman"/>
                      <w:b w:val="0"/>
                      <w:bCs w:val="0"/>
                      <w:color w:val="auto"/>
                      <w:spacing w:val="6"/>
                      <w:kern w:val="0"/>
                      <w:sz w:val="21"/>
                      <w:szCs w:val="21"/>
                      <w:lang w:val="en-US" w:eastAsia="zh-CN" w:bidi="ar-SA"/>
                    </w:rPr>
                    <w:t>本工程施工期为7个月，施工结束后，</w:t>
                  </w:r>
                  <w:r>
                    <w:rPr>
                      <w:rFonts w:hint="eastAsia" w:ascii="Times New Roman" w:hAnsi="Times New Roman" w:cs="Times New Roman"/>
                      <w:b w:val="0"/>
                      <w:bCs w:val="0"/>
                      <w:color w:val="auto"/>
                      <w:spacing w:val="6"/>
                      <w:kern w:val="0"/>
                      <w:sz w:val="21"/>
                      <w:szCs w:val="21"/>
                      <w:lang w:val="en-US" w:eastAsia="zh-CN" w:bidi="ar-SA"/>
                    </w:rPr>
                    <w:t>拆除</w:t>
                  </w:r>
                  <w:r>
                    <w:rPr>
                      <w:rFonts w:hint="eastAsia"/>
                      <w:b w:val="0"/>
                      <w:bCs w:val="0"/>
                      <w:color w:val="auto"/>
                      <w:spacing w:val="6"/>
                      <w:sz w:val="21"/>
                      <w:szCs w:val="21"/>
                      <w:lang w:val="en-US" w:eastAsia="zh-CN"/>
                    </w:rPr>
                    <w:t>临时建(构)筑物，履行恢复责任，使用耕地的应当复垦为耕地，确保耕地面积不减少、质量不降低</w:t>
                  </w:r>
                  <w:r>
                    <w:rPr>
                      <w:rFonts w:hint="eastAsia" w:ascii="Times New Roman" w:hAnsi="Times New Roman" w:eastAsia="宋体" w:cs="Times New Roman"/>
                      <w:b w:val="0"/>
                      <w:bCs w:val="0"/>
                      <w:color w:val="auto"/>
                      <w:spacing w:val="6"/>
                      <w:kern w:val="0"/>
                      <w:sz w:val="21"/>
                      <w:szCs w:val="21"/>
                      <w:lang w:val="en-US" w:eastAsia="zh-CN" w:bidi="ar-SA"/>
                    </w:rPr>
                    <w:t>。</w:t>
                  </w:r>
                </w:p>
              </w:tc>
              <w:tc>
                <w:tcPr>
                  <w:tcW w:w="972" w:type="dxa"/>
                  <w:vAlign w:val="center"/>
                </w:tcPr>
                <w:p w14:paraId="0C1A7AD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符合</w:t>
                  </w:r>
                </w:p>
              </w:tc>
            </w:tr>
          </w:tbl>
          <w:p w14:paraId="1DB9AB3C">
            <w:pPr>
              <w:pStyle w:val="11"/>
              <w:keepNext w:val="0"/>
              <w:keepLines w:val="0"/>
              <w:pageBreakBefore w:val="0"/>
              <w:widowControl w:val="0"/>
              <w:numPr>
                <w:ilvl w:val="0"/>
                <w:numId w:val="9"/>
              </w:numPr>
              <w:kinsoku/>
              <w:wordWrap/>
              <w:overflowPunct/>
              <w:topLinePunct w:val="0"/>
              <w:autoSpaceDE/>
              <w:autoSpaceDN/>
              <w:bidi w:val="0"/>
              <w:adjustRightInd w:val="0"/>
              <w:snapToGrid w:val="0"/>
              <w:spacing w:after="0" w:line="360" w:lineRule="auto"/>
              <w:ind w:left="0" w:leftChars="0"/>
              <w:textAlignment w:val="auto"/>
              <w:rPr>
                <w:rFonts w:hint="default" w:ascii="Times New Roman" w:hAnsi="Times New Roman" w:cs="Times New Roman" w:eastAsiaTheme="minorEastAsia"/>
                <w:b/>
                <w:bCs/>
                <w:color w:val="auto"/>
                <w:kern w:val="0"/>
                <w:sz w:val="24"/>
                <w:szCs w:val="24"/>
                <w:highlight w:val="none"/>
                <w:lang w:val="en-US" w:eastAsia="zh-CN"/>
              </w:rPr>
            </w:pPr>
            <w:r>
              <w:rPr>
                <w:rFonts w:hint="eastAsia" w:cs="Times New Roman" w:eastAsiaTheme="minorEastAsia"/>
                <w:b/>
                <w:bCs/>
                <w:color w:val="auto"/>
                <w:kern w:val="0"/>
                <w:sz w:val="24"/>
                <w:szCs w:val="24"/>
                <w:highlight w:val="none"/>
                <w:lang w:val="en-US" w:eastAsia="zh-CN"/>
              </w:rPr>
              <w:t>《</w:t>
            </w:r>
            <w:r>
              <w:rPr>
                <w:rFonts w:hint="eastAsia" w:ascii="Times New Roman" w:hAnsi="Times New Roman" w:cs="Times New Roman" w:eastAsiaTheme="minorEastAsia"/>
                <w:b/>
                <w:bCs/>
                <w:color w:val="auto"/>
                <w:kern w:val="0"/>
                <w:sz w:val="24"/>
                <w:szCs w:val="24"/>
                <w:highlight w:val="none"/>
                <w:lang w:val="en-US" w:eastAsia="zh-CN"/>
              </w:rPr>
              <w:t>建筑垃圾污染控制技术规范</w:t>
            </w:r>
            <w:r>
              <w:rPr>
                <w:rFonts w:hint="eastAsia" w:cs="Times New Roman" w:eastAsiaTheme="minorEastAsia"/>
                <w:b/>
                <w:bCs/>
                <w:color w:val="auto"/>
                <w:kern w:val="0"/>
                <w:sz w:val="24"/>
                <w:szCs w:val="24"/>
                <w:highlight w:val="none"/>
                <w:lang w:val="en-US" w:eastAsia="zh-CN"/>
              </w:rPr>
              <w:t>》（HJ1462-2026）符合性分析</w:t>
            </w:r>
          </w:p>
          <w:p w14:paraId="6C2E1267">
            <w:pPr>
              <w:keepNext w:val="0"/>
              <w:keepLines w:val="0"/>
              <w:pageBreakBefore w:val="0"/>
              <w:widowControl w:val="0"/>
              <w:numPr>
                <w:ilvl w:val="0"/>
                <w:numId w:val="5"/>
              </w:numPr>
              <w:kinsoku/>
              <w:wordWrap/>
              <w:overflowPunct w:val="0"/>
              <w:topLinePunct w:val="0"/>
              <w:autoSpaceDE/>
              <w:autoSpaceDN/>
              <w:bidi w:val="0"/>
              <w:adjustRightInd w:val="0"/>
              <w:snapToGrid w:val="0"/>
              <w:spacing w:line="240" w:lineRule="auto"/>
              <w:ind w:left="0" w:leftChars="0" w:firstLine="0" w:firstLineChars="0"/>
              <w:jc w:val="center"/>
              <w:textAlignment w:val="auto"/>
              <w:rPr>
                <w:color w:val="auto"/>
              </w:rPr>
            </w:pPr>
            <w:r>
              <w:rPr>
                <w:rFonts w:hint="eastAsia" w:cs="Times New Roman" w:eastAsiaTheme="minorEastAsia"/>
                <w:b/>
                <w:bCs/>
                <w:color w:val="auto"/>
                <w:kern w:val="0"/>
                <w:sz w:val="24"/>
                <w:szCs w:val="24"/>
                <w:highlight w:val="none"/>
                <w:lang w:val="en-US" w:eastAsia="zh-CN"/>
              </w:rPr>
              <w:t>《</w:t>
            </w:r>
            <w:r>
              <w:rPr>
                <w:rFonts w:hint="eastAsia" w:ascii="Times New Roman" w:hAnsi="Times New Roman" w:cs="Times New Roman" w:eastAsiaTheme="minorEastAsia"/>
                <w:b/>
                <w:bCs/>
                <w:color w:val="auto"/>
                <w:kern w:val="0"/>
                <w:sz w:val="24"/>
                <w:szCs w:val="24"/>
                <w:highlight w:val="none"/>
                <w:lang w:val="en-US" w:eastAsia="zh-CN"/>
              </w:rPr>
              <w:t>建筑垃圾污染控制技术规范</w:t>
            </w:r>
            <w:r>
              <w:rPr>
                <w:rFonts w:hint="eastAsia" w:cs="Times New Roman" w:eastAsiaTheme="minorEastAsia"/>
                <w:b/>
                <w:bCs/>
                <w:color w:val="auto"/>
                <w:kern w:val="0"/>
                <w:sz w:val="24"/>
                <w:szCs w:val="24"/>
                <w:highlight w:val="none"/>
                <w:lang w:val="en-US" w:eastAsia="zh-CN"/>
              </w:rPr>
              <w:t>》（HJ1462-2026）</w:t>
            </w:r>
            <w:r>
              <w:rPr>
                <w:b/>
                <w:bCs/>
                <w:color w:val="auto"/>
                <w:spacing w:val="7"/>
                <w:sz w:val="24"/>
                <w:szCs w:val="24"/>
              </w:rPr>
              <w:t>符合性分析表</w:t>
            </w:r>
          </w:p>
          <w:tbl>
            <w:tblPr>
              <w:tblStyle w:val="28"/>
              <w:tblW w:w="67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6"/>
              <w:gridCol w:w="2790"/>
              <w:gridCol w:w="972"/>
            </w:tblGrid>
            <w:tr w14:paraId="766C4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6" w:type="dxa"/>
                  <w:vAlign w:val="center"/>
                </w:tcPr>
                <w:p w14:paraId="507B374C">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color w:val="auto"/>
                      <w:vertAlign w:val="baseline"/>
                      <w:lang w:val="en-US" w:eastAsia="zh-CN"/>
                    </w:rPr>
                  </w:pPr>
                  <w:r>
                    <w:rPr>
                      <w:rFonts w:hint="eastAsia"/>
                      <w:b/>
                      <w:bCs/>
                      <w:color w:val="auto"/>
                      <w:spacing w:val="6"/>
                      <w:sz w:val="21"/>
                      <w:szCs w:val="21"/>
                      <w:lang w:val="en-US" w:eastAsia="zh-CN"/>
                    </w:rPr>
                    <w:t>规范要求</w:t>
                  </w:r>
                </w:p>
              </w:tc>
              <w:tc>
                <w:tcPr>
                  <w:tcW w:w="2790" w:type="dxa"/>
                  <w:vAlign w:val="center"/>
                </w:tcPr>
                <w:p w14:paraId="4F240E7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color w:val="auto"/>
                      <w:vertAlign w:val="baseline"/>
                      <w:lang w:val="en-US" w:eastAsia="zh-CN"/>
                    </w:rPr>
                  </w:pPr>
                  <w:r>
                    <w:rPr>
                      <w:b/>
                      <w:bCs/>
                      <w:color w:val="auto"/>
                      <w:spacing w:val="6"/>
                      <w:sz w:val="21"/>
                      <w:szCs w:val="21"/>
                    </w:rPr>
                    <w:t>本项目情况</w:t>
                  </w:r>
                </w:p>
              </w:tc>
              <w:tc>
                <w:tcPr>
                  <w:tcW w:w="972" w:type="dxa"/>
                  <w:vAlign w:val="center"/>
                </w:tcPr>
                <w:p w14:paraId="4FCD027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color w:val="auto"/>
                      <w:vertAlign w:val="baseline"/>
                      <w:lang w:val="en-US" w:eastAsia="zh-CN"/>
                    </w:rPr>
                  </w:pPr>
                  <w:r>
                    <w:rPr>
                      <w:b/>
                      <w:bCs/>
                      <w:color w:val="auto"/>
                      <w:spacing w:val="5"/>
                      <w:sz w:val="21"/>
                      <w:szCs w:val="21"/>
                    </w:rPr>
                    <w:t>符合性</w:t>
                  </w:r>
                </w:p>
              </w:tc>
            </w:tr>
            <w:tr w14:paraId="404FD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6" w:type="dxa"/>
                  <w:vAlign w:val="center"/>
                </w:tcPr>
                <w:p w14:paraId="5CC0B193">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eastAsia"/>
                      <w:b/>
                      <w:bCs/>
                      <w:color w:val="auto"/>
                      <w:spacing w:val="6"/>
                      <w:sz w:val="21"/>
                      <w:szCs w:val="21"/>
                      <w:lang w:val="en-US" w:eastAsia="zh-CN"/>
                    </w:rPr>
                  </w:pPr>
                  <w:r>
                    <w:rPr>
                      <w:rFonts w:hint="eastAsia"/>
                      <w:b w:val="0"/>
                      <w:bCs w:val="0"/>
                      <w:color w:val="auto"/>
                      <w:spacing w:val="6"/>
                      <w:sz w:val="21"/>
                      <w:szCs w:val="21"/>
                      <w:lang w:val="en-US" w:eastAsia="zh-CN"/>
                    </w:rPr>
                    <w:t>1.建筑垃圾产生单位应减少产生量，并进行源头分类，宜进行原位利用，工程施工过程采用清洁生产技术等措施减少污染物含量，提高资源化利用率。</w:t>
                  </w:r>
                </w:p>
              </w:tc>
              <w:tc>
                <w:tcPr>
                  <w:tcW w:w="2790" w:type="dxa"/>
                  <w:vAlign w:val="center"/>
                </w:tcPr>
                <w:p w14:paraId="6795A6F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default" w:eastAsia="宋体"/>
                      <w:b/>
                      <w:bCs/>
                      <w:color w:val="auto"/>
                      <w:spacing w:val="6"/>
                      <w:sz w:val="21"/>
                      <w:szCs w:val="21"/>
                      <w:lang w:val="en-US" w:eastAsia="zh-CN"/>
                    </w:rPr>
                  </w:pPr>
                  <w:r>
                    <w:rPr>
                      <w:rFonts w:hint="eastAsia" w:ascii="Times New Roman" w:hAnsi="Times New Roman" w:eastAsia="宋体" w:cs="Times New Roman"/>
                      <w:b w:val="0"/>
                      <w:bCs w:val="0"/>
                      <w:color w:val="auto"/>
                      <w:spacing w:val="6"/>
                      <w:kern w:val="0"/>
                      <w:sz w:val="21"/>
                      <w:szCs w:val="21"/>
                      <w:lang w:val="en-US" w:eastAsia="zh-CN" w:bidi="ar-SA"/>
                    </w:rPr>
                    <w:t>本项目建筑垃圾优先现场回填，提高资源化利用率。并采取先进施工工艺，减少建筑垃圾产生量</w:t>
                  </w:r>
                  <w:r>
                    <w:rPr>
                      <w:rFonts w:hint="eastAsia" w:ascii="Times New Roman" w:hAnsi="Times New Roman" w:cs="Times New Roman"/>
                      <w:b w:val="0"/>
                      <w:bCs w:val="0"/>
                      <w:color w:val="auto"/>
                      <w:spacing w:val="6"/>
                      <w:kern w:val="0"/>
                      <w:sz w:val="21"/>
                      <w:szCs w:val="21"/>
                      <w:lang w:val="en-US" w:eastAsia="zh-CN" w:bidi="ar-SA"/>
                    </w:rPr>
                    <w:t>。</w:t>
                  </w:r>
                </w:p>
              </w:tc>
              <w:tc>
                <w:tcPr>
                  <w:tcW w:w="972" w:type="dxa"/>
                  <w:vAlign w:val="center"/>
                </w:tcPr>
                <w:p w14:paraId="0F2FBA7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eastAsia="宋体"/>
                      <w:b w:val="0"/>
                      <w:bCs w:val="0"/>
                      <w:color w:val="auto"/>
                      <w:spacing w:val="5"/>
                      <w:sz w:val="21"/>
                      <w:szCs w:val="21"/>
                      <w:lang w:val="en-US" w:eastAsia="zh-CN"/>
                    </w:rPr>
                  </w:pPr>
                  <w:r>
                    <w:rPr>
                      <w:rFonts w:hint="eastAsia"/>
                      <w:b w:val="0"/>
                      <w:bCs w:val="0"/>
                      <w:color w:val="auto"/>
                      <w:spacing w:val="5"/>
                      <w:sz w:val="21"/>
                      <w:szCs w:val="21"/>
                      <w:lang w:val="en-US" w:eastAsia="zh-CN"/>
                    </w:rPr>
                    <w:t>符合</w:t>
                  </w:r>
                </w:p>
              </w:tc>
            </w:tr>
            <w:tr w14:paraId="7B6EA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6" w:type="dxa"/>
                  <w:vAlign w:val="center"/>
                </w:tcPr>
                <w:p w14:paraId="0A1A0AC6">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eastAsia"/>
                      <w:b w:val="0"/>
                      <w:bCs w:val="0"/>
                      <w:color w:val="auto"/>
                      <w:spacing w:val="6"/>
                      <w:sz w:val="21"/>
                      <w:szCs w:val="21"/>
                      <w:lang w:val="en-US" w:eastAsia="zh-CN"/>
                    </w:rPr>
                  </w:pPr>
                  <w:r>
                    <w:rPr>
                      <w:rFonts w:hint="eastAsia"/>
                      <w:b w:val="0"/>
                      <w:bCs w:val="0"/>
                      <w:color w:val="auto"/>
                      <w:spacing w:val="6"/>
                      <w:sz w:val="21"/>
                      <w:szCs w:val="21"/>
                      <w:lang w:val="en-US" w:eastAsia="zh-CN"/>
                    </w:rPr>
                    <w:t>2.工程施工现场设置的建筑垃圾存放点应符合JGJ/T498要求，并根据建筑垃圾类别或成分进行分区分类存放，采取防尘、防雨等措施，减少对周边环境的影响</w:t>
                  </w:r>
                </w:p>
              </w:tc>
              <w:tc>
                <w:tcPr>
                  <w:tcW w:w="2790" w:type="dxa"/>
                  <w:vAlign w:val="center"/>
                </w:tcPr>
                <w:p w14:paraId="6EFE9EF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cs="Times New Roman"/>
                      <w:b w:val="0"/>
                      <w:bCs w:val="0"/>
                      <w:color w:val="auto"/>
                      <w:spacing w:val="6"/>
                      <w:kern w:val="0"/>
                      <w:sz w:val="21"/>
                      <w:szCs w:val="21"/>
                      <w:lang w:val="en-US" w:eastAsia="zh-CN" w:bidi="ar-SA"/>
                    </w:rPr>
                    <w:t>本项目建筑垃圾及弃渣拉运至相关政府部门指定建筑垃圾填埋场及弃渣场。</w:t>
                  </w:r>
                </w:p>
              </w:tc>
              <w:tc>
                <w:tcPr>
                  <w:tcW w:w="972" w:type="dxa"/>
                  <w:vAlign w:val="center"/>
                </w:tcPr>
                <w:p w14:paraId="1B9DEEA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b w:val="0"/>
                      <w:bCs w:val="0"/>
                      <w:color w:val="auto"/>
                      <w:spacing w:val="5"/>
                      <w:sz w:val="21"/>
                      <w:szCs w:val="21"/>
                    </w:rPr>
                  </w:pPr>
                  <w:r>
                    <w:rPr>
                      <w:rFonts w:hint="eastAsia"/>
                      <w:b w:val="0"/>
                      <w:bCs w:val="0"/>
                      <w:color w:val="auto"/>
                      <w:spacing w:val="5"/>
                      <w:sz w:val="21"/>
                      <w:szCs w:val="21"/>
                      <w:lang w:val="en-US" w:eastAsia="zh-CN"/>
                    </w:rPr>
                    <w:t>符合</w:t>
                  </w:r>
                </w:p>
              </w:tc>
            </w:tr>
            <w:tr w14:paraId="19DC9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6" w:type="dxa"/>
                  <w:vAlign w:val="center"/>
                </w:tcPr>
                <w:p w14:paraId="149BFE21">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eastAsia"/>
                      <w:b w:val="0"/>
                      <w:bCs w:val="0"/>
                      <w:color w:val="auto"/>
                      <w:spacing w:val="6"/>
                      <w:sz w:val="21"/>
                      <w:szCs w:val="21"/>
                      <w:lang w:val="en-US" w:eastAsia="zh-CN"/>
                    </w:rPr>
                  </w:pPr>
                  <w:r>
                    <w:rPr>
                      <w:rFonts w:hint="eastAsia"/>
                      <w:b w:val="0"/>
                      <w:bCs w:val="0"/>
                      <w:color w:val="auto"/>
                      <w:spacing w:val="6"/>
                      <w:sz w:val="21"/>
                      <w:szCs w:val="21"/>
                      <w:lang w:val="en-US" w:eastAsia="zh-CN"/>
                    </w:rPr>
                    <w:t>3.建筑垃圾在装运过程中应避免混合，运输过程中应采取必要的防扬散、防遗撒、防渗漏、防噪声措施。</w:t>
                  </w:r>
                </w:p>
              </w:tc>
              <w:tc>
                <w:tcPr>
                  <w:tcW w:w="2790" w:type="dxa"/>
                  <w:vAlign w:val="center"/>
                </w:tcPr>
                <w:p w14:paraId="11C664A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eastAsia" w:ascii="Times New Roman" w:hAnsi="Times New Roman" w:cs="Times New Roman"/>
                      <w:b w:val="0"/>
                      <w:bCs w:val="0"/>
                      <w:color w:val="auto"/>
                      <w:spacing w:val="6"/>
                      <w:kern w:val="0"/>
                      <w:sz w:val="21"/>
                      <w:szCs w:val="21"/>
                      <w:lang w:val="en-US" w:eastAsia="zh-CN" w:bidi="ar-SA"/>
                    </w:rPr>
                  </w:pPr>
                  <w:r>
                    <w:rPr>
                      <w:rFonts w:hint="eastAsia"/>
                      <w:b w:val="0"/>
                      <w:bCs w:val="0"/>
                      <w:color w:val="auto"/>
                      <w:spacing w:val="6"/>
                      <w:sz w:val="21"/>
                      <w:szCs w:val="21"/>
                      <w:lang w:val="en-US" w:eastAsia="zh-CN"/>
                    </w:rPr>
                    <w:t>建筑垃圾在装运过程中按类分开装运，运输过程中采取苫盖等必要的防扬散、防遗撒、防渗漏、防噪声措施。</w:t>
                  </w:r>
                </w:p>
              </w:tc>
              <w:tc>
                <w:tcPr>
                  <w:tcW w:w="972" w:type="dxa"/>
                  <w:vAlign w:val="center"/>
                </w:tcPr>
                <w:p w14:paraId="2B75775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b w:val="0"/>
                      <w:bCs w:val="0"/>
                      <w:color w:val="auto"/>
                      <w:spacing w:val="5"/>
                      <w:sz w:val="21"/>
                      <w:szCs w:val="21"/>
                    </w:rPr>
                  </w:pPr>
                  <w:r>
                    <w:rPr>
                      <w:rFonts w:hint="eastAsia"/>
                      <w:b w:val="0"/>
                      <w:bCs w:val="0"/>
                      <w:color w:val="auto"/>
                      <w:spacing w:val="5"/>
                      <w:sz w:val="21"/>
                      <w:szCs w:val="21"/>
                      <w:lang w:val="en-US" w:eastAsia="zh-CN"/>
                    </w:rPr>
                    <w:t>符合</w:t>
                  </w:r>
                </w:p>
              </w:tc>
            </w:tr>
            <w:tr w14:paraId="35705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6" w:type="dxa"/>
                  <w:vAlign w:val="center"/>
                </w:tcPr>
                <w:p w14:paraId="3F6E5D2B">
                  <w:pPr>
                    <w:pStyle w:val="11"/>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eastAsia"/>
                      <w:b w:val="0"/>
                      <w:bCs w:val="0"/>
                      <w:color w:val="auto"/>
                      <w:spacing w:val="6"/>
                      <w:sz w:val="21"/>
                      <w:szCs w:val="21"/>
                      <w:lang w:val="en-US" w:eastAsia="zh-CN"/>
                    </w:rPr>
                  </w:pPr>
                  <w:r>
                    <w:rPr>
                      <w:rFonts w:hint="eastAsia"/>
                      <w:b w:val="0"/>
                      <w:bCs w:val="0"/>
                      <w:color w:val="auto"/>
                      <w:spacing w:val="6"/>
                      <w:sz w:val="21"/>
                      <w:szCs w:val="21"/>
                      <w:lang w:val="en-US" w:eastAsia="zh-CN"/>
                    </w:rPr>
                    <w:t>4.应根据建筑垃圾的成分和当地需求因地制宜选择资源化利用技术。</w:t>
                  </w:r>
                </w:p>
              </w:tc>
              <w:tc>
                <w:tcPr>
                  <w:tcW w:w="2790" w:type="dxa"/>
                  <w:vAlign w:val="center"/>
                </w:tcPr>
                <w:p w14:paraId="6C57FF7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left"/>
                    <w:textAlignment w:val="auto"/>
                    <w:rPr>
                      <w:rFonts w:hint="default"/>
                      <w:b w:val="0"/>
                      <w:bCs w:val="0"/>
                      <w:color w:val="auto"/>
                      <w:spacing w:val="6"/>
                      <w:sz w:val="21"/>
                      <w:szCs w:val="21"/>
                      <w:lang w:val="en-US" w:eastAsia="zh-CN"/>
                    </w:rPr>
                  </w:pPr>
                  <w:r>
                    <w:rPr>
                      <w:rFonts w:hint="eastAsia"/>
                      <w:b w:val="0"/>
                      <w:bCs w:val="0"/>
                      <w:color w:val="auto"/>
                      <w:spacing w:val="6"/>
                      <w:sz w:val="21"/>
                      <w:szCs w:val="21"/>
                      <w:lang w:val="en-US" w:eastAsia="zh-CN"/>
                    </w:rPr>
                    <w:t>建筑垃圾主要为弃土，优先回填施工区，剩余弃土拉至相关政府部门指定弃渣场。</w:t>
                  </w:r>
                </w:p>
              </w:tc>
              <w:tc>
                <w:tcPr>
                  <w:tcW w:w="972" w:type="dxa"/>
                  <w:vAlign w:val="center"/>
                </w:tcPr>
                <w:p w14:paraId="5975281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eastAsia"/>
                      <w:b w:val="0"/>
                      <w:bCs w:val="0"/>
                      <w:color w:val="auto"/>
                      <w:spacing w:val="5"/>
                      <w:sz w:val="21"/>
                      <w:szCs w:val="21"/>
                      <w:lang w:val="en-US" w:eastAsia="zh-CN"/>
                    </w:rPr>
                  </w:pPr>
                  <w:r>
                    <w:rPr>
                      <w:rFonts w:hint="eastAsia"/>
                      <w:b w:val="0"/>
                      <w:bCs w:val="0"/>
                      <w:color w:val="auto"/>
                      <w:spacing w:val="5"/>
                      <w:sz w:val="21"/>
                      <w:szCs w:val="21"/>
                      <w:lang w:val="en-US" w:eastAsia="zh-CN"/>
                    </w:rPr>
                    <w:t>符合</w:t>
                  </w:r>
                </w:p>
              </w:tc>
            </w:tr>
          </w:tbl>
          <w:p w14:paraId="121836E4">
            <w:pPr>
              <w:pStyle w:val="12"/>
              <w:rPr>
                <w:rFonts w:hint="default"/>
                <w:color w:val="auto"/>
                <w:lang w:val="en-US" w:eastAsia="zh-CN"/>
              </w:rPr>
            </w:pPr>
          </w:p>
          <w:p w14:paraId="3CA73837">
            <w:pPr>
              <w:pStyle w:val="11"/>
              <w:rPr>
                <w:color w:val="auto"/>
              </w:rPr>
            </w:pPr>
          </w:p>
          <w:p w14:paraId="6B70A2D6">
            <w:pPr>
              <w:pStyle w:val="11"/>
              <w:rPr>
                <w:color w:val="auto"/>
              </w:rPr>
            </w:pPr>
          </w:p>
          <w:p w14:paraId="27008155">
            <w:pPr>
              <w:pStyle w:val="11"/>
              <w:rPr>
                <w:color w:val="auto"/>
              </w:rPr>
            </w:pPr>
          </w:p>
          <w:p w14:paraId="106F6728">
            <w:pPr>
              <w:pStyle w:val="11"/>
              <w:ind w:left="0" w:leftChars="0" w:firstLine="0" w:firstLineChars="0"/>
              <w:rPr>
                <w:color w:val="auto"/>
              </w:rPr>
            </w:pPr>
          </w:p>
          <w:p w14:paraId="21DF4C15">
            <w:pPr>
              <w:pStyle w:val="12"/>
              <w:rPr>
                <w:color w:val="auto"/>
              </w:rPr>
            </w:pPr>
          </w:p>
          <w:p w14:paraId="2BEE3868">
            <w:pPr>
              <w:pStyle w:val="12"/>
              <w:rPr>
                <w:color w:val="auto"/>
              </w:rPr>
            </w:pPr>
          </w:p>
          <w:p w14:paraId="3D8FB8CC">
            <w:pPr>
              <w:pStyle w:val="12"/>
              <w:rPr>
                <w:color w:val="auto"/>
              </w:rPr>
            </w:pPr>
          </w:p>
          <w:p w14:paraId="18F1C404">
            <w:pPr>
              <w:pStyle w:val="12"/>
              <w:rPr>
                <w:color w:val="auto"/>
              </w:rPr>
            </w:pPr>
          </w:p>
          <w:p w14:paraId="19AF475D">
            <w:pPr>
              <w:pStyle w:val="12"/>
              <w:rPr>
                <w:color w:val="auto"/>
              </w:rPr>
            </w:pPr>
          </w:p>
          <w:p w14:paraId="477FB6C6">
            <w:pPr>
              <w:pStyle w:val="12"/>
              <w:rPr>
                <w:color w:val="auto"/>
              </w:rPr>
            </w:pPr>
          </w:p>
          <w:p w14:paraId="572660F1">
            <w:pPr>
              <w:pStyle w:val="12"/>
              <w:rPr>
                <w:color w:val="auto"/>
              </w:rPr>
            </w:pPr>
          </w:p>
          <w:p w14:paraId="5197697F">
            <w:pPr>
              <w:pStyle w:val="12"/>
              <w:rPr>
                <w:color w:val="auto"/>
              </w:rPr>
            </w:pPr>
          </w:p>
          <w:p w14:paraId="16223AC7">
            <w:pPr>
              <w:pStyle w:val="12"/>
              <w:rPr>
                <w:color w:val="auto"/>
              </w:rPr>
            </w:pPr>
          </w:p>
          <w:p w14:paraId="325F7308">
            <w:pPr>
              <w:pStyle w:val="12"/>
              <w:rPr>
                <w:color w:val="auto"/>
              </w:rPr>
            </w:pPr>
          </w:p>
          <w:p w14:paraId="761A227A">
            <w:pPr>
              <w:pStyle w:val="12"/>
              <w:rPr>
                <w:color w:val="auto"/>
              </w:rPr>
            </w:pPr>
          </w:p>
          <w:p w14:paraId="11080DC3">
            <w:pPr>
              <w:pStyle w:val="12"/>
              <w:rPr>
                <w:color w:val="auto"/>
              </w:rPr>
            </w:pPr>
          </w:p>
          <w:p w14:paraId="02C9F369">
            <w:pPr>
              <w:pStyle w:val="12"/>
              <w:rPr>
                <w:color w:val="auto"/>
              </w:rPr>
            </w:pPr>
          </w:p>
          <w:p w14:paraId="421C52D5">
            <w:pPr>
              <w:pStyle w:val="12"/>
              <w:rPr>
                <w:color w:val="auto"/>
              </w:rPr>
            </w:pPr>
          </w:p>
          <w:p w14:paraId="2BEA995A">
            <w:pPr>
              <w:pStyle w:val="12"/>
              <w:rPr>
                <w:color w:val="auto"/>
              </w:rPr>
            </w:pPr>
          </w:p>
          <w:p w14:paraId="605A10A5">
            <w:pPr>
              <w:pStyle w:val="12"/>
              <w:rPr>
                <w:color w:val="auto"/>
              </w:rPr>
            </w:pPr>
          </w:p>
          <w:p w14:paraId="739CD9D6">
            <w:pPr>
              <w:pStyle w:val="12"/>
              <w:rPr>
                <w:color w:val="auto"/>
              </w:rPr>
            </w:pPr>
          </w:p>
          <w:p w14:paraId="02ED3670">
            <w:pPr>
              <w:pStyle w:val="12"/>
              <w:rPr>
                <w:color w:val="auto"/>
              </w:rPr>
            </w:pPr>
          </w:p>
          <w:p w14:paraId="3A88B4D8">
            <w:pPr>
              <w:pStyle w:val="12"/>
              <w:rPr>
                <w:color w:val="auto"/>
              </w:rPr>
            </w:pPr>
          </w:p>
          <w:p w14:paraId="7DCF3E60">
            <w:pPr>
              <w:pStyle w:val="12"/>
              <w:rPr>
                <w:color w:val="auto"/>
              </w:rPr>
            </w:pPr>
          </w:p>
          <w:p w14:paraId="040A0397">
            <w:pPr>
              <w:pStyle w:val="12"/>
              <w:rPr>
                <w:color w:val="auto"/>
              </w:rPr>
            </w:pPr>
          </w:p>
          <w:p w14:paraId="49B5690B">
            <w:pPr>
              <w:pStyle w:val="12"/>
              <w:rPr>
                <w:color w:val="auto"/>
              </w:rPr>
            </w:pPr>
          </w:p>
          <w:p w14:paraId="2EE156CA">
            <w:pPr>
              <w:pStyle w:val="12"/>
              <w:rPr>
                <w:color w:val="auto"/>
              </w:rPr>
            </w:pPr>
          </w:p>
          <w:p w14:paraId="7569809E">
            <w:pPr>
              <w:pStyle w:val="12"/>
              <w:rPr>
                <w:color w:val="auto"/>
              </w:rPr>
            </w:pPr>
          </w:p>
          <w:p w14:paraId="0338E5DC">
            <w:pPr>
              <w:pStyle w:val="12"/>
              <w:rPr>
                <w:color w:val="auto"/>
              </w:rPr>
            </w:pPr>
          </w:p>
          <w:p w14:paraId="67F47CF8">
            <w:pPr>
              <w:pStyle w:val="12"/>
              <w:rPr>
                <w:color w:val="auto"/>
              </w:rPr>
            </w:pPr>
          </w:p>
          <w:p w14:paraId="1E6B0177">
            <w:pPr>
              <w:pStyle w:val="12"/>
              <w:rPr>
                <w:color w:val="auto"/>
              </w:rPr>
            </w:pPr>
          </w:p>
          <w:p w14:paraId="20B88A1A">
            <w:pPr>
              <w:pStyle w:val="12"/>
              <w:rPr>
                <w:color w:val="auto"/>
              </w:rPr>
            </w:pPr>
          </w:p>
          <w:p w14:paraId="3A7150F9">
            <w:pPr>
              <w:pStyle w:val="12"/>
              <w:rPr>
                <w:color w:val="auto"/>
              </w:rPr>
            </w:pPr>
          </w:p>
          <w:p w14:paraId="192F003C">
            <w:pPr>
              <w:pStyle w:val="12"/>
              <w:rPr>
                <w:color w:val="auto"/>
              </w:rPr>
            </w:pPr>
          </w:p>
          <w:p w14:paraId="2D624021">
            <w:pPr>
              <w:pStyle w:val="12"/>
              <w:rPr>
                <w:color w:val="auto"/>
              </w:rPr>
            </w:pPr>
          </w:p>
          <w:p w14:paraId="56053251">
            <w:pPr>
              <w:pStyle w:val="12"/>
              <w:rPr>
                <w:color w:val="auto"/>
              </w:rPr>
            </w:pPr>
          </w:p>
          <w:p w14:paraId="308A8284">
            <w:pPr>
              <w:pStyle w:val="12"/>
              <w:rPr>
                <w:color w:val="auto"/>
              </w:rPr>
            </w:pPr>
          </w:p>
          <w:p w14:paraId="52DEC974">
            <w:pPr>
              <w:pStyle w:val="12"/>
              <w:rPr>
                <w:color w:val="auto"/>
              </w:rPr>
            </w:pPr>
          </w:p>
          <w:p w14:paraId="507D2356">
            <w:pPr>
              <w:pStyle w:val="12"/>
              <w:rPr>
                <w:color w:val="auto"/>
              </w:rPr>
            </w:pPr>
          </w:p>
          <w:p w14:paraId="19EC0311">
            <w:pPr>
              <w:pStyle w:val="12"/>
              <w:rPr>
                <w:color w:val="auto"/>
              </w:rPr>
            </w:pPr>
          </w:p>
          <w:p w14:paraId="053F3127">
            <w:pPr>
              <w:pStyle w:val="12"/>
              <w:rPr>
                <w:color w:val="auto"/>
              </w:rPr>
            </w:pPr>
          </w:p>
          <w:p w14:paraId="63D5A078">
            <w:pPr>
              <w:pStyle w:val="12"/>
              <w:rPr>
                <w:color w:val="auto"/>
              </w:rPr>
            </w:pPr>
          </w:p>
          <w:p w14:paraId="2823DF24">
            <w:pPr>
              <w:pStyle w:val="12"/>
              <w:rPr>
                <w:color w:val="auto"/>
              </w:rPr>
            </w:pPr>
          </w:p>
          <w:p w14:paraId="63FBCBED">
            <w:pPr>
              <w:pStyle w:val="12"/>
              <w:rPr>
                <w:color w:val="auto"/>
              </w:rPr>
            </w:pPr>
          </w:p>
          <w:p w14:paraId="57FE878F">
            <w:pPr>
              <w:pStyle w:val="12"/>
              <w:rPr>
                <w:color w:val="auto"/>
              </w:rPr>
            </w:pPr>
          </w:p>
          <w:p w14:paraId="3914D7EC">
            <w:pPr>
              <w:pStyle w:val="12"/>
              <w:rPr>
                <w:color w:val="auto"/>
              </w:rPr>
            </w:pPr>
          </w:p>
          <w:p w14:paraId="0BBEF7F5">
            <w:pPr>
              <w:pStyle w:val="12"/>
              <w:rPr>
                <w:color w:val="auto"/>
              </w:rPr>
            </w:pPr>
          </w:p>
          <w:p w14:paraId="239E6978">
            <w:pPr>
              <w:pStyle w:val="12"/>
              <w:rPr>
                <w:color w:val="auto"/>
              </w:rPr>
            </w:pPr>
          </w:p>
          <w:p w14:paraId="56A84055">
            <w:pPr>
              <w:pStyle w:val="12"/>
              <w:rPr>
                <w:color w:val="auto"/>
              </w:rPr>
            </w:pPr>
          </w:p>
          <w:p w14:paraId="611FC201">
            <w:pPr>
              <w:pStyle w:val="12"/>
              <w:rPr>
                <w:color w:val="auto"/>
              </w:rPr>
            </w:pPr>
          </w:p>
          <w:p w14:paraId="166C5FD0">
            <w:pPr>
              <w:pStyle w:val="12"/>
              <w:rPr>
                <w:color w:val="auto"/>
              </w:rPr>
            </w:pPr>
          </w:p>
          <w:p w14:paraId="3E706DD0">
            <w:pPr>
              <w:pStyle w:val="11"/>
              <w:ind w:left="0" w:leftChars="0" w:firstLine="0" w:firstLineChars="0"/>
              <w:rPr>
                <w:color w:val="auto"/>
              </w:rPr>
            </w:pPr>
          </w:p>
        </w:tc>
      </w:tr>
    </w:tbl>
    <w:p w14:paraId="25160E76">
      <w:pPr>
        <w:spacing w:line="360" w:lineRule="auto"/>
        <w:outlineLvl w:val="0"/>
        <w:rPr>
          <w:rFonts w:eastAsia="黑体"/>
          <w:color w:val="auto"/>
          <w:sz w:val="30"/>
        </w:rPr>
        <w:sectPr>
          <w:footerReference r:id="rId6" w:type="default"/>
          <w:pgSz w:w="11906" w:h="16838"/>
          <w:pgMar w:top="1701" w:right="1531" w:bottom="1701" w:left="1531" w:header="851" w:footer="1077" w:gutter="0"/>
          <w:pgBorders>
            <w:top w:val="none" w:sz="0" w:space="0"/>
            <w:left w:val="none" w:sz="0" w:space="0"/>
            <w:bottom w:val="none" w:sz="0" w:space="0"/>
            <w:right w:val="none" w:sz="0" w:space="0"/>
          </w:pgBorders>
          <w:pgNumType w:start="1"/>
          <w:cols w:space="720" w:num="1"/>
          <w:docGrid w:linePitch="312" w:charSpace="0"/>
        </w:sectPr>
      </w:pPr>
    </w:p>
    <w:p w14:paraId="738C3C08">
      <w:pPr>
        <w:pStyle w:val="24"/>
        <w:keepNext w:val="0"/>
        <w:keepLines w:val="0"/>
        <w:pageBreakBefore w:val="0"/>
        <w:widowControl/>
        <w:kinsoku/>
        <w:wordWrap/>
        <w:overflowPunct w:val="0"/>
        <w:topLinePunct w:val="0"/>
        <w:autoSpaceDE/>
        <w:autoSpaceDN/>
        <w:bidi w:val="0"/>
        <w:adjustRightInd/>
        <w:snapToGrid/>
        <w:spacing w:before="0" w:beforeAutospacing="0" w:after="0" w:afterAutospacing="0" w:line="480" w:lineRule="exact"/>
        <w:jc w:val="center"/>
        <w:textAlignment w:val="auto"/>
        <w:outlineLvl w:val="0"/>
        <w:rPr>
          <w:rFonts w:ascii="黑体" w:hAnsi="黑体" w:eastAsia="黑体"/>
          <w:snapToGrid w:val="0"/>
          <w:color w:val="auto"/>
          <w:sz w:val="30"/>
          <w:szCs w:val="30"/>
        </w:rPr>
      </w:pPr>
      <w:bookmarkStart w:id="35" w:name="_Toc32236"/>
      <w:bookmarkStart w:id="36" w:name="_Toc31277"/>
      <w:r>
        <w:rPr>
          <w:rFonts w:hint="eastAsia" w:ascii="黑体" w:hAnsi="黑体" w:eastAsia="黑体"/>
          <w:snapToGrid w:val="0"/>
          <w:color w:val="auto"/>
          <w:sz w:val="30"/>
          <w:szCs w:val="30"/>
        </w:rPr>
        <w:t>二、</w:t>
      </w:r>
      <w:r>
        <w:rPr>
          <w:rFonts w:ascii="微软雅黑" w:hAnsi="微软雅黑" w:eastAsia="微软雅黑" w:cs="微软雅黑"/>
          <w:spacing w:val="-10"/>
          <w:sz w:val="30"/>
          <w:szCs w:val="30"/>
        </w:rPr>
        <w:t>建设内容</w:t>
      </w:r>
      <w:bookmarkEnd w:id="35"/>
      <w:bookmarkEnd w:id="36"/>
    </w:p>
    <w:tbl>
      <w:tblPr>
        <w:tblStyle w:val="27"/>
        <w:tblW w:w="495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55"/>
        <w:gridCol w:w="8531"/>
      </w:tblGrid>
      <w:tr w14:paraId="22A532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3" w:type="pct"/>
            <w:noWrap w:val="0"/>
            <w:vAlign w:val="center"/>
          </w:tcPr>
          <w:p w14:paraId="3B4F706A">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jc w:val="center"/>
              <w:textAlignment w:val="auto"/>
              <w:rPr>
                <w:rFonts w:ascii="Times New Roman" w:hAnsi="Times New Roman"/>
                <w:color w:val="auto"/>
                <w:sz w:val="21"/>
                <w:szCs w:val="21"/>
                <w:highlight w:val="none"/>
              </w:rPr>
            </w:pPr>
            <w:r>
              <w:rPr>
                <w:color w:val="auto"/>
                <w:spacing w:val="-3"/>
              </w:rPr>
              <w:t>地理位置</w:t>
            </w:r>
          </w:p>
        </w:tc>
        <w:tc>
          <w:tcPr>
            <w:tcW w:w="4746" w:type="pct"/>
            <w:noWrap w:val="0"/>
            <w:vAlign w:val="top"/>
          </w:tcPr>
          <w:p w14:paraId="1E72B4A7">
            <w:pPr>
              <w:pStyle w:val="65"/>
              <w:keepNext w:val="0"/>
              <w:keepLines w:val="0"/>
              <w:pageBreakBefore w:val="0"/>
              <w:numPr>
                <w:ilvl w:val="0"/>
                <w:numId w:val="11"/>
              </w:numPr>
              <w:kinsoku/>
              <w:wordWrap/>
              <w:overflowPunct/>
              <w:topLinePunct w:val="0"/>
              <w:autoSpaceDE/>
              <w:autoSpaceDN/>
              <w:bidi w:val="0"/>
              <w:adjustRightInd w:val="0"/>
              <w:snapToGrid w:val="0"/>
              <w:spacing w:line="360" w:lineRule="auto"/>
              <w:ind w:left="425" w:leftChars="0" w:right="0" w:hanging="425" w:firstLineChars="0"/>
              <w:textAlignment w:val="auto"/>
              <w:rPr>
                <w:b/>
                <w:bCs/>
                <w:color w:val="auto"/>
                <w:sz w:val="24"/>
                <w:szCs w:val="24"/>
              </w:rPr>
            </w:pPr>
            <w:r>
              <w:rPr>
                <w:b/>
                <w:bCs/>
                <w:color w:val="auto"/>
                <w:spacing w:val="-6"/>
                <w:sz w:val="24"/>
                <w:szCs w:val="24"/>
              </w:rPr>
              <w:t>项目所在行政区域</w:t>
            </w:r>
          </w:p>
          <w:p w14:paraId="2239D04B">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548" w:firstLineChars="200"/>
              <w:textAlignment w:val="auto"/>
              <w:rPr>
                <w:rFonts w:hint="default" w:ascii="Times New Roman" w:hAnsi="Times New Roman" w:cs="Times New Roman"/>
                <w:color w:val="auto"/>
                <w:spacing w:val="17"/>
                <w:sz w:val="24"/>
                <w:szCs w:val="24"/>
              </w:rPr>
            </w:pPr>
            <w:r>
              <w:rPr>
                <w:rFonts w:hint="default" w:ascii="Times New Roman" w:hAnsi="Times New Roman" w:cs="Times New Roman"/>
                <w:color w:val="auto"/>
                <w:spacing w:val="17"/>
                <w:sz w:val="24"/>
                <w:szCs w:val="24"/>
              </w:rPr>
              <w:t>本项目位于</w:t>
            </w:r>
            <w:r>
              <w:rPr>
                <w:rFonts w:hint="default" w:ascii="Times New Roman" w:hAnsi="Times New Roman" w:eastAsia="宋体" w:cs="Times New Roman"/>
                <w:color w:val="auto"/>
                <w:sz w:val="24"/>
                <w:lang w:val="en-US" w:eastAsia="zh-CN"/>
              </w:rPr>
              <w:t>新疆昌吉回族自治州奇台县</w:t>
            </w:r>
            <w:r>
              <w:rPr>
                <w:rFonts w:hint="eastAsia"/>
                <w:color w:val="auto"/>
                <w:sz w:val="24"/>
                <w:szCs w:val="24"/>
                <w:lang w:val="en-US" w:eastAsia="zh-CN"/>
              </w:rPr>
              <w:t>县城</w:t>
            </w:r>
            <w:r>
              <w:rPr>
                <w:rFonts w:hint="default" w:ascii="Times New Roman" w:hAnsi="Times New Roman" w:cs="Times New Roman"/>
                <w:color w:val="auto"/>
                <w:spacing w:val="17"/>
                <w:sz w:val="24"/>
                <w:szCs w:val="24"/>
              </w:rPr>
              <w:t>。</w:t>
            </w:r>
          </w:p>
          <w:p w14:paraId="776DCAC3">
            <w:pPr>
              <w:pStyle w:val="65"/>
              <w:keepNext w:val="0"/>
              <w:keepLines w:val="0"/>
              <w:pageBreakBefore w:val="0"/>
              <w:numPr>
                <w:ilvl w:val="0"/>
                <w:numId w:val="11"/>
              </w:numPr>
              <w:kinsoku/>
              <w:wordWrap/>
              <w:overflowPunct/>
              <w:topLinePunct w:val="0"/>
              <w:autoSpaceDE/>
              <w:autoSpaceDN/>
              <w:bidi w:val="0"/>
              <w:adjustRightInd w:val="0"/>
              <w:snapToGrid w:val="0"/>
              <w:spacing w:line="360" w:lineRule="auto"/>
              <w:ind w:left="425" w:leftChars="0" w:right="0" w:hanging="425" w:firstLineChars="0"/>
              <w:textAlignment w:val="auto"/>
              <w:rPr>
                <w:b/>
                <w:bCs/>
                <w:color w:val="auto"/>
                <w:spacing w:val="-6"/>
                <w:sz w:val="24"/>
                <w:szCs w:val="24"/>
              </w:rPr>
            </w:pPr>
            <w:r>
              <w:rPr>
                <w:b/>
                <w:bCs/>
                <w:color w:val="auto"/>
                <w:spacing w:val="-6"/>
                <w:sz w:val="24"/>
                <w:szCs w:val="24"/>
              </w:rPr>
              <w:t>项目位置</w:t>
            </w:r>
          </w:p>
          <w:p w14:paraId="3E7ED668">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548" w:firstLineChars="200"/>
              <w:textAlignment w:val="auto"/>
              <w:rPr>
                <w:rFonts w:hint="eastAsia"/>
                <w:color w:val="auto"/>
                <w:spacing w:val="-1"/>
                <w:sz w:val="24"/>
                <w:szCs w:val="24"/>
              </w:rPr>
            </w:pPr>
            <w:r>
              <w:rPr>
                <w:rFonts w:hint="default" w:ascii="Times New Roman" w:hAnsi="Times New Roman" w:cs="Times New Roman"/>
                <w:color w:val="auto"/>
                <w:spacing w:val="17"/>
                <w:sz w:val="24"/>
                <w:szCs w:val="24"/>
              </w:rPr>
              <w:t>本次工程治理起点位于S303公路上游2.5km处(桩号57+600)，治理末点位于吉布库河穿城区末端(桩号69+000)，治理段长度为11.4km</w:t>
            </w:r>
            <w:r>
              <w:rPr>
                <w:rFonts w:hint="default" w:ascii="Times New Roman" w:hAnsi="Times New Roman" w:cs="Times New Roman"/>
                <w:color w:val="auto"/>
                <w:spacing w:val="-8"/>
                <w:sz w:val="24"/>
                <w:szCs w:val="24"/>
              </w:rPr>
              <w:t>。</w:t>
            </w:r>
            <w:r>
              <w:rPr>
                <w:rFonts w:hint="default" w:ascii="Times New Roman" w:hAnsi="Times New Roman" w:cs="Times New Roman"/>
                <w:color w:val="auto"/>
                <w:spacing w:val="-1"/>
                <w:sz w:val="24"/>
                <w:szCs w:val="24"/>
              </w:rPr>
              <w:t>项目区距奇台县约5km，距乌鲁木齐市210km。京新高速、170县道、303省道、准东大道及乡村公路均可满足场内、外交通要求，场内、外交通十分便利。</w:t>
            </w:r>
            <w:r>
              <w:rPr>
                <w:rFonts w:hint="eastAsia"/>
                <w:color w:val="auto"/>
                <w:spacing w:val="-1"/>
                <w:sz w:val="24"/>
                <w:szCs w:val="24"/>
              </w:rPr>
              <w:t>本次工程划分</w:t>
            </w:r>
            <w:r>
              <w:rPr>
                <w:rFonts w:hint="eastAsia" w:ascii="Times New Roman" w:hAnsi="Times New Roman" w:cs="Times New Roman"/>
                <w:color w:val="auto"/>
                <w:spacing w:val="-1"/>
                <w:sz w:val="24"/>
                <w:szCs w:val="24"/>
              </w:rPr>
              <w:t>为2个施工标、1</w:t>
            </w:r>
            <w:r>
              <w:rPr>
                <w:rFonts w:hint="eastAsia"/>
                <w:color w:val="auto"/>
                <w:spacing w:val="-1"/>
                <w:sz w:val="24"/>
                <w:szCs w:val="24"/>
              </w:rPr>
              <w:t>个监理标。</w:t>
            </w:r>
          </w:p>
          <w:p w14:paraId="085E05BE">
            <w:pPr>
              <w:keepNext w:val="0"/>
              <w:keepLines w:val="0"/>
              <w:pageBreakBefore w:val="0"/>
              <w:widowControl/>
              <w:numPr>
                <w:ilvl w:val="0"/>
                <w:numId w:val="12"/>
              </w:numPr>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b/>
                <w:bCs/>
                <w:color w:val="auto"/>
                <w:spacing w:val="-1"/>
                <w:sz w:val="24"/>
                <w:szCs w:val="24"/>
                <w:lang w:val="en-US" w:eastAsia="zh-CN"/>
              </w:rPr>
            </w:pPr>
            <w:r>
              <w:rPr>
                <w:rFonts w:hint="eastAsia"/>
                <w:b/>
                <w:bCs/>
                <w:color w:val="auto"/>
                <w:spacing w:val="-1"/>
                <w:sz w:val="24"/>
                <w:szCs w:val="24"/>
                <w:lang w:val="en-US" w:eastAsia="zh-CN"/>
              </w:rPr>
              <w:t>拟建工程标段划分表</w:t>
            </w:r>
          </w:p>
          <w:tbl>
            <w:tblPr>
              <w:tblStyle w:val="54"/>
              <w:tblW w:w="82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4"/>
              <w:gridCol w:w="1365"/>
              <w:gridCol w:w="2430"/>
              <w:gridCol w:w="2355"/>
              <w:gridCol w:w="1331"/>
              <w:gridCol w:w="3"/>
            </w:tblGrid>
            <w:tr w14:paraId="28CC2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302" w:hRule="atLeast"/>
              </w:trPr>
              <w:tc>
                <w:tcPr>
                  <w:tcW w:w="814" w:type="dxa"/>
                  <w:vAlign w:val="center"/>
                </w:tcPr>
                <w:p w14:paraId="630BEDF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5"/>
                      <w:sz w:val="21"/>
                      <w:szCs w:val="21"/>
                    </w:rPr>
                    <w:t>序号</w:t>
                  </w:r>
                </w:p>
              </w:tc>
              <w:tc>
                <w:tcPr>
                  <w:tcW w:w="1365" w:type="dxa"/>
                  <w:vAlign w:val="center"/>
                </w:tcPr>
                <w:p w14:paraId="0E7E14D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7"/>
                      <w:sz w:val="21"/>
                      <w:szCs w:val="21"/>
                    </w:rPr>
                    <w:t>标段名称</w:t>
                  </w:r>
                </w:p>
              </w:tc>
              <w:tc>
                <w:tcPr>
                  <w:tcW w:w="2430" w:type="dxa"/>
                  <w:vAlign w:val="center"/>
                </w:tcPr>
                <w:p w14:paraId="31323E5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sz w:val="21"/>
                      <w:szCs w:val="21"/>
                      <w:lang w:eastAsia="zh-CN"/>
                    </w:rPr>
                  </w:pPr>
                  <w:r>
                    <w:rPr>
                      <w:rFonts w:hint="eastAsia" w:ascii="Times New Roman" w:hAnsi="Times New Roman" w:cs="Times New Roman"/>
                      <w:b/>
                      <w:bCs/>
                      <w:color w:val="auto"/>
                      <w:spacing w:val="7"/>
                      <w:sz w:val="21"/>
                      <w:szCs w:val="21"/>
                      <w:lang w:val="en-US" w:eastAsia="zh-CN"/>
                    </w:rPr>
                    <w:t>坐标</w:t>
                  </w:r>
                  <w:r>
                    <w:rPr>
                      <w:rFonts w:hint="eastAsia" w:ascii="Times New Roman" w:hAnsi="Times New Roman" w:cs="Times New Roman"/>
                      <w:b/>
                      <w:bCs/>
                      <w:color w:val="auto"/>
                      <w:spacing w:val="7"/>
                      <w:sz w:val="21"/>
                      <w:szCs w:val="21"/>
                      <w:lang w:eastAsia="zh-CN"/>
                    </w:rPr>
                    <w:t>（</w:t>
                  </w:r>
                  <w:r>
                    <w:rPr>
                      <w:rFonts w:hint="default" w:ascii="Times New Roman" w:hAnsi="Times New Roman" w:cs="Times New Roman"/>
                      <w:b/>
                      <w:bCs/>
                      <w:color w:val="auto"/>
                      <w:spacing w:val="7"/>
                      <w:sz w:val="21"/>
                      <w:szCs w:val="21"/>
                    </w:rPr>
                    <w:t>起点桩号</w:t>
                  </w:r>
                  <w:r>
                    <w:rPr>
                      <w:rFonts w:hint="eastAsia" w:ascii="Times New Roman" w:hAnsi="Times New Roman" w:cs="Times New Roman"/>
                      <w:b/>
                      <w:bCs/>
                      <w:color w:val="auto"/>
                      <w:spacing w:val="7"/>
                      <w:sz w:val="21"/>
                      <w:szCs w:val="21"/>
                      <w:lang w:eastAsia="zh-CN"/>
                    </w:rPr>
                    <w:t>）</w:t>
                  </w:r>
                </w:p>
              </w:tc>
              <w:tc>
                <w:tcPr>
                  <w:tcW w:w="2355" w:type="dxa"/>
                  <w:vAlign w:val="center"/>
                </w:tcPr>
                <w:p w14:paraId="102A493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sz w:val="21"/>
                      <w:szCs w:val="21"/>
                    </w:rPr>
                  </w:pPr>
                  <w:r>
                    <w:rPr>
                      <w:rFonts w:hint="eastAsia" w:ascii="Times New Roman" w:hAnsi="Times New Roman" w:cs="Times New Roman"/>
                      <w:b/>
                      <w:bCs/>
                      <w:color w:val="auto"/>
                      <w:spacing w:val="7"/>
                      <w:sz w:val="21"/>
                      <w:szCs w:val="21"/>
                      <w:lang w:val="en-US" w:eastAsia="zh-CN"/>
                    </w:rPr>
                    <w:t>坐标（</w:t>
                  </w:r>
                  <w:r>
                    <w:rPr>
                      <w:rFonts w:hint="default" w:ascii="Times New Roman" w:hAnsi="Times New Roman" w:cs="Times New Roman"/>
                      <w:b/>
                      <w:bCs/>
                      <w:color w:val="auto"/>
                      <w:spacing w:val="7"/>
                      <w:sz w:val="21"/>
                      <w:szCs w:val="21"/>
                    </w:rPr>
                    <w:t>末点桩号</w:t>
                  </w:r>
                  <w:r>
                    <w:rPr>
                      <w:rFonts w:hint="eastAsia" w:ascii="Times New Roman" w:hAnsi="Times New Roman" w:cs="Times New Roman"/>
                      <w:b/>
                      <w:bCs/>
                      <w:color w:val="auto"/>
                      <w:spacing w:val="7"/>
                      <w:sz w:val="21"/>
                      <w:szCs w:val="21"/>
                      <w:lang w:val="en-US" w:eastAsia="zh-CN"/>
                    </w:rPr>
                    <w:t>）</w:t>
                  </w:r>
                </w:p>
              </w:tc>
              <w:tc>
                <w:tcPr>
                  <w:tcW w:w="1331" w:type="dxa"/>
                  <w:vAlign w:val="center"/>
                </w:tcPr>
                <w:p w14:paraId="104C771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长度（m）</w:t>
                  </w:r>
                </w:p>
              </w:tc>
            </w:tr>
            <w:tr w14:paraId="7872C4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8" w:hRule="atLeast"/>
              </w:trPr>
              <w:tc>
                <w:tcPr>
                  <w:tcW w:w="814" w:type="dxa"/>
                  <w:vMerge w:val="restart"/>
                  <w:tcBorders>
                    <w:bottom w:val="nil"/>
                  </w:tcBorders>
                  <w:vAlign w:val="center"/>
                </w:tcPr>
                <w:p w14:paraId="185551E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1"/>
                      <w:sz w:val="21"/>
                      <w:szCs w:val="21"/>
                    </w:rPr>
                    <w:t>1</w:t>
                  </w:r>
                </w:p>
              </w:tc>
              <w:tc>
                <w:tcPr>
                  <w:tcW w:w="1365" w:type="dxa"/>
                  <w:vMerge w:val="restart"/>
                  <w:tcBorders>
                    <w:bottom w:val="nil"/>
                  </w:tcBorders>
                  <w:vAlign w:val="center"/>
                </w:tcPr>
                <w:p w14:paraId="69FC228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第一标段</w:t>
                  </w:r>
                </w:p>
              </w:tc>
              <w:tc>
                <w:tcPr>
                  <w:tcW w:w="2430" w:type="dxa"/>
                  <w:vAlign w:val="center"/>
                </w:tcPr>
                <w:p w14:paraId="156CF07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lang w:eastAsia="zh-CN"/>
                    </w:rPr>
                  </w:pPr>
                  <w:r>
                    <w:rPr>
                      <w:rFonts w:hint="default" w:ascii="Times New Roman" w:hAnsi="Times New Roman" w:cs="Times New Roman"/>
                      <w:color w:val="auto"/>
                      <w:spacing w:val="4"/>
                      <w:sz w:val="21"/>
                      <w:szCs w:val="21"/>
                      <w:lang w:eastAsia="zh-CN"/>
                    </w:rPr>
                    <w:t>89°35′20.36632″</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lang w:eastAsia="zh-CN"/>
                    </w:rPr>
                    <w:t>43°57′56.32980″</w:t>
                  </w:r>
                </w:p>
                <w:p w14:paraId="7DDC7F8A">
                  <w:pPr>
                    <w:pStyle w:val="65"/>
                    <w:keepNext w:val="0"/>
                    <w:keepLines w:val="0"/>
                    <w:pageBreakBefore w:val="0"/>
                    <w:widowControl w:val="0"/>
                    <w:kinsoku/>
                    <w:wordWrap/>
                    <w:overflowPunct/>
                    <w:topLinePunct w:val="0"/>
                    <w:autoSpaceDE/>
                    <w:autoSpaceDN/>
                    <w:bidi w:val="0"/>
                    <w:adjustRightInd w:val="0"/>
                    <w:snapToGrid w:val="0"/>
                    <w:spacing w:line="240" w:lineRule="auto"/>
                    <w:ind w:firstLine="436" w:firstLineChars="200"/>
                    <w:jc w:val="both"/>
                    <w:textAlignment w:val="auto"/>
                    <w:rPr>
                      <w:rFonts w:hint="eastAsia" w:ascii="Times New Roman" w:hAnsi="Times New Roman" w:eastAsia="宋体" w:cs="Times New Roman"/>
                      <w:color w:val="auto"/>
                      <w:spacing w:val="4"/>
                      <w:sz w:val="21"/>
                      <w:szCs w:val="21"/>
                      <w:lang w:eastAsia="zh-CN"/>
                    </w:rPr>
                  </w:pP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Z57+600.000</w:t>
                  </w:r>
                  <w:r>
                    <w:rPr>
                      <w:rFonts w:hint="eastAsia" w:ascii="Times New Roman" w:hAnsi="Times New Roman" w:cs="Times New Roman"/>
                      <w:color w:val="auto"/>
                      <w:spacing w:val="4"/>
                      <w:sz w:val="21"/>
                      <w:szCs w:val="21"/>
                      <w:lang w:eastAsia="zh-CN"/>
                    </w:rPr>
                    <w:t>）</w:t>
                  </w:r>
                </w:p>
              </w:tc>
              <w:tc>
                <w:tcPr>
                  <w:tcW w:w="2355" w:type="dxa"/>
                  <w:vAlign w:val="center"/>
                </w:tcPr>
                <w:p w14:paraId="04A8116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89°35′29.42021″</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43°58′15.30722″</w:t>
                  </w:r>
                </w:p>
                <w:p w14:paraId="0EA36E4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Z58+294.000</w:t>
                  </w:r>
                  <w:r>
                    <w:rPr>
                      <w:rFonts w:hint="eastAsia" w:ascii="Times New Roman" w:hAnsi="Times New Roman" w:cs="Times New Roman"/>
                      <w:color w:val="auto"/>
                      <w:spacing w:val="4"/>
                      <w:sz w:val="21"/>
                      <w:szCs w:val="21"/>
                      <w:lang w:eastAsia="zh-CN"/>
                    </w:rPr>
                    <w:t>）</w:t>
                  </w:r>
                </w:p>
              </w:tc>
              <w:tc>
                <w:tcPr>
                  <w:tcW w:w="1331" w:type="dxa"/>
                  <w:vAlign w:val="center"/>
                </w:tcPr>
                <w:p w14:paraId="7942B81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694</w:t>
                  </w:r>
                </w:p>
              </w:tc>
            </w:tr>
            <w:tr w14:paraId="08538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9" w:hRule="atLeast"/>
              </w:trPr>
              <w:tc>
                <w:tcPr>
                  <w:tcW w:w="814" w:type="dxa"/>
                  <w:vMerge w:val="continue"/>
                  <w:tcBorders>
                    <w:top w:val="nil"/>
                    <w:bottom w:val="nil"/>
                  </w:tcBorders>
                  <w:vAlign w:val="center"/>
                </w:tcPr>
                <w:p w14:paraId="54BB243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1365" w:type="dxa"/>
                  <w:vMerge w:val="continue"/>
                  <w:tcBorders>
                    <w:top w:val="nil"/>
                    <w:bottom w:val="nil"/>
                  </w:tcBorders>
                  <w:vAlign w:val="center"/>
                </w:tcPr>
                <w:p w14:paraId="4ACB5F4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2430" w:type="dxa"/>
                  <w:vAlign w:val="center"/>
                </w:tcPr>
                <w:p w14:paraId="1BDDDC8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lang w:eastAsia="zh-CN"/>
                    </w:rPr>
                  </w:pPr>
                  <w:r>
                    <w:rPr>
                      <w:rFonts w:hint="default" w:ascii="Times New Roman" w:hAnsi="Times New Roman" w:cs="Times New Roman"/>
                      <w:color w:val="auto"/>
                      <w:spacing w:val="4"/>
                      <w:sz w:val="21"/>
                      <w:szCs w:val="21"/>
                      <w:lang w:eastAsia="zh-CN"/>
                    </w:rPr>
                    <w:t>89°35′20.96329″</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lang w:eastAsia="zh-CN"/>
                    </w:rPr>
                    <w:t>43°57′56.30846″</w:t>
                  </w:r>
                </w:p>
                <w:p w14:paraId="72AC547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lang w:eastAsia="zh-CN"/>
                    </w:rPr>
                  </w:pPr>
                  <w:r>
                    <w:rPr>
                      <w:rFonts w:hint="default" w:ascii="Times New Roman" w:hAnsi="Times New Roman" w:cs="Times New Roman"/>
                      <w:color w:val="auto"/>
                      <w:spacing w:val="4"/>
                      <w:sz w:val="21"/>
                      <w:szCs w:val="21"/>
                      <w:lang w:eastAsia="zh-CN"/>
                    </w:rPr>
                    <w:t>（Y57+600.000）</w:t>
                  </w:r>
                </w:p>
              </w:tc>
              <w:tc>
                <w:tcPr>
                  <w:tcW w:w="2355" w:type="dxa"/>
                  <w:vAlign w:val="center"/>
                </w:tcPr>
                <w:p w14:paraId="7E527F2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lang w:eastAsia="zh-CN"/>
                    </w:rPr>
                  </w:pPr>
                  <w:r>
                    <w:rPr>
                      <w:rFonts w:hint="default" w:ascii="Times New Roman" w:hAnsi="Times New Roman" w:cs="Times New Roman"/>
                      <w:color w:val="auto"/>
                      <w:spacing w:val="4"/>
                      <w:sz w:val="21"/>
                      <w:szCs w:val="21"/>
                      <w:lang w:eastAsia="zh-CN"/>
                    </w:rPr>
                    <w:t>89°35′30.12273″</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lang w:eastAsia="zh-CN"/>
                    </w:rPr>
                    <w:t>43°58′15.35301″</w:t>
                  </w:r>
                </w:p>
                <w:p w14:paraId="4204B7B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lang w:eastAsia="zh-CN"/>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lang w:eastAsia="zh-CN"/>
                    </w:rPr>
                    <w:t>Y58+298.000</w:t>
                  </w:r>
                  <w:r>
                    <w:rPr>
                      <w:rFonts w:hint="eastAsia" w:ascii="Times New Roman" w:hAnsi="Times New Roman" w:cs="Times New Roman"/>
                      <w:color w:val="auto"/>
                      <w:spacing w:val="4"/>
                      <w:sz w:val="21"/>
                      <w:szCs w:val="21"/>
                      <w:lang w:val="en-US" w:eastAsia="zh-CN"/>
                    </w:rPr>
                    <w:t>)</w:t>
                  </w:r>
                </w:p>
              </w:tc>
              <w:tc>
                <w:tcPr>
                  <w:tcW w:w="1331" w:type="dxa"/>
                  <w:vAlign w:val="center"/>
                </w:tcPr>
                <w:p w14:paraId="7A205C8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698</w:t>
                  </w:r>
                </w:p>
              </w:tc>
            </w:tr>
            <w:tr w14:paraId="7EBFA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9" w:hRule="atLeast"/>
              </w:trPr>
              <w:tc>
                <w:tcPr>
                  <w:tcW w:w="814" w:type="dxa"/>
                  <w:vMerge w:val="continue"/>
                  <w:tcBorders>
                    <w:top w:val="nil"/>
                    <w:bottom w:val="nil"/>
                  </w:tcBorders>
                  <w:vAlign w:val="center"/>
                </w:tcPr>
                <w:p w14:paraId="41F941A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1365" w:type="dxa"/>
                  <w:vMerge w:val="continue"/>
                  <w:tcBorders>
                    <w:top w:val="nil"/>
                    <w:bottom w:val="nil"/>
                  </w:tcBorders>
                  <w:vAlign w:val="center"/>
                </w:tcPr>
                <w:p w14:paraId="2FD675B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2430" w:type="dxa"/>
                  <w:vAlign w:val="center"/>
                </w:tcPr>
                <w:p w14:paraId="3A7947C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89°35′28.86438″</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43°58′15.96424″</w:t>
                  </w:r>
                </w:p>
                <w:p w14:paraId="60900C1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Z58+300.000</w:t>
                  </w:r>
                  <w:r>
                    <w:rPr>
                      <w:rFonts w:hint="eastAsia" w:ascii="Times New Roman" w:hAnsi="Times New Roman" w:cs="Times New Roman"/>
                      <w:color w:val="auto"/>
                      <w:spacing w:val="4"/>
                      <w:sz w:val="21"/>
                      <w:szCs w:val="21"/>
                      <w:lang w:eastAsia="zh-CN"/>
                    </w:rPr>
                    <w:t>）</w:t>
                  </w:r>
                </w:p>
              </w:tc>
              <w:tc>
                <w:tcPr>
                  <w:tcW w:w="2355" w:type="dxa"/>
                  <w:vAlign w:val="center"/>
                </w:tcPr>
                <w:p w14:paraId="20A0092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lang w:eastAsia="zh-CN"/>
                    </w:rPr>
                  </w:pPr>
                  <w:r>
                    <w:rPr>
                      <w:rFonts w:hint="default" w:ascii="Times New Roman" w:hAnsi="Times New Roman" w:cs="Times New Roman"/>
                      <w:color w:val="auto"/>
                      <w:spacing w:val="4"/>
                      <w:sz w:val="21"/>
                      <w:szCs w:val="21"/>
                      <w:lang w:eastAsia="zh-CN"/>
                    </w:rPr>
                    <w:t>89°34′52.69806″</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lang w:eastAsia="zh-CN"/>
                    </w:rPr>
                    <w:t>43°59′45.10444″</w:t>
                  </w:r>
                </w:p>
                <w:p w14:paraId="358B74B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Z61+510.000</w:t>
                  </w:r>
                  <w:r>
                    <w:rPr>
                      <w:rFonts w:hint="eastAsia" w:ascii="Times New Roman" w:hAnsi="Times New Roman" w:cs="Times New Roman"/>
                      <w:color w:val="auto"/>
                      <w:spacing w:val="4"/>
                      <w:sz w:val="21"/>
                      <w:szCs w:val="21"/>
                      <w:lang w:eastAsia="zh-CN"/>
                    </w:rPr>
                    <w:t>）</w:t>
                  </w:r>
                </w:p>
              </w:tc>
              <w:tc>
                <w:tcPr>
                  <w:tcW w:w="1331" w:type="dxa"/>
                  <w:vAlign w:val="center"/>
                </w:tcPr>
                <w:p w14:paraId="0C91505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3210</w:t>
                  </w:r>
                </w:p>
              </w:tc>
            </w:tr>
            <w:tr w14:paraId="47F59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9" w:hRule="atLeast"/>
              </w:trPr>
              <w:tc>
                <w:tcPr>
                  <w:tcW w:w="814" w:type="dxa"/>
                  <w:vMerge w:val="continue"/>
                  <w:tcBorders>
                    <w:top w:val="nil"/>
                    <w:bottom w:val="nil"/>
                  </w:tcBorders>
                  <w:vAlign w:val="center"/>
                </w:tcPr>
                <w:p w14:paraId="325A494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1365" w:type="dxa"/>
                  <w:vMerge w:val="continue"/>
                  <w:tcBorders>
                    <w:top w:val="nil"/>
                    <w:bottom w:val="nil"/>
                  </w:tcBorders>
                  <w:vAlign w:val="center"/>
                </w:tcPr>
                <w:p w14:paraId="464689E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2430" w:type="dxa"/>
                  <w:vAlign w:val="center"/>
                </w:tcPr>
                <w:p w14:paraId="6F479AE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89°35′30.54577″</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43°58′16.20186″</w:t>
                  </w:r>
                </w:p>
                <w:p w14:paraId="1129323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Y58+300.000</w:t>
                  </w:r>
                  <w:r>
                    <w:rPr>
                      <w:rFonts w:hint="eastAsia" w:ascii="Times New Roman" w:hAnsi="Times New Roman" w:cs="Times New Roman"/>
                      <w:color w:val="auto"/>
                      <w:spacing w:val="4"/>
                      <w:sz w:val="21"/>
                      <w:szCs w:val="21"/>
                      <w:lang w:val="en-US" w:eastAsia="zh-CN"/>
                    </w:rPr>
                    <w:t>)</w:t>
                  </w:r>
                </w:p>
              </w:tc>
              <w:tc>
                <w:tcPr>
                  <w:tcW w:w="2355" w:type="dxa"/>
                  <w:vAlign w:val="center"/>
                </w:tcPr>
                <w:p w14:paraId="0D887F2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89°34′54.35168″</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43°59′45.70223″</w:t>
                  </w:r>
                </w:p>
                <w:p w14:paraId="5169FE2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Y61+542.000</w:t>
                  </w:r>
                  <w:r>
                    <w:rPr>
                      <w:rFonts w:hint="eastAsia" w:ascii="Times New Roman" w:hAnsi="Times New Roman" w:cs="Times New Roman"/>
                      <w:color w:val="auto"/>
                      <w:spacing w:val="4"/>
                      <w:sz w:val="21"/>
                      <w:szCs w:val="21"/>
                      <w:lang w:val="en-US" w:eastAsia="zh-CN"/>
                    </w:rPr>
                    <w:t>)</w:t>
                  </w:r>
                </w:p>
              </w:tc>
              <w:tc>
                <w:tcPr>
                  <w:tcW w:w="1331" w:type="dxa"/>
                  <w:vAlign w:val="center"/>
                </w:tcPr>
                <w:p w14:paraId="3B0F0C7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3242</w:t>
                  </w:r>
                </w:p>
              </w:tc>
            </w:tr>
            <w:tr w14:paraId="33721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9" w:hRule="atLeast"/>
              </w:trPr>
              <w:tc>
                <w:tcPr>
                  <w:tcW w:w="814" w:type="dxa"/>
                  <w:vMerge w:val="continue"/>
                  <w:tcBorders>
                    <w:top w:val="nil"/>
                    <w:bottom w:val="nil"/>
                  </w:tcBorders>
                  <w:vAlign w:val="center"/>
                </w:tcPr>
                <w:p w14:paraId="2456DFD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1365" w:type="dxa"/>
                  <w:vMerge w:val="continue"/>
                  <w:tcBorders>
                    <w:top w:val="nil"/>
                    <w:bottom w:val="nil"/>
                  </w:tcBorders>
                  <w:vAlign w:val="center"/>
                </w:tcPr>
                <w:p w14:paraId="5484DF3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2430" w:type="dxa"/>
                  <w:vAlign w:val="center"/>
                </w:tcPr>
                <w:p w14:paraId="71B2310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89°34′51.73009″</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43°59′45.98226″</w:t>
                  </w:r>
                </w:p>
                <w:p w14:paraId="61B3F1E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Z61+550.000</w:t>
                  </w:r>
                  <w:r>
                    <w:rPr>
                      <w:rFonts w:hint="eastAsia" w:ascii="Times New Roman" w:hAnsi="Times New Roman" w:cs="Times New Roman"/>
                      <w:color w:val="auto"/>
                      <w:spacing w:val="4"/>
                      <w:sz w:val="21"/>
                      <w:szCs w:val="21"/>
                      <w:lang w:val="en-US" w:eastAsia="zh-CN"/>
                    </w:rPr>
                    <w:t>)</w:t>
                  </w:r>
                </w:p>
              </w:tc>
              <w:tc>
                <w:tcPr>
                  <w:tcW w:w="2355" w:type="dxa"/>
                  <w:vAlign w:val="center"/>
                </w:tcPr>
                <w:p w14:paraId="21077D6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89°34′34.38012″</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43°59′58.93392″</w:t>
                  </w:r>
                </w:p>
                <w:p w14:paraId="0340186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Z62+119.000</w:t>
                  </w:r>
                  <w:r>
                    <w:rPr>
                      <w:rFonts w:hint="eastAsia" w:ascii="Times New Roman" w:hAnsi="Times New Roman" w:cs="Times New Roman"/>
                      <w:color w:val="auto"/>
                      <w:spacing w:val="4"/>
                      <w:sz w:val="21"/>
                      <w:szCs w:val="21"/>
                      <w:lang w:val="en-US" w:eastAsia="zh-CN"/>
                    </w:rPr>
                    <w:t>)</w:t>
                  </w:r>
                </w:p>
              </w:tc>
              <w:tc>
                <w:tcPr>
                  <w:tcW w:w="1331" w:type="dxa"/>
                  <w:vAlign w:val="center"/>
                </w:tcPr>
                <w:p w14:paraId="5FA94D4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569</w:t>
                  </w:r>
                </w:p>
              </w:tc>
            </w:tr>
            <w:tr w14:paraId="64629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9" w:hRule="atLeast"/>
              </w:trPr>
              <w:tc>
                <w:tcPr>
                  <w:tcW w:w="814" w:type="dxa"/>
                  <w:vMerge w:val="continue"/>
                  <w:tcBorders>
                    <w:top w:val="nil"/>
                  </w:tcBorders>
                  <w:vAlign w:val="center"/>
                </w:tcPr>
                <w:p w14:paraId="1542205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1365" w:type="dxa"/>
                  <w:vMerge w:val="continue"/>
                  <w:tcBorders>
                    <w:top w:val="nil"/>
                  </w:tcBorders>
                  <w:vAlign w:val="center"/>
                </w:tcPr>
                <w:p w14:paraId="24574A9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2430" w:type="dxa"/>
                  <w:vAlign w:val="center"/>
                </w:tcPr>
                <w:p w14:paraId="27BE672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89°34′50.49492″</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43°59′48.06305″</w:t>
                  </w:r>
                </w:p>
                <w:p w14:paraId="0F0DA60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Y61+600.000</w:t>
                  </w:r>
                  <w:r>
                    <w:rPr>
                      <w:rFonts w:hint="eastAsia" w:ascii="Times New Roman" w:hAnsi="Times New Roman" w:cs="Times New Roman"/>
                      <w:color w:val="auto"/>
                      <w:spacing w:val="4"/>
                      <w:sz w:val="21"/>
                      <w:szCs w:val="21"/>
                      <w:lang w:val="en-US" w:eastAsia="zh-CN"/>
                    </w:rPr>
                    <w:t>)</w:t>
                  </w:r>
                </w:p>
              </w:tc>
              <w:tc>
                <w:tcPr>
                  <w:tcW w:w="2355" w:type="dxa"/>
                  <w:vAlign w:val="center"/>
                </w:tcPr>
                <w:p w14:paraId="0755939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lang w:val="en-US" w:eastAsia="zh-CN"/>
                    </w:rPr>
                  </w:pPr>
                  <w:r>
                    <w:rPr>
                      <w:rFonts w:hint="default" w:ascii="Times New Roman" w:hAnsi="Times New Roman" w:cs="Times New Roman"/>
                      <w:color w:val="auto"/>
                      <w:spacing w:val="4"/>
                      <w:sz w:val="21"/>
                      <w:szCs w:val="21"/>
                      <w:lang w:val="en-US" w:eastAsia="zh-CN"/>
                    </w:rPr>
                    <w:t>89°34′34.57527″</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lang w:val="en-US" w:eastAsia="zh-CN"/>
                    </w:rPr>
                    <w:t>44°0′0.09028″</w:t>
                  </w:r>
                </w:p>
                <w:p w14:paraId="2D3A186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Y62+125.000</w:t>
                  </w:r>
                  <w:r>
                    <w:rPr>
                      <w:rFonts w:hint="eastAsia" w:ascii="Times New Roman" w:hAnsi="Times New Roman" w:cs="Times New Roman"/>
                      <w:color w:val="auto"/>
                      <w:spacing w:val="4"/>
                      <w:sz w:val="21"/>
                      <w:szCs w:val="21"/>
                      <w:lang w:val="en-US" w:eastAsia="zh-CN"/>
                    </w:rPr>
                    <w:t>)</w:t>
                  </w:r>
                </w:p>
              </w:tc>
              <w:tc>
                <w:tcPr>
                  <w:tcW w:w="1331" w:type="dxa"/>
                  <w:vAlign w:val="center"/>
                </w:tcPr>
                <w:p w14:paraId="3FA2ABF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525</w:t>
                  </w:r>
                </w:p>
              </w:tc>
            </w:tr>
            <w:tr w14:paraId="652CC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9" w:hRule="atLeast"/>
              </w:trPr>
              <w:tc>
                <w:tcPr>
                  <w:tcW w:w="814" w:type="dxa"/>
                  <w:vMerge w:val="restart"/>
                  <w:tcBorders>
                    <w:bottom w:val="nil"/>
                  </w:tcBorders>
                  <w:vAlign w:val="center"/>
                </w:tcPr>
                <w:p w14:paraId="550D8E9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1"/>
                      <w:sz w:val="21"/>
                      <w:szCs w:val="21"/>
                    </w:rPr>
                    <w:t>2</w:t>
                  </w:r>
                </w:p>
              </w:tc>
              <w:tc>
                <w:tcPr>
                  <w:tcW w:w="1365" w:type="dxa"/>
                  <w:vMerge w:val="restart"/>
                  <w:tcBorders>
                    <w:bottom w:val="nil"/>
                  </w:tcBorders>
                  <w:vAlign w:val="center"/>
                </w:tcPr>
                <w:p w14:paraId="193D8EE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第二标段</w:t>
                  </w:r>
                </w:p>
              </w:tc>
              <w:tc>
                <w:tcPr>
                  <w:tcW w:w="2430" w:type="dxa"/>
                  <w:vAlign w:val="center"/>
                </w:tcPr>
                <w:p w14:paraId="369BF2F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89°34′33.59988″</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43°59′59.78157″</w:t>
                  </w:r>
                </w:p>
                <w:p w14:paraId="4152CCA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Z62+130.000</w:t>
                  </w:r>
                  <w:r>
                    <w:rPr>
                      <w:rFonts w:hint="eastAsia" w:ascii="Times New Roman" w:hAnsi="Times New Roman" w:cs="Times New Roman"/>
                      <w:color w:val="auto"/>
                      <w:spacing w:val="4"/>
                      <w:sz w:val="21"/>
                      <w:szCs w:val="21"/>
                      <w:lang w:val="en-US" w:eastAsia="zh-CN"/>
                    </w:rPr>
                    <w:t>)</w:t>
                  </w:r>
                </w:p>
              </w:tc>
              <w:tc>
                <w:tcPr>
                  <w:tcW w:w="2355" w:type="dxa"/>
                  <w:vAlign w:val="center"/>
                </w:tcPr>
                <w:p w14:paraId="06DE6FD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89°34′26.49667″</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44°0′6.53295″</w:t>
                  </w:r>
                </w:p>
                <w:p w14:paraId="1B4CCC7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Z62+393.000</w:t>
                  </w:r>
                  <w:r>
                    <w:rPr>
                      <w:rFonts w:hint="eastAsia" w:ascii="Times New Roman" w:hAnsi="Times New Roman" w:cs="Times New Roman"/>
                      <w:color w:val="auto"/>
                      <w:spacing w:val="4"/>
                      <w:sz w:val="21"/>
                      <w:szCs w:val="21"/>
                      <w:lang w:val="en-US" w:eastAsia="zh-CN"/>
                    </w:rPr>
                    <w:t>)</w:t>
                  </w:r>
                </w:p>
              </w:tc>
              <w:tc>
                <w:tcPr>
                  <w:tcW w:w="1331" w:type="dxa"/>
                  <w:vAlign w:val="center"/>
                </w:tcPr>
                <w:p w14:paraId="71DCE85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263</w:t>
                  </w:r>
                </w:p>
              </w:tc>
            </w:tr>
            <w:tr w14:paraId="274C99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9" w:hRule="atLeast"/>
              </w:trPr>
              <w:tc>
                <w:tcPr>
                  <w:tcW w:w="814" w:type="dxa"/>
                  <w:vMerge w:val="continue"/>
                  <w:tcBorders>
                    <w:top w:val="nil"/>
                    <w:bottom w:val="nil"/>
                  </w:tcBorders>
                  <w:vAlign w:val="center"/>
                </w:tcPr>
                <w:p w14:paraId="2A85BCB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1365" w:type="dxa"/>
                  <w:vMerge w:val="continue"/>
                  <w:tcBorders>
                    <w:top w:val="nil"/>
                    <w:bottom w:val="nil"/>
                  </w:tcBorders>
                  <w:vAlign w:val="center"/>
                </w:tcPr>
                <w:p w14:paraId="72C7CA8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2430" w:type="dxa"/>
                  <w:vAlign w:val="center"/>
                </w:tcPr>
                <w:p w14:paraId="66B2A82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89°34′33.92077″</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44°0′1.38780″</w:t>
                  </w:r>
                </w:p>
                <w:p w14:paraId="698B188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Y62+150.000</w:t>
                  </w:r>
                  <w:r>
                    <w:rPr>
                      <w:rFonts w:hint="eastAsia" w:ascii="Times New Roman" w:hAnsi="Times New Roman" w:cs="Times New Roman"/>
                      <w:color w:val="auto"/>
                      <w:spacing w:val="4"/>
                      <w:sz w:val="21"/>
                      <w:szCs w:val="21"/>
                      <w:lang w:val="en-US" w:eastAsia="zh-CN"/>
                    </w:rPr>
                    <w:t>)</w:t>
                  </w:r>
                </w:p>
              </w:tc>
              <w:tc>
                <w:tcPr>
                  <w:tcW w:w="2355" w:type="dxa"/>
                  <w:vAlign w:val="center"/>
                </w:tcPr>
                <w:p w14:paraId="7512D43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89°34′27.98747″</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44°0′6.75831″</w:t>
                  </w:r>
                </w:p>
                <w:p w14:paraId="330A065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Y62+363.000</w:t>
                  </w:r>
                  <w:r>
                    <w:rPr>
                      <w:rFonts w:hint="eastAsia" w:ascii="Times New Roman" w:hAnsi="Times New Roman" w:cs="Times New Roman"/>
                      <w:color w:val="auto"/>
                      <w:spacing w:val="4"/>
                      <w:sz w:val="21"/>
                      <w:szCs w:val="21"/>
                      <w:lang w:val="en-US" w:eastAsia="zh-CN"/>
                    </w:rPr>
                    <w:t>)</w:t>
                  </w:r>
                </w:p>
              </w:tc>
              <w:tc>
                <w:tcPr>
                  <w:tcW w:w="1331" w:type="dxa"/>
                  <w:vAlign w:val="center"/>
                </w:tcPr>
                <w:p w14:paraId="1506772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213</w:t>
                  </w:r>
                </w:p>
              </w:tc>
            </w:tr>
            <w:tr w14:paraId="02C0D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9" w:hRule="atLeast"/>
              </w:trPr>
              <w:tc>
                <w:tcPr>
                  <w:tcW w:w="814" w:type="dxa"/>
                  <w:vMerge w:val="continue"/>
                  <w:tcBorders>
                    <w:top w:val="nil"/>
                    <w:bottom w:val="nil"/>
                  </w:tcBorders>
                  <w:vAlign w:val="center"/>
                </w:tcPr>
                <w:p w14:paraId="2126AA5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1365" w:type="dxa"/>
                  <w:vMerge w:val="continue"/>
                  <w:tcBorders>
                    <w:top w:val="nil"/>
                    <w:bottom w:val="nil"/>
                  </w:tcBorders>
                  <w:vAlign w:val="center"/>
                </w:tcPr>
                <w:p w14:paraId="0D2961A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2430" w:type="dxa"/>
                  <w:vAlign w:val="center"/>
                </w:tcPr>
                <w:p w14:paraId="2168DFD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89°34′20.47996″</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44°0′10.39860″</w:t>
                  </w:r>
                </w:p>
                <w:p w14:paraId="26CFA2D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Z62+590.000</w:t>
                  </w:r>
                  <w:r>
                    <w:rPr>
                      <w:rFonts w:hint="eastAsia" w:ascii="Times New Roman" w:hAnsi="Times New Roman" w:cs="Times New Roman"/>
                      <w:color w:val="auto"/>
                      <w:spacing w:val="4"/>
                      <w:sz w:val="21"/>
                      <w:szCs w:val="21"/>
                      <w:lang w:val="en-US" w:eastAsia="zh-CN"/>
                    </w:rPr>
                    <w:t>)</w:t>
                  </w:r>
                </w:p>
              </w:tc>
              <w:tc>
                <w:tcPr>
                  <w:tcW w:w="2355" w:type="dxa"/>
                  <w:vAlign w:val="center"/>
                </w:tcPr>
                <w:p w14:paraId="427412C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89°33′19.14535″</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44°1′21.74643″</w:t>
                  </w:r>
                </w:p>
                <w:p w14:paraId="1F7683D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Z65+280.000</w:t>
                  </w:r>
                  <w:r>
                    <w:rPr>
                      <w:rFonts w:hint="eastAsia" w:ascii="Times New Roman" w:hAnsi="Times New Roman" w:cs="Times New Roman"/>
                      <w:color w:val="auto"/>
                      <w:spacing w:val="4"/>
                      <w:sz w:val="21"/>
                      <w:szCs w:val="21"/>
                      <w:lang w:val="en-US" w:eastAsia="zh-CN"/>
                    </w:rPr>
                    <w:t>)</w:t>
                  </w:r>
                </w:p>
              </w:tc>
              <w:tc>
                <w:tcPr>
                  <w:tcW w:w="1331" w:type="dxa"/>
                  <w:vAlign w:val="center"/>
                </w:tcPr>
                <w:p w14:paraId="7C48E71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2690</w:t>
                  </w:r>
                </w:p>
              </w:tc>
            </w:tr>
            <w:tr w14:paraId="3374A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9" w:hRule="atLeast"/>
              </w:trPr>
              <w:tc>
                <w:tcPr>
                  <w:tcW w:w="814" w:type="dxa"/>
                  <w:vMerge w:val="continue"/>
                  <w:tcBorders>
                    <w:top w:val="nil"/>
                    <w:bottom w:val="nil"/>
                  </w:tcBorders>
                  <w:vAlign w:val="center"/>
                </w:tcPr>
                <w:p w14:paraId="4FA8E88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1365" w:type="dxa"/>
                  <w:vMerge w:val="continue"/>
                  <w:tcBorders>
                    <w:top w:val="nil"/>
                    <w:bottom w:val="nil"/>
                  </w:tcBorders>
                  <w:vAlign w:val="center"/>
                </w:tcPr>
                <w:p w14:paraId="52207D8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2430" w:type="dxa"/>
                  <w:vAlign w:val="center"/>
                </w:tcPr>
                <w:p w14:paraId="530BECF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89°34′21.15588″</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44°0′11.76975″</w:t>
                  </w:r>
                </w:p>
                <w:p w14:paraId="05F3CA4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Y62+600.000</w:t>
                  </w:r>
                  <w:r>
                    <w:rPr>
                      <w:rFonts w:hint="eastAsia" w:ascii="Times New Roman" w:hAnsi="Times New Roman" w:cs="Times New Roman"/>
                      <w:color w:val="auto"/>
                      <w:spacing w:val="4"/>
                      <w:sz w:val="21"/>
                      <w:szCs w:val="21"/>
                      <w:lang w:val="en-US" w:eastAsia="zh-CN"/>
                    </w:rPr>
                    <w:t>)</w:t>
                  </w:r>
                </w:p>
              </w:tc>
              <w:tc>
                <w:tcPr>
                  <w:tcW w:w="2355" w:type="dxa"/>
                  <w:vAlign w:val="center"/>
                </w:tcPr>
                <w:p w14:paraId="35AEBBD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89°33′21.85385″</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44°1′21.00293″</w:t>
                  </w:r>
                </w:p>
                <w:p w14:paraId="39A76D8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Y65+270.000</w:t>
                  </w:r>
                  <w:r>
                    <w:rPr>
                      <w:rFonts w:hint="eastAsia" w:ascii="Times New Roman" w:hAnsi="Times New Roman" w:cs="Times New Roman"/>
                      <w:color w:val="auto"/>
                      <w:spacing w:val="4"/>
                      <w:sz w:val="21"/>
                      <w:szCs w:val="21"/>
                      <w:lang w:val="en-US" w:eastAsia="zh-CN"/>
                    </w:rPr>
                    <w:t>)</w:t>
                  </w:r>
                </w:p>
              </w:tc>
              <w:tc>
                <w:tcPr>
                  <w:tcW w:w="1331" w:type="dxa"/>
                  <w:vAlign w:val="center"/>
                </w:tcPr>
                <w:p w14:paraId="42A9F63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2670</w:t>
                  </w:r>
                </w:p>
              </w:tc>
            </w:tr>
            <w:tr w14:paraId="23B29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9" w:hRule="atLeast"/>
              </w:trPr>
              <w:tc>
                <w:tcPr>
                  <w:tcW w:w="814" w:type="dxa"/>
                  <w:vMerge w:val="continue"/>
                  <w:tcBorders>
                    <w:top w:val="nil"/>
                    <w:bottom w:val="nil"/>
                  </w:tcBorders>
                  <w:vAlign w:val="center"/>
                </w:tcPr>
                <w:p w14:paraId="29C5A76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1365" w:type="dxa"/>
                  <w:vMerge w:val="continue"/>
                  <w:tcBorders>
                    <w:top w:val="nil"/>
                    <w:bottom w:val="nil"/>
                  </w:tcBorders>
                  <w:vAlign w:val="center"/>
                </w:tcPr>
                <w:p w14:paraId="46BA8F8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2430" w:type="dxa"/>
                  <w:vAlign w:val="center"/>
                </w:tcPr>
                <w:p w14:paraId="335A589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89°33′19.38192″</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44°1′21.27329″</w:t>
                  </w:r>
                </w:p>
                <w:p w14:paraId="1F4544E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Z65+280.000</w:t>
                  </w:r>
                  <w:r>
                    <w:rPr>
                      <w:rFonts w:hint="eastAsia" w:ascii="Times New Roman" w:hAnsi="Times New Roman" w:cs="Times New Roman"/>
                      <w:color w:val="auto"/>
                      <w:spacing w:val="4"/>
                      <w:sz w:val="21"/>
                      <w:szCs w:val="21"/>
                      <w:lang w:val="en-US" w:eastAsia="zh-CN"/>
                    </w:rPr>
                    <w:t>)</w:t>
                  </w:r>
                </w:p>
              </w:tc>
              <w:tc>
                <w:tcPr>
                  <w:tcW w:w="2355" w:type="dxa"/>
                  <w:vAlign w:val="center"/>
                </w:tcPr>
                <w:p w14:paraId="1588C0C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89°32′38.80490″</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44°3′4.84640″</w:t>
                  </w:r>
                </w:p>
                <w:p w14:paraId="7C8F4F4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Z68+980.000</w:t>
                  </w:r>
                  <w:r>
                    <w:rPr>
                      <w:rFonts w:hint="eastAsia" w:ascii="Times New Roman" w:hAnsi="Times New Roman" w:cs="Times New Roman"/>
                      <w:color w:val="auto"/>
                      <w:spacing w:val="4"/>
                      <w:sz w:val="21"/>
                      <w:szCs w:val="21"/>
                      <w:lang w:val="en-US" w:eastAsia="zh-CN"/>
                    </w:rPr>
                    <w:t>)</w:t>
                  </w:r>
                </w:p>
              </w:tc>
              <w:tc>
                <w:tcPr>
                  <w:tcW w:w="1331" w:type="dxa"/>
                  <w:vAlign w:val="center"/>
                </w:tcPr>
                <w:p w14:paraId="3AD0AC4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3700</w:t>
                  </w:r>
                </w:p>
              </w:tc>
            </w:tr>
            <w:tr w14:paraId="17FB47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47" w:hRule="atLeast"/>
              </w:trPr>
              <w:tc>
                <w:tcPr>
                  <w:tcW w:w="814" w:type="dxa"/>
                  <w:vMerge w:val="continue"/>
                  <w:tcBorders>
                    <w:top w:val="nil"/>
                  </w:tcBorders>
                  <w:vAlign w:val="center"/>
                </w:tcPr>
                <w:p w14:paraId="6E1CD4E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1365" w:type="dxa"/>
                  <w:vMerge w:val="continue"/>
                  <w:tcBorders>
                    <w:top w:val="nil"/>
                  </w:tcBorders>
                  <w:vAlign w:val="center"/>
                </w:tcPr>
                <w:p w14:paraId="444AFE5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2430" w:type="dxa"/>
                  <w:vAlign w:val="center"/>
                </w:tcPr>
                <w:p w14:paraId="4F3FEF0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89°33′19.31184″</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44°1′21.37472″</w:t>
                  </w:r>
                </w:p>
                <w:p w14:paraId="524693F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Y65+270.000</w:t>
                  </w:r>
                  <w:r>
                    <w:rPr>
                      <w:rFonts w:hint="eastAsia" w:ascii="Times New Roman" w:hAnsi="Times New Roman" w:cs="Times New Roman"/>
                      <w:color w:val="auto"/>
                      <w:spacing w:val="4"/>
                      <w:sz w:val="21"/>
                      <w:szCs w:val="21"/>
                      <w:lang w:val="en-US" w:eastAsia="zh-CN"/>
                    </w:rPr>
                    <w:t>)</w:t>
                  </w:r>
                </w:p>
              </w:tc>
              <w:tc>
                <w:tcPr>
                  <w:tcW w:w="2355" w:type="dxa"/>
                  <w:vAlign w:val="center"/>
                </w:tcPr>
                <w:p w14:paraId="2C11B08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pacing w:val="4"/>
                      <w:sz w:val="21"/>
                      <w:szCs w:val="21"/>
                    </w:rPr>
                  </w:pPr>
                  <w:r>
                    <w:rPr>
                      <w:rFonts w:hint="default" w:ascii="Times New Roman" w:hAnsi="Times New Roman" w:cs="Times New Roman"/>
                      <w:color w:val="auto"/>
                      <w:spacing w:val="4"/>
                      <w:sz w:val="21"/>
                      <w:szCs w:val="21"/>
                    </w:rPr>
                    <w:t>89°32′38.80761″</w:t>
                  </w:r>
                  <w:r>
                    <w:rPr>
                      <w:rFonts w:hint="eastAsia" w:ascii="Times New Roman" w:hAnsi="Times New Roman" w:cs="Times New Roman"/>
                      <w:color w:val="auto"/>
                      <w:spacing w:val="4"/>
                      <w:sz w:val="21"/>
                      <w:szCs w:val="21"/>
                      <w:lang w:eastAsia="zh-CN"/>
                    </w:rPr>
                    <w:t>，</w:t>
                  </w:r>
                  <w:r>
                    <w:rPr>
                      <w:rFonts w:hint="default" w:ascii="Times New Roman" w:hAnsi="Times New Roman" w:cs="Times New Roman"/>
                      <w:color w:val="auto"/>
                      <w:spacing w:val="4"/>
                      <w:sz w:val="21"/>
                      <w:szCs w:val="21"/>
                    </w:rPr>
                    <w:t>44°3′4.85752″</w:t>
                  </w:r>
                </w:p>
                <w:p w14:paraId="15D0113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4"/>
                      <w:sz w:val="21"/>
                      <w:szCs w:val="21"/>
                      <w:lang w:val="en-US" w:eastAsia="zh-CN"/>
                    </w:rPr>
                    <w:t>(</w:t>
                  </w:r>
                  <w:r>
                    <w:rPr>
                      <w:rFonts w:hint="default" w:ascii="Times New Roman" w:hAnsi="Times New Roman" w:cs="Times New Roman"/>
                      <w:color w:val="auto"/>
                      <w:spacing w:val="4"/>
                      <w:sz w:val="21"/>
                      <w:szCs w:val="21"/>
                    </w:rPr>
                    <w:t>Y68+980.000</w:t>
                  </w:r>
                  <w:r>
                    <w:rPr>
                      <w:rFonts w:hint="eastAsia" w:ascii="Times New Roman" w:hAnsi="Times New Roman" w:cs="Times New Roman"/>
                      <w:color w:val="auto"/>
                      <w:spacing w:val="4"/>
                      <w:sz w:val="21"/>
                      <w:szCs w:val="21"/>
                      <w:lang w:val="en-US" w:eastAsia="zh-CN"/>
                    </w:rPr>
                    <w:t>)</w:t>
                  </w:r>
                </w:p>
              </w:tc>
              <w:tc>
                <w:tcPr>
                  <w:tcW w:w="1331" w:type="dxa"/>
                  <w:tcBorders>
                    <w:right w:val="single" w:color="auto" w:sz="4" w:space="0"/>
                  </w:tcBorders>
                  <w:vAlign w:val="center"/>
                </w:tcPr>
                <w:p w14:paraId="22355BC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3710</w:t>
                  </w:r>
                </w:p>
              </w:tc>
            </w:tr>
            <w:tr w14:paraId="6E20D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14" w:type="dxa"/>
                  <w:vAlign w:val="top"/>
                </w:tcPr>
                <w:p w14:paraId="73BF76B8">
                  <w:pPr>
                    <w:pStyle w:val="65"/>
                    <w:spacing w:before="36" w:line="217" w:lineRule="auto"/>
                    <w:ind w:left="402"/>
                    <w:rPr>
                      <w:rFonts w:hint="default" w:ascii="Times New Roman" w:hAnsi="Times New Roman" w:cs="Times New Roman"/>
                      <w:color w:val="auto"/>
                    </w:rPr>
                  </w:pPr>
                  <w:r>
                    <w:rPr>
                      <w:rFonts w:hint="default" w:ascii="Times New Roman" w:hAnsi="Times New Roman" w:cs="Times New Roman"/>
                      <w:color w:val="auto"/>
                    </w:rPr>
                    <w:t>3</w:t>
                  </w:r>
                </w:p>
              </w:tc>
              <w:tc>
                <w:tcPr>
                  <w:tcW w:w="1365" w:type="dxa"/>
                  <w:vAlign w:val="top"/>
                </w:tcPr>
                <w:p w14:paraId="2F59052C">
                  <w:pPr>
                    <w:pStyle w:val="65"/>
                    <w:spacing w:before="36" w:line="217" w:lineRule="auto"/>
                    <w:ind w:left="319"/>
                    <w:rPr>
                      <w:rFonts w:hint="default" w:ascii="Times New Roman" w:hAnsi="Times New Roman" w:cs="Times New Roman"/>
                      <w:color w:val="auto"/>
                    </w:rPr>
                  </w:pPr>
                  <w:r>
                    <w:rPr>
                      <w:rFonts w:hint="default" w:ascii="Times New Roman" w:hAnsi="Times New Roman" w:cs="Times New Roman"/>
                      <w:color w:val="auto"/>
                      <w:spacing w:val="7"/>
                    </w:rPr>
                    <w:t>第三标段</w:t>
                  </w:r>
                </w:p>
              </w:tc>
              <w:tc>
                <w:tcPr>
                  <w:tcW w:w="6119" w:type="dxa"/>
                  <w:gridSpan w:val="4"/>
                  <w:tcBorders>
                    <w:right w:val="single" w:color="auto" w:sz="4" w:space="0"/>
                  </w:tcBorders>
                  <w:vAlign w:val="top"/>
                </w:tcPr>
                <w:p w14:paraId="2ED298A3">
                  <w:pPr>
                    <w:pStyle w:val="65"/>
                    <w:spacing w:before="36" w:line="217" w:lineRule="auto"/>
                    <w:ind w:left="3151"/>
                    <w:rPr>
                      <w:rFonts w:hint="default" w:ascii="Times New Roman" w:hAnsi="Times New Roman" w:cs="Times New Roman"/>
                      <w:color w:val="auto"/>
                    </w:rPr>
                  </w:pPr>
                  <w:r>
                    <w:rPr>
                      <w:rFonts w:hint="default" w:ascii="Times New Roman" w:hAnsi="Times New Roman" w:cs="Times New Roman"/>
                      <w:color w:val="auto"/>
                      <w:spacing w:val="6"/>
                    </w:rPr>
                    <w:t>监理标</w:t>
                  </w:r>
                </w:p>
              </w:tc>
            </w:tr>
          </w:tbl>
          <w:p w14:paraId="452EAA3B">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right="0"/>
              <w:jc w:val="both"/>
              <w:textAlignment w:val="auto"/>
              <w:rPr>
                <w:rFonts w:hint="default"/>
                <w:b/>
                <w:bCs/>
                <w:color w:val="auto"/>
                <w:spacing w:val="-1"/>
                <w:sz w:val="24"/>
                <w:szCs w:val="24"/>
                <w:lang w:val="en-US" w:eastAsia="zh-CN"/>
              </w:rPr>
            </w:pPr>
          </w:p>
        </w:tc>
      </w:tr>
      <w:tr w14:paraId="66FDBD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26" w:hRule="atLeast"/>
          <w:jc w:val="center"/>
        </w:trPr>
        <w:tc>
          <w:tcPr>
            <w:tcW w:w="253" w:type="pct"/>
            <w:noWrap w:val="0"/>
            <w:vAlign w:val="center"/>
          </w:tcPr>
          <w:p w14:paraId="4FDB560D">
            <w:pPr>
              <w:pStyle w:val="24"/>
              <w:adjustRightInd w:val="0"/>
              <w:snapToGrid w:val="0"/>
              <w:spacing w:before="0" w:beforeAutospacing="0" w:after="0" w:afterAutospacing="0" w:line="240" w:lineRule="auto"/>
              <w:jc w:val="both"/>
              <w:rPr>
                <w:rFonts w:ascii="Times New Roman" w:hAnsi="Times New Roman"/>
                <w:color w:val="auto"/>
                <w:sz w:val="21"/>
                <w:szCs w:val="21"/>
                <w:highlight w:val="none"/>
              </w:rPr>
            </w:pPr>
            <w:r>
              <w:rPr>
                <w:color w:val="auto"/>
                <w:spacing w:val="-4"/>
              </w:rPr>
              <w:t>项目组成</w:t>
            </w:r>
            <w:r>
              <w:rPr>
                <w:color w:val="auto"/>
                <w:spacing w:val="-3"/>
              </w:rPr>
              <w:t>及规模</w:t>
            </w:r>
          </w:p>
        </w:tc>
        <w:tc>
          <w:tcPr>
            <w:tcW w:w="4746" w:type="pct"/>
            <w:noWrap w:val="0"/>
            <w:vAlign w:val="top"/>
          </w:tcPr>
          <w:p w14:paraId="01654DCA">
            <w:pPr>
              <w:pStyle w:val="65"/>
              <w:keepNext w:val="0"/>
              <w:keepLines w:val="0"/>
              <w:pageBreakBefore w:val="0"/>
              <w:widowControl w:val="0"/>
              <w:numPr>
                <w:ilvl w:val="0"/>
                <w:numId w:val="13"/>
              </w:numPr>
              <w:kinsoku/>
              <w:wordWrap/>
              <w:topLinePunct w:val="0"/>
              <w:autoSpaceDE/>
              <w:autoSpaceDN/>
              <w:bidi w:val="0"/>
              <w:adjustRightInd w:val="0"/>
              <w:snapToGrid w:val="0"/>
              <w:spacing w:line="360" w:lineRule="auto"/>
              <w:ind w:left="425" w:leftChars="0" w:right="0" w:hanging="425" w:firstLineChars="0"/>
              <w:textAlignment w:val="auto"/>
              <w:rPr>
                <w:b/>
                <w:bCs/>
                <w:color w:val="auto"/>
                <w:sz w:val="24"/>
                <w:szCs w:val="24"/>
              </w:rPr>
            </w:pPr>
            <w:r>
              <w:rPr>
                <w:b/>
                <w:bCs/>
                <w:color w:val="auto"/>
                <w:spacing w:val="-6"/>
                <w:sz w:val="24"/>
                <w:szCs w:val="24"/>
              </w:rPr>
              <w:t>项目背景及必要性</w:t>
            </w:r>
          </w:p>
          <w:p w14:paraId="721BFE5C">
            <w:pPr>
              <w:pStyle w:val="65"/>
              <w:keepNext w:val="0"/>
              <w:keepLines w:val="0"/>
              <w:pageBreakBefore w:val="0"/>
              <w:widowControl w:val="0"/>
              <w:kinsoku/>
              <w:wordWrap/>
              <w:topLinePunct w:val="0"/>
              <w:autoSpaceDE/>
              <w:autoSpaceDN/>
              <w:bidi w:val="0"/>
              <w:adjustRightInd w:val="0"/>
              <w:snapToGrid w:val="0"/>
              <w:spacing w:line="360" w:lineRule="auto"/>
              <w:ind w:left="0" w:right="0" w:firstLine="479"/>
              <w:textAlignment w:val="auto"/>
              <w:rPr>
                <w:color w:val="auto"/>
                <w:sz w:val="24"/>
                <w:szCs w:val="24"/>
              </w:rPr>
            </w:pPr>
            <w:r>
              <w:rPr>
                <w:color w:val="auto"/>
                <w:spacing w:val="-2"/>
                <w:sz w:val="24"/>
                <w:szCs w:val="24"/>
              </w:rPr>
              <w:t>根据对</w:t>
            </w:r>
            <w:r>
              <w:rPr>
                <w:rFonts w:hint="eastAsia"/>
                <w:color w:val="auto"/>
                <w:spacing w:val="-2"/>
                <w:sz w:val="24"/>
                <w:szCs w:val="24"/>
                <w:lang w:val="en-US" w:eastAsia="zh-CN"/>
              </w:rPr>
              <w:t>吉</w:t>
            </w:r>
            <w:r>
              <w:rPr>
                <w:rFonts w:hint="eastAsia"/>
                <w:color w:val="auto"/>
                <w:spacing w:val="-2"/>
                <w:sz w:val="24"/>
                <w:szCs w:val="24"/>
              </w:rPr>
              <w:t>布库河奇台镇城区段</w:t>
            </w:r>
            <w:r>
              <w:rPr>
                <w:color w:val="auto"/>
                <w:spacing w:val="-2"/>
                <w:sz w:val="24"/>
                <w:szCs w:val="24"/>
              </w:rPr>
              <w:t>的实地勘察，</w:t>
            </w:r>
            <w:r>
              <w:rPr>
                <w:color w:val="auto"/>
                <w:spacing w:val="-1"/>
                <w:sz w:val="24"/>
                <w:szCs w:val="24"/>
              </w:rPr>
              <w:t>其防洪存在的问题如下：</w:t>
            </w:r>
          </w:p>
          <w:p w14:paraId="40FAB8DB">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right="0"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(1)现有防洪工程设施简陋，防洪标准低，抗洪能力差。项目区对河道两岸耕地与建筑物基本无保护措施，项目区两岸大部分河段岸上即为耕地，河水对河岸的淘刷十分严重，部分河段岸坎已呈现倒角，耕地随时有被淘刷的可能</w:t>
            </w:r>
          </w:p>
          <w:p w14:paraId="2591B757">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right="0"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(2)没有建成统一的防洪体系</w:t>
            </w:r>
          </w:p>
          <w:p w14:paraId="6DC92511">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right="0"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由于资金不足，防洪工程迟迟未形成体系化。</w:t>
            </w:r>
          </w:p>
          <w:p w14:paraId="558EBC23">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right="0"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(3)洪水时刻</w:t>
            </w:r>
            <w:r>
              <w:rPr>
                <w:rFonts w:hint="eastAsia" w:ascii="Times New Roman" w:hAnsi="Times New Roman" w:cs="Times New Roman"/>
                <w:color w:val="auto"/>
                <w:sz w:val="24"/>
                <w:szCs w:val="24"/>
                <w:highlight w:val="none"/>
                <w:lang w:eastAsia="zh-CN"/>
              </w:rPr>
              <w:t>威胁人民群众生命财产安全</w:t>
            </w:r>
          </w:p>
          <w:p w14:paraId="3A9A1DAB">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right="0"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目前，本期实施河段，两岸分布着城镇居民及耕地，洪水已严重威胁到两岸的耕地及民房，每年都发生耕地及民房被冲毁的事件。河道内，由于两岸未修建防洪工程，对沿线农民、牧民造成不少财产损失。</w:t>
            </w:r>
          </w:p>
          <w:p w14:paraId="054EC0C9">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right="0"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吉布库河的有效治理，在满足近期建设需要的同时，也促进了地方全面系统地开展河流防洪工作，是十分必要和迫切的。</w:t>
            </w:r>
          </w:p>
          <w:p w14:paraId="3F47BD7D">
            <w:pPr>
              <w:pStyle w:val="65"/>
              <w:keepNext w:val="0"/>
              <w:keepLines w:val="0"/>
              <w:pageBreakBefore w:val="0"/>
              <w:widowControl w:val="0"/>
              <w:numPr>
                <w:ilvl w:val="0"/>
                <w:numId w:val="13"/>
              </w:numPr>
              <w:kinsoku/>
              <w:wordWrap/>
              <w:topLinePunct w:val="0"/>
              <w:autoSpaceDE/>
              <w:autoSpaceDN/>
              <w:bidi w:val="0"/>
              <w:adjustRightInd w:val="0"/>
              <w:snapToGrid w:val="0"/>
              <w:spacing w:line="360" w:lineRule="auto"/>
              <w:ind w:left="425" w:leftChars="0" w:right="0" w:hanging="425" w:firstLineChars="0"/>
              <w:textAlignment w:val="auto"/>
              <w:rPr>
                <w:rFonts w:hint="eastAsia"/>
                <w:b/>
                <w:bCs/>
                <w:color w:val="auto"/>
                <w:spacing w:val="-6"/>
                <w:sz w:val="24"/>
                <w:szCs w:val="24"/>
                <w:lang w:val="en-US" w:eastAsia="zh-CN"/>
              </w:rPr>
            </w:pPr>
            <w:r>
              <w:rPr>
                <w:rFonts w:hint="eastAsia"/>
                <w:b/>
                <w:bCs/>
                <w:color w:val="auto"/>
                <w:spacing w:val="-6"/>
                <w:sz w:val="24"/>
                <w:szCs w:val="24"/>
                <w:lang w:val="en-US" w:eastAsia="zh-CN"/>
              </w:rPr>
              <w:t>基本情况</w:t>
            </w:r>
          </w:p>
          <w:p w14:paraId="0E5611E5">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right="0"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项目名称：新疆昌吉州奇台县吉布库河奇台镇城区段中小河流治理工程。</w:t>
            </w:r>
          </w:p>
          <w:p w14:paraId="4F0A0BBD">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right="0"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建设单位：奇台县水利工程建设管理中心。</w:t>
            </w:r>
          </w:p>
          <w:p w14:paraId="4CCC6C5E">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right="0"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建设性质：</w:t>
            </w:r>
            <w:r>
              <w:rPr>
                <w:rFonts w:hint="eastAsia" w:ascii="Times New Roman" w:hAnsi="Times New Roman" w:cs="Times New Roman"/>
                <w:color w:val="auto"/>
                <w:sz w:val="24"/>
                <w:szCs w:val="24"/>
                <w:highlight w:val="none"/>
                <w:lang w:val="en-US" w:eastAsia="zh-CN"/>
              </w:rPr>
              <w:t>改建，</w:t>
            </w:r>
            <w:r>
              <w:rPr>
                <w:rFonts w:hint="eastAsia" w:ascii="Times New Roman" w:hAnsi="Times New Roman" w:eastAsia="宋体" w:cs="Times New Roman"/>
                <w:color w:val="auto"/>
                <w:sz w:val="24"/>
                <w:szCs w:val="24"/>
                <w:highlight w:val="none"/>
                <w:lang w:val="en-US" w:eastAsia="zh-CN"/>
              </w:rPr>
              <w:t>新建。</w:t>
            </w:r>
          </w:p>
          <w:p w14:paraId="7E252FDF">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right="0"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工程投资及环保投资：项目总投资4970.42万元，其中环保投资31.90万元，占工程总投资的0.64%。</w:t>
            </w:r>
          </w:p>
          <w:p w14:paraId="14DCD5D9">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right="0"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施工计划：本项目主体工程施工期为</w:t>
            </w:r>
            <w:r>
              <w:rPr>
                <w:rFonts w:hint="eastAsia" w:ascii="Times New Roman" w:hAnsi="Times New Roman" w:eastAsia="宋体"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lang w:eastAsia="zh-CN"/>
              </w:rPr>
              <w:t>个月。主体工程施工期主要</w:t>
            </w:r>
            <w:r>
              <w:rPr>
                <w:rFonts w:hint="eastAsia" w:ascii="Times New Roman" w:hAnsi="Times New Roman" w:eastAsia="宋体" w:cs="Times New Roman"/>
                <w:color w:val="auto"/>
                <w:sz w:val="24"/>
                <w:szCs w:val="24"/>
                <w:highlight w:val="none"/>
                <w:lang w:val="en-US" w:eastAsia="zh-CN"/>
              </w:rPr>
              <w:t>完成</w:t>
            </w:r>
            <w:r>
              <w:rPr>
                <w:rFonts w:hint="eastAsia" w:ascii="Times New Roman" w:hAnsi="Times New Roman" w:eastAsia="宋体" w:cs="Times New Roman"/>
                <w:color w:val="auto"/>
                <w:sz w:val="24"/>
                <w:szCs w:val="24"/>
                <w:highlight w:val="none"/>
                <w:lang w:eastAsia="zh-CN"/>
              </w:rPr>
              <w:t>护岸的土方开挖、填筑、浆砌石砌筑及混凝土浇筑的施工任务等。</w:t>
            </w:r>
          </w:p>
          <w:p w14:paraId="21F17711">
            <w:pPr>
              <w:pStyle w:val="65"/>
              <w:keepNext w:val="0"/>
              <w:keepLines w:val="0"/>
              <w:pageBreakBefore w:val="0"/>
              <w:widowControl w:val="0"/>
              <w:numPr>
                <w:ilvl w:val="0"/>
                <w:numId w:val="13"/>
              </w:numPr>
              <w:kinsoku/>
              <w:wordWrap/>
              <w:topLinePunct w:val="0"/>
              <w:autoSpaceDE/>
              <w:autoSpaceDN/>
              <w:bidi w:val="0"/>
              <w:adjustRightInd w:val="0"/>
              <w:snapToGrid w:val="0"/>
              <w:spacing w:line="360" w:lineRule="auto"/>
              <w:ind w:left="425" w:leftChars="0" w:right="0" w:hanging="425" w:firstLineChars="0"/>
              <w:textAlignment w:val="auto"/>
              <w:rPr>
                <w:rFonts w:hint="eastAsia"/>
                <w:b/>
                <w:bCs/>
                <w:color w:val="auto"/>
                <w:spacing w:val="-6"/>
                <w:sz w:val="24"/>
                <w:szCs w:val="24"/>
                <w:lang w:val="en-US" w:eastAsia="zh-CN"/>
              </w:rPr>
            </w:pPr>
            <w:r>
              <w:rPr>
                <w:rFonts w:hint="eastAsia"/>
                <w:b/>
                <w:bCs/>
                <w:color w:val="auto"/>
                <w:spacing w:val="-6"/>
                <w:sz w:val="24"/>
                <w:szCs w:val="24"/>
                <w:lang w:val="en-US" w:eastAsia="zh-CN"/>
              </w:rPr>
              <w:t>建设内容和规模</w:t>
            </w:r>
          </w:p>
          <w:p w14:paraId="30A76967">
            <w:pPr>
              <w:pStyle w:val="65"/>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本次工程治理河长11.4km，改建交通桥1座，新建护岸22.184km，其中左岸护岸长11.126km，右岸护岸长11.058km。项目主要建设内容及工程组成见表</w:t>
            </w:r>
            <w:r>
              <w:rPr>
                <w:rFonts w:hint="eastAsia" w:ascii="Times New Roman" w:hAnsi="Times New Roman" w:cs="Times New Roman"/>
                <w:color w:val="auto"/>
                <w:kern w:val="2"/>
                <w:sz w:val="24"/>
                <w:szCs w:val="24"/>
                <w:highlight w:val="none"/>
                <w:lang w:val="en-US" w:eastAsia="zh-CN" w:bidi="ar-SA"/>
              </w:rPr>
              <w:t>2-2</w:t>
            </w:r>
            <w:r>
              <w:rPr>
                <w:rFonts w:hint="eastAsia" w:ascii="Times New Roman" w:hAnsi="Times New Roman" w:eastAsia="宋体" w:cs="Times New Roman"/>
                <w:color w:val="auto"/>
                <w:kern w:val="2"/>
                <w:sz w:val="24"/>
                <w:szCs w:val="24"/>
                <w:highlight w:val="none"/>
                <w:lang w:val="en-US" w:eastAsia="zh-CN" w:bidi="ar-SA"/>
              </w:rPr>
              <w:t>。</w:t>
            </w:r>
          </w:p>
          <w:p w14:paraId="08246C93">
            <w:pPr>
              <w:keepNext w:val="0"/>
              <w:keepLines w:val="0"/>
              <w:pageBreakBefore w:val="0"/>
              <w:widowControl/>
              <w:numPr>
                <w:ilvl w:val="0"/>
                <w:numId w:val="12"/>
              </w:numPr>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eastAsia"/>
                <w:b/>
                <w:bCs/>
                <w:color w:val="auto"/>
                <w:spacing w:val="-1"/>
                <w:sz w:val="24"/>
                <w:szCs w:val="24"/>
                <w:lang w:val="en-US" w:eastAsia="zh-CN"/>
              </w:rPr>
            </w:pPr>
            <w:r>
              <w:rPr>
                <w:rFonts w:hint="eastAsia"/>
                <w:b/>
                <w:bCs/>
                <w:color w:val="auto"/>
                <w:spacing w:val="-1"/>
                <w:sz w:val="24"/>
                <w:szCs w:val="24"/>
                <w:lang w:val="en-US" w:eastAsia="zh-CN"/>
              </w:rPr>
              <w:t>护岸工程统计表</w:t>
            </w:r>
          </w:p>
          <w:p w14:paraId="5FF89617">
            <w:pPr>
              <w:spacing w:line="142" w:lineRule="auto"/>
              <w:rPr>
                <w:rFonts w:ascii="Arial"/>
                <w:color w:val="auto"/>
                <w:sz w:val="2"/>
              </w:rPr>
            </w:pPr>
          </w:p>
          <w:tbl>
            <w:tblPr>
              <w:tblStyle w:val="54"/>
              <w:tblW w:w="82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1"/>
              <w:gridCol w:w="1235"/>
              <w:gridCol w:w="1605"/>
              <w:gridCol w:w="1609"/>
              <w:gridCol w:w="1361"/>
              <w:gridCol w:w="1736"/>
            </w:tblGrid>
            <w:tr w14:paraId="164BAB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 w:hRule="atLeast"/>
              </w:trPr>
              <w:tc>
                <w:tcPr>
                  <w:tcW w:w="751" w:type="dxa"/>
                  <w:vAlign w:val="top"/>
                </w:tcPr>
                <w:p w14:paraId="24388FD8">
                  <w:pPr>
                    <w:pStyle w:val="65"/>
                    <w:spacing w:before="36" w:line="216" w:lineRule="auto"/>
                    <w:ind w:left="118"/>
                    <w:rPr>
                      <w:rFonts w:hint="default" w:ascii="Times New Roman" w:hAnsi="Times New Roman" w:cs="Times New Roman"/>
                      <w:b/>
                      <w:bCs/>
                      <w:color w:val="auto"/>
                      <w:sz w:val="21"/>
                      <w:szCs w:val="21"/>
                    </w:rPr>
                  </w:pPr>
                  <w:r>
                    <w:rPr>
                      <w:rFonts w:hint="default" w:ascii="Times New Roman" w:hAnsi="Times New Roman" w:cs="Times New Roman"/>
                      <w:b/>
                      <w:bCs/>
                      <w:color w:val="auto"/>
                      <w:spacing w:val="5"/>
                      <w:sz w:val="21"/>
                      <w:szCs w:val="21"/>
                    </w:rPr>
                    <w:t>序号</w:t>
                  </w:r>
                </w:p>
              </w:tc>
              <w:tc>
                <w:tcPr>
                  <w:tcW w:w="1235" w:type="dxa"/>
                  <w:vAlign w:val="top"/>
                </w:tcPr>
                <w:p w14:paraId="7294DE33">
                  <w:pPr>
                    <w:pStyle w:val="65"/>
                    <w:spacing w:before="36" w:line="216" w:lineRule="auto"/>
                    <w:ind w:left="326"/>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岸别</w:t>
                  </w:r>
                </w:p>
              </w:tc>
              <w:tc>
                <w:tcPr>
                  <w:tcW w:w="1605" w:type="dxa"/>
                  <w:vAlign w:val="top"/>
                </w:tcPr>
                <w:p w14:paraId="6B43E172">
                  <w:pPr>
                    <w:pStyle w:val="65"/>
                    <w:spacing w:before="36" w:line="216" w:lineRule="auto"/>
                    <w:ind w:left="277"/>
                    <w:rPr>
                      <w:rFonts w:hint="default" w:ascii="Times New Roman" w:hAnsi="Times New Roman" w:cs="Times New Roman"/>
                      <w:b/>
                      <w:bCs/>
                      <w:color w:val="auto"/>
                      <w:sz w:val="21"/>
                      <w:szCs w:val="21"/>
                    </w:rPr>
                  </w:pPr>
                  <w:r>
                    <w:rPr>
                      <w:rFonts w:hint="default" w:ascii="Times New Roman" w:hAnsi="Times New Roman" w:cs="Times New Roman"/>
                      <w:b/>
                      <w:bCs/>
                      <w:color w:val="auto"/>
                      <w:spacing w:val="7"/>
                      <w:sz w:val="21"/>
                      <w:szCs w:val="21"/>
                    </w:rPr>
                    <w:t>起点桩号</w:t>
                  </w:r>
                </w:p>
              </w:tc>
              <w:tc>
                <w:tcPr>
                  <w:tcW w:w="1609" w:type="dxa"/>
                  <w:vAlign w:val="top"/>
                </w:tcPr>
                <w:p w14:paraId="5CC2F8A1">
                  <w:pPr>
                    <w:pStyle w:val="65"/>
                    <w:spacing w:before="36" w:line="216" w:lineRule="auto"/>
                    <w:ind w:left="278"/>
                    <w:rPr>
                      <w:rFonts w:hint="default" w:ascii="Times New Roman" w:hAnsi="Times New Roman" w:cs="Times New Roman"/>
                      <w:b/>
                      <w:bCs/>
                      <w:color w:val="auto"/>
                      <w:sz w:val="21"/>
                      <w:szCs w:val="21"/>
                    </w:rPr>
                  </w:pPr>
                  <w:r>
                    <w:rPr>
                      <w:rFonts w:hint="default" w:ascii="Times New Roman" w:hAnsi="Times New Roman" w:cs="Times New Roman"/>
                      <w:b/>
                      <w:bCs/>
                      <w:color w:val="auto"/>
                      <w:spacing w:val="7"/>
                      <w:sz w:val="21"/>
                      <w:szCs w:val="21"/>
                    </w:rPr>
                    <w:t>末点桩号</w:t>
                  </w:r>
                </w:p>
              </w:tc>
              <w:tc>
                <w:tcPr>
                  <w:tcW w:w="1361" w:type="dxa"/>
                  <w:vAlign w:val="top"/>
                </w:tcPr>
                <w:p w14:paraId="22F0F5D8">
                  <w:pPr>
                    <w:pStyle w:val="65"/>
                    <w:spacing w:before="36" w:line="216" w:lineRule="auto"/>
                    <w:ind w:left="121"/>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长度（m）</w:t>
                  </w:r>
                </w:p>
              </w:tc>
              <w:tc>
                <w:tcPr>
                  <w:tcW w:w="1736" w:type="dxa"/>
                  <w:vAlign w:val="top"/>
                </w:tcPr>
                <w:p w14:paraId="5FE48CB4">
                  <w:pPr>
                    <w:pStyle w:val="65"/>
                    <w:spacing w:before="36" w:line="216" w:lineRule="auto"/>
                    <w:ind w:left="339"/>
                    <w:rPr>
                      <w:rFonts w:hint="default" w:ascii="Times New Roman" w:hAnsi="Times New Roman" w:cs="Times New Roman"/>
                      <w:b/>
                      <w:bCs/>
                      <w:color w:val="auto"/>
                      <w:sz w:val="21"/>
                      <w:szCs w:val="21"/>
                    </w:rPr>
                  </w:pPr>
                  <w:r>
                    <w:rPr>
                      <w:rFonts w:hint="default" w:ascii="Times New Roman" w:hAnsi="Times New Roman" w:cs="Times New Roman"/>
                      <w:b/>
                      <w:bCs/>
                      <w:color w:val="auto"/>
                      <w:spacing w:val="6"/>
                      <w:sz w:val="21"/>
                      <w:szCs w:val="21"/>
                    </w:rPr>
                    <w:t>治理形式</w:t>
                  </w:r>
                </w:p>
              </w:tc>
            </w:tr>
            <w:tr w14:paraId="6B921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Align w:val="top"/>
                </w:tcPr>
                <w:p w14:paraId="111E52E1">
                  <w:pPr>
                    <w:pStyle w:val="65"/>
                    <w:spacing w:before="31" w:line="217" w:lineRule="auto"/>
                    <w:ind w:left="291"/>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w:t>
                  </w:r>
                </w:p>
              </w:tc>
              <w:tc>
                <w:tcPr>
                  <w:tcW w:w="1235" w:type="dxa"/>
                  <w:vMerge w:val="restart"/>
                  <w:tcBorders>
                    <w:bottom w:val="nil"/>
                  </w:tcBorders>
                  <w:vAlign w:val="center"/>
                </w:tcPr>
                <w:p w14:paraId="094A0E4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左岸</w:t>
                  </w:r>
                </w:p>
              </w:tc>
              <w:tc>
                <w:tcPr>
                  <w:tcW w:w="1605" w:type="dxa"/>
                  <w:vAlign w:val="top"/>
                </w:tcPr>
                <w:p w14:paraId="1074C856">
                  <w:pPr>
                    <w:pStyle w:val="65"/>
                    <w:spacing w:before="31" w:line="217" w:lineRule="auto"/>
                    <w:ind w:left="117"/>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Z57+600.000</w:t>
                  </w:r>
                </w:p>
              </w:tc>
              <w:tc>
                <w:tcPr>
                  <w:tcW w:w="1609" w:type="dxa"/>
                  <w:vAlign w:val="top"/>
                </w:tcPr>
                <w:p w14:paraId="5FECFEF0">
                  <w:pPr>
                    <w:pStyle w:val="65"/>
                    <w:spacing w:before="31" w:line="217" w:lineRule="auto"/>
                    <w:ind w:left="119"/>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Z58+294.000</w:t>
                  </w:r>
                </w:p>
              </w:tc>
              <w:tc>
                <w:tcPr>
                  <w:tcW w:w="1361" w:type="dxa"/>
                  <w:vAlign w:val="top"/>
                </w:tcPr>
                <w:p w14:paraId="111D34D0">
                  <w:pPr>
                    <w:pStyle w:val="65"/>
                    <w:spacing w:before="31" w:line="217" w:lineRule="auto"/>
                    <w:ind w:left="436"/>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694</w:t>
                  </w:r>
                </w:p>
              </w:tc>
              <w:tc>
                <w:tcPr>
                  <w:tcW w:w="1736" w:type="dxa"/>
                  <w:vAlign w:val="top"/>
                </w:tcPr>
                <w:p w14:paraId="0843DB46">
                  <w:pPr>
                    <w:pStyle w:val="65"/>
                    <w:spacing w:before="31" w:line="217" w:lineRule="auto"/>
                    <w:ind w:left="122"/>
                    <w:rPr>
                      <w:rFonts w:hint="default" w:ascii="Times New Roman" w:hAnsi="Times New Roman" w:cs="Times New Roman"/>
                      <w:color w:val="auto"/>
                      <w:sz w:val="21"/>
                      <w:szCs w:val="21"/>
                    </w:rPr>
                  </w:pPr>
                  <w:r>
                    <w:rPr>
                      <w:rFonts w:hint="default" w:ascii="Times New Roman" w:hAnsi="Times New Roman" w:cs="Times New Roman"/>
                      <w:color w:val="auto"/>
                      <w:spacing w:val="8"/>
                      <w:sz w:val="21"/>
                      <w:szCs w:val="21"/>
                    </w:rPr>
                    <w:t>砼重力墙护岸</w:t>
                  </w:r>
                </w:p>
              </w:tc>
            </w:tr>
            <w:tr w14:paraId="37DF33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Align w:val="top"/>
                </w:tcPr>
                <w:p w14:paraId="475BEE24">
                  <w:pPr>
                    <w:pStyle w:val="65"/>
                    <w:spacing w:before="32" w:line="216" w:lineRule="auto"/>
                    <w:ind w:left="27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w:t>
                  </w:r>
                </w:p>
              </w:tc>
              <w:tc>
                <w:tcPr>
                  <w:tcW w:w="1235" w:type="dxa"/>
                  <w:vMerge w:val="continue"/>
                  <w:tcBorders>
                    <w:top w:val="nil"/>
                    <w:bottom w:val="nil"/>
                  </w:tcBorders>
                  <w:vAlign w:val="top"/>
                </w:tcPr>
                <w:p w14:paraId="18BAC59D">
                  <w:pPr>
                    <w:rPr>
                      <w:rFonts w:hint="default" w:ascii="Times New Roman" w:hAnsi="Times New Roman" w:cs="Times New Roman"/>
                      <w:color w:val="auto"/>
                      <w:sz w:val="21"/>
                      <w:szCs w:val="21"/>
                    </w:rPr>
                  </w:pPr>
                </w:p>
              </w:tc>
              <w:tc>
                <w:tcPr>
                  <w:tcW w:w="1605" w:type="dxa"/>
                  <w:vAlign w:val="top"/>
                </w:tcPr>
                <w:p w14:paraId="6BC4BA79">
                  <w:pPr>
                    <w:pStyle w:val="65"/>
                    <w:spacing w:before="32" w:line="216" w:lineRule="auto"/>
                    <w:ind w:left="117"/>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Z58+300.000</w:t>
                  </w:r>
                </w:p>
              </w:tc>
              <w:tc>
                <w:tcPr>
                  <w:tcW w:w="1609" w:type="dxa"/>
                  <w:vAlign w:val="top"/>
                </w:tcPr>
                <w:p w14:paraId="66810C6F">
                  <w:pPr>
                    <w:pStyle w:val="65"/>
                    <w:spacing w:before="32" w:line="216" w:lineRule="auto"/>
                    <w:ind w:left="119"/>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Z61+510.000</w:t>
                  </w:r>
                </w:p>
              </w:tc>
              <w:tc>
                <w:tcPr>
                  <w:tcW w:w="1361" w:type="dxa"/>
                  <w:vAlign w:val="top"/>
                </w:tcPr>
                <w:p w14:paraId="0E458D30">
                  <w:pPr>
                    <w:pStyle w:val="65"/>
                    <w:spacing w:before="32" w:line="216" w:lineRule="auto"/>
                    <w:ind w:left="386"/>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3210</w:t>
                  </w:r>
                </w:p>
              </w:tc>
              <w:tc>
                <w:tcPr>
                  <w:tcW w:w="1736" w:type="dxa"/>
                  <w:vAlign w:val="top"/>
                </w:tcPr>
                <w:p w14:paraId="694CDCE6">
                  <w:pPr>
                    <w:pStyle w:val="65"/>
                    <w:spacing w:before="32" w:line="216" w:lineRule="auto"/>
                    <w:ind w:left="125"/>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现浇砼板护岸</w:t>
                  </w:r>
                </w:p>
              </w:tc>
            </w:tr>
            <w:tr w14:paraId="2A41D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Align w:val="top"/>
                </w:tcPr>
                <w:p w14:paraId="04C475BD">
                  <w:pPr>
                    <w:pStyle w:val="65"/>
                    <w:spacing w:before="34" w:line="215" w:lineRule="auto"/>
                    <w:ind w:left="279"/>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w:t>
                  </w:r>
                </w:p>
              </w:tc>
              <w:tc>
                <w:tcPr>
                  <w:tcW w:w="1235" w:type="dxa"/>
                  <w:vMerge w:val="continue"/>
                  <w:tcBorders>
                    <w:top w:val="nil"/>
                    <w:bottom w:val="nil"/>
                  </w:tcBorders>
                  <w:vAlign w:val="top"/>
                </w:tcPr>
                <w:p w14:paraId="579A3CAE">
                  <w:pPr>
                    <w:rPr>
                      <w:rFonts w:hint="default" w:ascii="Times New Roman" w:hAnsi="Times New Roman" w:cs="Times New Roman"/>
                      <w:color w:val="auto"/>
                      <w:sz w:val="21"/>
                      <w:szCs w:val="21"/>
                    </w:rPr>
                  </w:pPr>
                </w:p>
              </w:tc>
              <w:tc>
                <w:tcPr>
                  <w:tcW w:w="1605" w:type="dxa"/>
                  <w:vAlign w:val="top"/>
                </w:tcPr>
                <w:p w14:paraId="39173A30">
                  <w:pPr>
                    <w:pStyle w:val="65"/>
                    <w:spacing w:before="34" w:line="215" w:lineRule="auto"/>
                    <w:ind w:left="117"/>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Z61+550.000</w:t>
                  </w:r>
                </w:p>
              </w:tc>
              <w:tc>
                <w:tcPr>
                  <w:tcW w:w="1609" w:type="dxa"/>
                  <w:vAlign w:val="top"/>
                </w:tcPr>
                <w:p w14:paraId="038F4181">
                  <w:pPr>
                    <w:pStyle w:val="65"/>
                    <w:spacing w:before="34" w:line="215" w:lineRule="auto"/>
                    <w:ind w:left="119"/>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Z62+119.000</w:t>
                  </w:r>
                </w:p>
              </w:tc>
              <w:tc>
                <w:tcPr>
                  <w:tcW w:w="1361" w:type="dxa"/>
                  <w:vAlign w:val="top"/>
                </w:tcPr>
                <w:p w14:paraId="7828B09B">
                  <w:pPr>
                    <w:pStyle w:val="65"/>
                    <w:spacing w:before="34" w:line="215" w:lineRule="auto"/>
                    <w:ind w:left="438"/>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569</w:t>
                  </w:r>
                </w:p>
              </w:tc>
              <w:tc>
                <w:tcPr>
                  <w:tcW w:w="1736" w:type="dxa"/>
                  <w:vAlign w:val="top"/>
                </w:tcPr>
                <w:p w14:paraId="184A29BD">
                  <w:pPr>
                    <w:pStyle w:val="65"/>
                    <w:spacing w:before="34" w:line="215" w:lineRule="auto"/>
                    <w:ind w:left="122"/>
                    <w:rPr>
                      <w:rFonts w:hint="default" w:ascii="Times New Roman" w:hAnsi="Times New Roman" w:cs="Times New Roman"/>
                      <w:color w:val="auto"/>
                      <w:sz w:val="21"/>
                      <w:szCs w:val="21"/>
                    </w:rPr>
                  </w:pPr>
                  <w:r>
                    <w:rPr>
                      <w:rFonts w:hint="default" w:ascii="Times New Roman" w:hAnsi="Times New Roman" w:cs="Times New Roman"/>
                      <w:color w:val="auto"/>
                      <w:spacing w:val="8"/>
                      <w:sz w:val="21"/>
                      <w:szCs w:val="21"/>
                    </w:rPr>
                    <w:t>砼重力墙护岸</w:t>
                  </w:r>
                </w:p>
              </w:tc>
            </w:tr>
            <w:tr w14:paraId="4D059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Align w:val="top"/>
                </w:tcPr>
                <w:p w14:paraId="524EC116">
                  <w:pPr>
                    <w:pStyle w:val="65"/>
                    <w:spacing w:before="32" w:line="216" w:lineRule="auto"/>
                    <w:ind w:left="274"/>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w:t>
                  </w:r>
                </w:p>
              </w:tc>
              <w:tc>
                <w:tcPr>
                  <w:tcW w:w="1235" w:type="dxa"/>
                  <w:vMerge w:val="continue"/>
                  <w:tcBorders>
                    <w:top w:val="nil"/>
                    <w:bottom w:val="nil"/>
                  </w:tcBorders>
                  <w:vAlign w:val="top"/>
                </w:tcPr>
                <w:p w14:paraId="18732E62">
                  <w:pPr>
                    <w:rPr>
                      <w:rFonts w:hint="default" w:ascii="Times New Roman" w:hAnsi="Times New Roman" w:cs="Times New Roman"/>
                      <w:color w:val="auto"/>
                      <w:sz w:val="21"/>
                      <w:szCs w:val="21"/>
                    </w:rPr>
                  </w:pPr>
                </w:p>
              </w:tc>
              <w:tc>
                <w:tcPr>
                  <w:tcW w:w="1605" w:type="dxa"/>
                  <w:vAlign w:val="top"/>
                </w:tcPr>
                <w:p w14:paraId="2092449D">
                  <w:pPr>
                    <w:pStyle w:val="65"/>
                    <w:spacing w:before="32" w:line="216" w:lineRule="auto"/>
                    <w:ind w:left="117"/>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Z62+130.000</w:t>
                  </w:r>
                </w:p>
              </w:tc>
              <w:tc>
                <w:tcPr>
                  <w:tcW w:w="1609" w:type="dxa"/>
                  <w:vAlign w:val="top"/>
                </w:tcPr>
                <w:p w14:paraId="7969C953">
                  <w:pPr>
                    <w:pStyle w:val="65"/>
                    <w:spacing w:before="32" w:line="216" w:lineRule="auto"/>
                    <w:ind w:left="119"/>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Z62+393.000</w:t>
                  </w:r>
                </w:p>
              </w:tc>
              <w:tc>
                <w:tcPr>
                  <w:tcW w:w="1361" w:type="dxa"/>
                  <w:vAlign w:val="top"/>
                </w:tcPr>
                <w:p w14:paraId="7D2E0276">
                  <w:pPr>
                    <w:pStyle w:val="65"/>
                    <w:spacing w:before="32" w:line="216" w:lineRule="auto"/>
                    <w:ind w:left="437"/>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263</w:t>
                  </w:r>
                </w:p>
              </w:tc>
              <w:tc>
                <w:tcPr>
                  <w:tcW w:w="1736" w:type="dxa"/>
                  <w:vAlign w:val="top"/>
                </w:tcPr>
                <w:p w14:paraId="73B9EA3E">
                  <w:pPr>
                    <w:pStyle w:val="65"/>
                    <w:spacing w:before="32" w:line="216" w:lineRule="auto"/>
                    <w:ind w:left="125"/>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现浇砼板护岸</w:t>
                  </w:r>
                </w:p>
              </w:tc>
            </w:tr>
            <w:tr w14:paraId="5A9A2D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Align w:val="top"/>
                </w:tcPr>
                <w:p w14:paraId="4E2E2921">
                  <w:pPr>
                    <w:pStyle w:val="65"/>
                    <w:spacing w:before="34" w:line="215" w:lineRule="auto"/>
                    <w:ind w:left="279"/>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w:t>
                  </w:r>
                </w:p>
              </w:tc>
              <w:tc>
                <w:tcPr>
                  <w:tcW w:w="1235" w:type="dxa"/>
                  <w:vMerge w:val="continue"/>
                  <w:tcBorders>
                    <w:top w:val="nil"/>
                  </w:tcBorders>
                  <w:vAlign w:val="top"/>
                </w:tcPr>
                <w:p w14:paraId="341F5E82">
                  <w:pPr>
                    <w:rPr>
                      <w:rFonts w:hint="default" w:ascii="Times New Roman" w:hAnsi="Times New Roman" w:cs="Times New Roman"/>
                      <w:color w:val="auto"/>
                      <w:sz w:val="21"/>
                      <w:szCs w:val="21"/>
                    </w:rPr>
                  </w:pPr>
                </w:p>
              </w:tc>
              <w:tc>
                <w:tcPr>
                  <w:tcW w:w="1605" w:type="dxa"/>
                  <w:vAlign w:val="top"/>
                </w:tcPr>
                <w:p w14:paraId="27D3B2B2">
                  <w:pPr>
                    <w:pStyle w:val="65"/>
                    <w:spacing w:before="34" w:line="215" w:lineRule="auto"/>
                    <w:ind w:left="117"/>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Z62+590.000</w:t>
                  </w:r>
                </w:p>
              </w:tc>
              <w:tc>
                <w:tcPr>
                  <w:tcW w:w="1609" w:type="dxa"/>
                  <w:vAlign w:val="top"/>
                </w:tcPr>
                <w:p w14:paraId="7A4DE439">
                  <w:pPr>
                    <w:pStyle w:val="65"/>
                    <w:spacing w:before="34" w:line="215" w:lineRule="auto"/>
                    <w:ind w:left="119"/>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Z68+980.000</w:t>
                  </w:r>
                </w:p>
              </w:tc>
              <w:tc>
                <w:tcPr>
                  <w:tcW w:w="1361" w:type="dxa"/>
                  <w:vAlign w:val="top"/>
                </w:tcPr>
                <w:p w14:paraId="3D971932">
                  <w:pPr>
                    <w:pStyle w:val="65"/>
                    <w:spacing w:before="34" w:line="215" w:lineRule="auto"/>
                    <w:ind w:left="383"/>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6390</w:t>
                  </w:r>
                </w:p>
              </w:tc>
              <w:tc>
                <w:tcPr>
                  <w:tcW w:w="1736" w:type="dxa"/>
                  <w:vAlign w:val="top"/>
                </w:tcPr>
                <w:p w14:paraId="6FFC82C2">
                  <w:pPr>
                    <w:pStyle w:val="65"/>
                    <w:spacing w:before="34" w:line="215" w:lineRule="auto"/>
                    <w:ind w:left="125"/>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现浇砼板护岸</w:t>
                  </w:r>
                </w:p>
              </w:tc>
            </w:tr>
            <w:tr w14:paraId="7A0507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Align w:val="top"/>
                </w:tcPr>
                <w:p w14:paraId="7F7477AF">
                  <w:pPr>
                    <w:pStyle w:val="65"/>
                    <w:spacing w:before="32" w:line="216" w:lineRule="auto"/>
                    <w:ind w:left="277"/>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w:t>
                  </w:r>
                </w:p>
              </w:tc>
              <w:tc>
                <w:tcPr>
                  <w:tcW w:w="1235" w:type="dxa"/>
                  <w:vMerge w:val="restart"/>
                  <w:tcBorders>
                    <w:bottom w:val="nil"/>
                  </w:tcBorders>
                  <w:vAlign w:val="center"/>
                </w:tcPr>
                <w:p w14:paraId="0DA257D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右岸</w:t>
                  </w:r>
                </w:p>
              </w:tc>
              <w:tc>
                <w:tcPr>
                  <w:tcW w:w="1605" w:type="dxa"/>
                  <w:vAlign w:val="top"/>
                </w:tcPr>
                <w:p w14:paraId="2BA7BFB2">
                  <w:pPr>
                    <w:pStyle w:val="65"/>
                    <w:spacing w:before="32" w:line="216" w:lineRule="auto"/>
                    <w:ind w:left="114"/>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Y57+600.000</w:t>
                  </w:r>
                </w:p>
              </w:tc>
              <w:tc>
                <w:tcPr>
                  <w:tcW w:w="1609" w:type="dxa"/>
                  <w:vAlign w:val="top"/>
                </w:tcPr>
                <w:p w14:paraId="328A38E1">
                  <w:pPr>
                    <w:pStyle w:val="65"/>
                    <w:spacing w:before="32" w:line="216" w:lineRule="auto"/>
                    <w:ind w:left="116"/>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Y58+298.000</w:t>
                  </w:r>
                </w:p>
              </w:tc>
              <w:tc>
                <w:tcPr>
                  <w:tcW w:w="1361" w:type="dxa"/>
                  <w:vAlign w:val="top"/>
                </w:tcPr>
                <w:p w14:paraId="465D4B3E">
                  <w:pPr>
                    <w:pStyle w:val="65"/>
                    <w:spacing w:before="32" w:line="216" w:lineRule="auto"/>
                    <w:ind w:left="436"/>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698</w:t>
                  </w:r>
                </w:p>
              </w:tc>
              <w:tc>
                <w:tcPr>
                  <w:tcW w:w="1736" w:type="dxa"/>
                  <w:vAlign w:val="top"/>
                </w:tcPr>
                <w:p w14:paraId="18B53A1A">
                  <w:pPr>
                    <w:pStyle w:val="65"/>
                    <w:spacing w:before="32" w:line="216" w:lineRule="auto"/>
                    <w:ind w:left="122"/>
                    <w:rPr>
                      <w:rFonts w:hint="default" w:ascii="Times New Roman" w:hAnsi="Times New Roman" w:cs="Times New Roman"/>
                      <w:color w:val="auto"/>
                      <w:sz w:val="21"/>
                      <w:szCs w:val="21"/>
                    </w:rPr>
                  </w:pPr>
                  <w:r>
                    <w:rPr>
                      <w:rFonts w:hint="default" w:ascii="Times New Roman" w:hAnsi="Times New Roman" w:cs="Times New Roman"/>
                      <w:color w:val="auto"/>
                      <w:spacing w:val="8"/>
                      <w:sz w:val="21"/>
                      <w:szCs w:val="21"/>
                    </w:rPr>
                    <w:t>砼重力墙护岸</w:t>
                  </w:r>
                </w:p>
              </w:tc>
            </w:tr>
            <w:tr w14:paraId="1E3B1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Align w:val="top"/>
                </w:tcPr>
                <w:p w14:paraId="63633AB7">
                  <w:pPr>
                    <w:pStyle w:val="65"/>
                    <w:spacing w:before="34" w:line="215" w:lineRule="auto"/>
                    <w:ind w:left="28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w:t>
                  </w:r>
                </w:p>
              </w:tc>
              <w:tc>
                <w:tcPr>
                  <w:tcW w:w="1235" w:type="dxa"/>
                  <w:vMerge w:val="continue"/>
                  <w:tcBorders>
                    <w:top w:val="nil"/>
                    <w:bottom w:val="nil"/>
                  </w:tcBorders>
                  <w:vAlign w:val="top"/>
                </w:tcPr>
                <w:p w14:paraId="0504AE55">
                  <w:pPr>
                    <w:rPr>
                      <w:rFonts w:hint="default" w:ascii="Times New Roman" w:hAnsi="Times New Roman" w:cs="Times New Roman"/>
                      <w:color w:val="auto"/>
                      <w:sz w:val="21"/>
                      <w:szCs w:val="21"/>
                    </w:rPr>
                  </w:pPr>
                </w:p>
              </w:tc>
              <w:tc>
                <w:tcPr>
                  <w:tcW w:w="1605" w:type="dxa"/>
                  <w:vAlign w:val="top"/>
                </w:tcPr>
                <w:p w14:paraId="544900BC">
                  <w:pPr>
                    <w:pStyle w:val="65"/>
                    <w:spacing w:before="34" w:line="215" w:lineRule="auto"/>
                    <w:ind w:left="114"/>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Y58+300.000</w:t>
                  </w:r>
                </w:p>
              </w:tc>
              <w:tc>
                <w:tcPr>
                  <w:tcW w:w="1609" w:type="dxa"/>
                  <w:vAlign w:val="top"/>
                </w:tcPr>
                <w:p w14:paraId="66015E86">
                  <w:pPr>
                    <w:pStyle w:val="65"/>
                    <w:spacing w:before="34" w:line="215" w:lineRule="auto"/>
                    <w:ind w:left="116"/>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Y61+542.000</w:t>
                  </w:r>
                </w:p>
              </w:tc>
              <w:tc>
                <w:tcPr>
                  <w:tcW w:w="1361" w:type="dxa"/>
                  <w:vAlign w:val="top"/>
                </w:tcPr>
                <w:p w14:paraId="2F836559">
                  <w:pPr>
                    <w:pStyle w:val="65"/>
                    <w:spacing w:before="34" w:line="215" w:lineRule="auto"/>
                    <w:ind w:left="386"/>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3242</w:t>
                  </w:r>
                </w:p>
              </w:tc>
              <w:tc>
                <w:tcPr>
                  <w:tcW w:w="1736" w:type="dxa"/>
                  <w:vAlign w:val="top"/>
                </w:tcPr>
                <w:p w14:paraId="37AD384C">
                  <w:pPr>
                    <w:pStyle w:val="65"/>
                    <w:spacing w:before="34" w:line="215" w:lineRule="auto"/>
                    <w:ind w:left="125"/>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现浇砼板护岸</w:t>
                  </w:r>
                </w:p>
              </w:tc>
            </w:tr>
            <w:tr w14:paraId="4D6B8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Align w:val="top"/>
                </w:tcPr>
                <w:p w14:paraId="421BE153">
                  <w:pPr>
                    <w:pStyle w:val="65"/>
                    <w:spacing w:before="33" w:line="216" w:lineRule="auto"/>
                    <w:ind w:left="276"/>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w:t>
                  </w:r>
                </w:p>
              </w:tc>
              <w:tc>
                <w:tcPr>
                  <w:tcW w:w="1235" w:type="dxa"/>
                  <w:vMerge w:val="continue"/>
                  <w:tcBorders>
                    <w:top w:val="nil"/>
                    <w:bottom w:val="nil"/>
                  </w:tcBorders>
                  <w:vAlign w:val="top"/>
                </w:tcPr>
                <w:p w14:paraId="01F715FB">
                  <w:pPr>
                    <w:rPr>
                      <w:rFonts w:hint="default" w:ascii="Times New Roman" w:hAnsi="Times New Roman" w:cs="Times New Roman"/>
                      <w:color w:val="auto"/>
                      <w:sz w:val="21"/>
                      <w:szCs w:val="21"/>
                    </w:rPr>
                  </w:pPr>
                </w:p>
              </w:tc>
              <w:tc>
                <w:tcPr>
                  <w:tcW w:w="1605" w:type="dxa"/>
                  <w:vAlign w:val="top"/>
                </w:tcPr>
                <w:p w14:paraId="550EE952">
                  <w:pPr>
                    <w:pStyle w:val="65"/>
                    <w:spacing w:before="33" w:line="216" w:lineRule="auto"/>
                    <w:ind w:left="114"/>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Y61+600.000</w:t>
                  </w:r>
                </w:p>
              </w:tc>
              <w:tc>
                <w:tcPr>
                  <w:tcW w:w="1609" w:type="dxa"/>
                  <w:vAlign w:val="top"/>
                </w:tcPr>
                <w:p w14:paraId="327153BF">
                  <w:pPr>
                    <w:pStyle w:val="65"/>
                    <w:spacing w:before="33" w:line="216" w:lineRule="auto"/>
                    <w:ind w:left="116"/>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Y62+125.000</w:t>
                  </w:r>
                </w:p>
              </w:tc>
              <w:tc>
                <w:tcPr>
                  <w:tcW w:w="1361" w:type="dxa"/>
                  <w:vAlign w:val="top"/>
                </w:tcPr>
                <w:p w14:paraId="6B506F73">
                  <w:pPr>
                    <w:pStyle w:val="65"/>
                    <w:spacing w:before="33" w:line="216" w:lineRule="auto"/>
                    <w:ind w:left="438"/>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525</w:t>
                  </w:r>
                </w:p>
              </w:tc>
              <w:tc>
                <w:tcPr>
                  <w:tcW w:w="1736" w:type="dxa"/>
                  <w:vAlign w:val="top"/>
                </w:tcPr>
                <w:p w14:paraId="2CF123B2">
                  <w:pPr>
                    <w:pStyle w:val="65"/>
                    <w:spacing w:before="33" w:line="216" w:lineRule="auto"/>
                    <w:ind w:left="122"/>
                    <w:rPr>
                      <w:rFonts w:hint="default" w:ascii="Times New Roman" w:hAnsi="Times New Roman" w:cs="Times New Roman"/>
                      <w:color w:val="auto"/>
                      <w:sz w:val="21"/>
                      <w:szCs w:val="21"/>
                    </w:rPr>
                  </w:pPr>
                  <w:r>
                    <w:rPr>
                      <w:rFonts w:hint="default" w:ascii="Times New Roman" w:hAnsi="Times New Roman" w:cs="Times New Roman"/>
                      <w:color w:val="auto"/>
                      <w:spacing w:val="8"/>
                      <w:sz w:val="21"/>
                      <w:szCs w:val="21"/>
                    </w:rPr>
                    <w:t>砼重力墙护岸</w:t>
                  </w:r>
                </w:p>
              </w:tc>
            </w:tr>
            <w:tr w14:paraId="69B21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Align w:val="top"/>
                </w:tcPr>
                <w:p w14:paraId="5207498A">
                  <w:pPr>
                    <w:pStyle w:val="65"/>
                    <w:spacing w:before="34" w:line="215" w:lineRule="auto"/>
                    <w:ind w:left="276"/>
                    <w:rPr>
                      <w:rFonts w:hint="default" w:ascii="Times New Roman" w:hAnsi="Times New Roman" w:cs="Times New Roman"/>
                      <w:color w:val="auto"/>
                      <w:sz w:val="21"/>
                      <w:szCs w:val="21"/>
                    </w:rPr>
                  </w:pPr>
                  <w:r>
                    <w:rPr>
                      <w:rFonts w:hint="default" w:ascii="Times New Roman" w:hAnsi="Times New Roman" w:cs="Times New Roman"/>
                      <w:color w:val="auto"/>
                      <w:sz w:val="21"/>
                      <w:szCs w:val="21"/>
                    </w:rPr>
                    <w:t>9</w:t>
                  </w:r>
                </w:p>
              </w:tc>
              <w:tc>
                <w:tcPr>
                  <w:tcW w:w="1235" w:type="dxa"/>
                  <w:vMerge w:val="continue"/>
                  <w:tcBorders>
                    <w:top w:val="nil"/>
                    <w:bottom w:val="nil"/>
                  </w:tcBorders>
                  <w:vAlign w:val="top"/>
                </w:tcPr>
                <w:p w14:paraId="75D9CFC4">
                  <w:pPr>
                    <w:rPr>
                      <w:rFonts w:hint="default" w:ascii="Times New Roman" w:hAnsi="Times New Roman" w:cs="Times New Roman"/>
                      <w:color w:val="auto"/>
                      <w:sz w:val="21"/>
                      <w:szCs w:val="21"/>
                    </w:rPr>
                  </w:pPr>
                </w:p>
              </w:tc>
              <w:tc>
                <w:tcPr>
                  <w:tcW w:w="1605" w:type="dxa"/>
                  <w:vAlign w:val="top"/>
                </w:tcPr>
                <w:p w14:paraId="747ABAFE">
                  <w:pPr>
                    <w:pStyle w:val="65"/>
                    <w:spacing w:before="34" w:line="215" w:lineRule="auto"/>
                    <w:ind w:left="114"/>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Y62+150.000</w:t>
                  </w:r>
                </w:p>
              </w:tc>
              <w:tc>
                <w:tcPr>
                  <w:tcW w:w="1609" w:type="dxa"/>
                  <w:vAlign w:val="top"/>
                </w:tcPr>
                <w:p w14:paraId="1DCBC986">
                  <w:pPr>
                    <w:pStyle w:val="65"/>
                    <w:spacing w:before="34" w:line="215" w:lineRule="auto"/>
                    <w:ind w:left="116"/>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Y62+363.000</w:t>
                  </w:r>
                </w:p>
              </w:tc>
              <w:tc>
                <w:tcPr>
                  <w:tcW w:w="1361" w:type="dxa"/>
                  <w:vAlign w:val="top"/>
                </w:tcPr>
                <w:p w14:paraId="5753BBF8">
                  <w:pPr>
                    <w:pStyle w:val="65"/>
                    <w:spacing w:before="34" w:line="215" w:lineRule="auto"/>
                    <w:ind w:left="437"/>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213</w:t>
                  </w:r>
                </w:p>
              </w:tc>
              <w:tc>
                <w:tcPr>
                  <w:tcW w:w="1736" w:type="dxa"/>
                  <w:vAlign w:val="top"/>
                </w:tcPr>
                <w:p w14:paraId="511743DD">
                  <w:pPr>
                    <w:pStyle w:val="65"/>
                    <w:spacing w:before="34" w:line="215" w:lineRule="auto"/>
                    <w:ind w:left="125"/>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现浇砼板护岸</w:t>
                  </w:r>
                </w:p>
              </w:tc>
            </w:tr>
            <w:tr w14:paraId="10CAF5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Align w:val="top"/>
                </w:tcPr>
                <w:p w14:paraId="5DFD8BCB">
                  <w:pPr>
                    <w:pStyle w:val="65"/>
                    <w:spacing w:before="35" w:line="214" w:lineRule="auto"/>
                    <w:ind w:left="238"/>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10</w:t>
                  </w:r>
                </w:p>
              </w:tc>
              <w:tc>
                <w:tcPr>
                  <w:tcW w:w="1235" w:type="dxa"/>
                  <w:vMerge w:val="continue"/>
                  <w:tcBorders>
                    <w:top w:val="nil"/>
                  </w:tcBorders>
                  <w:vAlign w:val="top"/>
                </w:tcPr>
                <w:p w14:paraId="16CA7964">
                  <w:pPr>
                    <w:rPr>
                      <w:rFonts w:hint="default" w:ascii="Times New Roman" w:hAnsi="Times New Roman" w:cs="Times New Roman"/>
                      <w:color w:val="auto"/>
                      <w:sz w:val="21"/>
                      <w:szCs w:val="21"/>
                    </w:rPr>
                  </w:pPr>
                </w:p>
              </w:tc>
              <w:tc>
                <w:tcPr>
                  <w:tcW w:w="1605" w:type="dxa"/>
                  <w:vAlign w:val="top"/>
                </w:tcPr>
                <w:p w14:paraId="2B07962F">
                  <w:pPr>
                    <w:pStyle w:val="65"/>
                    <w:spacing w:before="35" w:line="214" w:lineRule="auto"/>
                    <w:ind w:left="114"/>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Y62+600.000</w:t>
                  </w:r>
                </w:p>
              </w:tc>
              <w:tc>
                <w:tcPr>
                  <w:tcW w:w="1609" w:type="dxa"/>
                  <w:vAlign w:val="top"/>
                </w:tcPr>
                <w:p w14:paraId="2AB8B352">
                  <w:pPr>
                    <w:pStyle w:val="65"/>
                    <w:spacing w:before="35" w:line="214" w:lineRule="auto"/>
                    <w:ind w:left="116"/>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Y68+980.000</w:t>
                  </w:r>
                </w:p>
              </w:tc>
              <w:tc>
                <w:tcPr>
                  <w:tcW w:w="1361" w:type="dxa"/>
                  <w:vAlign w:val="top"/>
                </w:tcPr>
                <w:p w14:paraId="4A49EABF">
                  <w:pPr>
                    <w:pStyle w:val="65"/>
                    <w:spacing w:before="35" w:line="214" w:lineRule="auto"/>
                    <w:ind w:left="383"/>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6380</w:t>
                  </w:r>
                </w:p>
              </w:tc>
              <w:tc>
                <w:tcPr>
                  <w:tcW w:w="1736" w:type="dxa"/>
                  <w:vAlign w:val="top"/>
                </w:tcPr>
                <w:p w14:paraId="780C63A6">
                  <w:pPr>
                    <w:pStyle w:val="65"/>
                    <w:spacing w:before="35" w:line="214" w:lineRule="auto"/>
                    <w:ind w:left="125"/>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现浇砼板护岸</w:t>
                  </w:r>
                </w:p>
              </w:tc>
            </w:tr>
            <w:tr w14:paraId="57B6E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1" w:type="dxa"/>
                  <w:vAlign w:val="top"/>
                </w:tcPr>
                <w:p w14:paraId="29E792B3">
                  <w:pPr>
                    <w:pStyle w:val="65"/>
                    <w:spacing w:before="34" w:line="218" w:lineRule="auto"/>
                    <w:ind w:left="238"/>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11</w:t>
                  </w:r>
                </w:p>
              </w:tc>
              <w:tc>
                <w:tcPr>
                  <w:tcW w:w="1235" w:type="dxa"/>
                  <w:vAlign w:val="center"/>
                </w:tcPr>
                <w:p w14:paraId="37922985">
                  <w:pPr>
                    <w:pStyle w:val="65"/>
                    <w:spacing w:before="34" w:line="218" w:lineRule="auto"/>
                    <w:ind w:left="122"/>
                    <w:jc w:val="center"/>
                    <w:rPr>
                      <w:rFonts w:hint="default" w:ascii="Times New Roman" w:hAnsi="Times New Roman" w:cs="Times New Roman"/>
                      <w:color w:val="auto"/>
                      <w:sz w:val="21"/>
                      <w:szCs w:val="21"/>
                    </w:rPr>
                  </w:pPr>
                  <w:r>
                    <w:rPr>
                      <w:rFonts w:hint="default" w:ascii="Times New Roman" w:hAnsi="Times New Roman" w:cs="Times New Roman"/>
                      <w:color w:val="auto"/>
                      <w:spacing w:val="5"/>
                      <w:sz w:val="21"/>
                      <w:szCs w:val="21"/>
                    </w:rPr>
                    <w:t>吉布库河</w:t>
                  </w:r>
                </w:p>
              </w:tc>
              <w:tc>
                <w:tcPr>
                  <w:tcW w:w="3214" w:type="dxa"/>
                  <w:gridSpan w:val="2"/>
                  <w:vAlign w:val="top"/>
                </w:tcPr>
                <w:p w14:paraId="545BFF22">
                  <w:pPr>
                    <w:pStyle w:val="65"/>
                    <w:spacing w:before="34" w:line="218" w:lineRule="auto"/>
                    <w:ind w:left="1181"/>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合计</w:t>
                  </w:r>
                </w:p>
              </w:tc>
              <w:tc>
                <w:tcPr>
                  <w:tcW w:w="1361" w:type="dxa"/>
                  <w:vAlign w:val="top"/>
                </w:tcPr>
                <w:p w14:paraId="6A0A7B23">
                  <w:pPr>
                    <w:pStyle w:val="65"/>
                    <w:spacing w:before="34" w:line="218" w:lineRule="auto"/>
                    <w:ind w:left="331"/>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22184</w:t>
                  </w:r>
                </w:p>
              </w:tc>
              <w:tc>
                <w:tcPr>
                  <w:tcW w:w="1736" w:type="dxa"/>
                  <w:vAlign w:val="center"/>
                </w:tcPr>
                <w:p w14:paraId="2586DD54">
                  <w:pPr>
                    <w:jc w:val="center"/>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r>
          </w:tbl>
          <w:p w14:paraId="7AA6A4AB">
            <w:pPr>
              <w:keepNext w:val="0"/>
              <w:keepLines w:val="0"/>
              <w:pageBreakBefore w:val="0"/>
              <w:widowControl/>
              <w:numPr>
                <w:ilvl w:val="0"/>
                <w:numId w:val="12"/>
              </w:numPr>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eastAsia"/>
                <w:b/>
                <w:bCs/>
                <w:color w:val="auto"/>
                <w:spacing w:val="-1"/>
                <w:sz w:val="24"/>
                <w:szCs w:val="24"/>
                <w:lang w:val="en-US" w:eastAsia="zh-CN"/>
              </w:rPr>
            </w:pPr>
            <w:r>
              <w:rPr>
                <w:rFonts w:hint="eastAsia"/>
                <w:b/>
                <w:bCs/>
                <w:color w:val="auto"/>
                <w:spacing w:val="-1"/>
                <w:sz w:val="24"/>
                <w:szCs w:val="24"/>
                <w:lang w:val="en-US" w:eastAsia="zh-CN"/>
              </w:rPr>
              <w:t>项目主要建设内容及工程组成一览表</w:t>
            </w:r>
          </w:p>
          <w:tbl>
            <w:tblPr>
              <w:tblStyle w:val="28"/>
              <w:tblW w:w="83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320"/>
              <w:gridCol w:w="6137"/>
            </w:tblGrid>
            <w:tr w14:paraId="3EBB9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8" w:type="dxa"/>
                  <w:gridSpan w:val="2"/>
                  <w:vAlign w:val="center"/>
                </w:tcPr>
                <w:p w14:paraId="37EE00C4">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b/>
                      <w:bCs/>
                      <w:color w:val="auto"/>
                      <w:spacing w:val="6"/>
                      <w:sz w:val="21"/>
                      <w:szCs w:val="21"/>
                      <w:vertAlign w:val="baseline"/>
                      <w:lang w:val="en-US" w:eastAsia="zh-CN"/>
                    </w:rPr>
                  </w:pPr>
                  <w:r>
                    <w:rPr>
                      <w:b/>
                      <w:bCs/>
                      <w:color w:val="auto"/>
                      <w:spacing w:val="2"/>
                      <w:sz w:val="21"/>
                      <w:szCs w:val="21"/>
                    </w:rPr>
                    <w:t>项目</w:t>
                  </w:r>
                </w:p>
              </w:tc>
              <w:tc>
                <w:tcPr>
                  <w:tcW w:w="6137" w:type="dxa"/>
                  <w:vAlign w:val="center"/>
                </w:tcPr>
                <w:p w14:paraId="26B50162">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b/>
                      <w:bCs/>
                      <w:color w:val="auto"/>
                      <w:spacing w:val="-9"/>
                      <w:sz w:val="21"/>
                      <w:szCs w:val="21"/>
                      <w:lang w:val="en-US" w:eastAsia="zh-CN"/>
                    </w:rPr>
                  </w:pPr>
                  <w:r>
                    <w:rPr>
                      <w:rFonts w:hint="eastAsia"/>
                      <w:b/>
                      <w:bCs/>
                      <w:color w:val="auto"/>
                      <w:spacing w:val="-9"/>
                      <w:sz w:val="21"/>
                      <w:szCs w:val="21"/>
                      <w:lang w:val="en-US" w:eastAsia="zh-CN"/>
                    </w:rPr>
                    <w:t>工程</w:t>
                  </w:r>
                  <w:r>
                    <w:rPr>
                      <w:b/>
                      <w:bCs/>
                      <w:color w:val="auto"/>
                      <w:spacing w:val="-9"/>
                      <w:sz w:val="21"/>
                      <w:szCs w:val="21"/>
                    </w:rPr>
                    <w:t>内容</w:t>
                  </w:r>
                </w:p>
              </w:tc>
            </w:tr>
            <w:tr w14:paraId="36471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restart"/>
                  <w:vAlign w:val="center"/>
                </w:tcPr>
                <w:p w14:paraId="28209070">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b/>
                      <w:bCs/>
                      <w:color w:val="auto"/>
                      <w:spacing w:val="6"/>
                      <w:sz w:val="21"/>
                      <w:szCs w:val="21"/>
                      <w:vertAlign w:val="baseline"/>
                      <w:lang w:val="en-US" w:eastAsia="zh-CN"/>
                    </w:rPr>
                  </w:pPr>
                  <w:r>
                    <w:rPr>
                      <w:color w:val="auto"/>
                      <w:spacing w:val="3"/>
                      <w:sz w:val="21"/>
                      <w:szCs w:val="21"/>
                    </w:rPr>
                    <w:t>主体工程</w:t>
                  </w:r>
                </w:p>
              </w:tc>
              <w:tc>
                <w:tcPr>
                  <w:tcW w:w="1320" w:type="dxa"/>
                  <w:vAlign w:val="center"/>
                </w:tcPr>
                <w:p w14:paraId="645E7868">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b/>
                      <w:bCs/>
                      <w:color w:val="auto"/>
                      <w:spacing w:val="6"/>
                      <w:sz w:val="21"/>
                      <w:szCs w:val="21"/>
                      <w:vertAlign w:val="baseline"/>
                      <w:lang w:val="en-US" w:eastAsia="zh-CN"/>
                    </w:rPr>
                  </w:pPr>
                  <w:r>
                    <w:rPr>
                      <w:color w:val="auto"/>
                      <w:spacing w:val="2"/>
                      <w:sz w:val="21"/>
                      <w:szCs w:val="21"/>
                    </w:rPr>
                    <w:t>防洪除</w:t>
                  </w:r>
                  <w:r>
                    <w:rPr>
                      <w:color w:val="auto"/>
                      <w:spacing w:val="5"/>
                      <w:sz w:val="21"/>
                      <w:szCs w:val="21"/>
                    </w:rPr>
                    <w:t>涝工程</w:t>
                  </w:r>
                </w:p>
              </w:tc>
              <w:tc>
                <w:tcPr>
                  <w:tcW w:w="6137" w:type="dxa"/>
                </w:tcPr>
                <w:p w14:paraId="73A1EC3C">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default" w:ascii="Times New Roman" w:hAnsi="Times New Roman" w:cs="Times New Roman"/>
                      <w:color w:val="auto"/>
                      <w:spacing w:val="7"/>
                      <w:sz w:val="21"/>
                      <w:szCs w:val="21"/>
                      <w:lang w:eastAsia="zh-CN"/>
                    </w:rPr>
                  </w:pPr>
                  <w:r>
                    <w:rPr>
                      <w:rFonts w:hint="default" w:ascii="Times New Roman" w:hAnsi="Times New Roman" w:cs="Times New Roman"/>
                      <w:color w:val="auto"/>
                      <w:spacing w:val="2"/>
                      <w:sz w:val="21"/>
                      <w:szCs w:val="21"/>
                      <w:lang w:val="en-US" w:eastAsia="zh-CN"/>
                    </w:rPr>
                    <w:t>主要为护岸工程，采取</w:t>
                  </w:r>
                  <w:r>
                    <w:rPr>
                      <w:rFonts w:hint="default" w:ascii="Times New Roman" w:hAnsi="Times New Roman" w:cs="Times New Roman"/>
                      <w:color w:val="auto"/>
                      <w:spacing w:val="8"/>
                      <w:sz w:val="21"/>
                      <w:szCs w:val="21"/>
                    </w:rPr>
                    <w:t>砼重力墙护岸</w:t>
                  </w:r>
                  <w:r>
                    <w:rPr>
                      <w:rFonts w:hint="default" w:ascii="Times New Roman" w:hAnsi="Times New Roman" w:cs="Times New Roman"/>
                      <w:color w:val="auto"/>
                      <w:spacing w:val="8"/>
                      <w:sz w:val="21"/>
                      <w:szCs w:val="21"/>
                      <w:lang w:eastAsia="zh-CN"/>
                    </w:rPr>
                    <w:t>，</w:t>
                  </w:r>
                  <w:r>
                    <w:rPr>
                      <w:rFonts w:hint="default" w:ascii="Times New Roman" w:hAnsi="Times New Roman" w:cs="Times New Roman"/>
                      <w:color w:val="auto"/>
                      <w:spacing w:val="7"/>
                      <w:sz w:val="21"/>
                      <w:szCs w:val="21"/>
                    </w:rPr>
                    <w:t>现浇砼板护岸</w:t>
                  </w:r>
                  <w:r>
                    <w:rPr>
                      <w:rFonts w:hint="default" w:ascii="Times New Roman" w:hAnsi="Times New Roman" w:cs="Times New Roman"/>
                      <w:color w:val="auto"/>
                      <w:spacing w:val="7"/>
                      <w:sz w:val="21"/>
                      <w:szCs w:val="21"/>
                      <w:lang w:val="en-US" w:eastAsia="zh-CN"/>
                    </w:rPr>
                    <w:t>两种治理方式</w:t>
                  </w:r>
                  <w:r>
                    <w:rPr>
                      <w:rFonts w:hint="default" w:ascii="Times New Roman" w:hAnsi="Times New Roman" w:cs="Times New Roman"/>
                      <w:color w:val="auto"/>
                      <w:spacing w:val="7"/>
                      <w:sz w:val="21"/>
                      <w:szCs w:val="21"/>
                      <w:lang w:eastAsia="zh-CN"/>
                    </w:rPr>
                    <w:t>。</w:t>
                  </w:r>
                </w:p>
                <w:p w14:paraId="51D0395B">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firstLine="452" w:firstLineChars="200"/>
                    <w:textAlignment w:val="auto"/>
                    <w:rPr>
                      <w:rFonts w:hint="default" w:ascii="Times New Roman" w:hAnsi="Times New Roman" w:cs="Times New Roman"/>
                      <w:color w:val="auto"/>
                      <w:spacing w:val="7"/>
                      <w:sz w:val="21"/>
                      <w:szCs w:val="21"/>
                      <w:lang w:eastAsia="zh-CN"/>
                    </w:rPr>
                  </w:pPr>
                  <w:r>
                    <w:rPr>
                      <w:rFonts w:hint="default" w:ascii="Times New Roman" w:hAnsi="Times New Roman" w:cs="Times New Roman"/>
                      <w:color w:val="auto"/>
                      <w:spacing w:val="8"/>
                      <w:sz w:val="21"/>
                      <w:szCs w:val="21"/>
                    </w:rPr>
                    <w:t>砼重力墙护岸岸</w:t>
                  </w:r>
                  <w:r>
                    <w:rPr>
                      <w:rFonts w:hint="default" w:ascii="Times New Roman" w:hAnsi="Times New Roman" w:cs="Times New Roman"/>
                      <w:color w:val="auto"/>
                      <w:spacing w:val="7"/>
                      <w:sz w:val="21"/>
                      <w:szCs w:val="21"/>
                      <w:lang w:eastAsia="zh-CN"/>
                    </w:rPr>
                    <w:t>高1.8m，基础深2.0m，挡土墙顶宽0.3m，左岸护岸岸顶宽度设计为3m，右岸护岸岸顶宽度设计为3.5m,岸顶道路采用30cm砂砾石填筑，挡土墙采用C35二级配、F250、W6现浇混凝土衬砌，挡土墙基础埋深1.5m处铺设一层40cm厚格宾石笼，铺设长度4m，挡土墙下部换填0.5m厚砂砾石垫层，砂砾石垫层压实指标Dr≥0.75，原土回填压实指标:粘性土≥0.93,非粘性土压实指标Dr≥0.75,砂砾石路面压实指标Dr≥0.75，开挖完成后建基面需夯实处理，压实指标同原土回填压实指标，挡土墙每隔8m设一道沉降缝，缝宽2mm，采用高压闭孔板填缝。</w:t>
                  </w:r>
                </w:p>
                <w:p w14:paraId="7402ADC2">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firstLine="448" w:firstLineChars="200"/>
                    <w:textAlignment w:val="auto"/>
                    <w:rPr>
                      <w:rFonts w:hint="default" w:ascii="Times New Roman" w:hAnsi="Times New Roman" w:cs="Times New Roman"/>
                      <w:color w:val="auto"/>
                      <w:spacing w:val="7"/>
                      <w:sz w:val="21"/>
                      <w:szCs w:val="21"/>
                      <w:lang w:val="en-US" w:eastAsia="zh-CN"/>
                    </w:rPr>
                  </w:pPr>
                  <w:r>
                    <w:rPr>
                      <w:rFonts w:hint="default" w:ascii="Times New Roman" w:hAnsi="Times New Roman" w:cs="Times New Roman"/>
                      <w:color w:val="auto"/>
                      <w:spacing w:val="7"/>
                      <w:sz w:val="21"/>
                      <w:szCs w:val="21"/>
                    </w:rPr>
                    <w:t>现浇砼板护岸</w:t>
                  </w:r>
                  <w:r>
                    <w:rPr>
                      <w:rFonts w:hint="default" w:ascii="Times New Roman" w:hAnsi="Times New Roman" w:cs="Times New Roman"/>
                      <w:color w:val="auto"/>
                      <w:spacing w:val="8"/>
                      <w:sz w:val="21"/>
                      <w:szCs w:val="21"/>
                    </w:rPr>
                    <w:t>岸</w:t>
                  </w:r>
                  <w:r>
                    <w:rPr>
                      <w:rFonts w:hint="default" w:ascii="Times New Roman" w:hAnsi="Times New Roman" w:cs="Times New Roman"/>
                      <w:color w:val="auto"/>
                      <w:spacing w:val="7"/>
                      <w:sz w:val="21"/>
                      <w:szCs w:val="21"/>
                      <w:lang w:val="en-US" w:eastAsia="zh-CN"/>
                    </w:rPr>
                    <w:t>高1.8m，基础深2.0m左岸护岸岸顶宽度设计为3m，右岸护岸岸顶宽度设计为3.5m，迎水面坡度为1:1.5，背水面边坡为1:1.5,迎水面采用C35二级配、F250现浇混凝土板护坡，厚0.15m,护岸砼板背部设置厚40cm砂砾石垫层。护岸现浇混凝土板分缝尺寸为3.0mX3.0m，缝宽2cm，采用高压闭孔板分缝。护岸顶设封顶板，封顶板宽0.3m，厚8cm，每隔1.5m设一道缝，采用高压闭孔板封缝。</w:t>
                  </w:r>
                </w:p>
              </w:tc>
            </w:tr>
            <w:tr w14:paraId="23D1D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7B67B62E">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b/>
                      <w:bCs/>
                      <w:color w:val="auto"/>
                      <w:spacing w:val="6"/>
                      <w:sz w:val="21"/>
                      <w:szCs w:val="21"/>
                      <w:vertAlign w:val="baseline"/>
                      <w:lang w:val="en-US" w:eastAsia="zh-CN"/>
                    </w:rPr>
                  </w:pPr>
                </w:p>
              </w:tc>
              <w:tc>
                <w:tcPr>
                  <w:tcW w:w="1320" w:type="dxa"/>
                  <w:vAlign w:val="center"/>
                </w:tcPr>
                <w:p w14:paraId="006CA34E">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color w:val="auto"/>
                      <w:spacing w:val="2"/>
                      <w:sz w:val="21"/>
                      <w:szCs w:val="21"/>
                      <w:lang w:val="en-US" w:eastAsia="zh-CN"/>
                    </w:rPr>
                  </w:pPr>
                  <w:r>
                    <w:rPr>
                      <w:rFonts w:hint="eastAsia"/>
                      <w:color w:val="auto"/>
                      <w:spacing w:val="2"/>
                      <w:sz w:val="21"/>
                      <w:szCs w:val="21"/>
                      <w:lang w:val="en-US" w:eastAsia="zh-CN"/>
                    </w:rPr>
                    <w:t>交叉建筑</w:t>
                  </w:r>
                </w:p>
              </w:tc>
              <w:tc>
                <w:tcPr>
                  <w:tcW w:w="6137" w:type="dxa"/>
                </w:tcPr>
                <w:p w14:paraId="72C2AB3F">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both"/>
                    <w:textAlignment w:val="auto"/>
                    <w:rPr>
                      <w:rFonts w:hint="default" w:ascii="Times New Roman" w:hAnsi="Times New Roman" w:cs="Times New Roman"/>
                      <w:color w:val="auto"/>
                      <w:spacing w:val="2"/>
                      <w:sz w:val="21"/>
                      <w:szCs w:val="21"/>
                      <w:lang w:val="en-US" w:eastAsia="zh-CN"/>
                    </w:rPr>
                  </w:pPr>
                  <w:r>
                    <w:rPr>
                      <w:rFonts w:hint="default" w:ascii="Times New Roman" w:hAnsi="Times New Roman" w:cs="Times New Roman"/>
                      <w:color w:val="auto"/>
                      <w:spacing w:val="2"/>
                      <w:sz w:val="21"/>
                      <w:szCs w:val="21"/>
                      <w:lang w:val="en-US" w:eastAsia="zh-CN"/>
                    </w:rPr>
                    <w:t>改造1座交通桥，交通桥设计荷载:公路</w:t>
                  </w:r>
                  <w:r>
                    <w:rPr>
                      <w:rFonts w:hint="eastAsia" w:ascii="Times New Roman" w:hAnsi="Times New Roman" w:cs="Times New Roman"/>
                      <w:color w:val="auto"/>
                      <w:spacing w:val="2"/>
                      <w:sz w:val="21"/>
                      <w:szCs w:val="21"/>
                      <w:lang w:val="en-US" w:eastAsia="zh-CN"/>
                    </w:rPr>
                    <w:t>Ⅱ级</w:t>
                  </w:r>
                  <w:r>
                    <w:rPr>
                      <w:rFonts w:hint="default" w:ascii="Times New Roman" w:hAnsi="Times New Roman" w:cs="Times New Roman"/>
                      <w:color w:val="auto"/>
                      <w:spacing w:val="2"/>
                      <w:sz w:val="21"/>
                      <w:szCs w:val="21"/>
                      <w:lang w:val="en-US" w:eastAsia="zh-CN"/>
                    </w:rPr>
                    <w:t>，桥面宽8m，桥梁采用一跨式结构，路中心线与护岸中心线交角90°，梁底距护岸顶0.2m。交通桥下部结构采用混凝土重力式桥墩。</w:t>
                  </w:r>
                </w:p>
              </w:tc>
            </w:tr>
            <w:tr w14:paraId="72081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858" w:type="dxa"/>
                  <w:vMerge w:val="restart"/>
                  <w:vAlign w:val="center"/>
                </w:tcPr>
                <w:p w14:paraId="7A2CDB1F">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b/>
                      <w:bCs/>
                      <w:color w:val="auto"/>
                      <w:spacing w:val="6"/>
                      <w:sz w:val="21"/>
                      <w:szCs w:val="21"/>
                      <w:vertAlign w:val="baseline"/>
                      <w:lang w:val="en-US" w:eastAsia="zh-CN"/>
                    </w:rPr>
                  </w:pPr>
                  <w:r>
                    <w:rPr>
                      <w:color w:val="auto"/>
                      <w:spacing w:val="3"/>
                      <w:sz w:val="21"/>
                      <w:szCs w:val="21"/>
                    </w:rPr>
                    <w:t>辅助工程</w:t>
                  </w:r>
                </w:p>
              </w:tc>
              <w:tc>
                <w:tcPr>
                  <w:tcW w:w="1320" w:type="dxa"/>
                  <w:vAlign w:val="center"/>
                </w:tcPr>
                <w:p w14:paraId="04C69672">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施工区</w:t>
                  </w:r>
                </w:p>
              </w:tc>
              <w:tc>
                <w:tcPr>
                  <w:tcW w:w="6137" w:type="dxa"/>
                </w:tcPr>
                <w:p w14:paraId="7D4DC745">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位于渠道两侧，主要以土方开挖、填筑、混凝土工程、浆砌卵石工程为主。</w:t>
                  </w:r>
                </w:p>
              </w:tc>
            </w:tr>
            <w:tr w14:paraId="7B2F7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0504BDA1">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b/>
                      <w:bCs/>
                      <w:color w:val="auto"/>
                      <w:spacing w:val="6"/>
                      <w:sz w:val="21"/>
                      <w:szCs w:val="21"/>
                      <w:vertAlign w:val="baseline"/>
                      <w:lang w:val="en-US" w:eastAsia="zh-CN"/>
                    </w:rPr>
                  </w:pPr>
                </w:p>
              </w:tc>
              <w:tc>
                <w:tcPr>
                  <w:tcW w:w="1320" w:type="dxa"/>
                  <w:vAlign w:val="center"/>
                </w:tcPr>
                <w:p w14:paraId="3DA6AD82">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施工企业区</w:t>
                  </w:r>
                </w:p>
              </w:tc>
              <w:tc>
                <w:tcPr>
                  <w:tcW w:w="6137" w:type="dxa"/>
                </w:tcPr>
                <w:p w14:paraId="2A34858F">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共计1处</w:t>
                  </w:r>
                  <w:r>
                    <w:rPr>
                      <w:rFonts w:hint="eastAsia" w:ascii="Times New Roman" w:hAnsi="Times New Roman" w:eastAsia="宋体" w:cs="Times New Roman"/>
                      <w:b w:val="0"/>
                      <w:bCs w:val="0"/>
                      <w:color w:val="auto"/>
                      <w:spacing w:val="6"/>
                      <w:kern w:val="0"/>
                      <w:sz w:val="21"/>
                      <w:szCs w:val="21"/>
                      <w:lang w:val="en-US" w:eastAsia="zh-CN" w:bidi="ar-SA"/>
                    </w:rPr>
                    <w:t>，占地面积2000m</w:t>
                  </w:r>
                  <w:r>
                    <w:rPr>
                      <w:rFonts w:hint="eastAsia" w:ascii="Times New Roman" w:hAnsi="Times New Roman" w:eastAsia="宋体" w:cs="Times New Roman"/>
                      <w:b w:val="0"/>
                      <w:bCs w:val="0"/>
                      <w:color w:val="auto"/>
                      <w:spacing w:val="6"/>
                      <w:kern w:val="0"/>
                      <w:sz w:val="21"/>
                      <w:szCs w:val="21"/>
                      <w:vertAlign w:val="superscript"/>
                      <w:lang w:val="en-US" w:eastAsia="zh-CN" w:bidi="ar-SA"/>
                    </w:rPr>
                    <w:t>2</w:t>
                  </w:r>
                  <w:r>
                    <w:rPr>
                      <w:rFonts w:hint="eastAsia" w:ascii="Times New Roman" w:hAnsi="Times New Roman" w:eastAsia="宋体" w:cs="Times New Roman"/>
                      <w:b w:val="0"/>
                      <w:bCs w:val="0"/>
                      <w:color w:val="auto"/>
                      <w:spacing w:val="6"/>
                      <w:kern w:val="0"/>
                      <w:sz w:val="21"/>
                      <w:szCs w:val="21"/>
                      <w:lang w:val="en-US" w:eastAsia="zh-CN" w:bidi="ar-SA"/>
                    </w:rPr>
                    <w:t>，为临时占地，基本沿渠线两侧布置，主要布置有混凝土临时拌合站、木材加工场，钢筋加工场、机械设备停放场等。</w:t>
                  </w:r>
                </w:p>
              </w:tc>
            </w:tr>
            <w:tr w14:paraId="5FA91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1BB0B6CE">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b/>
                      <w:bCs/>
                      <w:color w:val="auto"/>
                      <w:spacing w:val="6"/>
                      <w:sz w:val="21"/>
                      <w:szCs w:val="21"/>
                      <w:vertAlign w:val="baseline"/>
                      <w:lang w:val="en-US" w:eastAsia="zh-CN"/>
                    </w:rPr>
                  </w:pPr>
                </w:p>
              </w:tc>
              <w:tc>
                <w:tcPr>
                  <w:tcW w:w="1320" w:type="dxa"/>
                  <w:vAlign w:val="center"/>
                </w:tcPr>
                <w:p w14:paraId="5C4A075F">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施工生活区</w:t>
                  </w:r>
                </w:p>
              </w:tc>
              <w:tc>
                <w:tcPr>
                  <w:tcW w:w="6137" w:type="dxa"/>
                </w:tcPr>
                <w:p w14:paraId="7131EEFB">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共设3处，位于主体工程区附近空地处，占地面积2000</w:t>
                  </w:r>
                  <w:r>
                    <w:rPr>
                      <w:rFonts w:hint="default" w:ascii="Times New Roman" w:hAnsi="Times New Roman" w:eastAsia="宋体" w:cs="Times New Roman"/>
                      <w:b w:val="0"/>
                      <w:bCs w:val="0"/>
                      <w:color w:val="auto"/>
                      <w:spacing w:val="6"/>
                      <w:kern w:val="0"/>
                      <w:sz w:val="21"/>
                      <w:szCs w:val="21"/>
                      <w:lang w:val="en-US" w:eastAsia="zh-CN" w:bidi="ar-SA"/>
                    </w:rPr>
                    <w:t>m2</w:t>
                  </w:r>
                  <w:r>
                    <w:rPr>
                      <w:rFonts w:hint="eastAsia" w:ascii="Times New Roman" w:hAnsi="Times New Roman" w:eastAsia="宋体" w:cs="Times New Roman"/>
                      <w:b w:val="0"/>
                      <w:bCs w:val="0"/>
                      <w:color w:val="auto"/>
                      <w:spacing w:val="6"/>
                      <w:kern w:val="0"/>
                      <w:sz w:val="21"/>
                      <w:szCs w:val="21"/>
                      <w:lang w:val="en-US" w:eastAsia="zh-CN" w:bidi="ar-SA"/>
                    </w:rPr>
                    <w:t>，为临时占地。</w:t>
                  </w:r>
                </w:p>
              </w:tc>
            </w:tr>
            <w:tr w14:paraId="58228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3B9A380F">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b/>
                      <w:bCs/>
                      <w:color w:val="auto"/>
                      <w:spacing w:val="6"/>
                      <w:sz w:val="21"/>
                      <w:szCs w:val="21"/>
                      <w:vertAlign w:val="baseline"/>
                      <w:lang w:val="en-US" w:eastAsia="zh-CN"/>
                    </w:rPr>
                  </w:pPr>
                </w:p>
              </w:tc>
              <w:tc>
                <w:tcPr>
                  <w:tcW w:w="1320" w:type="dxa"/>
                  <w:vAlign w:val="center"/>
                </w:tcPr>
                <w:p w14:paraId="569995D2">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加工区</w:t>
                  </w:r>
                </w:p>
              </w:tc>
              <w:tc>
                <w:tcPr>
                  <w:tcW w:w="6137" w:type="dxa"/>
                </w:tcPr>
                <w:p w14:paraId="548DB273">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共设2处，位于主体工程区附近空地处，占地面积3000</w:t>
                  </w:r>
                  <w:r>
                    <w:rPr>
                      <w:rFonts w:hint="default" w:ascii="Times New Roman" w:hAnsi="Times New Roman" w:eastAsia="宋体" w:cs="Times New Roman"/>
                      <w:b w:val="0"/>
                      <w:bCs w:val="0"/>
                      <w:color w:val="auto"/>
                      <w:spacing w:val="6"/>
                      <w:kern w:val="0"/>
                      <w:sz w:val="21"/>
                      <w:szCs w:val="21"/>
                      <w:lang w:val="en-US" w:eastAsia="zh-CN" w:bidi="ar-SA"/>
                    </w:rPr>
                    <w:t>m2</w:t>
                  </w:r>
                  <w:r>
                    <w:rPr>
                      <w:rFonts w:hint="eastAsia" w:ascii="Times New Roman" w:hAnsi="Times New Roman" w:eastAsia="宋体" w:cs="Times New Roman"/>
                      <w:b w:val="0"/>
                      <w:bCs w:val="0"/>
                      <w:color w:val="auto"/>
                      <w:spacing w:val="6"/>
                      <w:kern w:val="0"/>
                      <w:sz w:val="21"/>
                      <w:szCs w:val="21"/>
                      <w:lang w:val="en-US" w:eastAsia="zh-CN" w:bidi="ar-SA"/>
                    </w:rPr>
                    <w:t>，为临时占地。</w:t>
                  </w:r>
                </w:p>
              </w:tc>
            </w:tr>
            <w:tr w14:paraId="66C58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3C98BBCA">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b/>
                      <w:bCs/>
                      <w:color w:val="auto"/>
                      <w:spacing w:val="6"/>
                      <w:sz w:val="21"/>
                      <w:szCs w:val="21"/>
                      <w:vertAlign w:val="baseline"/>
                      <w:lang w:val="en-US" w:eastAsia="zh-CN"/>
                    </w:rPr>
                  </w:pPr>
                </w:p>
              </w:tc>
              <w:tc>
                <w:tcPr>
                  <w:tcW w:w="1320" w:type="dxa"/>
                  <w:vAlign w:val="center"/>
                </w:tcPr>
                <w:p w14:paraId="4CD1D877">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default"/>
                      <w:color w:val="auto"/>
                      <w:spacing w:val="2"/>
                      <w:sz w:val="21"/>
                      <w:szCs w:val="21"/>
                      <w:lang w:val="en-US" w:eastAsia="zh-CN"/>
                    </w:rPr>
                  </w:pPr>
                  <w:r>
                    <w:rPr>
                      <w:rFonts w:hint="eastAsia"/>
                      <w:color w:val="auto"/>
                      <w:spacing w:val="2"/>
                      <w:sz w:val="21"/>
                      <w:szCs w:val="21"/>
                      <w:lang w:val="en-US" w:eastAsia="zh-CN"/>
                    </w:rPr>
                    <w:t>临时施工道路</w:t>
                  </w:r>
                </w:p>
              </w:tc>
              <w:tc>
                <w:tcPr>
                  <w:tcW w:w="6137" w:type="dxa"/>
                </w:tcPr>
                <w:p w14:paraId="481314C0">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default"/>
                      <w:b/>
                      <w:bCs/>
                      <w:color w:val="auto"/>
                      <w:spacing w:val="6"/>
                      <w:sz w:val="21"/>
                      <w:szCs w:val="21"/>
                      <w:vertAlign w:val="baseline"/>
                      <w:lang w:val="en-US" w:eastAsia="zh-CN"/>
                    </w:rPr>
                  </w:pPr>
                  <w:r>
                    <w:rPr>
                      <w:rFonts w:hint="default" w:ascii="Times New Roman" w:hAnsi="Times New Roman" w:cs="Times New Roman"/>
                      <w:b w:val="0"/>
                      <w:bCs w:val="0"/>
                      <w:color w:val="auto"/>
                      <w:spacing w:val="2"/>
                      <w:sz w:val="21"/>
                      <w:szCs w:val="21"/>
                      <w:lang w:val="en-US" w:eastAsia="zh-CN"/>
                    </w:rPr>
                    <w:t>临时道路区位于护岸背水侧，占地面积</w:t>
                  </w:r>
                  <w:r>
                    <w:rPr>
                      <w:rFonts w:hint="default" w:ascii="Times New Roman" w:hAnsi="Times New Roman" w:cs="Times New Roman"/>
                      <w:b w:val="0"/>
                      <w:bCs w:val="0"/>
                      <w:color w:val="auto"/>
                      <w:spacing w:val="6"/>
                      <w:sz w:val="21"/>
                      <w:szCs w:val="21"/>
                      <w:vertAlign w:val="baseline"/>
                      <w:lang w:val="en-US" w:eastAsia="zh-CN"/>
                    </w:rPr>
                    <w:t>42207</w:t>
                  </w:r>
                  <w:r>
                    <w:rPr>
                      <w:rFonts w:hint="default" w:ascii="Times New Roman" w:hAnsi="Times New Roman" w:eastAsia="Times New Roman" w:cs="Times New Roman"/>
                      <w:b w:val="0"/>
                      <w:bCs w:val="0"/>
                      <w:color w:val="auto"/>
                      <w:spacing w:val="5"/>
                      <w:sz w:val="20"/>
                      <w:szCs w:val="20"/>
                    </w:rPr>
                    <w:t>m</w:t>
                  </w:r>
                  <w:r>
                    <w:rPr>
                      <w:rFonts w:hint="default" w:ascii="Times New Roman" w:hAnsi="Times New Roman" w:eastAsia="Times New Roman" w:cs="Times New Roman"/>
                      <w:b w:val="0"/>
                      <w:bCs w:val="0"/>
                      <w:color w:val="auto"/>
                      <w:spacing w:val="5"/>
                      <w:position w:val="6"/>
                      <w:sz w:val="13"/>
                      <w:szCs w:val="13"/>
                    </w:rPr>
                    <w:t>2</w:t>
                  </w:r>
                  <w:r>
                    <w:rPr>
                      <w:rFonts w:hint="default" w:ascii="Times New Roman" w:hAnsi="Times New Roman" w:cs="Times New Roman"/>
                      <w:b w:val="0"/>
                      <w:bCs w:val="0"/>
                      <w:color w:val="auto"/>
                      <w:spacing w:val="2"/>
                      <w:sz w:val="21"/>
                      <w:szCs w:val="21"/>
                      <w:lang w:val="en-US" w:eastAsia="zh-CN"/>
                    </w:rPr>
                    <w:t>，临时施工道路总长11.4km，临时用地平均宽度为4m，</w:t>
                  </w:r>
                  <w:r>
                    <w:rPr>
                      <w:rFonts w:hint="eastAsia" w:ascii="Times New Roman" w:hAnsi="Times New Roman" w:cs="Times New Roman"/>
                      <w:color w:val="auto"/>
                      <w:spacing w:val="2"/>
                      <w:sz w:val="21"/>
                      <w:szCs w:val="21"/>
                      <w:lang w:val="en-US" w:eastAsia="zh-CN"/>
                    </w:rPr>
                    <w:t>为临时占地。</w:t>
                  </w:r>
                </w:p>
              </w:tc>
            </w:tr>
            <w:tr w14:paraId="0F2F9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2912B07E">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b/>
                      <w:bCs/>
                      <w:color w:val="auto"/>
                      <w:spacing w:val="6"/>
                      <w:sz w:val="21"/>
                      <w:szCs w:val="21"/>
                      <w:vertAlign w:val="baseline"/>
                      <w:lang w:val="en-US" w:eastAsia="zh-CN"/>
                    </w:rPr>
                  </w:pPr>
                </w:p>
              </w:tc>
              <w:tc>
                <w:tcPr>
                  <w:tcW w:w="1320" w:type="dxa"/>
                  <w:vAlign w:val="center"/>
                </w:tcPr>
                <w:p w14:paraId="45042E86">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color w:val="auto"/>
                      <w:spacing w:val="2"/>
                      <w:sz w:val="21"/>
                      <w:szCs w:val="21"/>
                      <w:lang w:val="en-US" w:eastAsia="zh-CN"/>
                    </w:rPr>
                  </w:pPr>
                  <w:r>
                    <w:rPr>
                      <w:rFonts w:hint="eastAsia"/>
                      <w:color w:val="auto"/>
                      <w:spacing w:val="2"/>
                      <w:sz w:val="21"/>
                      <w:szCs w:val="21"/>
                      <w:lang w:val="en-US" w:eastAsia="zh-CN"/>
                    </w:rPr>
                    <w:t>利用料堆料区</w:t>
                  </w:r>
                </w:p>
              </w:tc>
              <w:tc>
                <w:tcPr>
                  <w:tcW w:w="6137" w:type="dxa"/>
                  <w:vAlign w:val="center"/>
                </w:tcPr>
                <w:p w14:paraId="1A515C10">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left"/>
                    <w:textAlignment w:val="auto"/>
                    <w:rPr>
                      <w:rFonts w:hint="eastAsia"/>
                      <w:b/>
                      <w:bCs/>
                      <w:color w:val="auto"/>
                      <w:spacing w:val="6"/>
                      <w:sz w:val="21"/>
                      <w:szCs w:val="21"/>
                      <w:vertAlign w:val="baseline"/>
                      <w:lang w:val="en-US" w:eastAsia="zh-CN"/>
                    </w:rPr>
                  </w:pPr>
                  <w:r>
                    <w:rPr>
                      <w:rFonts w:hint="eastAsia"/>
                      <w:color w:val="auto"/>
                      <w:spacing w:val="2"/>
                      <w:sz w:val="21"/>
                      <w:szCs w:val="21"/>
                      <w:lang w:val="en-US" w:eastAsia="zh-CN"/>
                    </w:rPr>
                    <w:t>占地面积</w:t>
                  </w:r>
                  <w:r>
                    <w:rPr>
                      <w:rFonts w:hint="eastAsia" w:ascii="Times New Roman" w:hAnsi="Times New Roman" w:cs="Times New Roman"/>
                      <w:color w:val="auto"/>
                      <w:spacing w:val="2"/>
                      <w:sz w:val="21"/>
                      <w:szCs w:val="21"/>
                      <w:lang w:val="en-US" w:eastAsia="zh-CN"/>
                    </w:rPr>
                    <w:t>36160</w:t>
                  </w:r>
                  <w:r>
                    <w:rPr>
                      <w:rFonts w:ascii="Times New Roman" w:hAnsi="Times New Roman" w:eastAsia="Times New Roman" w:cs="Times New Roman"/>
                      <w:color w:val="auto"/>
                      <w:spacing w:val="5"/>
                      <w:sz w:val="20"/>
                      <w:szCs w:val="20"/>
                    </w:rPr>
                    <w:t>m</w:t>
                  </w:r>
                  <w:r>
                    <w:rPr>
                      <w:rFonts w:ascii="Times New Roman" w:hAnsi="Times New Roman" w:eastAsia="Times New Roman" w:cs="Times New Roman"/>
                      <w:color w:val="auto"/>
                      <w:spacing w:val="5"/>
                      <w:position w:val="6"/>
                      <w:sz w:val="13"/>
                      <w:szCs w:val="13"/>
                    </w:rPr>
                    <w:t>2</w:t>
                  </w:r>
                  <w:r>
                    <w:rPr>
                      <w:rFonts w:hint="eastAsia"/>
                      <w:color w:val="auto"/>
                      <w:spacing w:val="2"/>
                      <w:sz w:val="21"/>
                      <w:szCs w:val="21"/>
                      <w:lang w:val="en-US" w:eastAsia="zh-CN"/>
                    </w:rPr>
                    <w:t>，为临时占地</w:t>
                  </w:r>
                </w:p>
              </w:tc>
            </w:tr>
            <w:tr w14:paraId="180BA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602C2AFF">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b/>
                      <w:bCs/>
                      <w:color w:val="auto"/>
                      <w:spacing w:val="6"/>
                      <w:sz w:val="21"/>
                      <w:szCs w:val="21"/>
                      <w:vertAlign w:val="baseline"/>
                      <w:lang w:val="en-US" w:eastAsia="zh-CN"/>
                    </w:rPr>
                  </w:pPr>
                </w:p>
              </w:tc>
              <w:tc>
                <w:tcPr>
                  <w:tcW w:w="1320" w:type="dxa"/>
                  <w:vAlign w:val="center"/>
                </w:tcPr>
                <w:p w14:paraId="2FC44659">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color w:val="auto"/>
                      <w:spacing w:val="2"/>
                      <w:sz w:val="21"/>
                      <w:szCs w:val="21"/>
                      <w:lang w:val="en-US" w:eastAsia="zh-CN"/>
                    </w:rPr>
                  </w:pPr>
                  <w:r>
                    <w:rPr>
                      <w:rFonts w:hint="eastAsia"/>
                      <w:color w:val="auto"/>
                      <w:spacing w:val="2"/>
                      <w:sz w:val="21"/>
                      <w:szCs w:val="21"/>
                      <w:lang w:val="en-US" w:eastAsia="zh-CN"/>
                    </w:rPr>
                    <w:t>临时堆土区</w:t>
                  </w:r>
                </w:p>
              </w:tc>
              <w:tc>
                <w:tcPr>
                  <w:tcW w:w="6137" w:type="dxa"/>
                </w:tcPr>
                <w:p w14:paraId="3CFC6247">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color w:val="auto"/>
                      <w:spacing w:val="2"/>
                      <w:sz w:val="21"/>
                      <w:szCs w:val="21"/>
                      <w:lang w:val="en-US" w:eastAsia="zh-CN"/>
                    </w:rPr>
                  </w:pPr>
                  <w:r>
                    <w:rPr>
                      <w:rFonts w:hint="eastAsia" w:ascii="Times New Roman" w:hAnsi="Times New Roman" w:cs="Times New Roman"/>
                      <w:b w:val="0"/>
                      <w:bCs w:val="0"/>
                      <w:color w:val="auto"/>
                      <w:spacing w:val="6"/>
                      <w:sz w:val="21"/>
                      <w:szCs w:val="21"/>
                      <w:vertAlign w:val="baseline"/>
                      <w:lang w:val="en-US" w:eastAsia="zh-CN"/>
                    </w:rPr>
                    <w:t>临时堆土区位于护岸外侧，占地面积9.08hm</w:t>
                  </w:r>
                  <w:r>
                    <w:rPr>
                      <w:rFonts w:hint="eastAsia" w:ascii="Times New Roman" w:hAnsi="Times New Roman" w:cs="Times New Roman"/>
                      <w:b w:val="0"/>
                      <w:bCs w:val="0"/>
                      <w:color w:val="auto"/>
                      <w:spacing w:val="6"/>
                      <w:sz w:val="21"/>
                      <w:szCs w:val="21"/>
                      <w:vertAlign w:val="superscript"/>
                      <w:lang w:val="en-US" w:eastAsia="zh-CN"/>
                    </w:rPr>
                    <w:t>2</w:t>
                  </w:r>
                  <w:r>
                    <w:rPr>
                      <w:rFonts w:hint="eastAsia" w:ascii="Times New Roman" w:hAnsi="Times New Roman" w:cs="Times New Roman"/>
                      <w:b w:val="0"/>
                      <w:bCs w:val="0"/>
                      <w:color w:val="auto"/>
                      <w:spacing w:val="6"/>
                      <w:sz w:val="21"/>
                      <w:szCs w:val="21"/>
                      <w:vertAlign w:val="baseline"/>
                      <w:lang w:val="en-US" w:eastAsia="zh-CN"/>
                    </w:rPr>
                    <w:t>，最大堆高为2.5米，</w:t>
                  </w:r>
                  <w:r>
                    <w:rPr>
                      <w:rFonts w:hint="eastAsia" w:ascii="Times New Roman" w:hAnsi="Times New Roman" w:cs="Times New Roman"/>
                      <w:color w:val="auto"/>
                      <w:spacing w:val="2"/>
                      <w:sz w:val="21"/>
                      <w:szCs w:val="21"/>
                      <w:lang w:val="en-US" w:eastAsia="zh-CN"/>
                    </w:rPr>
                    <w:t>为临时占地。</w:t>
                  </w:r>
                </w:p>
              </w:tc>
            </w:tr>
            <w:tr w14:paraId="39D66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2D89979E">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b/>
                      <w:bCs/>
                      <w:color w:val="auto"/>
                      <w:spacing w:val="6"/>
                      <w:sz w:val="21"/>
                      <w:szCs w:val="21"/>
                      <w:vertAlign w:val="baseline"/>
                      <w:lang w:val="en-US" w:eastAsia="zh-CN"/>
                    </w:rPr>
                  </w:pPr>
                </w:p>
              </w:tc>
              <w:tc>
                <w:tcPr>
                  <w:tcW w:w="1320" w:type="dxa"/>
                  <w:vAlign w:val="center"/>
                </w:tcPr>
                <w:p w14:paraId="5BA287B0">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default"/>
                      <w:color w:val="auto"/>
                      <w:spacing w:val="2"/>
                      <w:sz w:val="21"/>
                      <w:szCs w:val="21"/>
                      <w:lang w:val="en-US" w:eastAsia="zh-CN"/>
                    </w:rPr>
                  </w:pPr>
                  <w:r>
                    <w:rPr>
                      <w:rFonts w:hint="eastAsia"/>
                      <w:color w:val="auto"/>
                      <w:spacing w:val="2"/>
                      <w:sz w:val="21"/>
                      <w:szCs w:val="21"/>
                      <w:lang w:val="en-US" w:eastAsia="zh-CN"/>
                    </w:rPr>
                    <w:t>施工导流</w:t>
                  </w:r>
                </w:p>
              </w:tc>
              <w:tc>
                <w:tcPr>
                  <w:tcW w:w="6137" w:type="dxa"/>
                </w:tcPr>
                <w:p w14:paraId="2265E518">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color w:val="auto"/>
                      <w:spacing w:val="2"/>
                      <w:sz w:val="21"/>
                      <w:szCs w:val="21"/>
                      <w:lang w:val="en-US" w:eastAsia="zh-CN"/>
                    </w:rPr>
                  </w:pPr>
                  <w:r>
                    <w:rPr>
                      <w:rFonts w:hint="eastAsia"/>
                      <w:color w:val="auto"/>
                      <w:spacing w:val="2"/>
                      <w:sz w:val="21"/>
                      <w:szCs w:val="21"/>
                      <w:lang w:val="en-US" w:eastAsia="zh-CN"/>
                    </w:rPr>
                    <w:t>本工程施工期选择在枯水期，河道内少许水量部分可由上游河道的吉布库河渠首引走，河道内基本无水，因此不需导流，无需设置导流措施。</w:t>
                  </w:r>
                </w:p>
              </w:tc>
            </w:tr>
            <w:tr w14:paraId="19B8F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restart"/>
                  <w:vAlign w:val="center"/>
                </w:tcPr>
                <w:p w14:paraId="11492732">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color w:val="auto"/>
                      <w:spacing w:val="2"/>
                      <w:sz w:val="21"/>
                      <w:szCs w:val="21"/>
                      <w:lang w:val="en-US" w:eastAsia="zh-CN"/>
                    </w:rPr>
                  </w:pPr>
                  <w:r>
                    <w:rPr>
                      <w:rFonts w:hint="eastAsia"/>
                      <w:color w:val="auto"/>
                      <w:spacing w:val="2"/>
                      <w:sz w:val="21"/>
                      <w:szCs w:val="21"/>
                      <w:lang w:val="en-US" w:eastAsia="zh-CN"/>
                    </w:rPr>
                    <w:t>公用工程</w:t>
                  </w:r>
                </w:p>
              </w:tc>
              <w:tc>
                <w:tcPr>
                  <w:tcW w:w="1320" w:type="dxa"/>
                  <w:vAlign w:val="center"/>
                </w:tcPr>
                <w:p w14:paraId="2E99E35B">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color w:val="auto"/>
                      <w:spacing w:val="2"/>
                      <w:sz w:val="21"/>
                      <w:szCs w:val="21"/>
                      <w:lang w:val="en-US" w:eastAsia="zh-CN"/>
                    </w:rPr>
                  </w:pPr>
                  <w:r>
                    <w:rPr>
                      <w:rFonts w:hint="eastAsia"/>
                      <w:color w:val="auto"/>
                      <w:spacing w:val="2"/>
                      <w:sz w:val="21"/>
                      <w:szCs w:val="21"/>
                      <w:lang w:val="en-US" w:eastAsia="zh-CN"/>
                    </w:rPr>
                    <w:t>供水系统</w:t>
                  </w:r>
                </w:p>
              </w:tc>
              <w:tc>
                <w:tcPr>
                  <w:tcW w:w="6137" w:type="dxa"/>
                </w:tcPr>
                <w:p w14:paraId="7DBBD225">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color w:val="auto"/>
                      <w:spacing w:val="2"/>
                      <w:sz w:val="21"/>
                      <w:szCs w:val="21"/>
                      <w:lang w:val="en-US" w:eastAsia="zh-CN"/>
                    </w:rPr>
                  </w:pPr>
                  <w:r>
                    <w:rPr>
                      <w:rFonts w:hint="eastAsia"/>
                      <w:color w:val="auto"/>
                      <w:spacing w:val="2"/>
                      <w:sz w:val="21"/>
                      <w:szCs w:val="21"/>
                      <w:lang w:val="en-US" w:eastAsia="zh-CN"/>
                    </w:rPr>
                    <w:t>施工用水采用水车在附近乡镇拉运，运距</w:t>
                  </w:r>
                  <w:r>
                    <w:rPr>
                      <w:rFonts w:hint="eastAsia" w:ascii="Times New Roman" w:hAnsi="Times New Roman" w:cs="Times New Roman"/>
                      <w:b w:val="0"/>
                      <w:bCs w:val="0"/>
                      <w:color w:val="auto"/>
                      <w:spacing w:val="6"/>
                      <w:sz w:val="21"/>
                      <w:szCs w:val="21"/>
                      <w:vertAlign w:val="baseline"/>
                      <w:lang w:val="en-US" w:eastAsia="zh-CN"/>
                    </w:rPr>
                    <w:t>3km</w:t>
                  </w:r>
                  <w:r>
                    <w:rPr>
                      <w:rFonts w:hint="eastAsia"/>
                      <w:color w:val="auto"/>
                      <w:spacing w:val="2"/>
                      <w:sz w:val="21"/>
                      <w:szCs w:val="21"/>
                      <w:lang w:val="en-US" w:eastAsia="zh-CN"/>
                    </w:rPr>
                    <w:t>，在施工现场设置储水箱。</w:t>
                  </w:r>
                </w:p>
              </w:tc>
            </w:tr>
            <w:tr w14:paraId="6FA8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7F25F933">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color w:val="auto"/>
                      <w:spacing w:val="2"/>
                      <w:sz w:val="21"/>
                      <w:szCs w:val="21"/>
                      <w:lang w:val="en-US" w:eastAsia="zh-CN"/>
                    </w:rPr>
                  </w:pPr>
                </w:p>
              </w:tc>
              <w:tc>
                <w:tcPr>
                  <w:tcW w:w="1320" w:type="dxa"/>
                  <w:vAlign w:val="center"/>
                </w:tcPr>
                <w:p w14:paraId="34300A0B">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color w:val="auto"/>
                      <w:spacing w:val="2"/>
                      <w:sz w:val="21"/>
                      <w:szCs w:val="21"/>
                      <w:lang w:val="en-US" w:eastAsia="zh-CN"/>
                    </w:rPr>
                  </w:pPr>
                  <w:r>
                    <w:rPr>
                      <w:rFonts w:hint="eastAsia"/>
                      <w:color w:val="auto"/>
                      <w:spacing w:val="2"/>
                      <w:sz w:val="21"/>
                      <w:szCs w:val="21"/>
                      <w:lang w:val="en-US" w:eastAsia="zh-CN"/>
                    </w:rPr>
                    <w:t>排水系统</w:t>
                  </w:r>
                </w:p>
              </w:tc>
              <w:tc>
                <w:tcPr>
                  <w:tcW w:w="6137" w:type="dxa"/>
                </w:tcPr>
                <w:p w14:paraId="224F0973">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default"/>
                      <w:color w:val="auto"/>
                      <w:spacing w:val="2"/>
                      <w:sz w:val="21"/>
                      <w:szCs w:val="21"/>
                      <w:lang w:val="en-US" w:eastAsia="zh-CN"/>
                    </w:rPr>
                  </w:pPr>
                  <w:r>
                    <w:rPr>
                      <w:rFonts w:hint="eastAsia" w:cs="宋体"/>
                      <w:color w:val="auto"/>
                      <w:spacing w:val="5"/>
                      <w:kern w:val="2"/>
                      <w:sz w:val="21"/>
                      <w:szCs w:val="21"/>
                      <w:lang w:val="en-US" w:eastAsia="zh-CN" w:bidi="ar-SA"/>
                    </w:rPr>
                    <w:t>本项目施工废水主要来自施工过程中的清洁废水和混凝土搅拌废水。施工废水采用沉淀池收集、澄清，全部回用于混凝土拌合、场地洒水等，不外排。</w:t>
                  </w:r>
                  <w:r>
                    <w:rPr>
                      <w:rFonts w:hint="eastAsia" w:ascii="宋体" w:hAnsi="宋体" w:eastAsia="宋体" w:cs="宋体"/>
                      <w:color w:val="auto"/>
                      <w:spacing w:val="5"/>
                      <w:kern w:val="2"/>
                      <w:sz w:val="21"/>
                      <w:szCs w:val="21"/>
                      <w:lang w:val="en-US" w:eastAsia="zh-CN" w:bidi="ar-SA"/>
                    </w:rPr>
                    <w:t>生活污水经化粪池处理后，委托环卫部门清运，不外排</w:t>
                  </w:r>
                  <w:r>
                    <w:rPr>
                      <w:rFonts w:hint="eastAsia" w:cs="宋体"/>
                      <w:color w:val="auto"/>
                      <w:spacing w:val="5"/>
                      <w:kern w:val="2"/>
                      <w:sz w:val="21"/>
                      <w:szCs w:val="21"/>
                      <w:lang w:val="en-US" w:eastAsia="zh-CN" w:bidi="ar-SA"/>
                    </w:rPr>
                    <w:t>。</w:t>
                  </w:r>
                </w:p>
              </w:tc>
            </w:tr>
            <w:tr w14:paraId="338DE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01D9FD83">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color w:val="auto"/>
                      <w:spacing w:val="2"/>
                      <w:sz w:val="21"/>
                      <w:szCs w:val="21"/>
                      <w:lang w:val="en-US" w:eastAsia="zh-CN"/>
                    </w:rPr>
                  </w:pPr>
                </w:p>
              </w:tc>
              <w:tc>
                <w:tcPr>
                  <w:tcW w:w="1320" w:type="dxa"/>
                  <w:vAlign w:val="center"/>
                </w:tcPr>
                <w:p w14:paraId="68E26497">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color w:val="auto"/>
                      <w:spacing w:val="2"/>
                      <w:sz w:val="21"/>
                      <w:szCs w:val="21"/>
                      <w:lang w:val="en-US" w:eastAsia="zh-CN"/>
                    </w:rPr>
                  </w:pPr>
                  <w:r>
                    <w:rPr>
                      <w:rFonts w:hint="eastAsia"/>
                      <w:color w:val="auto"/>
                      <w:spacing w:val="2"/>
                      <w:sz w:val="21"/>
                      <w:szCs w:val="21"/>
                      <w:lang w:val="en-US" w:eastAsia="zh-CN"/>
                    </w:rPr>
                    <w:t>供电工程</w:t>
                  </w:r>
                </w:p>
              </w:tc>
              <w:tc>
                <w:tcPr>
                  <w:tcW w:w="6137" w:type="dxa"/>
                </w:tcPr>
                <w:p w14:paraId="5B928774">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textAlignment w:val="auto"/>
                    <w:rPr>
                      <w:rFonts w:hint="eastAsia"/>
                      <w:color w:val="auto"/>
                      <w:spacing w:val="2"/>
                      <w:sz w:val="21"/>
                      <w:szCs w:val="21"/>
                      <w:lang w:val="en-US" w:eastAsia="zh-CN"/>
                    </w:rPr>
                  </w:pPr>
                  <w:r>
                    <w:rPr>
                      <w:rFonts w:hint="eastAsia"/>
                      <w:color w:val="auto"/>
                      <w:spacing w:val="2"/>
                      <w:sz w:val="21"/>
                      <w:szCs w:val="21"/>
                      <w:lang w:val="en-US" w:eastAsia="zh-CN"/>
                    </w:rPr>
                    <w:t>施工中配备柴油发电机组，机组应选择满足国四标准，低燃油消耗、噪声低、体积小、重量轻的节能环保要求。</w:t>
                  </w:r>
                </w:p>
              </w:tc>
            </w:tr>
            <w:tr w14:paraId="18704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restart"/>
                  <w:vAlign w:val="center"/>
                </w:tcPr>
                <w:p w14:paraId="474DDD89">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color w:val="auto"/>
                      <w:spacing w:val="2"/>
                      <w:sz w:val="21"/>
                      <w:szCs w:val="21"/>
                      <w:lang w:val="en-US" w:eastAsia="zh-CN"/>
                    </w:rPr>
                  </w:pPr>
                  <w:r>
                    <w:rPr>
                      <w:rFonts w:hint="eastAsia"/>
                      <w:color w:val="auto"/>
                      <w:spacing w:val="2"/>
                      <w:sz w:val="21"/>
                      <w:szCs w:val="21"/>
                      <w:lang w:val="en-US" w:eastAsia="zh-CN"/>
                    </w:rPr>
                    <w:t>环保工程</w:t>
                  </w:r>
                </w:p>
              </w:tc>
              <w:tc>
                <w:tcPr>
                  <w:tcW w:w="1320" w:type="dxa"/>
                  <w:vAlign w:val="center"/>
                </w:tcPr>
                <w:p w14:paraId="67BD4F5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宋体" w:hAnsi="Courier New" w:eastAsia="宋体" w:cs="Courier New"/>
                      <w:color w:val="auto"/>
                      <w:spacing w:val="2"/>
                      <w:kern w:val="2"/>
                      <w:sz w:val="21"/>
                      <w:szCs w:val="21"/>
                      <w:lang w:val="en-US" w:eastAsia="zh-CN" w:bidi="ar-SA"/>
                    </w:rPr>
                  </w:pPr>
                  <w:r>
                    <w:rPr>
                      <w:rFonts w:hint="eastAsia" w:ascii="宋体" w:hAnsi="Courier New" w:eastAsia="宋体" w:cs="Courier New"/>
                      <w:color w:val="auto"/>
                      <w:spacing w:val="2"/>
                      <w:kern w:val="2"/>
                      <w:sz w:val="21"/>
                      <w:szCs w:val="21"/>
                      <w:lang w:val="en-US" w:eastAsia="zh-CN" w:bidi="ar-SA"/>
                    </w:rPr>
                    <w:t>废气</w:t>
                  </w:r>
                </w:p>
              </w:tc>
              <w:tc>
                <w:tcPr>
                  <w:tcW w:w="6137" w:type="dxa"/>
                  <w:vAlign w:val="top"/>
                </w:tcPr>
                <w:p w14:paraId="3E78502D">
                  <w:pPr>
                    <w:pStyle w:val="65"/>
                    <w:spacing w:before="40" w:line="214" w:lineRule="auto"/>
                    <w:ind w:left="11" w:leftChars="0" w:right="2" w:rightChars="0"/>
                    <w:rPr>
                      <w:rFonts w:hint="eastAsia" w:hAnsi="Courier New" w:cs="Courier New"/>
                      <w:color w:val="auto"/>
                      <w:spacing w:val="2"/>
                      <w:kern w:val="2"/>
                      <w:sz w:val="21"/>
                      <w:szCs w:val="21"/>
                      <w:lang w:val="en-US" w:eastAsia="zh-CN" w:bidi="ar-SA"/>
                    </w:rPr>
                  </w:pPr>
                  <w:r>
                    <w:rPr>
                      <w:rFonts w:hint="default" w:ascii="Calibri" w:hAnsi="Calibri" w:eastAsia="宋体" w:cs="Calibri"/>
                      <w:color w:val="auto"/>
                      <w:spacing w:val="2"/>
                      <w:kern w:val="2"/>
                      <w:sz w:val="21"/>
                      <w:szCs w:val="21"/>
                      <w:lang w:val="en-US" w:eastAsia="zh-CN" w:bidi="ar-SA"/>
                    </w:rPr>
                    <w:t>①</w:t>
                  </w:r>
                  <w:r>
                    <w:rPr>
                      <w:rFonts w:hint="eastAsia" w:ascii="宋体" w:hAnsi="Courier New" w:eastAsia="宋体" w:cs="Courier New"/>
                      <w:color w:val="auto"/>
                      <w:spacing w:val="2"/>
                      <w:kern w:val="2"/>
                      <w:sz w:val="21"/>
                      <w:szCs w:val="21"/>
                      <w:lang w:val="en-US" w:eastAsia="zh-CN" w:bidi="ar-SA"/>
                    </w:rPr>
                    <w:t>土石方挖装扬尘</w:t>
                  </w:r>
                  <w:r>
                    <w:rPr>
                      <w:rFonts w:hint="eastAsia" w:hAnsi="Courier New" w:cs="Courier New"/>
                      <w:color w:val="auto"/>
                      <w:spacing w:val="2"/>
                      <w:kern w:val="2"/>
                      <w:sz w:val="21"/>
                      <w:szCs w:val="21"/>
                      <w:lang w:val="en-US" w:eastAsia="zh-CN" w:bidi="ar-SA"/>
                    </w:rPr>
                    <w:t>：</w:t>
                  </w:r>
                  <w:r>
                    <w:rPr>
                      <w:rFonts w:hint="eastAsia" w:ascii="宋体" w:hAnsi="Courier New" w:eastAsia="宋体" w:cs="Courier New"/>
                      <w:color w:val="auto"/>
                      <w:spacing w:val="2"/>
                      <w:kern w:val="2"/>
                      <w:sz w:val="21"/>
                      <w:szCs w:val="21"/>
                      <w:lang w:val="en-US" w:eastAsia="zh-CN" w:bidi="ar-SA"/>
                    </w:rPr>
                    <w:t>非雨日采取洒水措施</w:t>
                  </w:r>
                  <w:r>
                    <w:rPr>
                      <w:rFonts w:hint="eastAsia" w:hAnsi="Courier New" w:cs="Courier New"/>
                      <w:color w:val="auto"/>
                      <w:spacing w:val="2"/>
                      <w:kern w:val="2"/>
                      <w:sz w:val="21"/>
                      <w:szCs w:val="21"/>
                      <w:lang w:val="en-US" w:eastAsia="zh-CN" w:bidi="ar-SA"/>
                    </w:rPr>
                    <w:t>。</w:t>
                  </w:r>
                </w:p>
                <w:p w14:paraId="4F8B2C71">
                  <w:pPr>
                    <w:pStyle w:val="65"/>
                    <w:spacing w:before="40" w:line="214" w:lineRule="auto"/>
                    <w:ind w:left="11" w:leftChars="0" w:right="2" w:rightChars="0"/>
                    <w:rPr>
                      <w:rFonts w:hint="default" w:ascii="Calibri" w:hAnsi="Calibri" w:cs="Calibri"/>
                      <w:color w:val="auto"/>
                      <w:spacing w:val="2"/>
                      <w:kern w:val="2"/>
                      <w:sz w:val="21"/>
                      <w:szCs w:val="21"/>
                      <w:lang w:val="en-US" w:eastAsia="zh-CN" w:bidi="ar-SA"/>
                    </w:rPr>
                  </w:pPr>
                  <w:r>
                    <w:rPr>
                      <w:rFonts w:hint="default" w:ascii="Calibri" w:hAnsi="Calibri" w:cs="Calibri"/>
                      <w:color w:val="auto"/>
                      <w:spacing w:val="2"/>
                      <w:kern w:val="2"/>
                      <w:sz w:val="21"/>
                      <w:szCs w:val="21"/>
                      <w:lang w:val="en-US" w:eastAsia="zh-CN" w:bidi="ar-SA"/>
                    </w:rPr>
                    <w:t>②车辆运输扬尘</w:t>
                  </w:r>
                  <w:r>
                    <w:rPr>
                      <w:rFonts w:hint="eastAsia" w:ascii="Calibri" w:hAnsi="Calibri" w:cs="Calibri"/>
                      <w:color w:val="auto"/>
                      <w:spacing w:val="2"/>
                      <w:kern w:val="2"/>
                      <w:sz w:val="21"/>
                      <w:szCs w:val="21"/>
                      <w:lang w:val="en-US" w:eastAsia="zh-CN" w:bidi="ar-SA"/>
                    </w:rPr>
                    <w:t>：</w:t>
                  </w:r>
                  <w:r>
                    <w:rPr>
                      <w:rFonts w:hint="default" w:ascii="Calibri" w:hAnsi="Calibri" w:cs="Calibri"/>
                      <w:color w:val="auto"/>
                      <w:spacing w:val="2"/>
                      <w:kern w:val="2"/>
                      <w:sz w:val="21"/>
                      <w:szCs w:val="21"/>
                      <w:lang w:val="en-US" w:eastAsia="zh-CN" w:bidi="ar-SA"/>
                    </w:rPr>
                    <w:t>加强路面养护，控制车速;多尘物料运输时需密闭、加湿或</w:t>
                  </w:r>
                  <w:r>
                    <w:rPr>
                      <w:rFonts w:hint="eastAsia" w:ascii="Calibri" w:hAnsi="Calibri" w:cs="Calibri"/>
                      <w:color w:val="auto"/>
                      <w:spacing w:val="2"/>
                      <w:kern w:val="2"/>
                      <w:sz w:val="21"/>
                      <w:szCs w:val="21"/>
                      <w:lang w:val="en-US" w:eastAsia="zh-CN" w:bidi="ar-SA"/>
                    </w:rPr>
                    <w:t>苫盖</w:t>
                  </w:r>
                  <w:r>
                    <w:rPr>
                      <w:rFonts w:hint="default" w:ascii="Calibri" w:hAnsi="Calibri" w:cs="Calibri"/>
                      <w:color w:val="auto"/>
                      <w:spacing w:val="2"/>
                      <w:kern w:val="2"/>
                      <w:sz w:val="21"/>
                      <w:szCs w:val="21"/>
                      <w:lang w:val="en-US" w:eastAsia="zh-CN" w:bidi="ar-SA"/>
                    </w:rPr>
                    <w:t>;</w:t>
                  </w:r>
                  <w:r>
                    <w:rPr>
                      <w:rFonts w:hint="eastAsia" w:ascii="宋体" w:hAnsi="Courier New" w:eastAsia="宋体" w:cs="Courier New"/>
                      <w:color w:val="auto"/>
                      <w:spacing w:val="2"/>
                      <w:kern w:val="2"/>
                      <w:sz w:val="21"/>
                      <w:szCs w:val="21"/>
                      <w:lang w:val="en-US" w:eastAsia="zh-CN" w:bidi="ar-SA"/>
                    </w:rPr>
                    <w:t>非雨日</w:t>
                  </w:r>
                  <w:r>
                    <w:rPr>
                      <w:rFonts w:hint="eastAsia" w:hAnsi="Courier New" w:cs="Courier New"/>
                      <w:color w:val="auto"/>
                      <w:spacing w:val="2"/>
                      <w:kern w:val="2"/>
                      <w:sz w:val="21"/>
                      <w:szCs w:val="21"/>
                      <w:lang w:val="en-US" w:eastAsia="zh-CN" w:bidi="ar-SA"/>
                    </w:rPr>
                    <w:t>，</w:t>
                  </w:r>
                  <w:r>
                    <w:rPr>
                      <w:rFonts w:hint="default" w:ascii="Calibri" w:hAnsi="Calibri" w:cs="Calibri"/>
                      <w:color w:val="auto"/>
                      <w:spacing w:val="2"/>
                      <w:kern w:val="2"/>
                      <w:sz w:val="21"/>
                      <w:szCs w:val="21"/>
                      <w:lang w:val="en-US" w:eastAsia="zh-CN" w:bidi="ar-SA"/>
                    </w:rPr>
                    <w:t>路面洒水抑尘。</w:t>
                  </w:r>
                </w:p>
                <w:p w14:paraId="5CB016FD">
                  <w:pPr>
                    <w:pStyle w:val="65"/>
                    <w:spacing w:before="40" w:line="214" w:lineRule="auto"/>
                    <w:ind w:left="11" w:leftChars="0" w:right="2" w:rightChars="0"/>
                    <w:rPr>
                      <w:rFonts w:hint="eastAsia" w:ascii="Calibri" w:hAnsi="Calibri" w:cs="Calibri"/>
                      <w:color w:val="auto"/>
                      <w:spacing w:val="2"/>
                      <w:kern w:val="2"/>
                      <w:sz w:val="21"/>
                      <w:szCs w:val="21"/>
                      <w:lang w:val="en-US" w:eastAsia="zh-CN" w:bidi="ar-SA"/>
                    </w:rPr>
                  </w:pPr>
                  <w:r>
                    <w:rPr>
                      <w:rFonts w:hint="default" w:ascii="Calibri" w:hAnsi="Calibri" w:cs="Calibri"/>
                      <w:color w:val="auto"/>
                      <w:spacing w:val="2"/>
                      <w:kern w:val="2"/>
                      <w:sz w:val="21"/>
                      <w:szCs w:val="21"/>
                      <w:lang w:val="en-US" w:eastAsia="zh-CN" w:bidi="ar-SA"/>
                    </w:rPr>
                    <w:t>③加强燃油机械设备的维护和保养</w:t>
                  </w:r>
                  <w:r>
                    <w:rPr>
                      <w:rFonts w:hint="eastAsia" w:ascii="Calibri" w:hAnsi="Calibri" w:cs="Calibri"/>
                      <w:color w:val="auto"/>
                      <w:spacing w:val="2"/>
                      <w:kern w:val="2"/>
                      <w:sz w:val="21"/>
                      <w:szCs w:val="21"/>
                      <w:lang w:val="en-US" w:eastAsia="zh-CN" w:bidi="ar-SA"/>
                    </w:rPr>
                    <w:t>；</w:t>
                  </w:r>
                  <w:r>
                    <w:rPr>
                      <w:rFonts w:hint="default" w:ascii="Calibri" w:hAnsi="Calibri" w:cs="Calibri"/>
                      <w:color w:val="auto"/>
                      <w:spacing w:val="2"/>
                      <w:kern w:val="2"/>
                      <w:sz w:val="21"/>
                      <w:szCs w:val="21"/>
                      <w:lang w:val="en-US" w:eastAsia="zh-CN" w:bidi="ar-SA"/>
                    </w:rPr>
                    <w:t>选用符合国家有关机械、机动车标准的施工机械和运输工具，使用符合标准的油料或清洁能源</w:t>
                  </w:r>
                  <w:r>
                    <w:rPr>
                      <w:rFonts w:hint="eastAsia" w:ascii="Calibri" w:hAnsi="Calibri" w:cs="Calibri"/>
                      <w:color w:val="auto"/>
                      <w:spacing w:val="2"/>
                      <w:kern w:val="2"/>
                      <w:sz w:val="21"/>
                      <w:szCs w:val="21"/>
                      <w:lang w:val="en-US" w:eastAsia="zh-CN" w:bidi="ar-SA"/>
                    </w:rPr>
                    <w:t>；</w:t>
                  </w:r>
                  <w:r>
                    <w:rPr>
                      <w:rFonts w:hint="default" w:ascii="Calibri" w:hAnsi="Calibri" w:cs="Calibri"/>
                      <w:color w:val="auto"/>
                      <w:spacing w:val="2"/>
                      <w:kern w:val="2"/>
                      <w:sz w:val="21"/>
                      <w:szCs w:val="21"/>
                      <w:lang w:val="en-US" w:eastAsia="zh-CN" w:bidi="ar-SA"/>
                    </w:rPr>
                    <w:t>燃油机械设备安装尾气净化器</w:t>
                  </w:r>
                  <w:r>
                    <w:rPr>
                      <w:rFonts w:hint="eastAsia" w:ascii="Calibri" w:hAnsi="Calibri" w:cs="Calibri"/>
                      <w:color w:val="auto"/>
                      <w:spacing w:val="2"/>
                      <w:kern w:val="2"/>
                      <w:sz w:val="21"/>
                      <w:szCs w:val="21"/>
                      <w:lang w:val="en-US" w:eastAsia="zh-CN" w:bidi="ar-SA"/>
                    </w:rPr>
                    <w:t>。</w:t>
                  </w:r>
                </w:p>
              </w:tc>
            </w:tr>
            <w:tr w14:paraId="6B42D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35DAC07D">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color w:val="auto"/>
                      <w:spacing w:val="2"/>
                      <w:sz w:val="21"/>
                      <w:szCs w:val="21"/>
                      <w:lang w:val="en-US" w:eastAsia="zh-CN"/>
                    </w:rPr>
                  </w:pPr>
                </w:p>
              </w:tc>
              <w:tc>
                <w:tcPr>
                  <w:tcW w:w="1320" w:type="dxa"/>
                  <w:vAlign w:val="center"/>
                </w:tcPr>
                <w:p w14:paraId="37F7D26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宋体" w:hAnsi="Courier New" w:eastAsia="宋体" w:cs="Courier New"/>
                      <w:color w:val="auto"/>
                      <w:spacing w:val="2"/>
                      <w:kern w:val="2"/>
                      <w:sz w:val="21"/>
                      <w:szCs w:val="21"/>
                      <w:lang w:val="en-US" w:eastAsia="zh-CN" w:bidi="ar-SA"/>
                    </w:rPr>
                  </w:pPr>
                  <w:r>
                    <w:rPr>
                      <w:rFonts w:hint="eastAsia" w:ascii="宋体" w:hAnsi="Courier New" w:eastAsia="宋体" w:cs="Courier New"/>
                      <w:color w:val="auto"/>
                      <w:spacing w:val="2"/>
                      <w:kern w:val="2"/>
                      <w:sz w:val="21"/>
                      <w:szCs w:val="21"/>
                      <w:lang w:val="en-US" w:eastAsia="zh-CN" w:bidi="ar-SA"/>
                    </w:rPr>
                    <w:t>废水</w:t>
                  </w:r>
                </w:p>
              </w:tc>
              <w:tc>
                <w:tcPr>
                  <w:tcW w:w="6137" w:type="dxa"/>
                  <w:vAlign w:val="top"/>
                </w:tcPr>
                <w:p w14:paraId="34C4803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宋体" w:hAnsi="Courier New" w:eastAsia="宋体" w:cs="Courier New"/>
                      <w:color w:val="auto"/>
                      <w:spacing w:val="2"/>
                      <w:kern w:val="2"/>
                      <w:sz w:val="21"/>
                      <w:szCs w:val="21"/>
                      <w:lang w:val="en-US" w:eastAsia="zh-CN" w:bidi="ar-SA"/>
                    </w:rPr>
                  </w:pPr>
                  <w:r>
                    <w:rPr>
                      <w:rFonts w:hint="default" w:ascii="宋体" w:hAnsi="Courier New" w:eastAsia="宋体" w:cs="Courier New"/>
                      <w:color w:val="auto"/>
                      <w:spacing w:val="2"/>
                      <w:kern w:val="2"/>
                      <w:sz w:val="21"/>
                      <w:szCs w:val="21"/>
                      <w:lang w:val="en-US" w:eastAsia="zh-CN" w:bidi="ar-SA"/>
                    </w:rPr>
                    <w:t>①</w:t>
                  </w:r>
                  <w:r>
                    <w:rPr>
                      <w:rFonts w:hint="eastAsia" w:cs="宋体"/>
                      <w:color w:val="auto"/>
                      <w:spacing w:val="5"/>
                      <w:kern w:val="2"/>
                      <w:sz w:val="21"/>
                      <w:szCs w:val="21"/>
                      <w:lang w:val="en-US" w:eastAsia="zh-CN" w:bidi="ar-SA"/>
                    </w:rPr>
                    <w:t>本项目施工废水主要来自施工过程中的清洁废水和混凝土搅拌废水。施工废水采用沉淀池收集、澄清，全部回用于混凝土拌合、场地洒水等，不外排。</w:t>
                  </w:r>
                </w:p>
                <w:p w14:paraId="105A44C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宋体" w:hAnsi="Courier New" w:eastAsia="宋体" w:cs="Courier New"/>
                      <w:color w:val="auto"/>
                      <w:spacing w:val="2"/>
                      <w:kern w:val="2"/>
                      <w:sz w:val="21"/>
                      <w:szCs w:val="21"/>
                      <w:lang w:val="en-US" w:eastAsia="zh-CN" w:bidi="ar-SA"/>
                    </w:rPr>
                  </w:pPr>
                  <w:r>
                    <w:rPr>
                      <w:rFonts w:hint="default" w:ascii="宋体" w:hAnsi="Courier New" w:eastAsia="宋体" w:cs="Courier New"/>
                      <w:color w:val="auto"/>
                      <w:spacing w:val="2"/>
                      <w:kern w:val="2"/>
                      <w:sz w:val="21"/>
                      <w:szCs w:val="21"/>
                      <w:lang w:val="en-US" w:eastAsia="zh-CN" w:bidi="ar-SA"/>
                    </w:rPr>
                    <w:t>②</w:t>
                  </w:r>
                  <w:r>
                    <w:rPr>
                      <w:rFonts w:hint="eastAsia" w:ascii="宋体" w:hAnsi="Courier New" w:eastAsia="宋体" w:cs="Courier New"/>
                      <w:color w:val="auto"/>
                      <w:spacing w:val="2"/>
                      <w:kern w:val="2"/>
                      <w:sz w:val="21"/>
                      <w:szCs w:val="21"/>
                      <w:lang w:val="en-US" w:eastAsia="zh-CN" w:bidi="ar-SA"/>
                    </w:rPr>
                    <w:t>施工生活区施工人员生活污水经化粪池处理后，委托环卫部门清运</w:t>
                  </w:r>
                  <w:r>
                    <w:rPr>
                      <w:rFonts w:hint="eastAsia" w:hAnsi="Courier New" w:cs="Courier New"/>
                      <w:color w:val="auto"/>
                      <w:spacing w:val="2"/>
                      <w:kern w:val="2"/>
                      <w:sz w:val="21"/>
                      <w:szCs w:val="21"/>
                      <w:lang w:val="en-US" w:eastAsia="zh-CN" w:bidi="ar-SA"/>
                    </w:rPr>
                    <w:t>。</w:t>
                  </w:r>
                </w:p>
              </w:tc>
            </w:tr>
            <w:tr w14:paraId="2E821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285D305A">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color w:val="auto"/>
                      <w:spacing w:val="2"/>
                      <w:sz w:val="21"/>
                      <w:szCs w:val="21"/>
                      <w:lang w:val="en-US" w:eastAsia="zh-CN"/>
                    </w:rPr>
                  </w:pPr>
                </w:p>
              </w:tc>
              <w:tc>
                <w:tcPr>
                  <w:tcW w:w="1320" w:type="dxa"/>
                  <w:vAlign w:val="center"/>
                </w:tcPr>
                <w:p w14:paraId="0E87CED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Courier New" w:eastAsia="宋体" w:cs="Courier New"/>
                      <w:color w:val="auto"/>
                      <w:spacing w:val="2"/>
                      <w:kern w:val="2"/>
                      <w:sz w:val="21"/>
                      <w:szCs w:val="21"/>
                      <w:lang w:val="en-US" w:eastAsia="zh-CN" w:bidi="ar-SA"/>
                    </w:rPr>
                  </w:pPr>
                  <w:r>
                    <w:rPr>
                      <w:rFonts w:hint="eastAsia" w:ascii="宋体" w:hAnsi="Courier New" w:eastAsia="宋体" w:cs="Courier New"/>
                      <w:color w:val="auto"/>
                      <w:spacing w:val="2"/>
                      <w:kern w:val="2"/>
                      <w:sz w:val="21"/>
                      <w:szCs w:val="21"/>
                      <w:lang w:val="en-US" w:eastAsia="zh-CN" w:bidi="ar-SA"/>
                    </w:rPr>
                    <w:t>噪声</w:t>
                  </w:r>
                </w:p>
              </w:tc>
              <w:tc>
                <w:tcPr>
                  <w:tcW w:w="6137" w:type="dxa"/>
                  <w:vAlign w:val="top"/>
                </w:tcPr>
                <w:p w14:paraId="42F31EB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宋体" w:hAnsi="Courier New" w:eastAsia="宋体" w:cs="Courier New"/>
                      <w:color w:val="auto"/>
                      <w:spacing w:val="2"/>
                      <w:kern w:val="2"/>
                      <w:sz w:val="21"/>
                      <w:szCs w:val="21"/>
                      <w:lang w:val="en-US" w:eastAsia="zh-CN" w:bidi="ar-SA"/>
                    </w:rPr>
                  </w:pPr>
                  <w:r>
                    <w:rPr>
                      <w:rFonts w:hint="default" w:ascii="Times New Roman" w:hAnsi="Times New Roman" w:eastAsia="宋体" w:cs="Times New Roman"/>
                      <w:color w:val="auto"/>
                      <w:spacing w:val="2"/>
                      <w:kern w:val="2"/>
                      <w:sz w:val="21"/>
                      <w:szCs w:val="21"/>
                      <w:lang w:val="en-US" w:eastAsia="zh-CN" w:bidi="ar-SA"/>
                    </w:rPr>
                    <w:t>选用低噪声施工机械和工艺；加强设备的维护和保养，保持设备良好运转状态，降低设备运行噪声；对一些振动强烈的机械设备，有选择</w:t>
                  </w:r>
                  <w:r>
                    <w:rPr>
                      <w:rFonts w:hint="eastAsia" w:ascii="Times New Roman" w:hAnsi="Times New Roman" w:cs="Times New Roman"/>
                      <w:color w:val="auto"/>
                      <w:spacing w:val="2"/>
                      <w:kern w:val="2"/>
                      <w:sz w:val="21"/>
                      <w:szCs w:val="21"/>
                      <w:lang w:val="en-US" w:eastAsia="zh-CN" w:bidi="ar-SA"/>
                    </w:rPr>
                    <w:t>地</w:t>
                  </w:r>
                  <w:r>
                    <w:rPr>
                      <w:rFonts w:hint="default" w:ascii="Times New Roman" w:hAnsi="Times New Roman" w:eastAsia="宋体" w:cs="Times New Roman"/>
                      <w:color w:val="auto"/>
                      <w:spacing w:val="2"/>
                      <w:kern w:val="2"/>
                      <w:sz w:val="21"/>
                      <w:szCs w:val="21"/>
                      <w:lang w:val="en-US" w:eastAsia="zh-CN" w:bidi="ar-SA"/>
                    </w:rPr>
                    <w:t>使用减振机座。施工段设置简易挡墙或移动式围挡，合理安排施工时间，禁止夜间（24:00~08:00）和午休时间（14:00~16:00）在敏感点集中区域进行产生环境噪声污染的建筑施工作业；柴油发电机安装消声器、吸声材料等。</w:t>
                  </w:r>
                </w:p>
              </w:tc>
            </w:tr>
            <w:tr w14:paraId="584FA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Merge w:val="continue"/>
                </w:tcPr>
                <w:p w14:paraId="592FCF5A">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color w:val="auto"/>
                      <w:spacing w:val="2"/>
                      <w:sz w:val="21"/>
                      <w:szCs w:val="21"/>
                      <w:lang w:val="en-US" w:eastAsia="zh-CN"/>
                    </w:rPr>
                  </w:pPr>
                </w:p>
              </w:tc>
              <w:tc>
                <w:tcPr>
                  <w:tcW w:w="1320" w:type="dxa"/>
                  <w:vAlign w:val="center"/>
                </w:tcPr>
                <w:p w14:paraId="4F44E95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Courier New" w:eastAsia="宋体" w:cs="Courier New"/>
                      <w:color w:val="auto"/>
                      <w:spacing w:val="2"/>
                      <w:kern w:val="2"/>
                      <w:sz w:val="21"/>
                      <w:szCs w:val="21"/>
                      <w:lang w:val="en-US" w:eastAsia="zh-CN" w:bidi="ar-SA"/>
                    </w:rPr>
                  </w:pPr>
                  <w:r>
                    <w:rPr>
                      <w:rFonts w:hint="eastAsia" w:ascii="宋体" w:hAnsi="Courier New" w:eastAsia="宋体" w:cs="Courier New"/>
                      <w:color w:val="auto"/>
                      <w:spacing w:val="2"/>
                      <w:kern w:val="2"/>
                      <w:sz w:val="21"/>
                      <w:szCs w:val="21"/>
                      <w:lang w:val="en-US" w:eastAsia="zh-CN" w:bidi="ar-SA"/>
                    </w:rPr>
                    <w:t>固体废物</w:t>
                  </w:r>
                </w:p>
              </w:tc>
              <w:tc>
                <w:tcPr>
                  <w:tcW w:w="6137" w:type="dxa"/>
                  <w:vAlign w:val="top"/>
                </w:tcPr>
                <w:p w14:paraId="116C507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rFonts w:hint="default" w:ascii="Times New Roman" w:hAnsi="Times New Roman" w:eastAsia="宋体" w:cs="Times New Roman"/>
                      <w:color w:val="auto"/>
                      <w:spacing w:val="2"/>
                      <w:kern w:val="2"/>
                      <w:sz w:val="21"/>
                      <w:szCs w:val="21"/>
                      <w:lang w:val="en-US" w:eastAsia="zh-CN" w:bidi="ar-SA"/>
                    </w:rPr>
                  </w:pPr>
                  <w:r>
                    <w:rPr>
                      <w:rFonts w:hint="default"/>
                      <w:color w:val="auto"/>
                      <w:spacing w:val="4"/>
                      <w:sz w:val="21"/>
                      <w:szCs w:val="21"/>
                      <w:lang w:val="en-US" w:eastAsia="zh-CN"/>
                    </w:rPr>
                    <w:t>建筑垃圾，应进行分类收集、分类管理，能够回收利用的尽量回收综合利用，以节约资源；对于不能回收利用，拉运至奇台县建筑垃圾填埋场处置。</w:t>
                  </w:r>
                  <w:r>
                    <w:rPr>
                      <w:rFonts w:hint="eastAsia"/>
                      <w:color w:val="auto"/>
                      <w:spacing w:val="4"/>
                      <w:sz w:val="21"/>
                      <w:szCs w:val="21"/>
                      <w:lang w:val="en-US" w:eastAsia="zh-CN"/>
                    </w:rPr>
                    <w:t>施工开挖土方优先用于项目自身，剩余土方作为弃土拉运至相关政府部门指定弃渣场处置。</w:t>
                  </w:r>
                </w:p>
              </w:tc>
            </w:tr>
            <w:tr w14:paraId="1FC54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vMerge w:val="continue"/>
                </w:tcPr>
                <w:p w14:paraId="2BE966A6">
                  <w:pPr>
                    <w:pStyle w:val="13"/>
                    <w:keepNext w:val="0"/>
                    <w:keepLines w:val="0"/>
                    <w:pageBreakBefore w:val="0"/>
                    <w:widowControl w:val="0"/>
                    <w:kinsoku/>
                    <w:wordWrap/>
                    <w:overflowPunct w:val="0"/>
                    <w:topLinePunct w:val="0"/>
                    <w:autoSpaceDE/>
                    <w:autoSpaceDN/>
                    <w:bidi w:val="0"/>
                    <w:adjustRightInd w:val="0"/>
                    <w:snapToGrid w:val="0"/>
                    <w:spacing w:line="240" w:lineRule="auto"/>
                    <w:ind w:right="0"/>
                    <w:jc w:val="center"/>
                    <w:textAlignment w:val="auto"/>
                    <w:rPr>
                      <w:rFonts w:hint="eastAsia"/>
                      <w:color w:val="auto"/>
                      <w:spacing w:val="2"/>
                      <w:sz w:val="21"/>
                      <w:szCs w:val="21"/>
                      <w:lang w:val="en-US" w:eastAsia="zh-CN"/>
                    </w:rPr>
                  </w:pPr>
                </w:p>
              </w:tc>
              <w:tc>
                <w:tcPr>
                  <w:tcW w:w="1320" w:type="dxa"/>
                  <w:vAlign w:val="center"/>
                </w:tcPr>
                <w:p w14:paraId="722517D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Courier New" w:eastAsia="宋体" w:cs="Courier New"/>
                      <w:color w:val="auto"/>
                      <w:spacing w:val="2"/>
                      <w:kern w:val="2"/>
                      <w:sz w:val="21"/>
                      <w:szCs w:val="21"/>
                      <w:lang w:val="en-US" w:eastAsia="zh-CN" w:bidi="ar-SA"/>
                    </w:rPr>
                  </w:pPr>
                  <w:r>
                    <w:rPr>
                      <w:rFonts w:hint="eastAsia" w:ascii="宋体" w:hAnsi="Courier New" w:eastAsia="宋体" w:cs="Courier New"/>
                      <w:color w:val="auto"/>
                      <w:spacing w:val="2"/>
                      <w:kern w:val="2"/>
                      <w:sz w:val="21"/>
                      <w:szCs w:val="21"/>
                      <w:lang w:val="en-US" w:eastAsia="zh-CN" w:bidi="ar-SA"/>
                    </w:rPr>
                    <w:t>生态保护</w:t>
                  </w:r>
                </w:p>
              </w:tc>
              <w:tc>
                <w:tcPr>
                  <w:tcW w:w="6137" w:type="dxa"/>
                  <w:vAlign w:val="top"/>
                </w:tcPr>
                <w:p w14:paraId="7F7EFFF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宋体" w:hAnsi="Courier New" w:eastAsia="宋体" w:cs="Courier New"/>
                      <w:color w:val="auto"/>
                      <w:spacing w:val="2"/>
                      <w:kern w:val="2"/>
                      <w:sz w:val="21"/>
                      <w:szCs w:val="21"/>
                      <w:lang w:val="en-US" w:eastAsia="zh-CN" w:bidi="ar-SA"/>
                    </w:rPr>
                  </w:pPr>
                  <w:r>
                    <w:rPr>
                      <w:rFonts w:hint="eastAsia" w:ascii="宋体" w:hAnsi="Courier New" w:eastAsia="宋体" w:cs="Courier New"/>
                      <w:color w:val="auto"/>
                      <w:spacing w:val="2"/>
                      <w:kern w:val="2"/>
                      <w:sz w:val="21"/>
                      <w:szCs w:val="21"/>
                      <w:lang w:val="en-US" w:eastAsia="zh-CN" w:bidi="ar-SA"/>
                    </w:rPr>
                    <w:t>陆生生态：①严格控制施工人员、施工机械、临时占地范围，严禁随意扩大扰动范围。②在土方开挖施工时，应严格注意保护原有地表土壤层，按照原土层顺序回填及覆盖，做到分层开挖，分层堆放，分层回填，以利于植被自然恢复；③严禁施工人员非法猎捕当地野生动物和鸟类；④施工结束后，及时拆除、清理临时生产设施，各类施工迹地应进行清理，平整场地；⑤建设单位应及时按照水土保持方案要求执行水土保持措施，做好工程区的植被恢复工作和水土保持措施，控制水土流失。</w:t>
                  </w:r>
                </w:p>
                <w:p w14:paraId="0E29240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宋体" w:hAnsi="Courier New" w:eastAsia="宋体" w:cs="Courier New"/>
                      <w:color w:val="auto"/>
                      <w:spacing w:val="2"/>
                      <w:kern w:val="2"/>
                      <w:sz w:val="21"/>
                      <w:szCs w:val="21"/>
                      <w:lang w:val="en-US" w:eastAsia="zh-CN" w:bidi="ar-SA"/>
                    </w:rPr>
                  </w:pPr>
                  <w:r>
                    <w:rPr>
                      <w:rFonts w:hint="eastAsia" w:ascii="宋体" w:hAnsi="Courier New" w:eastAsia="宋体" w:cs="Courier New"/>
                      <w:color w:val="auto"/>
                      <w:spacing w:val="2"/>
                      <w:kern w:val="2"/>
                      <w:sz w:val="21"/>
                      <w:szCs w:val="21"/>
                      <w:lang w:val="en-US" w:eastAsia="zh-CN" w:bidi="ar-SA"/>
                    </w:rPr>
                    <w:t>水生生态：不得利用非施工侧河道布置施工机械、设备，禁止采挖施工范围以外河床；及时恢复河床原貌；禁止捕捞；禁止向河内排放污染物。</w:t>
                  </w:r>
                </w:p>
              </w:tc>
            </w:tr>
          </w:tbl>
          <w:p w14:paraId="26F1B60B">
            <w:pPr>
              <w:keepNext w:val="0"/>
              <w:keepLines w:val="0"/>
              <w:pageBreakBefore w:val="0"/>
              <w:widowControl/>
              <w:numPr>
                <w:ilvl w:val="0"/>
                <w:numId w:val="12"/>
              </w:numPr>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eastAsia"/>
                <w:b/>
                <w:bCs/>
                <w:color w:val="auto"/>
                <w:spacing w:val="-1"/>
                <w:sz w:val="24"/>
                <w:szCs w:val="24"/>
                <w:lang w:val="en-US" w:eastAsia="zh-CN"/>
              </w:rPr>
            </w:pPr>
            <w:r>
              <w:rPr>
                <w:rFonts w:hint="eastAsia"/>
                <w:b/>
                <w:bCs/>
                <w:color w:val="auto"/>
                <w:spacing w:val="-1"/>
                <w:sz w:val="24"/>
                <w:szCs w:val="24"/>
                <w:lang w:val="en-US" w:eastAsia="zh-CN"/>
              </w:rPr>
              <w:t>项目工程特性表</w:t>
            </w:r>
          </w:p>
          <w:tbl>
            <w:tblPr>
              <w:tblStyle w:val="28"/>
              <w:tblW w:w="83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8"/>
              <w:gridCol w:w="1105"/>
              <w:gridCol w:w="2970"/>
              <w:gridCol w:w="2162"/>
            </w:tblGrid>
            <w:tr w14:paraId="1B354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Align w:val="center"/>
                </w:tcPr>
                <w:p w14:paraId="7199780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b/>
                      <w:bCs/>
                      <w:color w:val="auto"/>
                      <w:spacing w:val="5"/>
                      <w:sz w:val="21"/>
                      <w:szCs w:val="21"/>
                      <w:vertAlign w:val="baseline"/>
                      <w:lang w:val="en-US" w:eastAsia="zh-CN"/>
                    </w:rPr>
                  </w:pPr>
                  <w:r>
                    <w:rPr>
                      <w:b/>
                      <w:bCs/>
                      <w:color w:val="auto"/>
                      <w:spacing w:val="3"/>
                      <w:sz w:val="21"/>
                      <w:szCs w:val="21"/>
                    </w:rPr>
                    <w:t>序号及名称</w:t>
                  </w:r>
                </w:p>
              </w:tc>
              <w:tc>
                <w:tcPr>
                  <w:tcW w:w="1105" w:type="dxa"/>
                  <w:vAlign w:val="center"/>
                </w:tcPr>
                <w:p w14:paraId="47A911C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b/>
                      <w:bCs/>
                      <w:color w:val="auto"/>
                      <w:spacing w:val="5"/>
                      <w:sz w:val="21"/>
                      <w:szCs w:val="21"/>
                      <w:vertAlign w:val="baseline"/>
                      <w:lang w:val="en-US" w:eastAsia="zh-CN"/>
                    </w:rPr>
                  </w:pPr>
                  <w:r>
                    <w:rPr>
                      <w:b/>
                      <w:bCs/>
                      <w:color w:val="auto"/>
                      <w:spacing w:val="-2"/>
                      <w:sz w:val="21"/>
                      <w:szCs w:val="21"/>
                    </w:rPr>
                    <w:t>单位</w:t>
                  </w:r>
                </w:p>
              </w:tc>
              <w:tc>
                <w:tcPr>
                  <w:tcW w:w="2970" w:type="dxa"/>
                  <w:vAlign w:val="center"/>
                </w:tcPr>
                <w:p w14:paraId="72E7B48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eastAsia="宋体"/>
                      <w:b/>
                      <w:bCs/>
                      <w:color w:val="auto"/>
                      <w:spacing w:val="5"/>
                      <w:sz w:val="21"/>
                      <w:szCs w:val="21"/>
                      <w:vertAlign w:val="baseline"/>
                      <w:lang w:val="en-US" w:eastAsia="zh-CN"/>
                    </w:rPr>
                  </w:pPr>
                  <w:r>
                    <w:rPr>
                      <w:rFonts w:hint="eastAsia"/>
                      <w:b/>
                      <w:bCs/>
                      <w:color w:val="auto"/>
                      <w:spacing w:val="5"/>
                      <w:sz w:val="21"/>
                      <w:szCs w:val="21"/>
                      <w:vertAlign w:val="baseline"/>
                      <w:lang w:val="en-US" w:eastAsia="zh-CN"/>
                    </w:rPr>
                    <w:t>参数</w:t>
                  </w:r>
                </w:p>
              </w:tc>
              <w:tc>
                <w:tcPr>
                  <w:tcW w:w="2162" w:type="dxa"/>
                  <w:vAlign w:val="center"/>
                </w:tcPr>
                <w:p w14:paraId="1B01F26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b/>
                      <w:bCs/>
                      <w:color w:val="auto"/>
                      <w:spacing w:val="5"/>
                      <w:sz w:val="21"/>
                      <w:szCs w:val="21"/>
                      <w:vertAlign w:val="baseline"/>
                      <w:lang w:val="en-US" w:eastAsia="zh-CN"/>
                    </w:rPr>
                  </w:pPr>
                  <w:r>
                    <w:rPr>
                      <w:b/>
                      <w:bCs/>
                      <w:color w:val="auto"/>
                      <w:spacing w:val="-3"/>
                      <w:sz w:val="21"/>
                      <w:szCs w:val="21"/>
                    </w:rPr>
                    <w:t>备注</w:t>
                  </w:r>
                </w:p>
              </w:tc>
            </w:tr>
            <w:tr w14:paraId="76596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15" w:type="dxa"/>
                  <w:gridSpan w:val="4"/>
                  <w:vAlign w:val="center"/>
                </w:tcPr>
                <w:p w14:paraId="77C137A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3"/>
                      <w:sz w:val="21"/>
                      <w:szCs w:val="21"/>
                    </w:rPr>
                  </w:pPr>
                  <w:r>
                    <w:rPr>
                      <w:color w:val="auto"/>
                      <w:spacing w:val="2"/>
                      <w:sz w:val="21"/>
                      <w:szCs w:val="21"/>
                    </w:rPr>
                    <w:t>一、水文</w:t>
                  </w:r>
                </w:p>
              </w:tc>
            </w:tr>
            <w:tr w14:paraId="042CC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Align w:val="center"/>
                </w:tcPr>
                <w:p w14:paraId="0856FBC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2"/>
                      <w:sz w:val="21"/>
                      <w:szCs w:val="21"/>
                    </w:rPr>
                  </w:pPr>
                  <w:r>
                    <w:rPr>
                      <w:color w:val="auto"/>
                      <w:spacing w:val="2"/>
                      <w:sz w:val="21"/>
                      <w:szCs w:val="21"/>
                    </w:rPr>
                    <w:t>集水面积</w:t>
                  </w:r>
                </w:p>
              </w:tc>
              <w:tc>
                <w:tcPr>
                  <w:tcW w:w="1105" w:type="dxa"/>
                  <w:vAlign w:val="center"/>
                </w:tcPr>
                <w:p w14:paraId="66FEE59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km</w:t>
                  </w:r>
                  <w:r>
                    <w:rPr>
                      <w:rFonts w:hint="default" w:ascii="Times New Roman" w:hAnsi="Times New Roman" w:cs="Times New Roman"/>
                      <w:color w:val="auto"/>
                      <w:spacing w:val="2"/>
                      <w:sz w:val="21"/>
                      <w:szCs w:val="21"/>
                      <w:vertAlign w:val="superscript"/>
                    </w:rPr>
                    <w:t>2</w:t>
                  </w:r>
                </w:p>
              </w:tc>
              <w:tc>
                <w:tcPr>
                  <w:tcW w:w="2970" w:type="dxa"/>
                  <w:vAlign w:val="center"/>
                </w:tcPr>
                <w:p w14:paraId="1B253AC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117</w:t>
                  </w:r>
                </w:p>
              </w:tc>
              <w:tc>
                <w:tcPr>
                  <w:tcW w:w="2162" w:type="dxa"/>
                  <w:vAlign w:val="center"/>
                </w:tcPr>
                <w:p w14:paraId="339A0A1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2"/>
                      <w:sz w:val="21"/>
                      <w:szCs w:val="21"/>
                    </w:rPr>
                  </w:pPr>
                  <w:r>
                    <w:rPr>
                      <w:rFonts w:hint="eastAsia"/>
                      <w:color w:val="auto"/>
                      <w:spacing w:val="2"/>
                      <w:sz w:val="21"/>
                      <w:szCs w:val="21"/>
                    </w:rPr>
                    <w:t>吉布库河出山口以上</w:t>
                  </w:r>
                </w:p>
              </w:tc>
            </w:tr>
            <w:tr w14:paraId="45CF2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Align w:val="center"/>
                </w:tcPr>
                <w:p w14:paraId="1539E73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3"/>
                      <w:sz w:val="21"/>
                      <w:szCs w:val="21"/>
                    </w:rPr>
                  </w:pPr>
                  <w:r>
                    <w:rPr>
                      <w:color w:val="auto"/>
                      <w:spacing w:val="2"/>
                      <w:sz w:val="21"/>
                      <w:szCs w:val="21"/>
                    </w:rPr>
                    <w:t>多年平均输沙量</w:t>
                  </w:r>
                </w:p>
              </w:tc>
              <w:tc>
                <w:tcPr>
                  <w:tcW w:w="1105" w:type="dxa"/>
                  <w:vAlign w:val="center"/>
                </w:tcPr>
                <w:p w14:paraId="72DA451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万t</w:t>
                  </w:r>
                </w:p>
              </w:tc>
              <w:tc>
                <w:tcPr>
                  <w:tcW w:w="2970" w:type="dxa"/>
                  <w:vAlign w:val="center"/>
                </w:tcPr>
                <w:p w14:paraId="5D37988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3.69</w:t>
                  </w:r>
                </w:p>
              </w:tc>
              <w:tc>
                <w:tcPr>
                  <w:tcW w:w="2162" w:type="dxa"/>
                  <w:vAlign w:val="center"/>
                </w:tcPr>
                <w:p w14:paraId="6455154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p>
              </w:tc>
            </w:tr>
            <w:tr w14:paraId="5A48B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5" w:type="dxa"/>
                  <w:gridSpan w:val="4"/>
                  <w:vAlign w:val="center"/>
                </w:tcPr>
                <w:p w14:paraId="0627B5B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3"/>
                      <w:sz w:val="21"/>
                      <w:szCs w:val="21"/>
                    </w:rPr>
                  </w:pPr>
                  <w:r>
                    <w:rPr>
                      <w:rFonts w:hint="default" w:ascii="Times New Roman" w:hAnsi="Times New Roman" w:cs="Times New Roman"/>
                      <w:color w:val="auto"/>
                      <w:spacing w:val="2"/>
                      <w:sz w:val="21"/>
                      <w:szCs w:val="21"/>
                    </w:rPr>
                    <w:t>二、工程建设标准</w:t>
                  </w:r>
                </w:p>
              </w:tc>
            </w:tr>
            <w:tr w14:paraId="3AC3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Align w:val="center"/>
                </w:tcPr>
                <w:p w14:paraId="1F2DCC0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eastAsia" w:ascii="Times New Roman" w:hAnsi="Times New Roman" w:cs="Times New Roman"/>
                      <w:color w:val="auto"/>
                      <w:spacing w:val="2"/>
                      <w:sz w:val="21"/>
                      <w:szCs w:val="21"/>
                      <w:lang w:eastAsia="zh-CN"/>
                    </w:rPr>
                    <w:t>1.</w:t>
                  </w:r>
                  <w:r>
                    <w:rPr>
                      <w:rFonts w:hint="default" w:ascii="Times New Roman" w:hAnsi="Times New Roman" w:cs="Times New Roman"/>
                      <w:color w:val="auto"/>
                      <w:spacing w:val="2"/>
                      <w:sz w:val="21"/>
                      <w:szCs w:val="21"/>
                    </w:rPr>
                    <w:t>防护区等级</w:t>
                  </w:r>
                </w:p>
              </w:tc>
              <w:tc>
                <w:tcPr>
                  <w:tcW w:w="1105" w:type="dxa"/>
                  <w:vAlign w:val="center"/>
                </w:tcPr>
                <w:p w14:paraId="28E6CC0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eastAsia="宋体"/>
                      <w:b/>
                      <w:bCs/>
                      <w:color w:val="auto"/>
                      <w:spacing w:val="-2"/>
                      <w:sz w:val="21"/>
                      <w:szCs w:val="21"/>
                      <w:lang w:val="en-US" w:eastAsia="zh-CN"/>
                    </w:rPr>
                  </w:pPr>
                  <w:r>
                    <w:rPr>
                      <w:rFonts w:hint="eastAsia"/>
                      <w:b w:val="0"/>
                      <w:bCs w:val="0"/>
                      <w:color w:val="auto"/>
                      <w:spacing w:val="-2"/>
                      <w:sz w:val="21"/>
                      <w:szCs w:val="21"/>
                      <w:lang w:val="en-US" w:eastAsia="zh-CN"/>
                    </w:rPr>
                    <w:t>级</w:t>
                  </w:r>
                </w:p>
              </w:tc>
              <w:tc>
                <w:tcPr>
                  <w:tcW w:w="2970" w:type="dxa"/>
                  <w:vAlign w:val="center"/>
                </w:tcPr>
                <w:p w14:paraId="2F0BBED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2"/>
                      <w:sz w:val="21"/>
                      <w:szCs w:val="21"/>
                    </w:rPr>
                  </w:pPr>
                  <w:r>
                    <w:rPr>
                      <w:rFonts w:ascii="Times New Roman" w:hAnsi="Times New Roman" w:eastAsia="Times New Roman" w:cs="Times New Roman"/>
                      <w:color w:val="auto"/>
                      <w:spacing w:val="4"/>
                      <w:sz w:val="21"/>
                      <w:szCs w:val="21"/>
                    </w:rPr>
                    <w:t>Ⅳ</w:t>
                  </w:r>
                </w:p>
              </w:tc>
              <w:tc>
                <w:tcPr>
                  <w:tcW w:w="2162" w:type="dxa"/>
                  <w:vAlign w:val="center"/>
                </w:tcPr>
                <w:p w14:paraId="16A032C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3"/>
                      <w:sz w:val="21"/>
                      <w:szCs w:val="21"/>
                    </w:rPr>
                  </w:pPr>
                </w:p>
              </w:tc>
            </w:tr>
            <w:tr w14:paraId="10D71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Align w:val="center"/>
                </w:tcPr>
                <w:p w14:paraId="3579A05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eastAsia" w:ascii="Times New Roman" w:hAnsi="Times New Roman" w:cs="Times New Roman"/>
                      <w:color w:val="auto"/>
                      <w:spacing w:val="2"/>
                      <w:sz w:val="21"/>
                      <w:szCs w:val="21"/>
                      <w:lang w:eastAsia="zh-CN"/>
                    </w:rPr>
                    <w:t>2.</w:t>
                  </w:r>
                  <w:r>
                    <w:rPr>
                      <w:rFonts w:hint="default" w:ascii="Times New Roman" w:hAnsi="Times New Roman" w:cs="Times New Roman"/>
                      <w:color w:val="auto"/>
                      <w:spacing w:val="2"/>
                      <w:sz w:val="21"/>
                      <w:szCs w:val="21"/>
                    </w:rPr>
                    <w:t>防洪标准</w:t>
                  </w:r>
                </w:p>
              </w:tc>
              <w:tc>
                <w:tcPr>
                  <w:tcW w:w="1105" w:type="dxa"/>
                  <w:vAlign w:val="center"/>
                </w:tcPr>
                <w:p w14:paraId="652F10C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eastAsia="宋体"/>
                      <w:b/>
                      <w:bCs/>
                      <w:color w:val="auto"/>
                      <w:spacing w:val="-2"/>
                      <w:sz w:val="21"/>
                      <w:szCs w:val="21"/>
                      <w:lang w:val="en-US" w:eastAsia="zh-CN"/>
                    </w:rPr>
                  </w:pPr>
                  <w:r>
                    <w:rPr>
                      <w:rFonts w:hint="eastAsia" w:ascii="Times New Roman" w:hAnsi="Times New Roman" w:cs="Times New Roman"/>
                      <w:color w:val="auto"/>
                      <w:spacing w:val="2"/>
                      <w:sz w:val="21"/>
                      <w:szCs w:val="21"/>
                      <w:lang w:val="en-US" w:eastAsia="zh-CN"/>
                    </w:rPr>
                    <w:t>/</w:t>
                  </w:r>
                </w:p>
              </w:tc>
              <w:tc>
                <w:tcPr>
                  <w:tcW w:w="2970" w:type="dxa"/>
                  <w:vAlign w:val="center"/>
                </w:tcPr>
                <w:p w14:paraId="74214A6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2"/>
                      <w:sz w:val="21"/>
                      <w:szCs w:val="21"/>
                    </w:rPr>
                  </w:pPr>
                  <w:r>
                    <w:rPr>
                      <w:rFonts w:hint="eastAsia" w:ascii="Times New Roman" w:hAnsi="Times New Roman" w:eastAsia="宋体" w:cs="Times New Roman"/>
                      <w:color w:val="auto"/>
                      <w:spacing w:val="-3"/>
                      <w:sz w:val="21"/>
                      <w:szCs w:val="21"/>
                      <w:lang w:val="en-US" w:eastAsia="zh-CN"/>
                    </w:rPr>
                    <w:t>20</w:t>
                  </w:r>
                  <w:r>
                    <w:rPr>
                      <w:color w:val="auto"/>
                      <w:spacing w:val="-3"/>
                      <w:sz w:val="21"/>
                      <w:szCs w:val="21"/>
                    </w:rPr>
                    <w:t>年一遇</w:t>
                  </w:r>
                </w:p>
              </w:tc>
              <w:tc>
                <w:tcPr>
                  <w:tcW w:w="2162" w:type="dxa"/>
                  <w:vAlign w:val="center"/>
                </w:tcPr>
                <w:p w14:paraId="6DB9AAC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3"/>
                      <w:sz w:val="21"/>
                      <w:szCs w:val="21"/>
                    </w:rPr>
                  </w:pPr>
                </w:p>
              </w:tc>
            </w:tr>
            <w:tr w14:paraId="25B28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Align w:val="center"/>
                </w:tcPr>
                <w:p w14:paraId="1B82FBC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eastAsia" w:ascii="Times New Roman" w:hAnsi="Times New Roman" w:cs="Times New Roman"/>
                      <w:color w:val="auto"/>
                      <w:spacing w:val="2"/>
                      <w:sz w:val="21"/>
                      <w:szCs w:val="21"/>
                      <w:lang w:eastAsia="zh-CN"/>
                    </w:rPr>
                    <w:t>3.</w:t>
                  </w:r>
                  <w:r>
                    <w:rPr>
                      <w:rFonts w:hint="default" w:ascii="Times New Roman" w:hAnsi="Times New Roman" w:cs="Times New Roman"/>
                      <w:color w:val="auto"/>
                      <w:spacing w:val="2"/>
                      <w:sz w:val="21"/>
                      <w:szCs w:val="21"/>
                    </w:rPr>
                    <w:t>防洪流量</w:t>
                  </w:r>
                </w:p>
              </w:tc>
              <w:tc>
                <w:tcPr>
                  <w:tcW w:w="1105" w:type="dxa"/>
                  <w:vAlign w:val="center"/>
                </w:tcPr>
                <w:p w14:paraId="7CC86A9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2"/>
                      <w:sz w:val="21"/>
                      <w:szCs w:val="21"/>
                    </w:rPr>
                  </w:pPr>
                  <w:r>
                    <w:rPr>
                      <w:rFonts w:ascii="Times New Roman" w:hAnsi="Times New Roman" w:eastAsia="Times New Roman" w:cs="Times New Roman"/>
                      <w:color w:val="auto"/>
                      <w:spacing w:val="4"/>
                      <w:position w:val="-1"/>
                      <w:sz w:val="20"/>
                      <w:szCs w:val="20"/>
                    </w:rPr>
                    <w:t>m</w:t>
                  </w:r>
                  <w:r>
                    <w:rPr>
                      <w:rFonts w:ascii="Times New Roman" w:hAnsi="Times New Roman" w:eastAsia="Times New Roman" w:cs="Times New Roman"/>
                      <w:color w:val="auto"/>
                      <w:spacing w:val="4"/>
                      <w:position w:val="5"/>
                      <w:sz w:val="13"/>
                      <w:szCs w:val="13"/>
                    </w:rPr>
                    <w:t>3</w:t>
                  </w:r>
                  <w:r>
                    <w:rPr>
                      <w:rFonts w:ascii="Times New Roman" w:hAnsi="Times New Roman" w:eastAsia="Times New Roman" w:cs="Times New Roman"/>
                      <w:color w:val="auto"/>
                      <w:spacing w:val="4"/>
                      <w:position w:val="-1"/>
                      <w:sz w:val="20"/>
                      <w:szCs w:val="20"/>
                    </w:rPr>
                    <w:t>/s</w:t>
                  </w:r>
                </w:p>
              </w:tc>
              <w:tc>
                <w:tcPr>
                  <w:tcW w:w="2970" w:type="dxa"/>
                  <w:vAlign w:val="center"/>
                </w:tcPr>
                <w:p w14:paraId="0A99C50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eastAsia="宋体"/>
                      <w:b/>
                      <w:bCs/>
                      <w:color w:val="auto"/>
                      <w:spacing w:val="-2"/>
                      <w:sz w:val="21"/>
                      <w:szCs w:val="21"/>
                      <w:lang w:val="en-US" w:eastAsia="zh-CN"/>
                    </w:rPr>
                  </w:pPr>
                  <w:r>
                    <w:rPr>
                      <w:rFonts w:hint="eastAsia" w:ascii="Times New Roman" w:hAnsi="Times New Roman" w:eastAsia="宋体" w:cs="Times New Roman"/>
                      <w:color w:val="auto"/>
                      <w:spacing w:val="-3"/>
                      <w:sz w:val="21"/>
                      <w:szCs w:val="21"/>
                      <w:lang w:val="en-US" w:eastAsia="zh-CN"/>
                    </w:rPr>
                    <w:t>13.2</w:t>
                  </w:r>
                </w:p>
              </w:tc>
              <w:tc>
                <w:tcPr>
                  <w:tcW w:w="2162" w:type="dxa"/>
                  <w:vAlign w:val="center"/>
                </w:tcPr>
                <w:p w14:paraId="0CCB9DB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3"/>
                      <w:sz w:val="21"/>
                      <w:szCs w:val="21"/>
                    </w:rPr>
                  </w:pPr>
                </w:p>
              </w:tc>
            </w:tr>
            <w:tr w14:paraId="749A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Align w:val="center"/>
                </w:tcPr>
                <w:p w14:paraId="4A104FF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eastAsia" w:ascii="Times New Roman" w:hAnsi="Times New Roman" w:cs="Times New Roman"/>
                      <w:color w:val="auto"/>
                      <w:spacing w:val="2"/>
                      <w:sz w:val="21"/>
                      <w:szCs w:val="21"/>
                      <w:lang w:eastAsia="zh-CN"/>
                    </w:rPr>
                    <w:t>4.</w:t>
                  </w:r>
                  <w:r>
                    <w:rPr>
                      <w:rFonts w:hint="default" w:ascii="Times New Roman" w:hAnsi="Times New Roman" w:cs="Times New Roman"/>
                      <w:color w:val="auto"/>
                      <w:spacing w:val="2"/>
                      <w:sz w:val="21"/>
                      <w:szCs w:val="21"/>
                    </w:rPr>
                    <w:t>建筑物级别</w:t>
                  </w:r>
                </w:p>
              </w:tc>
              <w:tc>
                <w:tcPr>
                  <w:tcW w:w="1105" w:type="dxa"/>
                  <w:vAlign w:val="center"/>
                </w:tcPr>
                <w:p w14:paraId="0583512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eastAsia="宋体"/>
                      <w:b/>
                      <w:bCs/>
                      <w:color w:val="auto"/>
                      <w:spacing w:val="-2"/>
                      <w:sz w:val="21"/>
                      <w:szCs w:val="21"/>
                      <w:lang w:val="en-US" w:eastAsia="zh-CN"/>
                    </w:rPr>
                  </w:pPr>
                  <w:r>
                    <w:rPr>
                      <w:rFonts w:hint="eastAsia" w:ascii="Times New Roman" w:hAnsi="Times New Roman" w:cs="Times New Roman"/>
                      <w:color w:val="auto"/>
                      <w:spacing w:val="2"/>
                      <w:sz w:val="21"/>
                      <w:szCs w:val="21"/>
                      <w:lang w:val="en-US" w:eastAsia="zh-CN"/>
                    </w:rPr>
                    <w:t>/</w:t>
                  </w:r>
                </w:p>
              </w:tc>
              <w:tc>
                <w:tcPr>
                  <w:tcW w:w="2970" w:type="dxa"/>
                  <w:vAlign w:val="center"/>
                </w:tcPr>
                <w:p w14:paraId="2035D3C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2"/>
                      <w:sz w:val="21"/>
                      <w:szCs w:val="21"/>
                    </w:rPr>
                  </w:pPr>
                </w:p>
              </w:tc>
              <w:tc>
                <w:tcPr>
                  <w:tcW w:w="2162" w:type="dxa"/>
                  <w:vAlign w:val="center"/>
                </w:tcPr>
                <w:p w14:paraId="5CD1B0A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3"/>
                      <w:sz w:val="21"/>
                      <w:szCs w:val="21"/>
                    </w:rPr>
                  </w:pPr>
                </w:p>
              </w:tc>
            </w:tr>
            <w:tr w14:paraId="2F197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Align w:val="center"/>
                </w:tcPr>
                <w:p w14:paraId="2E56F2A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主要建筑物</w:t>
                  </w:r>
                </w:p>
              </w:tc>
              <w:tc>
                <w:tcPr>
                  <w:tcW w:w="1105" w:type="dxa"/>
                  <w:vAlign w:val="center"/>
                </w:tcPr>
                <w:p w14:paraId="4EE1A64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eastAsia="宋体" w:cs="Times New Roman"/>
                      <w:color w:val="auto"/>
                      <w:spacing w:val="-3"/>
                      <w:sz w:val="21"/>
                      <w:szCs w:val="21"/>
                      <w:lang w:val="en-US" w:eastAsia="zh-CN"/>
                    </w:rPr>
                  </w:pPr>
                  <w:r>
                    <w:rPr>
                      <w:rFonts w:hint="eastAsia" w:ascii="Times New Roman" w:hAnsi="Times New Roman" w:eastAsia="宋体" w:cs="Times New Roman"/>
                      <w:color w:val="auto"/>
                      <w:spacing w:val="-3"/>
                      <w:sz w:val="21"/>
                      <w:szCs w:val="21"/>
                      <w:lang w:val="en-US" w:eastAsia="zh-CN"/>
                    </w:rPr>
                    <w:t>级</w:t>
                  </w:r>
                </w:p>
              </w:tc>
              <w:tc>
                <w:tcPr>
                  <w:tcW w:w="2970" w:type="dxa"/>
                  <w:vAlign w:val="center"/>
                </w:tcPr>
                <w:p w14:paraId="0CA0F16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eastAsia="宋体" w:cs="Times New Roman"/>
                      <w:color w:val="auto"/>
                      <w:spacing w:val="-3"/>
                      <w:sz w:val="21"/>
                      <w:szCs w:val="21"/>
                      <w:lang w:val="en-US" w:eastAsia="zh-CN"/>
                    </w:rPr>
                  </w:pPr>
                  <w:r>
                    <w:rPr>
                      <w:rFonts w:hint="eastAsia" w:ascii="Times New Roman" w:hAnsi="Times New Roman" w:eastAsia="宋体" w:cs="Times New Roman"/>
                      <w:color w:val="auto"/>
                      <w:spacing w:val="-3"/>
                      <w:sz w:val="21"/>
                      <w:szCs w:val="21"/>
                      <w:lang w:val="en-US" w:eastAsia="zh-CN"/>
                    </w:rPr>
                    <w:t>4</w:t>
                  </w:r>
                </w:p>
              </w:tc>
              <w:tc>
                <w:tcPr>
                  <w:tcW w:w="2162" w:type="dxa"/>
                  <w:vAlign w:val="center"/>
                </w:tcPr>
                <w:p w14:paraId="4E37C32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3"/>
                      <w:sz w:val="21"/>
                      <w:szCs w:val="21"/>
                    </w:rPr>
                  </w:pPr>
                </w:p>
              </w:tc>
            </w:tr>
            <w:tr w14:paraId="29136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Align w:val="center"/>
                </w:tcPr>
                <w:p w14:paraId="0E4B4C7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次要建筑物</w:t>
                  </w:r>
                </w:p>
              </w:tc>
              <w:tc>
                <w:tcPr>
                  <w:tcW w:w="1105" w:type="dxa"/>
                  <w:vAlign w:val="center"/>
                </w:tcPr>
                <w:p w14:paraId="58A76A3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eastAsia="宋体" w:cs="Times New Roman"/>
                      <w:color w:val="auto"/>
                      <w:spacing w:val="-3"/>
                      <w:sz w:val="21"/>
                      <w:szCs w:val="21"/>
                      <w:lang w:val="en-US" w:eastAsia="zh-CN"/>
                    </w:rPr>
                  </w:pPr>
                  <w:r>
                    <w:rPr>
                      <w:rFonts w:hint="eastAsia" w:ascii="Times New Roman" w:hAnsi="Times New Roman" w:eastAsia="宋体" w:cs="Times New Roman"/>
                      <w:color w:val="auto"/>
                      <w:spacing w:val="-3"/>
                      <w:sz w:val="21"/>
                      <w:szCs w:val="21"/>
                      <w:lang w:val="en-US" w:eastAsia="zh-CN"/>
                    </w:rPr>
                    <w:t>级</w:t>
                  </w:r>
                </w:p>
              </w:tc>
              <w:tc>
                <w:tcPr>
                  <w:tcW w:w="2970" w:type="dxa"/>
                  <w:vAlign w:val="center"/>
                </w:tcPr>
                <w:p w14:paraId="559D293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eastAsia="宋体" w:cs="Times New Roman"/>
                      <w:color w:val="auto"/>
                      <w:spacing w:val="-3"/>
                      <w:sz w:val="21"/>
                      <w:szCs w:val="21"/>
                      <w:lang w:val="en-US" w:eastAsia="zh-CN"/>
                    </w:rPr>
                  </w:pPr>
                  <w:r>
                    <w:rPr>
                      <w:rFonts w:hint="eastAsia" w:ascii="Times New Roman" w:hAnsi="Times New Roman" w:eastAsia="宋体" w:cs="Times New Roman"/>
                      <w:color w:val="auto"/>
                      <w:spacing w:val="-3"/>
                      <w:sz w:val="21"/>
                      <w:szCs w:val="21"/>
                      <w:lang w:val="en-US" w:eastAsia="zh-CN"/>
                    </w:rPr>
                    <w:t>5</w:t>
                  </w:r>
                </w:p>
              </w:tc>
              <w:tc>
                <w:tcPr>
                  <w:tcW w:w="2162" w:type="dxa"/>
                  <w:vAlign w:val="center"/>
                </w:tcPr>
                <w:p w14:paraId="3BFC809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3"/>
                      <w:sz w:val="21"/>
                      <w:szCs w:val="21"/>
                    </w:rPr>
                  </w:pPr>
                </w:p>
              </w:tc>
            </w:tr>
            <w:tr w14:paraId="7C593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78" w:type="dxa"/>
                  <w:vAlign w:val="center"/>
                </w:tcPr>
                <w:p w14:paraId="7DDC42F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临时建筑物</w:t>
                  </w:r>
                </w:p>
              </w:tc>
              <w:tc>
                <w:tcPr>
                  <w:tcW w:w="1105" w:type="dxa"/>
                  <w:vAlign w:val="center"/>
                </w:tcPr>
                <w:p w14:paraId="157FF09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eastAsia="宋体" w:cs="Times New Roman"/>
                      <w:color w:val="auto"/>
                      <w:spacing w:val="-3"/>
                      <w:sz w:val="21"/>
                      <w:szCs w:val="21"/>
                      <w:lang w:val="en-US" w:eastAsia="zh-CN"/>
                    </w:rPr>
                  </w:pPr>
                  <w:r>
                    <w:rPr>
                      <w:rFonts w:hint="eastAsia" w:ascii="Times New Roman" w:hAnsi="Times New Roman" w:eastAsia="宋体" w:cs="Times New Roman"/>
                      <w:color w:val="auto"/>
                      <w:spacing w:val="-3"/>
                      <w:sz w:val="21"/>
                      <w:szCs w:val="21"/>
                      <w:lang w:val="en-US" w:eastAsia="zh-CN"/>
                    </w:rPr>
                    <w:t>级</w:t>
                  </w:r>
                </w:p>
              </w:tc>
              <w:tc>
                <w:tcPr>
                  <w:tcW w:w="2970" w:type="dxa"/>
                  <w:vAlign w:val="center"/>
                </w:tcPr>
                <w:p w14:paraId="0893A2C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eastAsia="宋体" w:cs="Times New Roman"/>
                      <w:color w:val="auto"/>
                      <w:spacing w:val="-3"/>
                      <w:sz w:val="21"/>
                      <w:szCs w:val="21"/>
                      <w:lang w:val="en-US" w:eastAsia="zh-CN"/>
                    </w:rPr>
                  </w:pPr>
                  <w:r>
                    <w:rPr>
                      <w:rFonts w:hint="eastAsia" w:ascii="Times New Roman" w:hAnsi="Times New Roman" w:eastAsia="宋体" w:cs="Times New Roman"/>
                      <w:color w:val="auto"/>
                      <w:spacing w:val="-3"/>
                      <w:sz w:val="21"/>
                      <w:szCs w:val="21"/>
                      <w:lang w:val="en-US" w:eastAsia="zh-CN"/>
                    </w:rPr>
                    <w:t>6</w:t>
                  </w:r>
                </w:p>
              </w:tc>
              <w:tc>
                <w:tcPr>
                  <w:tcW w:w="2162" w:type="dxa"/>
                  <w:vAlign w:val="center"/>
                </w:tcPr>
                <w:p w14:paraId="2BEB7D5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eastAsia="宋体" w:cs="Times New Roman"/>
                      <w:color w:val="auto"/>
                      <w:spacing w:val="-3"/>
                      <w:sz w:val="21"/>
                      <w:szCs w:val="21"/>
                      <w:lang w:val="en-US" w:eastAsia="zh-CN"/>
                    </w:rPr>
                  </w:pPr>
                </w:p>
              </w:tc>
            </w:tr>
            <w:tr w14:paraId="69C48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78" w:type="dxa"/>
                  <w:vAlign w:val="center"/>
                </w:tcPr>
                <w:p w14:paraId="13449B6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eastAsia="zh-CN"/>
                    </w:rPr>
                    <w:t>5.</w:t>
                  </w:r>
                  <w:r>
                    <w:rPr>
                      <w:rFonts w:hint="default" w:ascii="Times New Roman" w:hAnsi="Times New Roman" w:cs="Times New Roman"/>
                      <w:color w:val="auto"/>
                      <w:spacing w:val="2"/>
                      <w:sz w:val="21"/>
                      <w:szCs w:val="21"/>
                    </w:rPr>
                    <w:t>地震</w:t>
                  </w:r>
                  <w:r>
                    <w:rPr>
                      <w:rFonts w:hint="default" w:ascii="Times New Roman" w:hAnsi="Times New Roman" w:cs="Times New Roman"/>
                      <w:color w:val="auto"/>
                      <w:spacing w:val="2"/>
                      <w:sz w:val="21"/>
                      <w:szCs w:val="21"/>
                      <w:lang w:val="en-US" w:eastAsia="zh-CN"/>
                    </w:rPr>
                    <w:t>烈度</w:t>
                  </w:r>
                </w:p>
              </w:tc>
              <w:tc>
                <w:tcPr>
                  <w:tcW w:w="1105" w:type="dxa"/>
                  <w:vAlign w:val="center"/>
                </w:tcPr>
                <w:p w14:paraId="258F0A4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度</w:t>
                  </w:r>
                </w:p>
              </w:tc>
              <w:tc>
                <w:tcPr>
                  <w:tcW w:w="2970" w:type="dxa"/>
                  <w:vAlign w:val="center"/>
                </w:tcPr>
                <w:p w14:paraId="7611391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VII</w:t>
                  </w:r>
                </w:p>
              </w:tc>
              <w:tc>
                <w:tcPr>
                  <w:tcW w:w="2162" w:type="dxa"/>
                  <w:vAlign w:val="center"/>
                </w:tcPr>
                <w:p w14:paraId="1EE5BA7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p>
              </w:tc>
            </w:tr>
            <w:tr w14:paraId="14DB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315" w:type="dxa"/>
                  <w:gridSpan w:val="4"/>
                  <w:vAlign w:val="center"/>
                </w:tcPr>
                <w:p w14:paraId="50353BD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default" w:ascii="Times New Roman" w:hAnsi="Times New Roman" w:cs="Times New Roman"/>
                      <w:color w:val="auto"/>
                      <w:spacing w:val="2"/>
                      <w:sz w:val="21"/>
                      <w:szCs w:val="21"/>
                    </w:rPr>
                    <w:t>三、主要建筑物</w:t>
                  </w:r>
                </w:p>
              </w:tc>
            </w:tr>
            <w:tr w14:paraId="7662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Merge w:val="restart"/>
                  <w:vAlign w:val="center"/>
                </w:tcPr>
                <w:p w14:paraId="032CD15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护岸的形式</w:t>
                  </w:r>
                </w:p>
              </w:tc>
              <w:tc>
                <w:tcPr>
                  <w:tcW w:w="1105" w:type="dxa"/>
                  <w:vAlign w:val="center"/>
                </w:tcPr>
                <w:p w14:paraId="67D7216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w:t>
                  </w:r>
                </w:p>
              </w:tc>
              <w:tc>
                <w:tcPr>
                  <w:tcW w:w="2970" w:type="dxa"/>
                  <w:vAlign w:val="center"/>
                </w:tcPr>
                <w:p w14:paraId="0317ABB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岸高1.8m，基础深2.0m，挡土墙顶宽0.3m</w:t>
                  </w:r>
                </w:p>
              </w:tc>
              <w:tc>
                <w:tcPr>
                  <w:tcW w:w="2162" w:type="dxa"/>
                  <w:vAlign w:val="center"/>
                </w:tcPr>
                <w:p w14:paraId="11E2890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砼重力墙护岸</w:t>
                  </w:r>
                </w:p>
              </w:tc>
            </w:tr>
            <w:tr w14:paraId="42E9C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Merge w:val="continue"/>
                  <w:vAlign w:val="center"/>
                </w:tcPr>
                <w:p w14:paraId="2BF74C6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p>
              </w:tc>
              <w:tc>
                <w:tcPr>
                  <w:tcW w:w="1105" w:type="dxa"/>
                  <w:vAlign w:val="center"/>
                </w:tcPr>
                <w:p w14:paraId="1941940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w:t>
                  </w:r>
                </w:p>
              </w:tc>
              <w:tc>
                <w:tcPr>
                  <w:tcW w:w="2970" w:type="dxa"/>
                  <w:shd w:val="clear" w:color="auto" w:fill="auto"/>
                  <w:vAlign w:val="center"/>
                </w:tcPr>
                <w:p w14:paraId="1F53807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岸高1.8m，基础深2.0m左岸护岸岸顶宽度设计为3m，右岸护岸岸顶宽度设计为3.5m</w:t>
                  </w:r>
                </w:p>
              </w:tc>
              <w:tc>
                <w:tcPr>
                  <w:tcW w:w="2162" w:type="dxa"/>
                  <w:shd w:val="clear" w:color="auto" w:fill="auto"/>
                  <w:vAlign w:val="center"/>
                </w:tcPr>
                <w:p w14:paraId="49D8B3D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现浇砼板护岸</w:t>
                  </w:r>
                </w:p>
              </w:tc>
            </w:tr>
            <w:tr w14:paraId="22966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Merge w:val="restart"/>
                  <w:vAlign w:val="center"/>
                </w:tcPr>
                <w:p w14:paraId="7D511C2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护岸长度</w:t>
                  </w:r>
                </w:p>
              </w:tc>
              <w:tc>
                <w:tcPr>
                  <w:tcW w:w="1105" w:type="dxa"/>
                  <w:vAlign w:val="center"/>
                </w:tcPr>
                <w:p w14:paraId="6E185BF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km</w:t>
                  </w:r>
                </w:p>
              </w:tc>
              <w:tc>
                <w:tcPr>
                  <w:tcW w:w="2970" w:type="dxa"/>
                  <w:vAlign w:val="center"/>
                </w:tcPr>
                <w:p w14:paraId="0D9D3CD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11.126</w:t>
                  </w:r>
                </w:p>
              </w:tc>
              <w:tc>
                <w:tcPr>
                  <w:tcW w:w="2162" w:type="dxa"/>
                  <w:vAlign w:val="center"/>
                </w:tcPr>
                <w:p w14:paraId="2031803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左岸护岸长</w:t>
                  </w:r>
                  <w:r>
                    <w:rPr>
                      <w:rFonts w:hint="default" w:ascii="Times New Roman" w:hAnsi="Times New Roman" w:cs="Times New Roman"/>
                      <w:color w:val="auto"/>
                      <w:spacing w:val="2"/>
                      <w:sz w:val="21"/>
                      <w:szCs w:val="21"/>
                    </w:rPr>
                    <w:t>度</w:t>
                  </w:r>
                </w:p>
              </w:tc>
            </w:tr>
            <w:tr w14:paraId="5DB7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8" w:type="dxa"/>
                  <w:vMerge w:val="continue"/>
                  <w:vAlign w:val="center"/>
                </w:tcPr>
                <w:p w14:paraId="317E73A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p>
              </w:tc>
              <w:tc>
                <w:tcPr>
                  <w:tcW w:w="1105" w:type="dxa"/>
                  <w:shd w:val="clear" w:color="auto" w:fill="auto"/>
                  <w:vAlign w:val="center"/>
                </w:tcPr>
                <w:p w14:paraId="1AC3A7E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km</w:t>
                  </w:r>
                </w:p>
              </w:tc>
              <w:tc>
                <w:tcPr>
                  <w:tcW w:w="2970" w:type="dxa"/>
                  <w:shd w:val="clear" w:color="auto" w:fill="auto"/>
                  <w:vAlign w:val="center"/>
                </w:tcPr>
                <w:p w14:paraId="4825734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11.058</w:t>
                  </w:r>
                </w:p>
              </w:tc>
              <w:tc>
                <w:tcPr>
                  <w:tcW w:w="2162" w:type="dxa"/>
                  <w:shd w:val="clear" w:color="auto" w:fill="auto"/>
                  <w:vAlign w:val="center"/>
                </w:tcPr>
                <w:p w14:paraId="37EA49B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右岸护岸长</w:t>
                  </w:r>
                  <w:r>
                    <w:rPr>
                      <w:rFonts w:hint="default" w:ascii="Times New Roman" w:hAnsi="Times New Roman" w:cs="Times New Roman"/>
                      <w:color w:val="auto"/>
                      <w:spacing w:val="2"/>
                      <w:sz w:val="21"/>
                      <w:szCs w:val="21"/>
                    </w:rPr>
                    <w:t>度</w:t>
                  </w:r>
                </w:p>
              </w:tc>
            </w:tr>
            <w:tr w14:paraId="26520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078" w:type="dxa"/>
                  <w:vAlign w:val="center"/>
                </w:tcPr>
                <w:p w14:paraId="3702683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地基</w:t>
                  </w:r>
                  <w:r>
                    <w:rPr>
                      <w:rFonts w:hint="eastAsia" w:ascii="Times New Roman" w:hAnsi="Times New Roman" w:cs="Times New Roman"/>
                      <w:color w:val="auto"/>
                      <w:spacing w:val="2"/>
                      <w:sz w:val="21"/>
                      <w:szCs w:val="21"/>
                      <w:lang w:val="en-US" w:eastAsia="zh-CN"/>
                    </w:rPr>
                    <w:t>土</w:t>
                  </w:r>
                  <w:r>
                    <w:rPr>
                      <w:rFonts w:hint="default" w:ascii="Times New Roman" w:hAnsi="Times New Roman" w:cs="Times New Roman"/>
                      <w:color w:val="auto"/>
                      <w:spacing w:val="2"/>
                      <w:sz w:val="21"/>
                      <w:szCs w:val="21"/>
                    </w:rPr>
                    <w:t>特性</w:t>
                  </w:r>
                </w:p>
              </w:tc>
              <w:tc>
                <w:tcPr>
                  <w:tcW w:w="1105" w:type="dxa"/>
                  <w:vAlign w:val="center"/>
                </w:tcPr>
                <w:p w14:paraId="047E1F5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p>
              </w:tc>
              <w:tc>
                <w:tcPr>
                  <w:tcW w:w="2970" w:type="dxa"/>
                  <w:vAlign w:val="center"/>
                </w:tcPr>
                <w:p w14:paraId="3C2C719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低液限粉土</w:t>
                  </w:r>
                </w:p>
              </w:tc>
              <w:tc>
                <w:tcPr>
                  <w:tcW w:w="2162" w:type="dxa"/>
                  <w:vAlign w:val="center"/>
                </w:tcPr>
                <w:p w14:paraId="366D941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对混凝土，钢筋结构具有微腐蚀性</w:t>
                  </w:r>
                </w:p>
              </w:tc>
            </w:tr>
            <w:tr w14:paraId="2079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078" w:type="dxa"/>
                  <w:vAlign w:val="center"/>
                </w:tcPr>
                <w:p w14:paraId="1163C86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eastAsia" w:ascii="Times New Roman" w:hAnsi="Times New Roman" w:cs="Times New Roman"/>
                      <w:color w:val="auto"/>
                      <w:spacing w:val="2"/>
                      <w:sz w:val="21"/>
                      <w:szCs w:val="21"/>
                      <w:lang w:val="en-US" w:eastAsia="zh-CN"/>
                    </w:rPr>
                    <w:t>迎水面边坡</w:t>
                  </w:r>
                </w:p>
              </w:tc>
              <w:tc>
                <w:tcPr>
                  <w:tcW w:w="1105" w:type="dxa"/>
                  <w:vAlign w:val="center"/>
                </w:tcPr>
                <w:p w14:paraId="74E4D9B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p>
              </w:tc>
              <w:tc>
                <w:tcPr>
                  <w:tcW w:w="2970" w:type="dxa"/>
                  <w:vAlign w:val="center"/>
                </w:tcPr>
                <w:p w14:paraId="1A44ADA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1:1.5</w:t>
                  </w:r>
                </w:p>
              </w:tc>
              <w:tc>
                <w:tcPr>
                  <w:tcW w:w="2162" w:type="dxa"/>
                  <w:vAlign w:val="center"/>
                </w:tcPr>
                <w:p w14:paraId="1FEDE2B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p>
              </w:tc>
            </w:tr>
            <w:tr w14:paraId="39AC2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078" w:type="dxa"/>
                  <w:vAlign w:val="center"/>
                </w:tcPr>
                <w:p w14:paraId="3FCF0BD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eastAsia" w:ascii="Times New Roman" w:hAnsi="Times New Roman" w:cs="Times New Roman"/>
                      <w:color w:val="auto"/>
                      <w:spacing w:val="2"/>
                      <w:sz w:val="21"/>
                      <w:szCs w:val="21"/>
                      <w:lang w:val="en-US" w:eastAsia="zh-CN"/>
                    </w:rPr>
                    <w:t>背水面边坡</w:t>
                  </w:r>
                </w:p>
              </w:tc>
              <w:tc>
                <w:tcPr>
                  <w:tcW w:w="1105" w:type="dxa"/>
                  <w:vAlign w:val="center"/>
                </w:tcPr>
                <w:p w14:paraId="2A7C006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p>
              </w:tc>
              <w:tc>
                <w:tcPr>
                  <w:tcW w:w="2970" w:type="dxa"/>
                  <w:vAlign w:val="center"/>
                </w:tcPr>
                <w:p w14:paraId="12AC84A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1:1.5</w:t>
                  </w:r>
                </w:p>
              </w:tc>
              <w:tc>
                <w:tcPr>
                  <w:tcW w:w="2162" w:type="dxa"/>
                  <w:vAlign w:val="center"/>
                </w:tcPr>
                <w:p w14:paraId="70506E7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p>
              </w:tc>
            </w:tr>
            <w:tr w14:paraId="3DF16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8315" w:type="dxa"/>
                  <w:gridSpan w:val="4"/>
                  <w:vAlign w:val="top"/>
                </w:tcPr>
                <w:p w14:paraId="1B2133A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default" w:ascii="Times New Roman" w:hAnsi="Times New Roman" w:cs="Times New Roman"/>
                      <w:color w:val="auto"/>
                      <w:spacing w:val="2"/>
                      <w:sz w:val="21"/>
                      <w:szCs w:val="21"/>
                    </w:rPr>
                    <w:t>四、工程效益指标</w:t>
                  </w:r>
                </w:p>
              </w:tc>
            </w:tr>
            <w:tr w14:paraId="0869C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8315" w:type="dxa"/>
                  <w:gridSpan w:val="4"/>
                  <w:vAlign w:val="top"/>
                </w:tcPr>
                <w:p w14:paraId="695BACF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eastAsia="zh-CN"/>
                    </w:rPr>
                    <w:t>1.</w:t>
                  </w:r>
                  <w:r>
                    <w:rPr>
                      <w:rFonts w:hint="default" w:ascii="Times New Roman" w:hAnsi="Times New Roman" w:cs="Times New Roman"/>
                      <w:color w:val="auto"/>
                      <w:spacing w:val="2"/>
                      <w:sz w:val="21"/>
                      <w:szCs w:val="21"/>
                    </w:rPr>
                    <w:t>防洪效益</w:t>
                  </w:r>
                </w:p>
              </w:tc>
            </w:tr>
            <w:tr w14:paraId="3D29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078" w:type="dxa"/>
                  <w:vAlign w:val="top"/>
                </w:tcPr>
                <w:p w14:paraId="367D80B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保护人及农户房屋</w:t>
                  </w:r>
                </w:p>
              </w:tc>
              <w:tc>
                <w:tcPr>
                  <w:tcW w:w="1105" w:type="dxa"/>
                  <w:vAlign w:val="center"/>
                </w:tcPr>
                <w:p w14:paraId="48979A8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p>
              </w:tc>
              <w:tc>
                <w:tcPr>
                  <w:tcW w:w="2970" w:type="dxa"/>
                  <w:vAlign w:val="center"/>
                </w:tcPr>
                <w:p w14:paraId="69C160F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3800</w:t>
                  </w:r>
                </w:p>
              </w:tc>
              <w:tc>
                <w:tcPr>
                  <w:tcW w:w="2162" w:type="dxa"/>
                  <w:vAlign w:val="center"/>
                </w:tcPr>
                <w:p w14:paraId="64E9E9B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p>
              </w:tc>
            </w:tr>
            <w:tr w14:paraId="1E8B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078" w:type="dxa"/>
                  <w:vAlign w:val="top"/>
                </w:tcPr>
                <w:p w14:paraId="2240D5C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保护耕地</w:t>
                  </w:r>
                </w:p>
              </w:tc>
              <w:tc>
                <w:tcPr>
                  <w:tcW w:w="1105" w:type="dxa"/>
                  <w:vAlign w:val="center"/>
                </w:tcPr>
                <w:p w14:paraId="3FE1598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p>
              </w:tc>
              <w:tc>
                <w:tcPr>
                  <w:tcW w:w="2970" w:type="dxa"/>
                  <w:vAlign w:val="center"/>
                </w:tcPr>
                <w:p w14:paraId="5095537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2800</w:t>
                  </w:r>
                </w:p>
              </w:tc>
              <w:tc>
                <w:tcPr>
                  <w:tcW w:w="2162" w:type="dxa"/>
                  <w:vAlign w:val="center"/>
                </w:tcPr>
                <w:p w14:paraId="5617790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p>
              </w:tc>
            </w:tr>
            <w:tr w14:paraId="7A8F8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8315" w:type="dxa"/>
                  <w:gridSpan w:val="4"/>
                  <w:vAlign w:val="top"/>
                </w:tcPr>
                <w:p w14:paraId="1E39DF7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eastAsia="zh-CN"/>
                    </w:rPr>
                    <w:t>2.</w:t>
                  </w:r>
                  <w:r>
                    <w:rPr>
                      <w:rFonts w:hint="default" w:ascii="Times New Roman" w:hAnsi="Times New Roman" w:cs="Times New Roman"/>
                      <w:color w:val="auto"/>
                      <w:spacing w:val="2"/>
                      <w:sz w:val="21"/>
                      <w:szCs w:val="21"/>
                    </w:rPr>
                    <w:t>工程征占地</w:t>
                  </w:r>
                </w:p>
              </w:tc>
            </w:tr>
            <w:tr w14:paraId="4C931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078" w:type="dxa"/>
                  <w:vAlign w:val="top"/>
                </w:tcPr>
                <w:p w14:paraId="58416B7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永久占地</w:t>
                  </w:r>
                </w:p>
              </w:tc>
              <w:tc>
                <w:tcPr>
                  <w:tcW w:w="1105" w:type="dxa"/>
                  <w:vAlign w:val="center"/>
                </w:tcPr>
                <w:p w14:paraId="4BE2BE7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hm</w:t>
                  </w:r>
                  <w:r>
                    <w:rPr>
                      <w:rFonts w:hint="eastAsia" w:ascii="Times New Roman" w:hAnsi="Times New Roman" w:cs="Times New Roman"/>
                      <w:color w:val="auto"/>
                      <w:spacing w:val="2"/>
                      <w:sz w:val="21"/>
                      <w:szCs w:val="21"/>
                      <w:vertAlign w:val="superscript"/>
                      <w:lang w:val="en-US" w:eastAsia="zh-CN"/>
                    </w:rPr>
                    <w:t>2</w:t>
                  </w:r>
                </w:p>
              </w:tc>
              <w:tc>
                <w:tcPr>
                  <w:tcW w:w="2970" w:type="dxa"/>
                  <w:vAlign w:val="center"/>
                </w:tcPr>
                <w:p w14:paraId="2BF4DEF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26.46</w:t>
                  </w:r>
                </w:p>
              </w:tc>
              <w:tc>
                <w:tcPr>
                  <w:tcW w:w="2162" w:type="dxa"/>
                  <w:vAlign w:val="center"/>
                </w:tcPr>
                <w:p w14:paraId="71A1B3D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p>
              </w:tc>
            </w:tr>
            <w:tr w14:paraId="096EA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2078" w:type="dxa"/>
                  <w:vAlign w:val="top"/>
                </w:tcPr>
                <w:p w14:paraId="50D37C3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rPr>
                  </w:pPr>
                  <w:r>
                    <w:rPr>
                      <w:rFonts w:hint="default" w:ascii="Times New Roman" w:hAnsi="Times New Roman" w:cs="Times New Roman"/>
                      <w:color w:val="auto"/>
                      <w:spacing w:val="2"/>
                      <w:sz w:val="21"/>
                      <w:szCs w:val="21"/>
                    </w:rPr>
                    <w:t>临时占地</w:t>
                  </w:r>
                </w:p>
              </w:tc>
              <w:tc>
                <w:tcPr>
                  <w:tcW w:w="1105" w:type="dxa"/>
                  <w:vAlign w:val="center"/>
                </w:tcPr>
                <w:p w14:paraId="720B408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亩</w:t>
                  </w:r>
                </w:p>
              </w:tc>
              <w:tc>
                <w:tcPr>
                  <w:tcW w:w="2970" w:type="dxa"/>
                  <w:vAlign w:val="center"/>
                </w:tcPr>
                <w:p w14:paraId="38E6245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color w:val="auto"/>
                      <w:spacing w:val="2"/>
                      <w:sz w:val="21"/>
                      <w:szCs w:val="21"/>
                      <w:lang w:val="en-US" w:eastAsia="zh-CN"/>
                    </w:rPr>
                  </w:pPr>
                  <w:r>
                    <w:rPr>
                      <w:rFonts w:hint="eastAsia" w:ascii="Times New Roman" w:hAnsi="Times New Roman" w:cs="Times New Roman"/>
                      <w:color w:val="auto"/>
                      <w:spacing w:val="2"/>
                      <w:sz w:val="21"/>
                      <w:szCs w:val="21"/>
                      <w:lang w:val="en-US" w:eastAsia="zh-CN"/>
                    </w:rPr>
                    <w:t>252.95</w:t>
                  </w:r>
                </w:p>
              </w:tc>
              <w:tc>
                <w:tcPr>
                  <w:tcW w:w="2162" w:type="dxa"/>
                  <w:vAlign w:val="center"/>
                </w:tcPr>
                <w:p w14:paraId="1CF524D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color w:val="auto"/>
                      <w:spacing w:val="2"/>
                      <w:sz w:val="21"/>
                      <w:szCs w:val="21"/>
                      <w:lang w:val="en-US" w:eastAsia="zh-CN"/>
                    </w:rPr>
                  </w:pPr>
                </w:p>
              </w:tc>
            </w:tr>
          </w:tbl>
          <w:p w14:paraId="4B132991">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cs="Times New Roman"/>
                <w:color w:val="auto"/>
                <w:spacing w:val="-3"/>
                <w:sz w:val="24"/>
                <w:szCs w:val="24"/>
              </w:rPr>
            </w:pPr>
            <w:r>
              <w:rPr>
                <w:rFonts w:hint="default" w:ascii="Times New Roman" w:hAnsi="Times New Roman" w:cs="Times New Roman"/>
                <w:color w:val="auto"/>
                <w:sz w:val="24"/>
                <w:szCs w:val="24"/>
              </w:rPr>
              <w:t>根据工程区河岸保护对象的要求，</w:t>
            </w:r>
            <w:r>
              <w:rPr>
                <w:rFonts w:hint="default" w:ascii="Times New Roman" w:hAnsi="Times New Roman" w:cs="Times New Roman"/>
                <w:color w:val="auto"/>
                <w:sz w:val="24"/>
                <w:szCs w:val="24"/>
                <w:lang w:val="en-US" w:eastAsia="zh-CN"/>
              </w:rPr>
              <w:t>本次工程</w:t>
            </w:r>
            <w:r>
              <w:rPr>
                <w:rFonts w:hint="eastAsia" w:ascii="Times New Roman" w:hAnsi="Times New Roman" w:cs="Times New Roman"/>
                <w:color w:val="auto"/>
                <w:sz w:val="24"/>
                <w:szCs w:val="24"/>
                <w:lang w:val="en-US" w:eastAsia="zh-CN"/>
              </w:rPr>
              <w:t>涉及</w:t>
            </w:r>
            <w:r>
              <w:rPr>
                <w:rFonts w:hint="default" w:ascii="Times New Roman" w:hAnsi="Times New Roman" w:cs="Times New Roman"/>
                <w:color w:val="auto"/>
                <w:sz w:val="24"/>
                <w:szCs w:val="24"/>
                <w:lang w:val="en-US" w:eastAsia="zh-CN"/>
              </w:rPr>
              <w:t>新疆昌吉州东部奇台县的吉布</w:t>
            </w:r>
            <w:r>
              <w:rPr>
                <w:rFonts w:hint="eastAsia" w:ascii="Times New Roman" w:hAnsi="Times New Roman" w:cs="Times New Roman"/>
                <w:color w:val="auto"/>
                <w:sz w:val="24"/>
                <w:szCs w:val="24"/>
                <w:lang w:val="en-US" w:eastAsia="zh-CN"/>
              </w:rPr>
              <w:t>库</w:t>
            </w:r>
            <w:r>
              <w:rPr>
                <w:rFonts w:hint="default" w:ascii="Times New Roman" w:hAnsi="Times New Roman" w:cs="Times New Roman"/>
                <w:color w:val="auto"/>
                <w:sz w:val="24"/>
                <w:szCs w:val="24"/>
                <w:lang w:val="en-US" w:eastAsia="zh-CN"/>
              </w:rPr>
              <w:t>河下游S303公路上游2.5km至奇台县城西北湾村河段</w:t>
            </w:r>
            <w:r>
              <w:rPr>
                <w:rFonts w:hint="default" w:ascii="Times New Roman" w:hAnsi="Times New Roman" w:cs="Times New Roman"/>
                <w:color w:val="auto"/>
                <w:sz w:val="24"/>
                <w:szCs w:val="24"/>
              </w:rPr>
              <w:t>，本次治理工程以新建护岸为主，根据防洪规划要求和两岸河道防洪现状调查，本次设计将主河道</w:t>
            </w:r>
            <w:r>
              <w:rPr>
                <w:rFonts w:hint="default" w:ascii="Times New Roman" w:hAnsi="Times New Roman" w:cs="Times New Roman"/>
                <w:color w:val="auto"/>
                <w:sz w:val="24"/>
                <w:szCs w:val="24"/>
                <w:lang w:val="en-US" w:eastAsia="zh-CN"/>
              </w:rPr>
              <w:t>左</w:t>
            </w:r>
            <w:r>
              <w:rPr>
                <w:rFonts w:hint="default" w:ascii="Times New Roman" w:hAnsi="Times New Roman" w:cs="Times New Roman"/>
                <w:color w:val="auto"/>
                <w:sz w:val="24"/>
                <w:szCs w:val="24"/>
              </w:rPr>
              <w:t>右岸作为重点治理对象，护岸布置基本沿天然河岸布置，保持河流原有形态、减少工程投资。本次工程</w:t>
            </w:r>
            <w:r>
              <w:rPr>
                <w:rFonts w:hint="default" w:ascii="Times New Roman" w:hAnsi="Times New Roman" w:cs="Times New Roman"/>
                <w:color w:val="auto"/>
                <w:spacing w:val="17"/>
                <w:sz w:val="24"/>
                <w:szCs w:val="24"/>
              </w:rPr>
              <w:t>治理段长度为11.4km</w:t>
            </w:r>
            <w:r>
              <w:rPr>
                <w:rFonts w:hint="default" w:ascii="Times New Roman" w:hAnsi="Times New Roman" w:cs="Times New Roman"/>
                <w:color w:val="auto"/>
                <w:spacing w:val="-3"/>
                <w:sz w:val="24"/>
                <w:szCs w:val="24"/>
              </w:rPr>
              <w:t>。工程</w:t>
            </w:r>
            <w:r>
              <w:rPr>
                <w:rFonts w:hint="eastAsia" w:ascii="Times New Roman" w:hAnsi="Times New Roman" w:cs="Times New Roman"/>
                <w:color w:val="auto"/>
                <w:spacing w:val="-3"/>
                <w:sz w:val="24"/>
                <w:szCs w:val="24"/>
                <w:lang w:val="en-US" w:eastAsia="zh-CN"/>
              </w:rPr>
              <w:t>总平面布置图</w:t>
            </w:r>
            <w:r>
              <w:rPr>
                <w:rFonts w:hint="default" w:ascii="Times New Roman" w:hAnsi="Times New Roman" w:cs="Times New Roman"/>
                <w:color w:val="auto"/>
                <w:spacing w:val="-3"/>
                <w:sz w:val="24"/>
                <w:szCs w:val="24"/>
              </w:rPr>
              <w:t>见图</w:t>
            </w:r>
            <w:r>
              <w:rPr>
                <w:rFonts w:hint="default" w:ascii="Times New Roman" w:hAnsi="Times New Roman" w:cs="Times New Roman"/>
                <w:color w:val="auto"/>
                <w:spacing w:val="-56"/>
                <w:sz w:val="24"/>
                <w:szCs w:val="24"/>
              </w:rPr>
              <w:t xml:space="preserve"> </w:t>
            </w:r>
            <w:r>
              <w:rPr>
                <w:rFonts w:hint="eastAsia" w:ascii="Times New Roman" w:hAnsi="Times New Roman" w:eastAsia="宋体" w:cs="Times New Roman"/>
                <w:color w:val="auto"/>
                <w:spacing w:val="-3"/>
                <w:sz w:val="24"/>
                <w:szCs w:val="24"/>
                <w:lang w:val="en-US" w:eastAsia="zh-CN"/>
              </w:rPr>
              <w:t>2</w:t>
            </w:r>
            <w:r>
              <w:rPr>
                <w:rFonts w:hint="default" w:ascii="Times New Roman" w:hAnsi="Times New Roman" w:cs="Times New Roman"/>
                <w:color w:val="auto"/>
                <w:spacing w:val="-3"/>
                <w:sz w:val="24"/>
                <w:szCs w:val="24"/>
              </w:rPr>
              <w:t>、施工</w:t>
            </w:r>
            <w:r>
              <w:rPr>
                <w:rFonts w:hint="eastAsia" w:ascii="Times New Roman" w:hAnsi="Times New Roman" w:cs="Times New Roman"/>
                <w:color w:val="auto"/>
                <w:spacing w:val="-3"/>
                <w:sz w:val="24"/>
                <w:szCs w:val="24"/>
                <w:lang w:val="en-US" w:eastAsia="zh-CN"/>
              </w:rPr>
              <w:t>总平面</w:t>
            </w:r>
            <w:r>
              <w:rPr>
                <w:rFonts w:hint="default" w:ascii="Times New Roman" w:hAnsi="Times New Roman" w:cs="Times New Roman"/>
                <w:color w:val="auto"/>
                <w:spacing w:val="-3"/>
                <w:sz w:val="24"/>
                <w:szCs w:val="24"/>
              </w:rPr>
              <w:t>布置见图</w:t>
            </w:r>
            <w:r>
              <w:rPr>
                <w:rFonts w:hint="eastAsia" w:ascii="Times New Roman" w:hAnsi="Times New Roman" w:eastAsia="宋体" w:cs="Times New Roman"/>
                <w:color w:val="auto"/>
                <w:spacing w:val="-3"/>
                <w:sz w:val="24"/>
                <w:szCs w:val="24"/>
                <w:lang w:val="en-US" w:eastAsia="zh-CN"/>
              </w:rPr>
              <w:t>3</w:t>
            </w:r>
            <w:r>
              <w:rPr>
                <w:rFonts w:hint="default" w:ascii="Times New Roman" w:hAnsi="Times New Roman" w:cs="Times New Roman"/>
                <w:color w:val="auto"/>
                <w:spacing w:val="-3"/>
                <w:sz w:val="24"/>
                <w:szCs w:val="24"/>
              </w:rPr>
              <w:t>。</w:t>
            </w:r>
          </w:p>
          <w:p w14:paraId="02A61015">
            <w:pPr>
              <w:pStyle w:val="65"/>
              <w:keepNext w:val="0"/>
              <w:keepLines w:val="0"/>
              <w:pageBreakBefore w:val="0"/>
              <w:widowControl w:val="0"/>
              <w:numPr>
                <w:ilvl w:val="0"/>
                <w:numId w:val="13"/>
              </w:numPr>
              <w:kinsoku/>
              <w:wordWrap/>
              <w:topLinePunct w:val="0"/>
              <w:autoSpaceDE/>
              <w:autoSpaceDN/>
              <w:bidi w:val="0"/>
              <w:adjustRightInd w:val="0"/>
              <w:snapToGrid w:val="0"/>
              <w:spacing w:line="360" w:lineRule="auto"/>
              <w:ind w:left="425" w:leftChars="0" w:right="0" w:hanging="425" w:firstLineChars="0"/>
              <w:textAlignment w:val="auto"/>
              <w:rPr>
                <w:rFonts w:hint="default"/>
                <w:b/>
                <w:bCs/>
                <w:color w:val="auto"/>
                <w:spacing w:val="-6"/>
                <w:sz w:val="24"/>
                <w:szCs w:val="24"/>
                <w:lang w:val="en-US" w:eastAsia="zh-CN"/>
              </w:rPr>
            </w:pPr>
            <w:r>
              <w:rPr>
                <w:rFonts w:hint="default"/>
                <w:b/>
                <w:bCs/>
                <w:color w:val="auto"/>
                <w:spacing w:val="-6"/>
                <w:sz w:val="24"/>
                <w:szCs w:val="24"/>
                <w:lang w:val="en-US" w:eastAsia="zh-CN"/>
              </w:rPr>
              <w:t>防洪工程设计</w:t>
            </w:r>
          </w:p>
          <w:p w14:paraId="345E67D9">
            <w:pPr>
              <w:pStyle w:val="65"/>
              <w:keepNext w:val="0"/>
              <w:keepLines w:val="0"/>
              <w:pageBreakBefore w:val="0"/>
              <w:widowControl w:val="0"/>
              <w:numPr>
                <w:ilvl w:val="0"/>
                <w:numId w:val="14"/>
              </w:numPr>
              <w:kinsoku/>
              <w:wordWrap/>
              <w:overflowPunct/>
              <w:topLinePunct w:val="0"/>
              <w:autoSpaceDE/>
              <w:autoSpaceDN/>
              <w:bidi w:val="0"/>
              <w:adjustRightInd w:val="0"/>
              <w:snapToGrid w:val="0"/>
              <w:spacing w:line="360" w:lineRule="auto"/>
              <w:ind w:left="425" w:leftChars="0" w:right="0" w:hanging="425" w:firstLineChars="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防洪工程方案</w:t>
            </w:r>
          </w:p>
          <w:p w14:paraId="07B9C4E4">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本工程防护型式采用坡式护岸型式方案。</w:t>
            </w:r>
          </w:p>
          <w:p w14:paraId="1888F8CB">
            <w:pPr>
              <w:pStyle w:val="65"/>
              <w:keepNext w:val="0"/>
              <w:keepLines w:val="0"/>
              <w:pageBreakBefore w:val="0"/>
              <w:widowControl w:val="0"/>
              <w:numPr>
                <w:ilvl w:val="0"/>
                <w:numId w:val="14"/>
              </w:numPr>
              <w:kinsoku/>
              <w:wordWrap/>
              <w:overflowPunct/>
              <w:topLinePunct w:val="0"/>
              <w:autoSpaceDE/>
              <w:autoSpaceDN/>
              <w:bidi w:val="0"/>
              <w:adjustRightInd w:val="0"/>
              <w:snapToGrid w:val="0"/>
              <w:spacing w:line="360" w:lineRule="auto"/>
              <w:ind w:left="425" w:leftChars="0" w:right="0" w:hanging="425" w:firstLineChars="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河道水面宽度设计</w:t>
            </w:r>
          </w:p>
          <w:p w14:paraId="4F7FCF68">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根据可研报告，治理段稳定河</w:t>
            </w:r>
            <w:r>
              <w:rPr>
                <w:rFonts w:hint="eastAsia" w:ascii="Times New Roman" w:hAnsi="Times New Roman" w:cs="Times New Roman"/>
                <w:color w:val="auto"/>
                <w:sz w:val="24"/>
                <w:szCs w:val="24"/>
                <w:lang w:val="en-US" w:eastAsia="zh-CN"/>
              </w:rPr>
              <w:t>床</w:t>
            </w:r>
            <w:r>
              <w:rPr>
                <w:rFonts w:hint="default" w:ascii="Times New Roman" w:hAnsi="Times New Roman" w:cs="Times New Roman"/>
                <w:color w:val="auto"/>
                <w:sz w:val="24"/>
                <w:szCs w:val="24"/>
              </w:rPr>
              <w:t>宽为</w:t>
            </w:r>
            <w:r>
              <w:rPr>
                <w:rFonts w:hint="eastAsia" w:ascii="Times New Roman" w:hAnsi="Times New Roman" w:cs="Times New Roman"/>
                <w:color w:val="auto"/>
                <w:sz w:val="24"/>
                <w:szCs w:val="24"/>
                <w:lang w:val="en-US" w:eastAsia="zh-CN"/>
              </w:rPr>
              <w:t>12.61</w:t>
            </w:r>
            <w:r>
              <w:rPr>
                <w:rFonts w:hint="default" w:ascii="Times New Roman" w:hAnsi="Times New Roman" w:cs="Times New Roman"/>
                <w:color w:val="auto"/>
                <w:sz w:val="24"/>
                <w:szCs w:val="24"/>
              </w:rPr>
              <w:t>～</w:t>
            </w:r>
            <w:r>
              <w:rPr>
                <w:rFonts w:hint="eastAsia" w:ascii="Times New Roman" w:hAnsi="Times New Roman" w:cs="Times New Roman"/>
                <w:color w:val="auto"/>
                <w:sz w:val="24"/>
                <w:szCs w:val="24"/>
                <w:lang w:val="en-US" w:eastAsia="zh-CN"/>
              </w:rPr>
              <w:t>16.24</w:t>
            </w:r>
            <w:r>
              <w:rPr>
                <w:rFonts w:hint="default" w:ascii="Times New Roman" w:hAnsi="Times New Roman" w:cs="Times New Roman"/>
                <w:color w:val="auto"/>
                <w:sz w:val="24"/>
                <w:szCs w:val="24"/>
              </w:rPr>
              <w:t>m，</w:t>
            </w:r>
            <w:r>
              <w:rPr>
                <w:rFonts w:hint="eastAsia" w:ascii="Times New Roman" w:hAnsi="Times New Roman" w:cs="Times New Roman"/>
                <w:color w:val="auto"/>
                <w:sz w:val="24"/>
                <w:szCs w:val="24"/>
                <w:lang w:val="en-US" w:eastAsia="zh-CN"/>
              </w:rPr>
              <w:t>实际河床宽度</w:t>
            </w:r>
            <w:r>
              <w:rPr>
                <w:rFonts w:hint="default" w:ascii="Times New Roman" w:hAnsi="Times New Roman" w:cs="Times New Roman"/>
                <w:color w:val="auto"/>
                <w:sz w:val="24"/>
                <w:szCs w:val="24"/>
              </w:rPr>
              <w:t>为</w:t>
            </w:r>
            <w:r>
              <w:rPr>
                <w:rFonts w:hint="eastAsia" w:ascii="Times New Roman" w:hAnsi="Times New Roman" w:cs="Times New Roman"/>
                <w:color w:val="auto"/>
                <w:sz w:val="24"/>
                <w:szCs w:val="24"/>
                <w:lang w:val="en-US" w:eastAsia="zh-CN"/>
              </w:rPr>
              <w:t>7.40</w:t>
            </w:r>
            <w:r>
              <w:rPr>
                <w:rFonts w:hint="default" w:ascii="Times New Roman" w:hAnsi="Times New Roman" w:cs="Times New Roman"/>
                <w:color w:val="auto"/>
                <w:sz w:val="24"/>
                <w:szCs w:val="24"/>
              </w:rPr>
              <w:t>～</w:t>
            </w:r>
            <w:r>
              <w:rPr>
                <w:rFonts w:hint="eastAsia" w:ascii="Times New Roman" w:hAnsi="Times New Roman" w:cs="Times New Roman"/>
                <w:color w:val="auto"/>
                <w:sz w:val="24"/>
                <w:szCs w:val="24"/>
                <w:lang w:val="en-US" w:eastAsia="zh-CN"/>
              </w:rPr>
              <w:t>107.30</w:t>
            </w:r>
            <w:r>
              <w:rPr>
                <w:rFonts w:hint="default" w:ascii="Times New Roman" w:hAnsi="Times New Roman" w:cs="Times New Roman"/>
                <w:color w:val="auto"/>
                <w:sz w:val="24"/>
                <w:szCs w:val="24"/>
              </w:rPr>
              <w:t>m</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设计河宽7.40</w:t>
            </w:r>
            <w:r>
              <w:rPr>
                <w:rFonts w:hint="default" w:ascii="Times New Roman" w:hAnsi="Times New Roman" w:cs="Times New Roman"/>
                <w:color w:val="auto"/>
                <w:sz w:val="24"/>
                <w:szCs w:val="24"/>
              </w:rPr>
              <w:t>～</w:t>
            </w:r>
            <w:r>
              <w:rPr>
                <w:rFonts w:hint="eastAsia" w:ascii="Times New Roman" w:hAnsi="Times New Roman" w:cs="Times New Roman"/>
                <w:color w:val="auto"/>
                <w:sz w:val="24"/>
                <w:szCs w:val="24"/>
                <w:lang w:val="en-US" w:eastAsia="zh-CN"/>
              </w:rPr>
              <w:t>16.24</w:t>
            </w:r>
            <w:r>
              <w:rPr>
                <w:rFonts w:hint="default" w:ascii="Times New Roman" w:hAnsi="Times New Roman" w:cs="Times New Roman"/>
                <w:color w:val="auto"/>
                <w:sz w:val="24"/>
                <w:szCs w:val="24"/>
              </w:rPr>
              <w:t>m。</w:t>
            </w:r>
          </w:p>
          <w:p w14:paraId="043A1397">
            <w:pPr>
              <w:pStyle w:val="65"/>
              <w:keepNext w:val="0"/>
              <w:keepLines w:val="0"/>
              <w:pageBreakBefore w:val="0"/>
              <w:widowControl w:val="0"/>
              <w:numPr>
                <w:ilvl w:val="0"/>
                <w:numId w:val="14"/>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护岸平面布置</w:t>
            </w:r>
          </w:p>
          <w:p w14:paraId="7E907E70">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根据可研报告，本次吉布库河治理河段主要采用混凝土坡式护岸的形式进行防护，其中吉布库河桩57+600~58+300</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en-US" w:eastAsia="zh-CN"/>
              </w:rPr>
              <w:t>桩61+550+62+130段采用墙式护岸形式防护。</w:t>
            </w:r>
          </w:p>
          <w:p w14:paraId="7FE49EC3">
            <w:pPr>
              <w:pStyle w:val="65"/>
              <w:keepNext w:val="0"/>
              <w:keepLines w:val="0"/>
              <w:pageBreakBefore w:val="0"/>
              <w:widowControl w:val="0"/>
              <w:numPr>
                <w:ilvl w:val="0"/>
                <w:numId w:val="14"/>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岸顶高程</w:t>
            </w:r>
          </w:p>
          <w:p w14:paraId="7CC9BC11">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根据可研报告，考虑河道内的水深，并考虑到枯水季节的水流可能在部分护岸附近形成一定的淤积等因素，结合本地区护岸工程的建设和运行管理经验，本次设计取护岸高度为1.8m。</w:t>
            </w:r>
          </w:p>
          <w:p w14:paraId="12A0D2A9">
            <w:pPr>
              <w:pStyle w:val="65"/>
              <w:keepNext w:val="0"/>
              <w:keepLines w:val="0"/>
              <w:pageBreakBefore w:val="0"/>
              <w:widowControl w:val="0"/>
              <w:numPr>
                <w:ilvl w:val="0"/>
                <w:numId w:val="14"/>
              </w:numPr>
              <w:kinsoku/>
              <w:wordWrap/>
              <w:overflowPunct/>
              <w:topLinePunct w:val="0"/>
              <w:autoSpaceDE/>
              <w:autoSpaceDN/>
              <w:bidi w:val="0"/>
              <w:adjustRightInd w:val="0"/>
              <w:snapToGrid w:val="0"/>
              <w:spacing w:line="360" w:lineRule="auto"/>
              <w:ind w:left="425" w:leftChars="0" w:right="0" w:hanging="425" w:firstLineChars="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冲刷坑深度</w:t>
            </w:r>
          </w:p>
          <w:p w14:paraId="69B44DB1">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根据可研报告，治理河段20年一遇洪水水流斜冲护岸冲刷坑深度为0.68</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0.91m，洪水一般冲刷坑深度为0.14</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0.28m，经计算护岸总冲刷深度为0.94</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1.10m。</w:t>
            </w:r>
          </w:p>
          <w:p w14:paraId="79894317">
            <w:pPr>
              <w:pStyle w:val="65"/>
              <w:keepNext w:val="0"/>
              <w:keepLines w:val="0"/>
              <w:pageBreakBefore w:val="0"/>
              <w:widowControl w:val="0"/>
              <w:numPr>
                <w:ilvl w:val="0"/>
                <w:numId w:val="14"/>
              </w:numPr>
              <w:kinsoku/>
              <w:wordWrap/>
              <w:overflowPunct/>
              <w:topLinePunct w:val="0"/>
              <w:autoSpaceDE/>
              <w:autoSpaceDN/>
              <w:bidi w:val="0"/>
              <w:adjustRightInd w:val="0"/>
              <w:snapToGrid w:val="0"/>
              <w:spacing w:line="360" w:lineRule="auto"/>
              <w:ind w:left="425" w:leftChars="0" w:right="0" w:hanging="425" w:firstLineChars="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护岸横断面设计</w:t>
            </w:r>
          </w:p>
          <w:p w14:paraId="75F17E91">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根据可研报告，本次吉布库河治理河段主要采用混凝土坡式护岸的形式进行防护，其中吉布库河桩57+600~58+300</w:t>
            </w:r>
            <w:r>
              <w:rPr>
                <w:rFonts w:hint="eastAsia" w:ascii="Times New Roman" w:hAnsi="Times New Roman" w:cs="Times New Roman"/>
                <w:color w:val="auto"/>
                <w:sz w:val="24"/>
                <w:szCs w:val="24"/>
                <w:lang w:val="en-US" w:eastAsia="zh-CN"/>
              </w:rPr>
              <w:t>距</w:t>
            </w:r>
            <w:r>
              <w:rPr>
                <w:rFonts w:hint="default" w:ascii="Times New Roman" w:hAnsi="Times New Roman" w:cs="Times New Roman"/>
                <w:color w:val="auto"/>
                <w:sz w:val="24"/>
                <w:szCs w:val="24"/>
                <w:lang w:val="en-US" w:eastAsia="zh-CN"/>
              </w:rPr>
              <w:t>小区住房</w:t>
            </w:r>
            <w:r>
              <w:rPr>
                <w:rFonts w:hint="eastAsia" w:ascii="Times New Roman" w:hAnsi="Times New Roman" w:cs="Times New Roman"/>
                <w:color w:val="auto"/>
                <w:sz w:val="24"/>
                <w:szCs w:val="24"/>
                <w:lang w:val="en-US" w:eastAsia="zh-CN"/>
              </w:rPr>
              <w:t>较近</w:t>
            </w:r>
            <w:r>
              <w:rPr>
                <w:rFonts w:hint="default" w:ascii="Times New Roman" w:hAnsi="Times New Roman" w:cs="Times New Roman"/>
                <w:color w:val="auto"/>
                <w:sz w:val="24"/>
                <w:szCs w:val="24"/>
                <w:lang w:val="en-US" w:eastAsia="zh-CN"/>
              </w:rPr>
              <w:t>，桩61+550+62+130段位于公园人行道旁边，为保证河岸安全及岸坡的稳定，减少占地，该段护岸采用墙式护岸形式防护。</w:t>
            </w:r>
          </w:p>
          <w:p w14:paraId="35963BD5">
            <w:pPr>
              <w:pStyle w:val="65"/>
              <w:keepNext w:val="0"/>
              <w:keepLines w:val="0"/>
              <w:pageBreakBefore w:val="0"/>
              <w:widowControl w:val="0"/>
              <w:kinsoku/>
              <w:wordWrap/>
              <w:overflowPunct/>
              <w:topLinePunct w:val="0"/>
              <w:autoSpaceDE/>
              <w:autoSpaceDN/>
              <w:bidi w:val="0"/>
              <w:adjustRightInd w:val="0"/>
              <w:snapToGrid w:val="0"/>
              <w:spacing w:line="360" w:lineRule="auto"/>
              <w:ind w:right="0"/>
              <w:textAlignment w:val="auto"/>
              <w:rPr>
                <w:color w:val="auto"/>
              </w:rPr>
            </w:pPr>
            <w:r>
              <w:rPr>
                <w:color w:val="auto"/>
              </w:rPr>
              <w:drawing>
                <wp:inline distT="0" distB="0" distL="114300" distR="114300">
                  <wp:extent cx="5278755" cy="2320925"/>
                  <wp:effectExtent l="0" t="0" r="17145" b="317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22"/>
                          <a:stretch>
                            <a:fillRect/>
                          </a:stretch>
                        </pic:blipFill>
                        <pic:spPr>
                          <a:xfrm>
                            <a:off x="0" y="0"/>
                            <a:ext cx="5278755" cy="2320925"/>
                          </a:xfrm>
                          <a:prstGeom prst="rect">
                            <a:avLst/>
                          </a:prstGeom>
                          <a:noFill/>
                          <a:ln>
                            <a:noFill/>
                          </a:ln>
                        </pic:spPr>
                      </pic:pic>
                    </a:graphicData>
                  </a:graphic>
                </wp:inline>
              </w:drawing>
            </w:r>
          </w:p>
          <w:p w14:paraId="50E65711">
            <w:pPr>
              <w:pStyle w:val="65"/>
              <w:keepNext w:val="0"/>
              <w:keepLines w:val="0"/>
              <w:pageBreakBefore w:val="0"/>
              <w:widowControl w:val="0"/>
              <w:numPr>
                <w:ilvl w:val="0"/>
                <w:numId w:val="15"/>
              </w:numPr>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混凝土坡式护岸标准横断面</w:t>
            </w:r>
          </w:p>
          <w:p w14:paraId="7B61851C">
            <w:pPr>
              <w:pStyle w:val="65"/>
              <w:keepNext w:val="0"/>
              <w:keepLines w:val="0"/>
              <w:pageBreakBefore w:val="0"/>
              <w:widowControl w:val="0"/>
              <w:kinsoku/>
              <w:wordWrap/>
              <w:overflowPunct/>
              <w:topLinePunct w:val="0"/>
              <w:autoSpaceDE/>
              <w:autoSpaceDN/>
              <w:bidi w:val="0"/>
              <w:adjustRightInd w:val="0"/>
              <w:snapToGrid w:val="0"/>
              <w:spacing w:line="360" w:lineRule="auto"/>
              <w:ind w:right="0"/>
              <w:textAlignment w:val="auto"/>
              <w:rPr>
                <w:color w:val="auto"/>
              </w:rPr>
            </w:pPr>
            <w:r>
              <w:rPr>
                <w:color w:val="auto"/>
              </w:rPr>
              <w:drawing>
                <wp:inline distT="0" distB="0" distL="114300" distR="114300">
                  <wp:extent cx="5275580" cy="2646680"/>
                  <wp:effectExtent l="0" t="0" r="1270" b="127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icPr>
                        <pic:blipFill>
                          <a:blip r:embed="rId23"/>
                          <a:stretch>
                            <a:fillRect/>
                          </a:stretch>
                        </pic:blipFill>
                        <pic:spPr>
                          <a:xfrm>
                            <a:off x="0" y="0"/>
                            <a:ext cx="5275580" cy="2646680"/>
                          </a:xfrm>
                          <a:prstGeom prst="rect">
                            <a:avLst/>
                          </a:prstGeom>
                          <a:noFill/>
                          <a:ln>
                            <a:noFill/>
                          </a:ln>
                        </pic:spPr>
                      </pic:pic>
                    </a:graphicData>
                  </a:graphic>
                </wp:inline>
              </w:drawing>
            </w:r>
          </w:p>
          <w:p w14:paraId="3DBDEB7F">
            <w:pPr>
              <w:pStyle w:val="65"/>
              <w:keepNext w:val="0"/>
              <w:keepLines w:val="0"/>
              <w:pageBreakBefore w:val="0"/>
              <w:widowControl w:val="0"/>
              <w:numPr>
                <w:ilvl w:val="0"/>
                <w:numId w:val="15"/>
              </w:numPr>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混凝</w:t>
            </w:r>
            <w:r>
              <w:rPr>
                <w:rFonts w:hint="eastAsia" w:ascii="Times New Roman" w:hAnsi="Times New Roman" w:cs="Times New Roman"/>
                <w:b/>
                <w:bCs/>
                <w:color w:val="auto"/>
                <w:sz w:val="24"/>
                <w:szCs w:val="24"/>
                <w:lang w:val="en-US" w:eastAsia="zh-CN"/>
              </w:rPr>
              <w:t>墙</w:t>
            </w:r>
            <w:r>
              <w:rPr>
                <w:rFonts w:hint="default" w:ascii="Times New Roman" w:hAnsi="Times New Roman" w:cs="Times New Roman"/>
                <w:b/>
                <w:bCs/>
                <w:color w:val="auto"/>
                <w:sz w:val="24"/>
                <w:szCs w:val="24"/>
                <w:lang w:val="en-US" w:eastAsia="zh-CN"/>
              </w:rPr>
              <w:t>式护岸标准横断面</w:t>
            </w:r>
          </w:p>
          <w:p w14:paraId="4DC089C7">
            <w:pPr>
              <w:pStyle w:val="65"/>
              <w:keepNext w:val="0"/>
              <w:keepLines w:val="0"/>
              <w:pageBreakBefore w:val="0"/>
              <w:widowControl w:val="0"/>
              <w:numPr>
                <w:ilvl w:val="0"/>
                <w:numId w:val="14"/>
              </w:numPr>
              <w:kinsoku/>
              <w:wordWrap/>
              <w:overflowPunct/>
              <w:topLinePunct w:val="0"/>
              <w:autoSpaceDE/>
              <w:autoSpaceDN/>
              <w:bidi w:val="0"/>
              <w:adjustRightInd w:val="0"/>
              <w:snapToGrid w:val="0"/>
              <w:spacing w:line="360" w:lineRule="auto"/>
              <w:ind w:left="425" w:leftChars="0" w:right="0" w:hanging="425" w:firstLineChars="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交叉建筑设计</w:t>
            </w:r>
          </w:p>
          <w:p w14:paraId="49662FC6">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根据可研报告，工程沿线的已建建筑物主要有16座交通桥。2～16#交通桥的过流能力均能满足要求，1#交通桥过流能力不满足要求需改造，2～16#交通桥拟全部保留</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项目区河段交叉建筑物统计参数表</w:t>
            </w:r>
            <w:r>
              <w:rPr>
                <w:rFonts w:hint="eastAsia" w:ascii="Times New Roman" w:hAnsi="Times New Roman" w:cs="Times New Roman"/>
                <w:color w:val="auto"/>
                <w:sz w:val="24"/>
                <w:szCs w:val="24"/>
                <w:lang w:val="en-US" w:eastAsia="zh-CN"/>
              </w:rPr>
              <w:t>见</w:t>
            </w:r>
            <w:r>
              <w:rPr>
                <w:rFonts w:hint="default" w:ascii="Times New Roman" w:hAnsi="Times New Roman" w:cs="Times New Roman"/>
                <w:color w:val="auto"/>
                <w:sz w:val="24"/>
                <w:szCs w:val="24"/>
                <w:lang w:val="en-US" w:eastAsia="zh-CN"/>
              </w:rPr>
              <w:t>表</w:t>
            </w:r>
            <w:r>
              <w:rPr>
                <w:rFonts w:hint="eastAsia" w:ascii="Times New Roman" w:hAnsi="Times New Roman" w:cs="Times New Roman"/>
                <w:color w:val="auto"/>
                <w:sz w:val="24"/>
                <w:szCs w:val="24"/>
                <w:lang w:val="en-US" w:eastAsia="zh-CN"/>
              </w:rPr>
              <w:t>2-5，</w:t>
            </w:r>
            <w:r>
              <w:rPr>
                <w:rFonts w:hint="default" w:ascii="Times New Roman" w:hAnsi="Times New Roman" w:cs="Times New Roman"/>
                <w:color w:val="auto"/>
                <w:sz w:val="24"/>
                <w:szCs w:val="24"/>
                <w:lang w:val="en-US" w:eastAsia="zh-CN"/>
              </w:rPr>
              <w:t>项目区河段交叉建筑物过流能力复核计算</w:t>
            </w:r>
            <w:r>
              <w:rPr>
                <w:rFonts w:hint="eastAsia" w:ascii="Times New Roman" w:hAnsi="Times New Roman" w:cs="Times New Roman"/>
                <w:color w:val="auto"/>
                <w:sz w:val="24"/>
                <w:szCs w:val="24"/>
                <w:lang w:val="en-US" w:eastAsia="zh-CN"/>
              </w:rPr>
              <w:t>见</w:t>
            </w:r>
            <w:r>
              <w:rPr>
                <w:rFonts w:hint="default" w:ascii="Times New Roman" w:hAnsi="Times New Roman" w:cs="Times New Roman"/>
                <w:color w:val="auto"/>
                <w:sz w:val="24"/>
                <w:szCs w:val="24"/>
                <w:lang w:val="en-US" w:eastAsia="zh-CN"/>
              </w:rPr>
              <w:t>表</w:t>
            </w:r>
            <w:r>
              <w:rPr>
                <w:rFonts w:hint="eastAsia" w:ascii="Times New Roman" w:hAnsi="Times New Roman" w:cs="Times New Roman"/>
                <w:color w:val="auto"/>
                <w:sz w:val="24"/>
                <w:szCs w:val="24"/>
                <w:lang w:val="en-US" w:eastAsia="zh-CN"/>
              </w:rPr>
              <w:t>2-6。</w:t>
            </w:r>
          </w:p>
          <w:p w14:paraId="1C1F5ADC">
            <w:pPr>
              <w:keepNext w:val="0"/>
              <w:keepLines w:val="0"/>
              <w:pageBreakBefore w:val="0"/>
              <w:widowControl/>
              <w:numPr>
                <w:ilvl w:val="0"/>
                <w:numId w:val="12"/>
              </w:numPr>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b/>
                <w:bCs/>
                <w:color w:val="auto"/>
                <w:spacing w:val="-1"/>
                <w:sz w:val="24"/>
                <w:szCs w:val="24"/>
                <w:lang w:val="en-US" w:eastAsia="zh-CN"/>
              </w:rPr>
            </w:pPr>
            <w:r>
              <w:rPr>
                <w:rFonts w:hint="default"/>
                <w:b/>
                <w:bCs/>
                <w:color w:val="auto"/>
                <w:spacing w:val="-1"/>
                <w:sz w:val="24"/>
                <w:szCs w:val="24"/>
                <w:lang w:val="en-US" w:eastAsia="zh-CN"/>
              </w:rPr>
              <w:t>项目区河段交叉建筑物统计参数表</w:t>
            </w:r>
          </w:p>
          <w:tbl>
            <w:tblPr>
              <w:tblStyle w:val="54"/>
              <w:tblW w:w="829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0"/>
              <w:gridCol w:w="1821"/>
              <w:gridCol w:w="1657"/>
              <w:gridCol w:w="1657"/>
              <w:gridCol w:w="1160"/>
              <w:gridCol w:w="1000"/>
            </w:tblGrid>
            <w:tr w14:paraId="3A6AB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trPr>
              <w:tc>
                <w:tcPr>
                  <w:tcW w:w="1000" w:type="dxa"/>
                  <w:vAlign w:val="center"/>
                </w:tcPr>
                <w:p w14:paraId="38C1A17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spacing w:val="5"/>
                    </w:rPr>
                    <w:t>序号</w:t>
                  </w:r>
                </w:p>
              </w:tc>
              <w:tc>
                <w:tcPr>
                  <w:tcW w:w="1821" w:type="dxa"/>
                  <w:vAlign w:val="center"/>
                </w:tcPr>
                <w:p w14:paraId="26A537C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spacing w:val="6"/>
                    </w:rPr>
                    <w:t>桥名称</w:t>
                  </w:r>
                </w:p>
              </w:tc>
              <w:tc>
                <w:tcPr>
                  <w:tcW w:w="1657" w:type="dxa"/>
                  <w:vAlign w:val="center"/>
                </w:tcPr>
                <w:p w14:paraId="683FBA4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spacing w:val="4"/>
                    </w:rPr>
                    <w:t>桩号</w:t>
                  </w:r>
                </w:p>
              </w:tc>
              <w:tc>
                <w:tcPr>
                  <w:tcW w:w="1657" w:type="dxa"/>
                  <w:vAlign w:val="center"/>
                </w:tcPr>
                <w:p w14:paraId="5CA23E4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spacing w:val="6"/>
                    </w:rPr>
                    <w:t>结构形式</w:t>
                  </w:r>
                </w:p>
              </w:tc>
              <w:tc>
                <w:tcPr>
                  <w:tcW w:w="1160" w:type="dxa"/>
                  <w:vAlign w:val="center"/>
                </w:tcPr>
                <w:p w14:paraId="7280673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spacing w:val="5"/>
                    </w:rPr>
                    <w:t>底宽</w:t>
                  </w:r>
                </w:p>
              </w:tc>
              <w:tc>
                <w:tcPr>
                  <w:tcW w:w="1000" w:type="dxa"/>
                  <w:vAlign w:val="center"/>
                </w:tcPr>
                <w:p w14:paraId="2366112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spacing w:val="3"/>
                    </w:rPr>
                    <w:t>净高</w:t>
                  </w:r>
                </w:p>
              </w:tc>
            </w:tr>
            <w:tr w14:paraId="15A5D5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1000" w:type="dxa"/>
                  <w:vAlign w:val="center"/>
                </w:tcPr>
                <w:p w14:paraId="051A176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1</w:t>
                  </w:r>
                </w:p>
              </w:tc>
              <w:tc>
                <w:tcPr>
                  <w:tcW w:w="1821" w:type="dxa"/>
                  <w:vAlign w:val="center"/>
                </w:tcPr>
                <w:p w14:paraId="166D217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1#交通桥</w:t>
                  </w:r>
                </w:p>
              </w:tc>
              <w:tc>
                <w:tcPr>
                  <w:tcW w:w="1657" w:type="dxa"/>
                  <w:vAlign w:val="center"/>
                </w:tcPr>
                <w:p w14:paraId="474FF20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56+100.0</w:t>
                  </w:r>
                </w:p>
              </w:tc>
              <w:tc>
                <w:tcPr>
                  <w:tcW w:w="1657" w:type="dxa"/>
                  <w:vAlign w:val="center"/>
                </w:tcPr>
                <w:p w14:paraId="02F982A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rPr>
                    <w:t>钢砼2孔</w:t>
                  </w:r>
                </w:p>
              </w:tc>
              <w:tc>
                <w:tcPr>
                  <w:tcW w:w="1160" w:type="dxa"/>
                  <w:vAlign w:val="center"/>
                </w:tcPr>
                <w:p w14:paraId="2D03800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2.81</w:t>
                  </w:r>
                </w:p>
              </w:tc>
              <w:tc>
                <w:tcPr>
                  <w:tcW w:w="1000" w:type="dxa"/>
                  <w:vAlign w:val="center"/>
                </w:tcPr>
                <w:p w14:paraId="06D9418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1.57</w:t>
                  </w:r>
                </w:p>
              </w:tc>
            </w:tr>
            <w:tr w14:paraId="5B08C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000" w:type="dxa"/>
                  <w:vAlign w:val="center"/>
                </w:tcPr>
                <w:p w14:paraId="65323B7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2</w:t>
                  </w:r>
                </w:p>
              </w:tc>
              <w:tc>
                <w:tcPr>
                  <w:tcW w:w="1821" w:type="dxa"/>
                  <w:vAlign w:val="center"/>
                </w:tcPr>
                <w:p w14:paraId="40A2744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5"/>
                    </w:rPr>
                    <w:t>2#交通桥</w:t>
                  </w:r>
                </w:p>
              </w:tc>
              <w:tc>
                <w:tcPr>
                  <w:tcW w:w="1657" w:type="dxa"/>
                  <w:vAlign w:val="center"/>
                </w:tcPr>
                <w:p w14:paraId="27485A2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58+157.0</w:t>
                  </w:r>
                </w:p>
              </w:tc>
              <w:tc>
                <w:tcPr>
                  <w:tcW w:w="1657" w:type="dxa"/>
                  <w:vAlign w:val="center"/>
                </w:tcPr>
                <w:p w14:paraId="51A52A5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钢砼1孔</w:t>
                  </w:r>
                </w:p>
              </w:tc>
              <w:tc>
                <w:tcPr>
                  <w:tcW w:w="1160" w:type="dxa"/>
                  <w:vAlign w:val="center"/>
                </w:tcPr>
                <w:p w14:paraId="695E84C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13.01</w:t>
                  </w:r>
                </w:p>
              </w:tc>
              <w:tc>
                <w:tcPr>
                  <w:tcW w:w="1000" w:type="dxa"/>
                  <w:vAlign w:val="center"/>
                </w:tcPr>
                <w:p w14:paraId="072A18F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4.58</w:t>
                  </w:r>
                </w:p>
              </w:tc>
            </w:tr>
            <w:tr w14:paraId="7C18E0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1000" w:type="dxa"/>
                  <w:vAlign w:val="center"/>
                </w:tcPr>
                <w:p w14:paraId="09153AD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3</w:t>
                  </w:r>
                </w:p>
              </w:tc>
              <w:tc>
                <w:tcPr>
                  <w:tcW w:w="1821" w:type="dxa"/>
                  <w:vAlign w:val="center"/>
                </w:tcPr>
                <w:p w14:paraId="05B2485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5"/>
                    </w:rPr>
                    <w:t>3#交通桥</w:t>
                  </w:r>
                </w:p>
              </w:tc>
              <w:tc>
                <w:tcPr>
                  <w:tcW w:w="1657" w:type="dxa"/>
                  <w:vAlign w:val="center"/>
                </w:tcPr>
                <w:p w14:paraId="6B5D230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58+290.0</w:t>
                  </w:r>
                </w:p>
              </w:tc>
              <w:tc>
                <w:tcPr>
                  <w:tcW w:w="1657" w:type="dxa"/>
                  <w:vAlign w:val="center"/>
                </w:tcPr>
                <w:p w14:paraId="18D8D74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w:t>
                  </w:r>
                  <w:r>
                    <w:rPr>
                      <w:rFonts w:hint="default" w:ascii="Times New Roman" w:hAnsi="Times New Roman" w:cs="Times New Roman"/>
                      <w:color w:val="auto"/>
                      <w:spacing w:val="-38"/>
                    </w:rPr>
                    <w:t xml:space="preserve"> </w:t>
                  </w:r>
                  <w:r>
                    <w:rPr>
                      <w:rFonts w:hint="default" w:ascii="Times New Roman" w:hAnsi="Times New Roman" w:cs="Times New Roman"/>
                      <w:color w:val="auto"/>
                      <w:spacing w:val="-2"/>
                    </w:rPr>
                    <w:t>孔</w:t>
                  </w:r>
                </w:p>
              </w:tc>
              <w:tc>
                <w:tcPr>
                  <w:tcW w:w="1160" w:type="dxa"/>
                  <w:vAlign w:val="center"/>
                </w:tcPr>
                <w:p w14:paraId="55A791E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12.05</w:t>
                  </w:r>
                </w:p>
              </w:tc>
              <w:tc>
                <w:tcPr>
                  <w:tcW w:w="1000" w:type="dxa"/>
                  <w:vAlign w:val="center"/>
                </w:tcPr>
                <w:p w14:paraId="0CF5A40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rPr>
                    <w:t>3.60</w:t>
                  </w:r>
                </w:p>
              </w:tc>
            </w:tr>
            <w:tr w14:paraId="58DE1F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000" w:type="dxa"/>
                  <w:vAlign w:val="center"/>
                </w:tcPr>
                <w:p w14:paraId="297427D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4</w:t>
                  </w:r>
                </w:p>
              </w:tc>
              <w:tc>
                <w:tcPr>
                  <w:tcW w:w="1821" w:type="dxa"/>
                  <w:vAlign w:val="center"/>
                </w:tcPr>
                <w:p w14:paraId="11E6E8A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6"/>
                    </w:rPr>
                    <w:t>4#交通桥</w:t>
                  </w:r>
                </w:p>
              </w:tc>
              <w:tc>
                <w:tcPr>
                  <w:tcW w:w="1657" w:type="dxa"/>
                  <w:vAlign w:val="center"/>
                </w:tcPr>
                <w:p w14:paraId="4B6FEF2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58+950.0</w:t>
                  </w:r>
                </w:p>
              </w:tc>
              <w:tc>
                <w:tcPr>
                  <w:tcW w:w="1657" w:type="dxa"/>
                  <w:vAlign w:val="center"/>
                </w:tcPr>
                <w:p w14:paraId="0061BB5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w:t>
                  </w:r>
                  <w:r>
                    <w:rPr>
                      <w:rFonts w:hint="default" w:ascii="Times New Roman" w:hAnsi="Times New Roman" w:cs="Times New Roman"/>
                      <w:color w:val="auto"/>
                      <w:spacing w:val="-38"/>
                    </w:rPr>
                    <w:t xml:space="preserve"> </w:t>
                  </w:r>
                  <w:r>
                    <w:rPr>
                      <w:rFonts w:hint="default" w:ascii="Times New Roman" w:hAnsi="Times New Roman" w:cs="Times New Roman"/>
                      <w:color w:val="auto"/>
                      <w:spacing w:val="-2"/>
                    </w:rPr>
                    <w:t>孔</w:t>
                  </w:r>
                </w:p>
              </w:tc>
              <w:tc>
                <w:tcPr>
                  <w:tcW w:w="1160" w:type="dxa"/>
                  <w:vAlign w:val="center"/>
                </w:tcPr>
                <w:p w14:paraId="7C5590D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11.63</w:t>
                  </w:r>
                </w:p>
              </w:tc>
              <w:tc>
                <w:tcPr>
                  <w:tcW w:w="1000" w:type="dxa"/>
                  <w:vAlign w:val="center"/>
                </w:tcPr>
                <w:p w14:paraId="27C7099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4.91</w:t>
                  </w:r>
                </w:p>
              </w:tc>
            </w:tr>
            <w:tr w14:paraId="68AD0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1000" w:type="dxa"/>
                  <w:vAlign w:val="center"/>
                </w:tcPr>
                <w:p w14:paraId="40F3173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5</w:t>
                  </w:r>
                </w:p>
              </w:tc>
              <w:tc>
                <w:tcPr>
                  <w:tcW w:w="1821" w:type="dxa"/>
                  <w:vAlign w:val="center"/>
                </w:tcPr>
                <w:p w14:paraId="380BF51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5"/>
                    </w:rPr>
                    <w:t>5#交通桥</w:t>
                  </w:r>
                </w:p>
              </w:tc>
              <w:tc>
                <w:tcPr>
                  <w:tcW w:w="1657" w:type="dxa"/>
                  <w:vAlign w:val="center"/>
                </w:tcPr>
                <w:p w14:paraId="3053BFC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60+090.0</w:t>
                  </w:r>
                </w:p>
              </w:tc>
              <w:tc>
                <w:tcPr>
                  <w:tcW w:w="1657" w:type="dxa"/>
                  <w:vAlign w:val="center"/>
                </w:tcPr>
                <w:p w14:paraId="410836F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钢砼1孔</w:t>
                  </w:r>
                </w:p>
              </w:tc>
              <w:tc>
                <w:tcPr>
                  <w:tcW w:w="1160" w:type="dxa"/>
                  <w:vAlign w:val="center"/>
                </w:tcPr>
                <w:p w14:paraId="5714CBB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6.80</w:t>
                  </w:r>
                </w:p>
              </w:tc>
              <w:tc>
                <w:tcPr>
                  <w:tcW w:w="1000" w:type="dxa"/>
                  <w:vAlign w:val="center"/>
                </w:tcPr>
                <w:p w14:paraId="0189911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4.08</w:t>
                  </w:r>
                </w:p>
              </w:tc>
            </w:tr>
            <w:tr w14:paraId="731F34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000" w:type="dxa"/>
                  <w:vAlign w:val="center"/>
                </w:tcPr>
                <w:p w14:paraId="260D5A9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6</w:t>
                  </w:r>
                </w:p>
              </w:tc>
              <w:tc>
                <w:tcPr>
                  <w:tcW w:w="1821" w:type="dxa"/>
                  <w:vAlign w:val="center"/>
                </w:tcPr>
                <w:p w14:paraId="693ED75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6"/>
                    </w:rPr>
                    <w:t>6#交通桥</w:t>
                  </w:r>
                </w:p>
              </w:tc>
              <w:tc>
                <w:tcPr>
                  <w:tcW w:w="1657" w:type="dxa"/>
                  <w:vAlign w:val="center"/>
                </w:tcPr>
                <w:p w14:paraId="7E36694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61+190.0</w:t>
                  </w:r>
                </w:p>
              </w:tc>
              <w:tc>
                <w:tcPr>
                  <w:tcW w:w="1657" w:type="dxa"/>
                  <w:vAlign w:val="center"/>
                </w:tcPr>
                <w:p w14:paraId="2C20BAE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w:t>
                  </w:r>
                  <w:r>
                    <w:rPr>
                      <w:rFonts w:hint="default" w:ascii="Times New Roman" w:hAnsi="Times New Roman" w:cs="Times New Roman"/>
                      <w:color w:val="auto"/>
                      <w:spacing w:val="-38"/>
                    </w:rPr>
                    <w:t xml:space="preserve"> </w:t>
                  </w:r>
                  <w:r>
                    <w:rPr>
                      <w:rFonts w:hint="default" w:ascii="Times New Roman" w:hAnsi="Times New Roman" w:cs="Times New Roman"/>
                      <w:color w:val="auto"/>
                      <w:spacing w:val="-2"/>
                    </w:rPr>
                    <w:t>孔</w:t>
                  </w:r>
                </w:p>
              </w:tc>
              <w:tc>
                <w:tcPr>
                  <w:tcW w:w="1160" w:type="dxa"/>
                  <w:vAlign w:val="center"/>
                </w:tcPr>
                <w:p w14:paraId="141F706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10.00</w:t>
                  </w:r>
                </w:p>
              </w:tc>
              <w:tc>
                <w:tcPr>
                  <w:tcW w:w="1000" w:type="dxa"/>
                  <w:vAlign w:val="center"/>
                </w:tcPr>
                <w:p w14:paraId="5BEF948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rPr>
                    <w:t>3.24</w:t>
                  </w:r>
                </w:p>
              </w:tc>
            </w:tr>
            <w:tr w14:paraId="0B3F0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000" w:type="dxa"/>
                  <w:vAlign w:val="center"/>
                </w:tcPr>
                <w:p w14:paraId="7C6FAF3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7</w:t>
                  </w:r>
                </w:p>
              </w:tc>
              <w:tc>
                <w:tcPr>
                  <w:tcW w:w="1821" w:type="dxa"/>
                  <w:vAlign w:val="center"/>
                </w:tcPr>
                <w:p w14:paraId="724E577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5"/>
                    </w:rPr>
                    <w:t>7#交通桥</w:t>
                  </w:r>
                </w:p>
              </w:tc>
              <w:tc>
                <w:tcPr>
                  <w:tcW w:w="1657" w:type="dxa"/>
                  <w:vAlign w:val="center"/>
                </w:tcPr>
                <w:p w14:paraId="2B268FA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61+525.0</w:t>
                  </w:r>
                </w:p>
              </w:tc>
              <w:tc>
                <w:tcPr>
                  <w:tcW w:w="1657" w:type="dxa"/>
                  <w:vAlign w:val="center"/>
                </w:tcPr>
                <w:p w14:paraId="7A9340D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w:t>
                  </w:r>
                  <w:r>
                    <w:rPr>
                      <w:rFonts w:hint="default" w:ascii="Times New Roman" w:hAnsi="Times New Roman" w:cs="Times New Roman"/>
                      <w:color w:val="auto"/>
                      <w:spacing w:val="-38"/>
                    </w:rPr>
                    <w:t xml:space="preserve"> </w:t>
                  </w:r>
                  <w:r>
                    <w:rPr>
                      <w:rFonts w:hint="default" w:ascii="Times New Roman" w:hAnsi="Times New Roman" w:cs="Times New Roman"/>
                      <w:color w:val="auto"/>
                      <w:spacing w:val="-2"/>
                    </w:rPr>
                    <w:t>孔</w:t>
                  </w:r>
                </w:p>
              </w:tc>
              <w:tc>
                <w:tcPr>
                  <w:tcW w:w="1160" w:type="dxa"/>
                  <w:vAlign w:val="center"/>
                </w:tcPr>
                <w:p w14:paraId="35CE47D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7.42</w:t>
                  </w:r>
                </w:p>
              </w:tc>
              <w:tc>
                <w:tcPr>
                  <w:tcW w:w="1000" w:type="dxa"/>
                  <w:vAlign w:val="center"/>
                </w:tcPr>
                <w:p w14:paraId="78ABD15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rPr>
                    <w:t>3.13</w:t>
                  </w:r>
                </w:p>
              </w:tc>
            </w:tr>
            <w:tr w14:paraId="61F473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000" w:type="dxa"/>
                  <w:vAlign w:val="center"/>
                </w:tcPr>
                <w:p w14:paraId="53A5FB9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8</w:t>
                  </w:r>
                </w:p>
              </w:tc>
              <w:tc>
                <w:tcPr>
                  <w:tcW w:w="1821" w:type="dxa"/>
                  <w:vAlign w:val="center"/>
                </w:tcPr>
                <w:p w14:paraId="6BC671B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6"/>
                    </w:rPr>
                    <w:t>8#交通桥</w:t>
                  </w:r>
                </w:p>
              </w:tc>
              <w:tc>
                <w:tcPr>
                  <w:tcW w:w="1657" w:type="dxa"/>
                  <w:vAlign w:val="center"/>
                </w:tcPr>
                <w:p w14:paraId="47BCD81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62+130.0</w:t>
                  </w:r>
                </w:p>
              </w:tc>
              <w:tc>
                <w:tcPr>
                  <w:tcW w:w="1657" w:type="dxa"/>
                  <w:vAlign w:val="center"/>
                </w:tcPr>
                <w:p w14:paraId="677C295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钢砼1孔</w:t>
                  </w:r>
                </w:p>
              </w:tc>
              <w:tc>
                <w:tcPr>
                  <w:tcW w:w="1160" w:type="dxa"/>
                  <w:vAlign w:val="center"/>
                </w:tcPr>
                <w:p w14:paraId="1466321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13.12</w:t>
                  </w:r>
                </w:p>
              </w:tc>
              <w:tc>
                <w:tcPr>
                  <w:tcW w:w="1000" w:type="dxa"/>
                  <w:vAlign w:val="center"/>
                </w:tcPr>
                <w:p w14:paraId="5E83F21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rPr>
                    <w:t>5.65</w:t>
                  </w:r>
                </w:p>
              </w:tc>
            </w:tr>
            <w:tr w14:paraId="5EBFA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000" w:type="dxa"/>
                  <w:vAlign w:val="center"/>
                </w:tcPr>
                <w:p w14:paraId="3BAE9BF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9</w:t>
                  </w:r>
                </w:p>
              </w:tc>
              <w:tc>
                <w:tcPr>
                  <w:tcW w:w="1821" w:type="dxa"/>
                  <w:vAlign w:val="center"/>
                </w:tcPr>
                <w:p w14:paraId="175173F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6"/>
                    </w:rPr>
                    <w:t>9#交通桥</w:t>
                  </w:r>
                </w:p>
              </w:tc>
              <w:tc>
                <w:tcPr>
                  <w:tcW w:w="1657" w:type="dxa"/>
                  <w:vAlign w:val="center"/>
                </w:tcPr>
                <w:p w14:paraId="6C08189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62+390.0</w:t>
                  </w:r>
                </w:p>
              </w:tc>
              <w:tc>
                <w:tcPr>
                  <w:tcW w:w="1657" w:type="dxa"/>
                  <w:vAlign w:val="center"/>
                </w:tcPr>
                <w:p w14:paraId="1ACEEA0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钢砼1孔</w:t>
                  </w:r>
                </w:p>
              </w:tc>
              <w:tc>
                <w:tcPr>
                  <w:tcW w:w="1160" w:type="dxa"/>
                  <w:vAlign w:val="center"/>
                </w:tcPr>
                <w:p w14:paraId="490A751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8.50</w:t>
                  </w:r>
                </w:p>
              </w:tc>
              <w:tc>
                <w:tcPr>
                  <w:tcW w:w="1000" w:type="dxa"/>
                  <w:vAlign w:val="center"/>
                </w:tcPr>
                <w:p w14:paraId="4E7A026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4.63</w:t>
                  </w:r>
                </w:p>
              </w:tc>
            </w:tr>
            <w:tr w14:paraId="5C5EC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000" w:type="dxa"/>
                  <w:vAlign w:val="center"/>
                </w:tcPr>
                <w:p w14:paraId="579FE97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7"/>
                    </w:rPr>
                    <w:t>10</w:t>
                  </w:r>
                </w:p>
              </w:tc>
              <w:tc>
                <w:tcPr>
                  <w:tcW w:w="1821" w:type="dxa"/>
                  <w:vAlign w:val="center"/>
                </w:tcPr>
                <w:p w14:paraId="17C9B9B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10#交通桥</w:t>
                  </w:r>
                </w:p>
              </w:tc>
              <w:tc>
                <w:tcPr>
                  <w:tcW w:w="1657" w:type="dxa"/>
                  <w:vAlign w:val="center"/>
                </w:tcPr>
                <w:p w14:paraId="613A46A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62+600.0</w:t>
                  </w:r>
                </w:p>
              </w:tc>
              <w:tc>
                <w:tcPr>
                  <w:tcW w:w="1657" w:type="dxa"/>
                  <w:vAlign w:val="center"/>
                </w:tcPr>
                <w:p w14:paraId="34F34FD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w:t>
                  </w:r>
                  <w:r>
                    <w:rPr>
                      <w:rFonts w:hint="default" w:ascii="Times New Roman" w:hAnsi="Times New Roman" w:cs="Times New Roman"/>
                      <w:color w:val="auto"/>
                      <w:spacing w:val="-38"/>
                    </w:rPr>
                    <w:t xml:space="preserve"> </w:t>
                  </w:r>
                  <w:r>
                    <w:rPr>
                      <w:rFonts w:hint="default" w:ascii="Times New Roman" w:hAnsi="Times New Roman" w:cs="Times New Roman"/>
                      <w:color w:val="auto"/>
                      <w:spacing w:val="-2"/>
                    </w:rPr>
                    <w:t>孔</w:t>
                  </w:r>
                </w:p>
              </w:tc>
              <w:tc>
                <w:tcPr>
                  <w:tcW w:w="1160" w:type="dxa"/>
                  <w:vAlign w:val="center"/>
                </w:tcPr>
                <w:p w14:paraId="399E961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8.52</w:t>
                  </w:r>
                </w:p>
              </w:tc>
              <w:tc>
                <w:tcPr>
                  <w:tcW w:w="1000" w:type="dxa"/>
                  <w:vAlign w:val="center"/>
                </w:tcPr>
                <w:p w14:paraId="120C08B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4.88</w:t>
                  </w:r>
                </w:p>
              </w:tc>
            </w:tr>
            <w:tr w14:paraId="789405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000" w:type="dxa"/>
                  <w:vAlign w:val="center"/>
                </w:tcPr>
                <w:p w14:paraId="21E9273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7"/>
                    </w:rPr>
                    <w:t>11</w:t>
                  </w:r>
                </w:p>
              </w:tc>
              <w:tc>
                <w:tcPr>
                  <w:tcW w:w="1821" w:type="dxa"/>
                  <w:vAlign w:val="center"/>
                </w:tcPr>
                <w:p w14:paraId="09375CE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11#交通桥</w:t>
                  </w:r>
                </w:p>
              </w:tc>
              <w:tc>
                <w:tcPr>
                  <w:tcW w:w="1657" w:type="dxa"/>
                  <w:vAlign w:val="center"/>
                </w:tcPr>
                <w:p w14:paraId="713399E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63+200.0</w:t>
                  </w:r>
                </w:p>
              </w:tc>
              <w:tc>
                <w:tcPr>
                  <w:tcW w:w="1657" w:type="dxa"/>
                  <w:vAlign w:val="center"/>
                </w:tcPr>
                <w:p w14:paraId="4107521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w:t>
                  </w:r>
                  <w:r>
                    <w:rPr>
                      <w:rFonts w:hint="default" w:ascii="Times New Roman" w:hAnsi="Times New Roman" w:cs="Times New Roman"/>
                      <w:color w:val="auto"/>
                      <w:spacing w:val="-38"/>
                    </w:rPr>
                    <w:t xml:space="preserve"> </w:t>
                  </w:r>
                  <w:r>
                    <w:rPr>
                      <w:rFonts w:hint="default" w:ascii="Times New Roman" w:hAnsi="Times New Roman" w:cs="Times New Roman"/>
                      <w:color w:val="auto"/>
                      <w:spacing w:val="-2"/>
                    </w:rPr>
                    <w:t>孔</w:t>
                  </w:r>
                </w:p>
              </w:tc>
              <w:tc>
                <w:tcPr>
                  <w:tcW w:w="1160" w:type="dxa"/>
                  <w:vAlign w:val="center"/>
                </w:tcPr>
                <w:p w14:paraId="1C96DCA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6.40</w:t>
                  </w:r>
                </w:p>
              </w:tc>
              <w:tc>
                <w:tcPr>
                  <w:tcW w:w="1000" w:type="dxa"/>
                  <w:vAlign w:val="center"/>
                </w:tcPr>
                <w:p w14:paraId="0008AEF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rPr>
                    <w:t>3.84</w:t>
                  </w:r>
                </w:p>
              </w:tc>
            </w:tr>
            <w:tr w14:paraId="111C7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000" w:type="dxa"/>
                  <w:vAlign w:val="center"/>
                </w:tcPr>
                <w:p w14:paraId="5242B58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7"/>
                    </w:rPr>
                    <w:t>12</w:t>
                  </w:r>
                </w:p>
              </w:tc>
              <w:tc>
                <w:tcPr>
                  <w:tcW w:w="1821" w:type="dxa"/>
                  <w:vAlign w:val="center"/>
                </w:tcPr>
                <w:p w14:paraId="129F1F6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12#交通桥</w:t>
                  </w:r>
                </w:p>
              </w:tc>
              <w:tc>
                <w:tcPr>
                  <w:tcW w:w="1657" w:type="dxa"/>
                  <w:vAlign w:val="center"/>
                </w:tcPr>
                <w:p w14:paraId="0D7D804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63+936.0</w:t>
                  </w:r>
                </w:p>
              </w:tc>
              <w:tc>
                <w:tcPr>
                  <w:tcW w:w="1657" w:type="dxa"/>
                  <w:vAlign w:val="center"/>
                </w:tcPr>
                <w:p w14:paraId="14026BD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w:t>
                  </w:r>
                  <w:r>
                    <w:rPr>
                      <w:rFonts w:hint="default" w:ascii="Times New Roman" w:hAnsi="Times New Roman" w:cs="Times New Roman"/>
                      <w:color w:val="auto"/>
                      <w:spacing w:val="-38"/>
                    </w:rPr>
                    <w:t xml:space="preserve"> </w:t>
                  </w:r>
                  <w:r>
                    <w:rPr>
                      <w:rFonts w:hint="default" w:ascii="Times New Roman" w:hAnsi="Times New Roman" w:cs="Times New Roman"/>
                      <w:color w:val="auto"/>
                      <w:spacing w:val="-2"/>
                    </w:rPr>
                    <w:t>孔</w:t>
                  </w:r>
                </w:p>
              </w:tc>
              <w:tc>
                <w:tcPr>
                  <w:tcW w:w="1160" w:type="dxa"/>
                  <w:vAlign w:val="center"/>
                </w:tcPr>
                <w:p w14:paraId="2DBF4F3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9.50</w:t>
                  </w:r>
                </w:p>
              </w:tc>
              <w:tc>
                <w:tcPr>
                  <w:tcW w:w="1000" w:type="dxa"/>
                  <w:vAlign w:val="center"/>
                </w:tcPr>
                <w:p w14:paraId="7EDE6C7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4.65</w:t>
                  </w:r>
                </w:p>
              </w:tc>
            </w:tr>
            <w:tr w14:paraId="7E8772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1000" w:type="dxa"/>
                  <w:vAlign w:val="center"/>
                </w:tcPr>
                <w:p w14:paraId="613ED15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7"/>
                    </w:rPr>
                    <w:t>13</w:t>
                  </w:r>
                </w:p>
              </w:tc>
              <w:tc>
                <w:tcPr>
                  <w:tcW w:w="1821" w:type="dxa"/>
                  <w:vAlign w:val="center"/>
                </w:tcPr>
                <w:p w14:paraId="7E5448C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13#交通桥</w:t>
                  </w:r>
                </w:p>
              </w:tc>
              <w:tc>
                <w:tcPr>
                  <w:tcW w:w="1657" w:type="dxa"/>
                  <w:vAlign w:val="center"/>
                </w:tcPr>
                <w:p w14:paraId="228AB6B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65+291.0</w:t>
                  </w:r>
                </w:p>
              </w:tc>
              <w:tc>
                <w:tcPr>
                  <w:tcW w:w="1657" w:type="dxa"/>
                  <w:vAlign w:val="center"/>
                </w:tcPr>
                <w:p w14:paraId="6753506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w:t>
                  </w:r>
                  <w:r>
                    <w:rPr>
                      <w:rFonts w:hint="default" w:ascii="Times New Roman" w:hAnsi="Times New Roman" w:cs="Times New Roman"/>
                      <w:color w:val="auto"/>
                      <w:spacing w:val="-38"/>
                    </w:rPr>
                    <w:t xml:space="preserve"> </w:t>
                  </w:r>
                  <w:r>
                    <w:rPr>
                      <w:rFonts w:hint="default" w:ascii="Times New Roman" w:hAnsi="Times New Roman" w:cs="Times New Roman"/>
                      <w:color w:val="auto"/>
                      <w:spacing w:val="-2"/>
                    </w:rPr>
                    <w:t>孔</w:t>
                  </w:r>
                </w:p>
              </w:tc>
              <w:tc>
                <w:tcPr>
                  <w:tcW w:w="1160" w:type="dxa"/>
                  <w:vAlign w:val="center"/>
                </w:tcPr>
                <w:p w14:paraId="256F156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8.28</w:t>
                  </w:r>
                </w:p>
              </w:tc>
              <w:tc>
                <w:tcPr>
                  <w:tcW w:w="1000" w:type="dxa"/>
                  <w:vAlign w:val="center"/>
                </w:tcPr>
                <w:p w14:paraId="28E1FC2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rPr>
                    <w:t>5.18</w:t>
                  </w:r>
                </w:p>
              </w:tc>
            </w:tr>
            <w:tr w14:paraId="0EBF2D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000" w:type="dxa"/>
                  <w:vAlign w:val="center"/>
                </w:tcPr>
                <w:p w14:paraId="2E48317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7"/>
                    </w:rPr>
                    <w:t>14</w:t>
                  </w:r>
                </w:p>
              </w:tc>
              <w:tc>
                <w:tcPr>
                  <w:tcW w:w="1821" w:type="dxa"/>
                  <w:vAlign w:val="center"/>
                </w:tcPr>
                <w:p w14:paraId="68826D0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14#交通桥</w:t>
                  </w:r>
                </w:p>
              </w:tc>
              <w:tc>
                <w:tcPr>
                  <w:tcW w:w="1657" w:type="dxa"/>
                  <w:vAlign w:val="center"/>
                </w:tcPr>
                <w:p w14:paraId="7B99598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66+618.0</w:t>
                  </w:r>
                </w:p>
              </w:tc>
              <w:tc>
                <w:tcPr>
                  <w:tcW w:w="1657" w:type="dxa"/>
                  <w:vAlign w:val="center"/>
                </w:tcPr>
                <w:p w14:paraId="4C73375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w:t>
                  </w:r>
                  <w:r>
                    <w:rPr>
                      <w:rFonts w:hint="default" w:ascii="Times New Roman" w:hAnsi="Times New Roman" w:cs="Times New Roman"/>
                      <w:color w:val="auto"/>
                      <w:spacing w:val="-38"/>
                    </w:rPr>
                    <w:t xml:space="preserve"> </w:t>
                  </w:r>
                  <w:r>
                    <w:rPr>
                      <w:rFonts w:hint="default" w:ascii="Times New Roman" w:hAnsi="Times New Roman" w:cs="Times New Roman"/>
                      <w:color w:val="auto"/>
                      <w:spacing w:val="-2"/>
                    </w:rPr>
                    <w:t>孔</w:t>
                  </w:r>
                </w:p>
              </w:tc>
              <w:tc>
                <w:tcPr>
                  <w:tcW w:w="1160" w:type="dxa"/>
                  <w:vAlign w:val="center"/>
                </w:tcPr>
                <w:p w14:paraId="3F4C1E1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16.65</w:t>
                  </w:r>
                </w:p>
              </w:tc>
              <w:tc>
                <w:tcPr>
                  <w:tcW w:w="1000" w:type="dxa"/>
                  <w:vAlign w:val="center"/>
                </w:tcPr>
                <w:p w14:paraId="43FB524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rPr>
                    <w:t>3.00</w:t>
                  </w:r>
                </w:p>
              </w:tc>
            </w:tr>
            <w:tr w14:paraId="1FA03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1000" w:type="dxa"/>
                  <w:vAlign w:val="center"/>
                </w:tcPr>
                <w:p w14:paraId="6C57EC1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7"/>
                    </w:rPr>
                    <w:t>15</w:t>
                  </w:r>
                </w:p>
              </w:tc>
              <w:tc>
                <w:tcPr>
                  <w:tcW w:w="1821" w:type="dxa"/>
                  <w:vAlign w:val="center"/>
                </w:tcPr>
                <w:p w14:paraId="62ADF18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15#交通桥</w:t>
                  </w:r>
                </w:p>
              </w:tc>
              <w:tc>
                <w:tcPr>
                  <w:tcW w:w="1657" w:type="dxa"/>
                  <w:vAlign w:val="center"/>
                </w:tcPr>
                <w:p w14:paraId="27C187A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67+066.0</w:t>
                  </w:r>
                </w:p>
              </w:tc>
              <w:tc>
                <w:tcPr>
                  <w:tcW w:w="1657" w:type="dxa"/>
                  <w:vAlign w:val="center"/>
                </w:tcPr>
                <w:p w14:paraId="6EBFE50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钢砼1</w:t>
                  </w:r>
                  <w:r>
                    <w:rPr>
                      <w:rFonts w:hint="default" w:ascii="Times New Roman" w:hAnsi="Times New Roman" w:cs="Times New Roman"/>
                      <w:color w:val="auto"/>
                      <w:spacing w:val="-38"/>
                    </w:rPr>
                    <w:t xml:space="preserve"> </w:t>
                  </w:r>
                  <w:r>
                    <w:rPr>
                      <w:rFonts w:hint="default" w:ascii="Times New Roman" w:hAnsi="Times New Roman" w:cs="Times New Roman"/>
                      <w:color w:val="auto"/>
                      <w:spacing w:val="-2"/>
                    </w:rPr>
                    <w:t>孔</w:t>
                  </w:r>
                </w:p>
              </w:tc>
              <w:tc>
                <w:tcPr>
                  <w:tcW w:w="1160" w:type="dxa"/>
                  <w:vAlign w:val="center"/>
                </w:tcPr>
                <w:p w14:paraId="119FEA7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8.12</w:t>
                  </w:r>
                </w:p>
              </w:tc>
              <w:tc>
                <w:tcPr>
                  <w:tcW w:w="1000" w:type="dxa"/>
                  <w:vAlign w:val="center"/>
                </w:tcPr>
                <w:p w14:paraId="0762147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2.63</w:t>
                  </w:r>
                </w:p>
              </w:tc>
            </w:tr>
            <w:tr w14:paraId="3B2A55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1000" w:type="dxa"/>
                  <w:vAlign w:val="center"/>
                </w:tcPr>
                <w:p w14:paraId="3073008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7"/>
                    </w:rPr>
                    <w:t>16</w:t>
                  </w:r>
                </w:p>
              </w:tc>
              <w:tc>
                <w:tcPr>
                  <w:tcW w:w="1821" w:type="dxa"/>
                  <w:vAlign w:val="center"/>
                </w:tcPr>
                <w:p w14:paraId="7059CCC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16#交通桥</w:t>
                  </w:r>
                </w:p>
              </w:tc>
              <w:tc>
                <w:tcPr>
                  <w:tcW w:w="1657" w:type="dxa"/>
                  <w:vAlign w:val="center"/>
                </w:tcPr>
                <w:p w14:paraId="6C1FE3B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67+357.0</w:t>
                  </w:r>
                </w:p>
              </w:tc>
              <w:tc>
                <w:tcPr>
                  <w:tcW w:w="1657" w:type="dxa"/>
                  <w:vAlign w:val="center"/>
                </w:tcPr>
                <w:p w14:paraId="0584B5C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rPr>
                    <w:t>钢砼2孔</w:t>
                  </w:r>
                </w:p>
              </w:tc>
              <w:tc>
                <w:tcPr>
                  <w:tcW w:w="1160" w:type="dxa"/>
                  <w:vAlign w:val="center"/>
                </w:tcPr>
                <w:p w14:paraId="0796674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rPr>
                    <w:t>3.8</w:t>
                  </w:r>
                </w:p>
              </w:tc>
              <w:tc>
                <w:tcPr>
                  <w:tcW w:w="1000" w:type="dxa"/>
                  <w:vAlign w:val="center"/>
                </w:tcPr>
                <w:p w14:paraId="64DC702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2.68</w:t>
                  </w:r>
                </w:p>
              </w:tc>
            </w:tr>
          </w:tbl>
          <w:p w14:paraId="64264972">
            <w:pPr>
              <w:keepNext w:val="0"/>
              <w:keepLines w:val="0"/>
              <w:pageBreakBefore w:val="0"/>
              <w:widowControl/>
              <w:numPr>
                <w:ilvl w:val="0"/>
                <w:numId w:val="12"/>
              </w:numPr>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b/>
                <w:bCs/>
                <w:color w:val="auto"/>
                <w:spacing w:val="-1"/>
                <w:sz w:val="24"/>
                <w:szCs w:val="24"/>
                <w:lang w:val="en-US" w:eastAsia="zh-CN"/>
              </w:rPr>
            </w:pPr>
            <w:r>
              <w:rPr>
                <w:rFonts w:hint="default"/>
                <w:b/>
                <w:bCs/>
                <w:color w:val="auto"/>
                <w:spacing w:val="-1"/>
                <w:sz w:val="24"/>
                <w:szCs w:val="24"/>
                <w:lang w:val="en-US" w:eastAsia="zh-CN"/>
              </w:rPr>
              <w:t>项目区河段交叉建筑物过流能力复核计算</w:t>
            </w:r>
          </w:p>
          <w:p w14:paraId="266112A9">
            <w:pPr>
              <w:spacing w:line="14" w:lineRule="exact"/>
              <w:rPr>
                <w:color w:val="auto"/>
              </w:rPr>
            </w:pPr>
          </w:p>
          <w:tbl>
            <w:tblPr>
              <w:tblStyle w:val="54"/>
              <w:tblW w:w="83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3"/>
              <w:gridCol w:w="1044"/>
              <w:gridCol w:w="761"/>
              <w:gridCol w:w="761"/>
              <w:gridCol w:w="680"/>
              <w:gridCol w:w="714"/>
              <w:gridCol w:w="745"/>
              <w:gridCol w:w="600"/>
              <w:gridCol w:w="599"/>
              <w:gridCol w:w="584"/>
              <w:gridCol w:w="600"/>
              <w:gridCol w:w="744"/>
            </w:tblGrid>
            <w:tr w14:paraId="27CF4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72" w:hRule="atLeast"/>
              </w:trPr>
              <w:tc>
                <w:tcPr>
                  <w:tcW w:w="503" w:type="dxa"/>
                  <w:vMerge w:val="restart"/>
                  <w:tcBorders>
                    <w:bottom w:val="nil"/>
                  </w:tcBorders>
                  <w:vAlign w:val="center"/>
                </w:tcPr>
                <w:p w14:paraId="34C9855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8"/>
                      <w:sz w:val="21"/>
                      <w:szCs w:val="21"/>
                    </w:rPr>
                    <w:t>序号</w:t>
                  </w:r>
                </w:p>
              </w:tc>
              <w:tc>
                <w:tcPr>
                  <w:tcW w:w="1044" w:type="dxa"/>
                  <w:vMerge w:val="restart"/>
                  <w:tcBorders>
                    <w:bottom w:val="nil"/>
                  </w:tcBorders>
                  <w:vAlign w:val="center"/>
                </w:tcPr>
                <w:p w14:paraId="3259897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6"/>
                      <w:sz w:val="21"/>
                      <w:szCs w:val="21"/>
                    </w:rPr>
                    <w:t>建筑物</w:t>
                  </w:r>
                  <w:r>
                    <w:rPr>
                      <w:rFonts w:hint="default" w:ascii="Times New Roman" w:hAnsi="Times New Roman" w:cs="Times New Roman"/>
                      <w:b/>
                      <w:bCs/>
                      <w:color w:val="auto"/>
                      <w:spacing w:val="3"/>
                      <w:sz w:val="21"/>
                      <w:szCs w:val="21"/>
                    </w:rPr>
                    <w:t>名称</w:t>
                  </w:r>
                </w:p>
              </w:tc>
              <w:tc>
                <w:tcPr>
                  <w:tcW w:w="761" w:type="dxa"/>
                  <w:vAlign w:val="center"/>
                </w:tcPr>
                <w:p w14:paraId="0CC9EDD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桩号</w:t>
                  </w:r>
                </w:p>
              </w:tc>
              <w:tc>
                <w:tcPr>
                  <w:tcW w:w="761" w:type="dxa"/>
                  <w:vAlign w:val="center"/>
                </w:tcPr>
                <w:p w14:paraId="4B283FB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流量</w:t>
                  </w:r>
                </w:p>
              </w:tc>
              <w:tc>
                <w:tcPr>
                  <w:tcW w:w="680" w:type="dxa"/>
                  <w:vAlign w:val="center"/>
                </w:tcPr>
                <w:p w14:paraId="343B1E6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桥宽</w:t>
                  </w:r>
                </w:p>
              </w:tc>
              <w:tc>
                <w:tcPr>
                  <w:tcW w:w="714" w:type="dxa"/>
                  <w:vAlign w:val="center"/>
                </w:tcPr>
                <w:p w14:paraId="05AF149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桥净</w:t>
                  </w:r>
                  <w:r>
                    <w:rPr>
                      <w:rFonts w:hint="default" w:ascii="Times New Roman" w:hAnsi="Times New Roman" w:cs="Times New Roman"/>
                      <w:b/>
                      <w:bCs/>
                      <w:color w:val="auto"/>
                      <w:sz w:val="21"/>
                      <w:szCs w:val="21"/>
                    </w:rPr>
                    <w:t>高</w:t>
                  </w:r>
                </w:p>
              </w:tc>
              <w:tc>
                <w:tcPr>
                  <w:tcW w:w="745" w:type="dxa"/>
                  <w:vAlign w:val="center"/>
                </w:tcPr>
                <w:p w14:paraId="25A3A54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3"/>
                      <w:sz w:val="21"/>
                      <w:szCs w:val="21"/>
                    </w:rPr>
                    <w:t>上游水深</w:t>
                  </w:r>
                </w:p>
              </w:tc>
              <w:tc>
                <w:tcPr>
                  <w:tcW w:w="600" w:type="dxa"/>
                  <w:vAlign w:val="center"/>
                </w:tcPr>
                <w:p w14:paraId="47A55F4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3"/>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1"/>
                      <w:sz w:val="21"/>
                      <w:szCs w:val="21"/>
                    </w:rPr>
                    <w:t>下游</w:t>
                  </w:r>
                  <w:r>
                    <w:rPr>
                      <w:rFonts w:hint="default" w:ascii="Times New Roman" w:hAnsi="Times New Roman" w:cs="Times New Roman"/>
                      <w:b/>
                      <w:bCs/>
                      <w:color w:val="auto"/>
                      <w:spacing w:val="3"/>
                      <w:sz w:val="21"/>
                      <w:szCs w:val="21"/>
                    </w:rPr>
                    <w:t>水深</w:t>
                  </w:r>
                </w:p>
              </w:tc>
              <w:tc>
                <w:tcPr>
                  <w:tcW w:w="599" w:type="dxa"/>
                  <w:vAlign w:val="center"/>
                </w:tcPr>
                <w:p w14:paraId="0A7BF98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流速</w:t>
                  </w:r>
                </w:p>
              </w:tc>
              <w:tc>
                <w:tcPr>
                  <w:tcW w:w="584" w:type="dxa"/>
                  <w:vAlign w:val="center"/>
                </w:tcPr>
                <w:p w14:paraId="6F83F4C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hanging="1"/>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过桥</w:t>
                  </w:r>
                  <w:r>
                    <w:rPr>
                      <w:rFonts w:hint="default" w:ascii="Times New Roman" w:hAnsi="Times New Roman" w:cs="Times New Roman"/>
                      <w:b/>
                      <w:bCs/>
                      <w:color w:val="auto"/>
                      <w:spacing w:val="3"/>
                      <w:sz w:val="21"/>
                      <w:szCs w:val="21"/>
                    </w:rPr>
                    <w:t>水深</w:t>
                  </w:r>
                </w:p>
              </w:tc>
              <w:tc>
                <w:tcPr>
                  <w:tcW w:w="600" w:type="dxa"/>
                  <w:vAlign w:val="center"/>
                </w:tcPr>
                <w:p w14:paraId="113B0D4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桥内</w:t>
                  </w:r>
                  <w:r>
                    <w:rPr>
                      <w:rFonts w:hint="default" w:ascii="Times New Roman" w:hAnsi="Times New Roman" w:cs="Times New Roman"/>
                      <w:b/>
                      <w:bCs/>
                      <w:color w:val="auto"/>
                      <w:spacing w:val="2"/>
                      <w:sz w:val="21"/>
                      <w:szCs w:val="21"/>
                    </w:rPr>
                    <w:t>总水</w:t>
                  </w:r>
                  <w:r>
                    <w:rPr>
                      <w:rFonts w:hint="default" w:ascii="Times New Roman" w:hAnsi="Times New Roman" w:cs="Times New Roman"/>
                      <w:b/>
                      <w:bCs/>
                      <w:color w:val="auto"/>
                      <w:sz w:val="21"/>
                      <w:szCs w:val="21"/>
                    </w:rPr>
                    <w:t>头</w:t>
                  </w:r>
                </w:p>
              </w:tc>
              <w:tc>
                <w:tcPr>
                  <w:tcW w:w="744" w:type="dxa"/>
                  <w:vMerge w:val="restart"/>
                  <w:tcBorders>
                    <w:bottom w:val="nil"/>
                  </w:tcBorders>
                  <w:vAlign w:val="center"/>
                </w:tcPr>
                <w:p w14:paraId="7FF31EA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3"/>
                    <w:jc w:val="center"/>
                    <w:textAlignment w:val="auto"/>
                    <w:rPr>
                      <w:rFonts w:hint="default" w:ascii="Times New Roman" w:hAnsi="Times New Roman" w:cs="Times New Roman"/>
                      <w:color w:val="auto"/>
                      <w:sz w:val="21"/>
                      <w:szCs w:val="21"/>
                    </w:rPr>
                  </w:pPr>
                  <w:r>
                    <w:rPr>
                      <w:rFonts w:hint="default" w:ascii="Times New Roman" w:hAnsi="Times New Roman" w:cs="Times New Roman"/>
                      <w:b/>
                      <w:bCs/>
                      <w:color w:val="auto"/>
                      <w:spacing w:val="3"/>
                      <w:sz w:val="21"/>
                      <w:szCs w:val="21"/>
                    </w:rPr>
                    <w:t>是否</w:t>
                  </w:r>
                  <w:r>
                    <w:rPr>
                      <w:rFonts w:hint="default" w:ascii="Times New Roman" w:hAnsi="Times New Roman" w:cs="Times New Roman"/>
                      <w:b/>
                      <w:bCs/>
                      <w:color w:val="auto"/>
                      <w:spacing w:val="4"/>
                      <w:sz w:val="21"/>
                      <w:szCs w:val="21"/>
                    </w:rPr>
                    <w:t>满足</w:t>
                  </w:r>
                </w:p>
              </w:tc>
            </w:tr>
            <w:tr w14:paraId="45241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03" w:type="dxa"/>
                  <w:vMerge w:val="continue"/>
                  <w:tcBorders>
                    <w:top w:val="nil"/>
                  </w:tcBorders>
                  <w:textDirection w:val="tbRlV"/>
                  <w:vAlign w:val="top"/>
                </w:tcPr>
                <w:p w14:paraId="6DF65CF4">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hint="default" w:ascii="Times New Roman" w:hAnsi="Times New Roman" w:cs="Times New Roman"/>
                      <w:color w:val="auto"/>
                      <w:sz w:val="21"/>
                      <w:szCs w:val="21"/>
                    </w:rPr>
                  </w:pPr>
                </w:p>
              </w:tc>
              <w:tc>
                <w:tcPr>
                  <w:tcW w:w="1044" w:type="dxa"/>
                  <w:vMerge w:val="continue"/>
                  <w:tcBorders>
                    <w:top w:val="nil"/>
                  </w:tcBorders>
                  <w:vAlign w:val="top"/>
                </w:tcPr>
                <w:p w14:paraId="1CDEDDA9">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hint="default" w:ascii="Times New Roman" w:hAnsi="Times New Roman" w:cs="Times New Roman"/>
                      <w:color w:val="auto"/>
                      <w:sz w:val="21"/>
                      <w:szCs w:val="21"/>
                    </w:rPr>
                  </w:pPr>
                </w:p>
              </w:tc>
              <w:tc>
                <w:tcPr>
                  <w:tcW w:w="761" w:type="dxa"/>
                  <w:vAlign w:val="center"/>
                </w:tcPr>
                <w:p w14:paraId="5C5C78A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1"/>
                      <w:sz w:val="21"/>
                      <w:szCs w:val="21"/>
                    </w:rPr>
                    <w:t>m</w:t>
                  </w:r>
                </w:p>
              </w:tc>
              <w:tc>
                <w:tcPr>
                  <w:tcW w:w="761" w:type="dxa"/>
                  <w:vAlign w:val="center"/>
                </w:tcPr>
                <w:p w14:paraId="178AFDF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m³/s</w:t>
                  </w:r>
                </w:p>
              </w:tc>
              <w:tc>
                <w:tcPr>
                  <w:tcW w:w="680" w:type="dxa"/>
                  <w:vAlign w:val="center"/>
                </w:tcPr>
                <w:p w14:paraId="50754D1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1"/>
                      <w:sz w:val="21"/>
                      <w:szCs w:val="21"/>
                    </w:rPr>
                    <w:t>m</w:t>
                  </w:r>
                </w:p>
              </w:tc>
              <w:tc>
                <w:tcPr>
                  <w:tcW w:w="714" w:type="dxa"/>
                  <w:vAlign w:val="center"/>
                </w:tcPr>
                <w:p w14:paraId="4217E83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1"/>
                      <w:sz w:val="21"/>
                      <w:szCs w:val="21"/>
                    </w:rPr>
                    <w:t>m</w:t>
                  </w:r>
                </w:p>
              </w:tc>
              <w:tc>
                <w:tcPr>
                  <w:tcW w:w="745" w:type="dxa"/>
                  <w:vAlign w:val="center"/>
                </w:tcPr>
                <w:p w14:paraId="0F8C60C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1"/>
                      <w:sz w:val="21"/>
                      <w:szCs w:val="21"/>
                    </w:rPr>
                    <w:t>m</w:t>
                  </w:r>
                </w:p>
              </w:tc>
              <w:tc>
                <w:tcPr>
                  <w:tcW w:w="600" w:type="dxa"/>
                  <w:vAlign w:val="center"/>
                </w:tcPr>
                <w:p w14:paraId="7EA5B67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1"/>
                      <w:sz w:val="21"/>
                      <w:szCs w:val="21"/>
                    </w:rPr>
                    <w:t>m</w:t>
                  </w:r>
                </w:p>
              </w:tc>
              <w:tc>
                <w:tcPr>
                  <w:tcW w:w="599" w:type="dxa"/>
                  <w:vAlign w:val="center"/>
                </w:tcPr>
                <w:p w14:paraId="2F39DE7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m/s</w:t>
                  </w:r>
                </w:p>
              </w:tc>
              <w:tc>
                <w:tcPr>
                  <w:tcW w:w="584" w:type="dxa"/>
                  <w:vAlign w:val="center"/>
                </w:tcPr>
                <w:p w14:paraId="035696F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1"/>
                      <w:sz w:val="21"/>
                      <w:szCs w:val="21"/>
                    </w:rPr>
                    <w:t>m</w:t>
                  </w:r>
                </w:p>
              </w:tc>
              <w:tc>
                <w:tcPr>
                  <w:tcW w:w="600" w:type="dxa"/>
                  <w:vAlign w:val="center"/>
                </w:tcPr>
                <w:p w14:paraId="1BA75D1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1"/>
                      <w:sz w:val="21"/>
                      <w:szCs w:val="21"/>
                    </w:rPr>
                    <w:t>m</w:t>
                  </w:r>
                </w:p>
              </w:tc>
              <w:tc>
                <w:tcPr>
                  <w:tcW w:w="744" w:type="dxa"/>
                  <w:vMerge w:val="continue"/>
                  <w:tcBorders>
                    <w:top w:val="nil"/>
                  </w:tcBorders>
                  <w:vAlign w:val="top"/>
                </w:tcPr>
                <w:p w14:paraId="57C59816">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hint="default" w:ascii="Times New Roman" w:hAnsi="Times New Roman" w:cs="Times New Roman"/>
                      <w:color w:val="auto"/>
                      <w:sz w:val="21"/>
                      <w:szCs w:val="21"/>
                    </w:rPr>
                  </w:pPr>
                </w:p>
              </w:tc>
            </w:tr>
            <w:tr w14:paraId="50CAD1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03" w:type="dxa"/>
                  <w:vAlign w:val="center"/>
                </w:tcPr>
                <w:p w14:paraId="775B365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1"/>
                      <w:sz w:val="21"/>
                      <w:szCs w:val="21"/>
                    </w:rPr>
                    <w:t>1</w:t>
                  </w:r>
                </w:p>
              </w:tc>
              <w:tc>
                <w:tcPr>
                  <w:tcW w:w="1044" w:type="dxa"/>
                  <w:vAlign w:val="center"/>
                </w:tcPr>
                <w:p w14:paraId="3088A78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1#交通桥</w:t>
                  </w:r>
                </w:p>
              </w:tc>
              <w:tc>
                <w:tcPr>
                  <w:tcW w:w="761" w:type="dxa"/>
                  <w:vAlign w:val="center"/>
                </w:tcPr>
                <w:p w14:paraId="26AB3AF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56+100</w:t>
                  </w:r>
                </w:p>
              </w:tc>
              <w:tc>
                <w:tcPr>
                  <w:tcW w:w="761" w:type="dxa"/>
                  <w:vAlign w:val="center"/>
                </w:tcPr>
                <w:p w14:paraId="77B54BD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position w:val="1"/>
                      <w:sz w:val="21"/>
                      <w:szCs w:val="21"/>
                    </w:rPr>
                    <w:t>13.2</w:t>
                  </w:r>
                </w:p>
              </w:tc>
              <w:tc>
                <w:tcPr>
                  <w:tcW w:w="680" w:type="dxa"/>
                  <w:vAlign w:val="center"/>
                </w:tcPr>
                <w:p w14:paraId="005FAD6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5.62</w:t>
                  </w:r>
                </w:p>
              </w:tc>
              <w:tc>
                <w:tcPr>
                  <w:tcW w:w="714" w:type="dxa"/>
                  <w:vAlign w:val="center"/>
                </w:tcPr>
                <w:p w14:paraId="7C8537F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position w:val="1"/>
                      <w:sz w:val="21"/>
                      <w:szCs w:val="21"/>
                    </w:rPr>
                    <w:t>1.40</w:t>
                  </w:r>
                </w:p>
              </w:tc>
              <w:tc>
                <w:tcPr>
                  <w:tcW w:w="745" w:type="dxa"/>
                  <w:vAlign w:val="center"/>
                </w:tcPr>
                <w:p w14:paraId="6A16452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1.02</w:t>
                  </w:r>
                </w:p>
              </w:tc>
              <w:tc>
                <w:tcPr>
                  <w:tcW w:w="600" w:type="dxa"/>
                  <w:vAlign w:val="center"/>
                </w:tcPr>
                <w:p w14:paraId="621D486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position w:val="1"/>
                      <w:sz w:val="21"/>
                      <w:szCs w:val="21"/>
                    </w:rPr>
                    <w:t>1.02</w:t>
                  </w:r>
                </w:p>
              </w:tc>
              <w:tc>
                <w:tcPr>
                  <w:tcW w:w="599" w:type="dxa"/>
                  <w:vAlign w:val="center"/>
                </w:tcPr>
                <w:p w14:paraId="055FB59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2.68</w:t>
                  </w:r>
                </w:p>
              </w:tc>
              <w:tc>
                <w:tcPr>
                  <w:tcW w:w="584" w:type="dxa"/>
                  <w:vAlign w:val="center"/>
                </w:tcPr>
                <w:p w14:paraId="74C8B80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1.02</w:t>
                  </w:r>
                </w:p>
              </w:tc>
              <w:tc>
                <w:tcPr>
                  <w:tcW w:w="600" w:type="dxa"/>
                  <w:vAlign w:val="center"/>
                </w:tcPr>
                <w:p w14:paraId="1C8549C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1.48</w:t>
                  </w:r>
                </w:p>
              </w:tc>
              <w:tc>
                <w:tcPr>
                  <w:tcW w:w="744" w:type="dxa"/>
                  <w:vAlign w:val="center"/>
                </w:tcPr>
                <w:p w14:paraId="48F9F0E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不满</w:t>
                  </w:r>
                  <w:r>
                    <w:rPr>
                      <w:rFonts w:hint="default" w:ascii="Times New Roman" w:hAnsi="Times New Roman" w:cs="Times New Roman"/>
                      <w:color w:val="auto"/>
                      <w:sz w:val="21"/>
                      <w:szCs w:val="21"/>
                    </w:rPr>
                    <w:t>足</w:t>
                  </w:r>
                </w:p>
              </w:tc>
            </w:tr>
            <w:tr w14:paraId="6D9C79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503" w:type="dxa"/>
                  <w:vAlign w:val="center"/>
                </w:tcPr>
                <w:p w14:paraId="344650C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w:t>
                  </w:r>
                </w:p>
              </w:tc>
              <w:tc>
                <w:tcPr>
                  <w:tcW w:w="1044" w:type="dxa"/>
                  <w:vAlign w:val="center"/>
                </w:tcPr>
                <w:p w14:paraId="0580E4F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5"/>
                      <w:sz w:val="21"/>
                      <w:szCs w:val="21"/>
                    </w:rPr>
                    <w:t>2#交通桥</w:t>
                  </w:r>
                </w:p>
              </w:tc>
              <w:tc>
                <w:tcPr>
                  <w:tcW w:w="761" w:type="dxa"/>
                  <w:vAlign w:val="center"/>
                </w:tcPr>
                <w:p w14:paraId="23EFB72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58+157</w:t>
                  </w:r>
                </w:p>
              </w:tc>
              <w:tc>
                <w:tcPr>
                  <w:tcW w:w="761" w:type="dxa"/>
                  <w:vAlign w:val="center"/>
                </w:tcPr>
                <w:p w14:paraId="29081C8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0C5BAB5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13.01</w:t>
                  </w:r>
                </w:p>
              </w:tc>
              <w:tc>
                <w:tcPr>
                  <w:tcW w:w="714" w:type="dxa"/>
                  <w:vAlign w:val="center"/>
                </w:tcPr>
                <w:p w14:paraId="629402D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4.58</w:t>
                  </w:r>
                </w:p>
              </w:tc>
              <w:tc>
                <w:tcPr>
                  <w:tcW w:w="745" w:type="dxa"/>
                  <w:vAlign w:val="center"/>
                </w:tcPr>
                <w:p w14:paraId="45CF51F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0.83</w:t>
                  </w:r>
                </w:p>
              </w:tc>
              <w:tc>
                <w:tcPr>
                  <w:tcW w:w="600" w:type="dxa"/>
                  <w:vAlign w:val="center"/>
                </w:tcPr>
                <w:p w14:paraId="72D9080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0.83</w:t>
                  </w:r>
                </w:p>
              </w:tc>
              <w:tc>
                <w:tcPr>
                  <w:tcW w:w="599" w:type="dxa"/>
                  <w:vAlign w:val="center"/>
                </w:tcPr>
                <w:p w14:paraId="4E3EBAE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3.04</w:t>
                  </w:r>
                </w:p>
              </w:tc>
              <w:tc>
                <w:tcPr>
                  <w:tcW w:w="584" w:type="dxa"/>
                  <w:vAlign w:val="center"/>
                </w:tcPr>
                <w:p w14:paraId="6C3C155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0.33</w:t>
                  </w:r>
                </w:p>
              </w:tc>
              <w:tc>
                <w:tcPr>
                  <w:tcW w:w="600" w:type="dxa"/>
                  <w:vAlign w:val="center"/>
                </w:tcPr>
                <w:p w14:paraId="11648AD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0.62</w:t>
                  </w:r>
                </w:p>
              </w:tc>
              <w:tc>
                <w:tcPr>
                  <w:tcW w:w="744" w:type="dxa"/>
                  <w:vAlign w:val="center"/>
                </w:tcPr>
                <w:p w14:paraId="357FA11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61F92B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503" w:type="dxa"/>
                  <w:vAlign w:val="center"/>
                </w:tcPr>
                <w:p w14:paraId="4EEF198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w:t>
                  </w:r>
                </w:p>
              </w:tc>
              <w:tc>
                <w:tcPr>
                  <w:tcW w:w="1044" w:type="dxa"/>
                  <w:vAlign w:val="center"/>
                </w:tcPr>
                <w:p w14:paraId="10DED18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5"/>
                      <w:sz w:val="21"/>
                      <w:szCs w:val="21"/>
                    </w:rPr>
                    <w:t>3#交通桥</w:t>
                  </w:r>
                </w:p>
              </w:tc>
              <w:tc>
                <w:tcPr>
                  <w:tcW w:w="761" w:type="dxa"/>
                  <w:vAlign w:val="center"/>
                </w:tcPr>
                <w:p w14:paraId="1BEF7BF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58+290</w:t>
                  </w:r>
                </w:p>
              </w:tc>
              <w:tc>
                <w:tcPr>
                  <w:tcW w:w="761" w:type="dxa"/>
                  <w:vAlign w:val="center"/>
                </w:tcPr>
                <w:p w14:paraId="1F8F7FD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0AA60BD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12.05</w:t>
                  </w:r>
                </w:p>
              </w:tc>
              <w:tc>
                <w:tcPr>
                  <w:tcW w:w="714" w:type="dxa"/>
                  <w:vAlign w:val="center"/>
                </w:tcPr>
                <w:p w14:paraId="7D1ED59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3.60</w:t>
                  </w:r>
                </w:p>
              </w:tc>
              <w:tc>
                <w:tcPr>
                  <w:tcW w:w="745" w:type="dxa"/>
                  <w:vAlign w:val="center"/>
                </w:tcPr>
                <w:p w14:paraId="725BC2E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0.83</w:t>
                  </w:r>
                </w:p>
              </w:tc>
              <w:tc>
                <w:tcPr>
                  <w:tcW w:w="600" w:type="dxa"/>
                  <w:vAlign w:val="center"/>
                </w:tcPr>
                <w:p w14:paraId="22FF0F6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0.83</w:t>
                  </w:r>
                </w:p>
              </w:tc>
              <w:tc>
                <w:tcPr>
                  <w:tcW w:w="599" w:type="dxa"/>
                  <w:vAlign w:val="center"/>
                </w:tcPr>
                <w:p w14:paraId="63E4A15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3.04</w:t>
                  </w:r>
                </w:p>
              </w:tc>
              <w:tc>
                <w:tcPr>
                  <w:tcW w:w="584" w:type="dxa"/>
                  <w:vAlign w:val="center"/>
                </w:tcPr>
                <w:p w14:paraId="114D68E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0.46</w:t>
                  </w:r>
                </w:p>
              </w:tc>
              <w:tc>
                <w:tcPr>
                  <w:tcW w:w="600" w:type="dxa"/>
                  <w:vAlign w:val="center"/>
                </w:tcPr>
                <w:p w14:paraId="3830179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0.77</w:t>
                  </w:r>
                </w:p>
              </w:tc>
              <w:tc>
                <w:tcPr>
                  <w:tcW w:w="744" w:type="dxa"/>
                  <w:vAlign w:val="center"/>
                </w:tcPr>
                <w:p w14:paraId="5C91FF5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74A75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503" w:type="dxa"/>
                  <w:vAlign w:val="center"/>
                </w:tcPr>
                <w:p w14:paraId="7B0CCAB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w:t>
                  </w:r>
                </w:p>
              </w:tc>
              <w:tc>
                <w:tcPr>
                  <w:tcW w:w="1044" w:type="dxa"/>
                  <w:vAlign w:val="center"/>
                </w:tcPr>
                <w:p w14:paraId="724030A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6"/>
                      <w:sz w:val="21"/>
                      <w:szCs w:val="21"/>
                    </w:rPr>
                    <w:t>4#交通桥</w:t>
                  </w:r>
                </w:p>
              </w:tc>
              <w:tc>
                <w:tcPr>
                  <w:tcW w:w="761" w:type="dxa"/>
                  <w:vAlign w:val="center"/>
                </w:tcPr>
                <w:p w14:paraId="0EAFD7F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58+950</w:t>
                  </w:r>
                </w:p>
              </w:tc>
              <w:tc>
                <w:tcPr>
                  <w:tcW w:w="761" w:type="dxa"/>
                  <w:vAlign w:val="center"/>
                </w:tcPr>
                <w:p w14:paraId="07381C6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0B2DD70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11.63</w:t>
                  </w:r>
                </w:p>
              </w:tc>
              <w:tc>
                <w:tcPr>
                  <w:tcW w:w="714" w:type="dxa"/>
                  <w:vAlign w:val="center"/>
                </w:tcPr>
                <w:p w14:paraId="4251850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4.91</w:t>
                  </w:r>
                </w:p>
              </w:tc>
              <w:tc>
                <w:tcPr>
                  <w:tcW w:w="745" w:type="dxa"/>
                  <w:vAlign w:val="center"/>
                </w:tcPr>
                <w:p w14:paraId="0B7EE50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0.83</w:t>
                  </w:r>
                </w:p>
              </w:tc>
              <w:tc>
                <w:tcPr>
                  <w:tcW w:w="600" w:type="dxa"/>
                  <w:vAlign w:val="center"/>
                </w:tcPr>
                <w:p w14:paraId="12BB3B2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0.83</w:t>
                  </w:r>
                </w:p>
              </w:tc>
              <w:tc>
                <w:tcPr>
                  <w:tcW w:w="599" w:type="dxa"/>
                  <w:vAlign w:val="center"/>
                </w:tcPr>
                <w:p w14:paraId="653203C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3.04</w:t>
                  </w:r>
                </w:p>
              </w:tc>
              <w:tc>
                <w:tcPr>
                  <w:tcW w:w="584" w:type="dxa"/>
                  <w:vAlign w:val="center"/>
                </w:tcPr>
                <w:p w14:paraId="2E445D1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0.46</w:t>
                  </w:r>
                </w:p>
              </w:tc>
              <w:tc>
                <w:tcPr>
                  <w:tcW w:w="600" w:type="dxa"/>
                  <w:vAlign w:val="center"/>
                </w:tcPr>
                <w:p w14:paraId="47B2A1A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0.78</w:t>
                  </w:r>
                </w:p>
              </w:tc>
              <w:tc>
                <w:tcPr>
                  <w:tcW w:w="744" w:type="dxa"/>
                  <w:vAlign w:val="center"/>
                </w:tcPr>
                <w:p w14:paraId="0E0A364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0F32E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503" w:type="dxa"/>
                  <w:vAlign w:val="center"/>
                </w:tcPr>
                <w:p w14:paraId="512408A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w:t>
                  </w:r>
                </w:p>
              </w:tc>
              <w:tc>
                <w:tcPr>
                  <w:tcW w:w="1044" w:type="dxa"/>
                  <w:vAlign w:val="center"/>
                </w:tcPr>
                <w:p w14:paraId="0255EC7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5"/>
                      <w:sz w:val="21"/>
                      <w:szCs w:val="21"/>
                    </w:rPr>
                    <w:t>5#交通桥</w:t>
                  </w:r>
                </w:p>
              </w:tc>
              <w:tc>
                <w:tcPr>
                  <w:tcW w:w="761" w:type="dxa"/>
                  <w:vAlign w:val="center"/>
                </w:tcPr>
                <w:p w14:paraId="37967B5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60+090</w:t>
                  </w:r>
                </w:p>
              </w:tc>
              <w:tc>
                <w:tcPr>
                  <w:tcW w:w="761" w:type="dxa"/>
                  <w:vAlign w:val="center"/>
                </w:tcPr>
                <w:p w14:paraId="17F94B2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11E4088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6.8</w:t>
                  </w:r>
                </w:p>
              </w:tc>
              <w:tc>
                <w:tcPr>
                  <w:tcW w:w="714" w:type="dxa"/>
                  <w:vAlign w:val="center"/>
                </w:tcPr>
                <w:p w14:paraId="213F8E6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4.08</w:t>
                  </w:r>
                </w:p>
              </w:tc>
              <w:tc>
                <w:tcPr>
                  <w:tcW w:w="745" w:type="dxa"/>
                  <w:vAlign w:val="center"/>
                </w:tcPr>
                <w:p w14:paraId="1C830CC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0.88</w:t>
                  </w:r>
                </w:p>
              </w:tc>
              <w:tc>
                <w:tcPr>
                  <w:tcW w:w="600" w:type="dxa"/>
                  <w:vAlign w:val="center"/>
                </w:tcPr>
                <w:p w14:paraId="42C413C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0.94</w:t>
                  </w:r>
                </w:p>
              </w:tc>
              <w:tc>
                <w:tcPr>
                  <w:tcW w:w="599" w:type="dxa"/>
                  <w:vAlign w:val="center"/>
                </w:tcPr>
                <w:p w14:paraId="7AD44AE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2.82</w:t>
                  </w:r>
                </w:p>
              </w:tc>
              <w:tc>
                <w:tcPr>
                  <w:tcW w:w="584" w:type="dxa"/>
                  <w:vAlign w:val="center"/>
                </w:tcPr>
                <w:p w14:paraId="1E891B6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0.78</w:t>
                  </w:r>
                </w:p>
              </w:tc>
              <w:tc>
                <w:tcPr>
                  <w:tcW w:w="600" w:type="dxa"/>
                  <w:vAlign w:val="center"/>
                </w:tcPr>
                <w:p w14:paraId="4A2A209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1.17</w:t>
                  </w:r>
                </w:p>
              </w:tc>
              <w:tc>
                <w:tcPr>
                  <w:tcW w:w="744" w:type="dxa"/>
                  <w:vAlign w:val="center"/>
                </w:tcPr>
                <w:p w14:paraId="22FA27D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1AB26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503" w:type="dxa"/>
                  <w:vAlign w:val="center"/>
                </w:tcPr>
                <w:p w14:paraId="2B54936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w:t>
                  </w:r>
                </w:p>
              </w:tc>
              <w:tc>
                <w:tcPr>
                  <w:tcW w:w="1044" w:type="dxa"/>
                  <w:vAlign w:val="center"/>
                </w:tcPr>
                <w:p w14:paraId="0A51376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6"/>
                      <w:sz w:val="21"/>
                      <w:szCs w:val="21"/>
                    </w:rPr>
                    <w:t>6#交通桥</w:t>
                  </w:r>
                </w:p>
              </w:tc>
              <w:tc>
                <w:tcPr>
                  <w:tcW w:w="761" w:type="dxa"/>
                  <w:vAlign w:val="center"/>
                </w:tcPr>
                <w:p w14:paraId="75EAAED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61+190</w:t>
                  </w:r>
                </w:p>
              </w:tc>
              <w:tc>
                <w:tcPr>
                  <w:tcW w:w="761" w:type="dxa"/>
                  <w:vAlign w:val="center"/>
                </w:tcPr>
                <w:p w14:paraId="11BE1FB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500F9D3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10</w:t>
                  </w:r>
                </w:p>
              </w:tc>
              <w:tc>
                <w:tcPr>
                  <w:tcW w:w="714" w:type="dxa"/>
                  <w:vAlign w:val="center"/>
                </w:tcPr>
                <w:p w14:paraId="765CA99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3.24</w:t>
                  </w:r>
                </w:p>
              </w:tc>
              <w:tc>
                <w:tcPr>
                  <w:tcW w:w="745" w:type="dxa"/>
                  <w:vAlign w:val="center"/>
                </w:tcPr>
                <w:p w14:paraId="77CDEE7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0.94</w:t>
                  </w:r>
                </w:p>
              </w:tc>
              <w:tc>
                <w:tcPr>
                  <w:tcW w:w="600" w:type="dxa"/>
                  <w:vAlign w:val="center"/>
                </w:tcPr>
                <w:p w14:paraId="07C0BF3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0.80</w:t>
                  </w:r>
                </w:p>
              </w:tc>
              <w:tc>
                <w:tcPr>
                  <w:tcW w:w="599" w:type="dxa"/>
                  <w:vAlign w:val="center"/>
                </w:tcPr>
                <w:p w14:paraId="6983D91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2.60</w:t>
                  </w:r>
                </w:p>
              </w:tc>
              <w:tc>
                <w:tcPr>
                  <w:tcW w:w="584" w:type="dxa"/>
                  <w:vAlign w:val="center"/>
                </w:tcPr>
                <w:p w14:paraId="3B300CB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0.40</w:t>
                  </w:r>
                </w:p>
              </w:tc>
              <w:tc>
                <w:tcPr>
                  <w:tcW w:w="600" w:type="dxa"/>
                  <w:vAlign w:val="center"/>
                </w:tcPr>
                <w:p w14:paraId="0E7404C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0.70</w:t>
                  </w:r>
                </w:p>
              </w:tc>
              <w:tc>
                <w:tcPr>
                  <w:tcW w:w="744" w:type="dxa"/>
                  <w:vAlign w:val="center"/>
                </w:tcPr>
                <w:p w14:paraId="6EC96EF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16267C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503" w:type="dxa"/>
                  <w:vAlign w:val="center"/>
                </w:tcPr>
                <w:p w14:paraId="78AA3FB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w:t>
                  </w:r>
                </w:p>
              </w:tc>
              <w:tc>
                <w:tcPr>
                  <w:tcW w:w="1044" w:type="dxa"/>
                  <w:vAlign w:val="center"/>
                </w:tcPr>
                <w:p w14:paraId="7796238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5"/>
                      <w:sz w:val="21"/>
                      <w:szCs w:val="21"/>
                    </w:rPr>
                    <w:t>7#交通桥</w:t>
                  </w:r>
                </w:p>
              </w:tc>
              <w:tc>
                <w:tcPr>
                  <w:tcW w:w="761" w:type="dxa"/>
                  <w:vAlign w:val="center"/>
                </w:tcPr>
                <w:p w14:paraId="3D2E500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61+525</w:t>
                  </w:r>
                </w:p>
              </w:tc>
              <w:tc>
                <w:tcPr>
                  <w:tcW w:w="761" w:type="dxa"/>
                  <w:vAlign w:val="center"/>
                </w:tcPr>
                <w:p w14:paraId="2081844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4C91DF8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7.42</w:t>
                  </w:r>
                </w:p>
              </w:tc>
              <w:tc>
                <w:tcPr>
                  <w:tcW w:w="714" w:type="dxa"/>
                  <w:vAlign w:val="center"/>
                </w:tcPr>
                <w:p w14:paraId="594464D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3.13</w:t>
                  </w:r>
                </w:p>
              </w:tc>
              <w:tc>
                <w:tcPr>
                  <w:tcW w:w="745" w:type="dxa"/>
                  <w:vAlign w:val="center"/>
                </w:tcPr>
                <w:p w14:paraId="583C6AE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0.80</w:t>
                  </w:r>
                </w:p>
              </w:tc>
              <w:tc>
                <w:tcPr>
                  <w:tcW w:w="600" w:type="dxa"/>
                  <w:vAlign w:val="center"/>
                </w:tcPr>
                <w:p w14:paraId="04367B8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0.80</w:t>
                  </w:r>
                </w:p>
              </w:tc>
              <w:tc>
                <w:tcPr>
                  <w:tcW w:w="599" w:type="dxa"/>
                  <w:vAlign w:val="center"/>
                </w:tcPr>
                <w:p w14:paraId="0191D05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3.19</w:t>
                  </w:r>
                </w:p>
              </w:tc>
              <w:tc>
                <w:tcPr>
                  <w:tcW w:w="584" w:type="dxa"/>
                  <w:vAlign w:val="center"/>
                </w:tcPr>
                <w:p w14:paraId="7574BAC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0.36</w:t>
                  </w:r>
                </w:p>
              </w:tc>
              <w:tc>
                <w:tcPr>
                  <w:tcW w:w="600" w:type="dxa"/>
                  <w:vAlign w:val="center"/>
                </w:tcPr>
                <w:p w14:paraId="0A909F1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0.65</w:t>
                  </w:r>
                </w:p>
              </w:tc>
              <w:tc>
                <w:tcPr>
                  <w:tcW w:w="744" w:type="dxa"/>
                  <w:vAlign w:val="center"/>
                </w:tcPr>
                <w:p w14:paraId="4702070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22165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503" w:type="dxa"/>
                  <w:vAlign w:val="center"/>
                </w:tcPr>
                <w:p w14:paraId="3637A70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w:t>
                  </w:r>
                </w:p>
              </w:tc>
              <w:tc>
                <w:tcPr>
                  <w:tcW w:w="1044" w:type="dxa"/>
                  <w:vAlign w:val="center"/>
                </w:tcPr>
                <w:p w14:paraId="43730C6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6"/>
                      <w:sz w:val="21"/>
                      <w:szCs w:val="21"/>
                    </w:rPr>
                    <w:t>8#交通桥</w:t>
                  </w:r>
                </w:p>
              </w:tc>
              <w:tc>
                <w:tcPr>
                  <w:tcW w:w="761" w:type="dxa"/>
                  <w:vAlign w:val="center"/>
                </w:tcPr>
                <w:p w14:paraId="694AB3A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62+130</w:t>
                  </w:r>
                </w:p>
              </w:tc>
              <w:tc>
                <w:tcPr>
                  <w:tcW w:w="761" w:type="dxa"/>
                  <w:vAlign w:val="center"/>
                </w:tcPr>
                <w:p w14:paraId="52E49EF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045681F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13.12</w:t>
                  </w:r>
                </w:p>
              </w:tc>
              <w:tc>
                <w:tcPr>
                  <w:tcW w:w="714" w:type="dxa"/>
                  <w:vAlign w:val="center"/>
                </w:tcPr>
                <w:p w14:paraId="36EF870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5.65</w:t>
                  </w:r>
                </w:p>
              </w:tc>
              <w:tc>
                <w:tcPr>
                  <w:tcW w:w="745" w:type="dxa"/>
                  <w:vAlign w:val="center"/>
                </w:tcPr>
                <w:p w14:paraId="207B174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0.80</w:t>
                  </w:r>
                </w:p>
              </w:tc>
              <w:tc>
                <w:tcPr>
                  <w:tcW w:w="600" w:type="dxa"/>
                  <w:vAlign w:val="center"/>
                </w:tcPr>
                <w:p w14:paraId="10A690F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0.80</w:t>
                  </w:r>
                </w:p>
              </w:tc>
              <w:tc>
                <w:tcPr>
                  <w:tcW w:w="599" w:type="dxa"/>
                  <w:vAlign w:val="center"/>
                </w:tcPr>
                <w:p w14:paraId="1621AE5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3.19</w:t>
                  </w:r>
                </w:p>
              </w:tc>
              <w:tc>
                <w:tcPr>
                  <w:tcW w:w="584" w:type="dxa"/>
                  <w:vAlign w:val="center"/>
                </w:tcPr>
                <w:p w14:paraId="3CD648C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0.35</w:t>
                  </w:r>
                </w:p>
              </w:tc>
              <w:tc>
                <w:tcPr>
                  <w:tcW w:w="600" w:type="dxa"/>
                  <w:vAlign w:val="center"/>
                </w:tcPr>
                <w:p w14:paraId="74842C6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0.64</w:t>
                  </w:r>
                </w:p>
              </w:tc>
              <w:tc>
                <w:tcPr>
                  <w:tcW w:w="744" w:type="dxa"/>
                  <w:vAlign w:val="center"/>
                </w:tcPr>
                <w:p w14:paraId="7E222BA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6B99C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503" w:type="dxa"/>
                  <w:vAlign w:val="center"/>
                </w:tcPr>
                <w:p w14:paraId="561AD2E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9</w:t>
                  </w:r>
                </w:p>
              </w:tc>
              <w:tc>
                <w:tcPr>
                  <w:tcW w:w="1044" w:type="dxa"/>
                  <w:vAlign w:val="center"/>
                </w:tcPr>
                <w:p w14:paraId="3ED65CF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6"/>
                      <w:sz w:val="21"/>
                      <w:szCs w:val="21"/>
                    </w:rPr>
                    <w:t>9#交通桥</w:t>
                  </w:r>
                </w:p>
              </w:tc>
              <w:tc>
                <w:tcPr>
                  <w:tcW w:w="761" w:type="dxa"/>
                  <w:vAlign w:val="center"/>
                </w:tcPr>
                <w:p w14:paraId="4FD4F63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62+390</w:t>
                  </w:r>
                </w:p>
              </w:tc>
              <w:tc>
                <w:tcPr>
                  <w:tcW w:w="761" w:type="dxa"/>
                  <w:vAlign w:val="center"/>
                </w:tcPr>
                <w:p w14:paraId="76540AF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3AD0135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8.50</w:t>
                  </w:r>
                </w:p>
              </w:tc>
              <w:tc>
                <w:tcPr>
                  <w:tcW w:w="714" w:type="dxa"/>
                  <w:vAlign w:val="center"/>
                </w:tcPr>
                <w:p w14:paraId="345DC19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4.63</w:t>
                  </w:r>
                </w:p>
              </w:tc>
              <w:tc>
                <w:tcPr>
                  <w:tcW w:w="745" w:type="dxa"/>
                  <w:vAlign w:val="center"/>
                </w:tcPr>
                <w:p w14:paraId="5B27D22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0.80</w:t>
                  </w:r>
                </w:p>
              </w:tc>
              <w:tc>
                <w:tcPr>
                  <w:tcW w:w="600" w:type="dxa"/>
                  <w:vAlign w:val="center"/>
                </w:tcPr>
                <w:p w14:paraId="1270914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0.80</w:t>
                  </w:r>
                </w:p>
              </w:tc>
              <w:tc>
                <w:tcPr>
                  <w:tcW w:w="599" w:type="dxa"/>
                  <w:vAlign w:val="center"/>
                </w:tcPr>
                <w:p w14:paraId="504391C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2.59</w:t>
                  </w:r>
                </w:p>
              </w:tc>
              <w:tc>
                <w:tcPr>
                  <w:tcW w:w="584" w:type="dxa"/>
                  <w:vAlign w:val="center"/>
                </w:tcPr>
                <w:p w14:paraId="7CD1844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0.44</w:t>
                  </w:r>
                </w:p>
              </w:tc>
              <w:tc>
                <w:tcPr>
                  <w:tcW w:w="600" w:type="dxa"/>
                  <w:vAlign w:val="center"/>
                </w:tcPr>
                <w:p w14:paraId="317FD26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0.75</w:t>
                  </w:r>
                </w:p>
              </w:tc>
              <w:tc>
                <w:tcPr>
                  <w:tcW w:w="744" w:type="dxa"/>
                  <w:vAlign w:val="center"/>
                </w:tcPr>
                <w:p w14:paraId="13206FE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032315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503" w:type="dxa"/>
                  <w:vAlign w:val="center"/>
                </w:tcPr>
                <w:p w14:paraId="28F8BCF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10</w:t>
                  </w:r>
                </w:p>
              </w:tc>
              <w:tc>
                <w:tcPr>
                  <w:tcW w:w="1044" w:type="dxa"/>
                  <w:vAlign w:val="center"/>
                </w:tcPr>
                <w:p w14:paraId="2A5E549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10#交通桥</w:t>
                  </w:r>
                </w:p>
              </w:tc>
              <w:tc>
                <w:tcPr>
                  <w:tcW w:w="761" w:type="dxa"/>
                  <w:vAlign w:val="center"/>
                </w:tcPr>
                <w:p w14:paraId="3E6ED31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62+600</w:t>
                  </w:r>
                </w:p>
              </w:tc>
              <w:tc>
                <w:tcPr>
                  <w:tcW w:w="761" w:type="dxa"/>
                  <w:vAlign w:val="center"/>
                </w:tcPr>
                <w:p w14:paraId="29FB1A5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5633DBB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8.52</w:t>
                  </w:r>
                </w:p>
              </w:tc>
              <w:tc>
                <w:tcPr>
                  <w:tcW w:w="714" w:type="dxa"/>
                  <w:vAlign w:val="center"/>
                </w:tcPr>
                <w:p w14:paraId="4F95FC3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4.88</w:t>
                  </w:r>
                </w:p>
              </w:tc>
              <w:tc>
                <w:tcPr>
                  <w:tcW w:w="745" w:type="dxa"/>
                  <w:vAlign w:val="center"/>
                </w:tcPr>
                <w:p w14:paraId="5AD67F9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0.94</w:t>
                  </w:r>
                </w:p>
              </w:tc>
              <w:tc>
                <w:tcPr>
                  <w:tcW w:w="600" w:type="dxa"/>
                  <w:vAlign w:val="center"/>
                </w:tcPr>
                <w:p w14:paraId="597F7E7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0.92</w:t>
                  </w:r>
                </w:p>
              </w:tc>
              <w:tc>
                <w:tcPr>
                  <w:tcW w:w="599" w:type="dxa"/>
                  <w:vAlign w:val="center"/>
                </w:tcPr>
                <w:p w14:paraId="464B195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2.59</w:t>
                  </w:r>
                </w:p>
              </w:tc>
              <w:tc>
                <w:tcPr>
                  <w:tcW w:w="584" w:type="dxa"/>
                  <w:vAlign w:val="center"/>
                </w:tcPr>
                <w:p w14:paraId="5EDB86A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0.33</w:t>
                  </w:r>
                </w:p>
              </w:tc>
              <w:tc>
                <w:tcPr>
                  <w:tcW w:w="600" w:type="dxa"/>
                  <w:vAlign w:val="center"/>
                </w:tcPr>
                <w:p w14:paraId="4D9CF6B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0.61</w:t>
                  </w:r>
                </w:p>
              </w:tc>
              <w:tc>
                <w:tcPr>
                  <w:tcW w:w="744" w:type="dxa"/>
                  <w:vAlign w:val="center"/>
                </w:tcPr>
                <w:p w14:paraId="1B81517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597AF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503" w:type="dxa"/>
                  <w:vAlign w:val="center"/>
                </w:tcPr>
                <w:p w14:paraId="11E9136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11</w:t>
                  </w:r>
                </w:p>
              </w:tc>
              <w:tc>
                <w:tcPr>
                  <w:tcW w:w="1044" w:type="dxa"/>
                  <w:vAlign w:val="center"/>
                </w:tcPr>
                <w:p w14:paraId="09EDC74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11#交通桥</w:t>
                  </w:r>
                </w:p>
              </w:tc>
              <w:tc>
                <w:tcPr>
                  <w:tcW w:w="761" w:type="dxa"/>
                  <w:vAlign w:val="center"/>
                </w:tcPr>
                <w:p w14:paraId="42688BB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63+200</w:t>
                  </w:r>
                </w:p>
              </w:tc>
              <w:tc>
                <w:tcPr>
                  <w:tcW w:w="761" w:type="dxa"/>
                  <w:vAlign w:val="center"/>
                </w:tcPr>
                <w:p w14:paraId="3846D77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05D9FF9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6.4</w:t>
                  </w:r>
                </w:p>
              </w:tc>
              <w:tc>
                <w:tcPr>
                  <w:tcW w:w="714" w:type="dxa"/>
                  <w:vAlign w:val="center"/>
                </w:tcPr>
                <w:p w14:paraId="3A1AE16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3.84</w:t>
                  </w:r>
                </w:p>
              </w:tc>
              <w:tc>
                <w:tcPr>
                  <w:tcW w:w="745" w:type="dxa"/>
                  <w:vAlign w:val="center"/>
                </w:tcPr>
                <w:p w14:paraId="70C1650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0.92</w:t>
                  </w:r>
                </w:p>
              </w:tc>
              <w:tc>
                <w:tcPr>
                  <w:tcW w:w="600" w:type="dxa"/>
                  <w:vAlign w:val="center"/>
                </w:tcPr>
                <w:p w14:paraId="70C4944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0.89</w:t>
                  </w:r>
                </w:p>
              </w:tc>
              <w:tc>
                <w:tcPr>
                  <w:tcW w:w="599" w:type="dxa"/>
                  <w:vAlign w:val="center"/>
                </w:tcPr>
                <w:p w14:paraId="5144012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2.67</w:t>
                  </w:r>
                </w:p>
              </w:tc>
              <w:tc>
                <w:tcPr>
                  <w:tcW w:w="584" w:type="dxa"/>
                  <w:vAlign w:val="center"/>
                </w:tcPr>
                <w:p w14:paraId="6F4119D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0.35</w:t>
                  </w:r>
                </w:p>
              </w:tc>
              <w:tc>
                <w:tcPr>
                  <w:tcW w:w="600" w:type="dxa"/>
                  <w:vAlign w:val="center"/>
                </w:tcPr>
                <w:p w14:paraId="3DFE3AF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0.63</w:t>
                  </w:r>
                </w:p>
              </w:tc>
              <w:tc>
                <w:tcPr>
                  <w:tcW w:w="744" w:type="dxa"/>
                  <w:vAlign w:val="center"/>
                </w:tcPr>
                <w:p w14:paraId="41A5148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5515B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503" w:type="dxa"/>
                  <w:vAlign w:val="center"/>
                </w:tcPr>
                <w:p w14:paraId="159EFFE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12</w:t>
                  </w:r>
                </w:p>
              </w:tc>
              <w:tc>
                <w:tcPr>
                  <w:tcW w:w="1044" w:type="dxa"/>
                  <w:vAlign w:val="center"/>
                </w:tcPr>
                <w:p w14:paraId="6B1F1D2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12#交通桥</w:t>
                  </w:r>
                </w:p>
              </w:tc>
              <w:tc>
                <w:tcPr>
                  <w:tcW w:w="761" w:type="dxa"/>
                  <w:vAlign w:val="center"/>
                </w:tcPr>
                <w:p w14:paraId="5A7267E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63+936</w:t>
                  </w:r>
                </w:p>
              </w:tc>
              <w:tc>
                <w:tcPr>
                  <w:tcW w:w="761" w:type="dxa"/>
                  <w:vAlign w:val="center"/>
                </w:tcPr>
                <w:p w14:paraId="078ECA8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0D01510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9.5</w:t>
                  </w:r>
                </w:p>
              </w:tc>
              <w:tc>
                <w:tcPr>
                  <w:tcW w:w="714" w:type="dxa"/>
                  <w:vAlign w:val="center"/>
                </w:tcPr>
                <w:p w14:paraId="724CF80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4.65</w:t>
                  </w:r>
                </w:p>
              </w:tc>
              <w:tc>
                <w:tcPr>
                  <w:tcW w:w="745" w:type="dxa"/>
                  <w:vAlign w:val="center"/>
                </w:tcPr>
                <w:p w14:paraId="1A278DA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0.89</w:t>
                  </w:r>
                </w:p>
              </w:tc>
              <w:tc>
                <w:tcPr>
                  <w:tcW w:w="600" w:type="dxa"/>
                  <w:vAlign w:val="center"/>
                </w:tcPr>
                <w:p w14:paraId="12A3156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0.89</w:t>
                  </w:r>
                </w:p>
              </w:tc>
              <w:tc>
                <w:tcPr>
                  <w:tcW w:w="599" w:type="dxa"/>
                  <w:vAlign w:val="center"/>
                </w:tcPr>
                <w:p w14:paraId="6121D4F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2.77</w:t>
                  </w:r>
                </w:p>
              </w:tc>
              <w:tc>
                <w:tcPr>
                  <w:tcW w:w="584" w:type="dxa"/>
                  <w:vAlign w:val="center"/>
                </w:tcPr>
                <w:p w14:paraId="0DC6264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0.02</w:t>
                  </w:r>
                </w:p>
              </w:tc>
              <w:tc>
                <w:tcPr>
                  <w:tcW w:w="600" w:type="dxa"/>
                  <w:vAlign w:val="center"/>
                </w:tcPr>
                <w:p w14:paraId="3DD024D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0.22</w:t>
                  </w:r>
                </w:p>
              </w:tc>
              <w:tc>
                <w:tcPr>
                  <w:tcW w:w="744" w:type="dxa"/>
                  <w:vAlign w:val="center"/>
                </w:tcPr>
                <w:p w14:paraId="40783B0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4A8C5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503" w:type="dxa"/>
                  <w:vAlign w:val="center"/>
                </w:tcPr>
                <w:p w14:paraId="7C75F12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13</w:t>
                  </w:r>
                </w:p>
              </w:tc>
              <w:tc>
                <w:tcPr>
                  <w:tcW w:w="1044" w:type="dxa"/>
                  <w:vAlign w:val="center"/>
                </w:tcPr>
                <w:p w14:paraId="5FEAD00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13#交通桥</w:t>
                  </w:r>
                </w:p>
              </w:tc>
              <w:tc>
                <w:tcPr>
                  <w:tcW w:w="761" w:type="dxa"/>
                  <w:vAlign w:val="center"/>
                </w:tcPr>
                <w:p w14:paraId="19F85B6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65+291</w:t>
                  </w:r>
                </w:p>
              </w:tc>
              <w:tc>
                <w:tcPr>
                  <w:tcW w:w="761" w:type="dxa"/>
                  <w:vAlign w:val="center"/>
                </w:tcPr>
                <w:p w14:paraId="6C6E3A2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773CD13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8.28</w:t>
                  </w:r>
                </w:p>
              </w:tc>
              <w:tc>
                <w:tcPr>
                  <w:tcW w:w="714" w:type="dxa"/>
                  <w:vAlign w:val="center"/>
                </w:tcPr>
                <w:p w14:paraId="79C6948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5.18</w:t>
                  </w:r>
                </w:p>
              </w:tc>
              <w:tc>
                <w:tcPr>
                  <w:tcW w:w="745" w:type="dxa"/>
                  <w:vAlign w:val="center"/>
                </w:tcPr>
                <w:p w14:paraId="72B7182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0.89</w:t>
                  </w:r>
                </w:p>
              </w:tc>
              <w:tc>
                <w:tcPr>
                  <w:tcW w:w="600" w:type="dxa"/>
                  <w:vAlign w:val="center"/>
                </w:tcPr>
                <w:p w14:paraId="7DCC7B7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0.92</w:t>
                  </w:r>
                </w:p>
              </w:tc>
              <w:tc>
                <w:tcPr>
                  <w:tcW w:w="599" w:type="dxa"/>
                  <w:vAlign w:val="center"/>
                </w:tcPr>
                <w:p w14:paraId="02A9D84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2.77</w:t>
                  </w:r>
                </w:p>
              </w:tc>
              <w:tc>
                <w:tcPr>
                  <w:tcW w:w="584" w:type="dxa"/>
                  <w:vAlign w:val="center"/>
                </w:tcPr>
                <w:p w14:paraId="41B0294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0.04</w:t>
                  </w:r>
                </w:p>
              </w:tc>
              <w:tc>
                <w:tcPr>
                  <w:tcW w:w="600" w:type="dxa"/>
                  <w:vAlign w:val="center"/>
                </w:tcPr>
                <w:p w14:paraId="4794789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0.26</w:t>
                  </w:r>
                </w:p>
              </w:tc>
              <w:tc>
                <w:tcPr>
                  <w:tcW w:w="744" w:type="dxa"/>
                  <w:vAlign w:val="center"/>
                </w:tcPr>
                <w:p w14:paraId="4CEE2FB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4D3283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503" w:type="dxa"/>
                  <w:vAlign w:val="center"/>
                </w:tcPr>
                <w:p w14:paraId="2522CF7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14</w:t>
                  </w:r>
                </w:p>
              </w:tc>
              <w:tc>
                <w:tcPr>
                  <w:tcW w:w="1044" w:type="dxa"/>
                  <w:vAlign w:val="center"/>
                </w:tcPr>
                <w:p w14:paraId="2462900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14#交通桥</w:t>
                  </w:r>
                </w:p>
              </w:tc>
              <w:tc>
                <w:tcPr>
                  <w:tcW w:w="761" w:type="dxa"/>
                  <w:vAlign w:val="center"/>
                </w:tcPr>
                <w:p w14:paraId="170DB3F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66+618</w:t>
                  </w:r>
                </w:p>
              </w:tc>
              <w:tc>
                <w:tcPr>
                  <w:tcW w:w="761" w:type="dxa"/>
                  <w:vAlign w:val="center"/>
                </w:tcPr>
                <w:p w14:paraId="3518766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5E6E4DE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16.65</w:t>
                  </w:r>
                </w:p>
              </w:tc>
              <w:tc>
                <w:tcPr>
                  <w:tcW w:w="714" w:type="dxa"/>
                  <w:vAlign w:val="center"/>
                </w:tcPr>
                <w:p w14:paraId="710C27C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3.00</w:t>
                  </w:r>
                </w:p>
              </w:tc>
              <w:tc>
                <w:tcPr>
                  <w:tcW w:w="745" w:type="dxa"/>
                  <w:vAlign w:val="center"/>
                </w:tcPr>
                <w:p w14:paraId="5F7CED5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0.92</w:t>
                  </w:r>
                </w:p>
              </w:tc>
              <w:tc>
                <w:tcPr>
                  <w:tcW w:w="600" w:type="dxa"/>
                  <w:vAlign w:val="center"/>
                </w:tcPr>
                <w:p w14:paraId="45B2C03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0.92</w:t>
                  </w:r>
                </w:p>
              </w:tc>
              <w:tc>
                <w:tcPr>
                  <w:tcW w:w="599" w:type="dxa"/>
                  <w:vAlign w:val="center"/>
                </w:tcPr>
                <w:p w14:paraId="11B8595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2.68</w:t>
                  </w:r>
                </w:p>
              </w:tc>
              <w:tc>
                <w:tcPr>
                  <w:tcW w:w="584" w:type="dxa"/>
                  <w:vAlign w:val="center"/>
                </w:tcPr>
                <w:p w14:paraId="7240AC2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0.04</w:t>
                  </w:r>
                </w:p>
              </w:tc>
              <w:tc>
                <w:tcPr>
                  <w:tcW w:w="600" w:type="dxa"/>
                  <w:vAlign w:val="center"/>
                </w:tcPr>
                <w:p w14:paraId="5793769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0.25</w:t>
                  </w:r>
                </w:p>
              </w:tc>
              <w:tc>
                <w:tcPr>
                  <w:tcW w:w="744" w:type="dxa"/>
                  <w:vAlign w:val="center"/>
                </w:tcPr>
                <w:p w14:paraId="092035D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6CB76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503" w:type="dxa"/>
                  <w:vAlign w:val="center"/>
                </w:tcPr>
                <w:p w14:paraId="49829A0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15</w:t>
                  </w:r>
                </w:p>
              </w:tc>
              <w:tc>
                <w:tcPr>
                  <w:tcW w:w="1044" w:type="dxa"/>
                  <w:vAlign w:val="center"/>
                </w:tcPr>
                <w:p w14:paraId="0F05346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15#交通桥</w:t>
                  </w:r>
                </w:p>
              </w:tc>
              <w:tc>
                <w:tcPr>
                  <w:tcW w:w="761" w:type="dxa"/>
                  <w:vAlign w:val="center"/>
                </w:tcPr>
                <w:p w14:paraId="05D4F69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67+066</w:t>
                  </w:r>
                </w:p>
              </w:tc>
              <w:tc>
                <w:tcPr>
                  <w:tcW w:w="761" w:type="dxa"/>
                  <w:vAlign w:val="center"/>
                </w:tcPr>
                <w:p w14:paraId="4898AEB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285AF2E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8.12</w:t>
                  </w:r>
                </w:p>
              </w:tc>
              <w:tc>
                <w:tcPr>
                  <w:tcW w:w="714" w:type="dxa"/>
                  <w:vAlign w:val="center"/>
                </w:tcPr>
                <w:p w14:paraId="519982A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2.63</w:t>
                  </w:r>
                </w:p>
              </w:tc>
              <w:tc>
                <w:tcPr>
                  <w:tcW w:w="745" w:type="dxa"/>
                  <w:vAlign w:val="center"/>
                </w:tcPr>
                <w:p w14:paraId="01CFFEC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0.89</w:t>
                  </w:r>
                </w:p>
              </w:tc>
              <w:tc>
                <w:tcPr>
                  <w:tcW w:w="600" w:type="dxa"/>
                  <w:vAlign w:val="center"/>
                </w:tcPr>
                <w:p w14:paraId="474CDBB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0.89</w:t>
                  </w:r>
                </w:p>
              </w:tc>
              <w:tc>
                <w:tcPr>
                  <w:tcW w:w="599" w:type="dxa"/>
                  <w:vAlign w:val="center"/>
                </w:tcPr>
                <w:p w14:paraId="0D40CBC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2.78</w:t>
                  </w:r>
                </w:p>
              </w:tc>
              <w:tc>
                <w:tcPr>
                  <w:tcW w:w="584" w:type="dxa"/>
                  <w:vAlign w:val="center"/>
                </w:tcPr>
                <w:p w14:paraId="78E5FCD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0.21</w:t>
                  </w:r>
                </w:p>
              </w:tc>
              <w:tc>
                <w:tcPr>
                  <w:tcW w:w="600" w:type="dxa"/>
                  <w:vAlign w:val="center"/>
                </w:tcPr>
                <w:p w14:paraId="78B76FE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0.46</w:t>
                  </w:r>
                </w:p>
              </w:tc>
              <w:tc>
                <w:tcPr>
                  <w:tcW w:w="744" w:type="dxa"/>
                  <w:vAlign w:val="center"/>
                </w:tcPr>
                <w:p w14:paraId="22242B0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r w14:paraId="2F5A9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503" w:type="dxa"/>
                  <w:vAlign w:val="center"/>
                </w:tcPr>
                <w:p w14:paraId="357D157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16</w:t>
                  </w:r>
                </w:p>
              </w:tc>
              <w:tc>
                <w:tcPr>
                  <w:tcW w:w="1044" w:type="dxa"/>
                  <w:vAlign w:val="center"/>
                </w:tcPr>
                <w:p w14:paraId="2B27553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16#交通桥</w:t>
                  </w:r>
                </w:p>
              </w:tc>
              <w:tc>
                <w:tcPr>
                  <w:tcW w:w="761" w:type="dxa"/>
                  <w:vAlign w:val="center"/>
                </w:tcPr>
                <w:p w14:paraId="0013A14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67+357</w:t>
                  </w:r>
                </w:p>
              </w:tc>
              <w:tc>
                <w:tcPr>
                  <w:tcW w:w="761" w:type="dxa"/>
                  <w:vAlign w:val="center"/>
                </w:tcPr>
                <w:p w14:paraId="38BA42D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13.2</w:t>
                  </w:r>
                </w:p>
              </w:tc>
              <w:tc>
                <w:tcPr>
                  <w:tcW w:w="680" w:type="dxa"/>
                  <w:vAlign w:val="center"/>
                </w:tcPr>
                <w:p w14:paraId="39AF719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3.8</w:t>
                  </w:r>
                </w:p>
              </w:tc>
              <w:tc>
                <w:tcPr>
                  <w:tcW w:w="714" w:type="dxa"/>
                  <w:vAlign w:val="center"/>
                </w:tcPr>
                <w:p w14:paraId="745A6EE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2.68</w:t>
                  </w:r>
                </w:p>
              </w:tc>
              <w:tc>
                <w:tcPr>
                  <w:tcW w:w="745" w:type="dxa"/>
                  <w:vAlign w:val="center"/>
                </w:tcPr>
                <w:p w14:paraId="6C2BF44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0.89</w:t>
                  </w:r>
                </w:p>
              </w:tc>
              <w:tc>
                <w:tcPr>
                  <w:tcW w:w="600" w:type="dxa"/>
                  <w:vAlign w:val="center"/>
                </w:tcPr>
                <w:p w14:paraId="2AEE646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0.89</w:t>
                  </w:r>
                </w:p>
              </w:tc>
              <w:tc>
                <w:tcPr>
                  <w:tcW w:w="599" w:type="dxa"/>
                  <w:vAlign w:val="center"/>
                </w:tcPr>
                <w:p w14:paraId="7946E60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2.78</w:t>
                  </w:r>
                </w:p>
              </w:tc>
              <w:tc>
                <w:tcPr>
                  <w:tcW w:w="584" w:type="dxa"/>
                  <w:vAlign w:val="center"/>
                </w:tcPr>
                <w:p w14:paraId="24D0AAE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0.14</w:t>
                  </w:r>
                </w:p>
              </w:tc>
              <w:tc>
                <w:tcPr>
                  <w:tcW w:w="600" w:type="dxa"/>
                  <w:vAlign w:val="center"/>
                </w:tcPr>
                <w:p w14:paraId="2F77EE4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0.38</w:t>
                  </w:r>
                </w:p>
              </w:tc>
              <w:tc>
                <w:tcPr>
                  <w:tcW w:w="744" w:type="dxa"/>
                  <w:vAlign w:val="center"/>
                </w:tcPr>
                <w:p w14:paraId="2821F93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满足</w:t>
                  </w:r>
                </w:p>
              </w:tc>
            </w:tr>
          </w:tbl>
          <w:p w14:paraId="091C7199">
            <w:pPr>
              <w:pStyle w:val="65"/>
              <w:keepNext w:val="0"/>
              <w:keepLines w:val="0"/>
              <w:pageBreakBefore w:val="0"/>
              <w:widowControl w:val="0"/>
              <w:numPr>
                <w:ilvl w:val="0"/>
                <w:numId w:val="16"/>
              </w:numPr>
              <w:kinsoku/>
              <w:wordWrap/>
              <w:overflowPunct/>
              <w:topLinePunct w:val="0"/>
              <w:autoSpaceDE/>
              <w:autoSpaceDN/>
              <w:bidi w:val="0"/>
              <w:adjustRightInd w:val="0"/>
              <w:snapToGrid w:val="0"/>
              <w:spacing w:line="360" w:lineRule="auto"/>
              <w:ind w:left="0" w:leftChars="0" w:right="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保留交通桥设计</w:t>
            </w:r>
          </w:p>
          <w:p w14:paraId="6C0C433A">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护岸与保留交通桥相接处，采用浆砌石扭面连接。立面上，河底高程与交通桥洞底板高程相同或略低于其底板高程，以保证防洪工程与交通桥洞在高程上平顺衔接。防洪工程与交通桥相接处平面上河道由梯形渐变为矩形，与交通桥洞桥墩平顺相接。</w:t>
            </w:r>
          </w:p>
          <w:p w14:paraId="2E9EE859">
            <w:pPr>
              <w:pStyle w:val="65"/>
              <w:keepNext w:val="0"/>
              <w:keepLines w:val="0"/>
              <w:pageBreakBefore w:val="0"/>
              <w:widowControl w:val="0"/>
              <w:numPr>
                <w:ilvl w:val="0"/>
                <w:numId w:val="16"/>
              </w:numPr>
              <w:kinsoku/>
              <w:wordWrap/>
              <w:overflowPunct/>
              <w:topLinePunct w:val="0"/>
              <w:autoSpaceDE/>
              <w:autoSpaceDN/>
              <w:bidi w:val="0"/>
              <w:adjustRightInd w:val="0"/>
              <w:snapToGrid w:val="0"/>
              <w:spacing w:line="360" w:lineRule="auto"/>
              <w:ind w:left="0" w:leftChars="0" w:right="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改造交通桥设计</w:t>
            </w:r>
          </w:p>
          <w:p w14:paraId="69439392">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本次工程共改造1座交通桥，改造交通桥</w:t>
            </w:r>
            <w:r>
              <w:rPr>
                <w:rFonts w:hint="eastAsia" w:ascii="Times New Roman" w:hAnsi="Times New Roman" w:cs="Times New Roman"/>
                <w:color w:val="auto"/>
                <w:sz w:val="24"/>
                <w:szCs w:val="24"/>
                <w:lang w:val="en-US" w:eastAsia="zh-CN"/>
              </w:rPr>
              <w:t>为</w:t>
            </w:r>
            <w:r>
              <w:rPr>
                <w:rFonts w:hint="default" w:ascii="Times New Roman" w:hAnsi="Times New Roman" w:cs="Times New Roman"/>
                <w:color w:val="auto"/>
                <w:sz w:val="24"/>
                <w:szCs w:val="24"/>
                <w:lang w:val="en-US" w:eastAsia="zh-CN"/>
              </w:rPr>
              <w:t>1#交通桥，交通桥设计荷载:公路Ⅱ</w:t>
            </w:r>
            <w:r>
              <w:rPr>
                <w:rFonts w:hint="eastAsia" w:ascii="Times New Roman" w:hAnsi="Times New Roman" w:cs="Times New Roman"/>
                <w:color w:val="auto"/>
                <w:sz w:val="24"/>
                <w:szCs w:val="24"/>
                <w:lang w:val="en-US" w:eastAsia="zh-CN"/>
              </w:rPr>
              <w:t>级</w:t>
            </w:r>
            <w:r>
              <w:rPr>
                <w:rFonts w:hint="default" w:ascii="Times New Roman" w:hAnsi="Times New Roman" w:cs="Times New Roman"/>
                <w:color w:val="auto"/>
                <w:sz w:val="24"/>
                <w:szCs w:val="24"/>
                <w:lang w:val="en-US" w:eastAsia="zh-CN"/>
              </w:rPr>
              <w:t>，上部桥面板采用定型图集《公路桥涵通用图--装配式先张法预应力混凝土简支空心板桥上部构造》，桥面宽8m，桥梁采用一跨式结构，路中心线与护岸中心线交角90°，梁底距护岸顶0.2m。根据桥址处工程地形条件及公路桥设计荷载，交通桥下部结构采用混凝土重力式桥墩，根据河道宽度调整桥墩底宽。根据可研报告，改造交通桥桥墩稳定及应力均满足规范要求。</w:t>
            </w:r>
          </w:p>
          <w:p w14:paraId="529D0733">
            <w:pPr>
              <w:pStyle w:val="65"/>
              <w:keepNext w:val="0"/>
              <w:keepLines w:val="0"/>
              <w:pageBreakBefore w:val="0"/>
              <w:widowControl w:val="0"/>
              <w:numPr>
                <w:ilvl w:val="0"/>
                <w:numId w:val="14"/>
              </w:numPr>
              <w:kinsoku/>
              <w:wordWrap/>
              <w:overflowPunct/>
              <w:topLinePunct w:val="0"/>
              <w:autoSpaceDE/>
              <w:autoSpaceDN/>
              <w:bidi w:val="0"/>
              <w:adjustRightInd w:val="0"/>
              <w:snapToGrid w:val="0"/>
              <w:spacing w:line="360" w:lineRule="auto"/>
              <w:ind w:left="425" w:leftChars="0" w:right="0" w:hanging="425" w:firstLineChars="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里程桩</w:t>
            </w:r>
          </w:p>
          <w:p w14:paraId="128A373C">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在治理河段沿线每隔0.5km设置里程碑，标明“河道桩号”。里程碑尺寸:90cm</w:t>
            </w:r>
            <w:r>
              <w:rPr>
                <w:rFonts w:hint="default" w:ascii="Arial" w:hAnsi="Arial" w:cs="Arial"/>
                <w:color w:val="auto"/>
                <w:sz w:val="24"/>
                <w:szCs w:val="24"/>
                <w:lang w:val="en-US" w:eastAsia="zh-CN"/>
              </w:rPr>
              <w:t>×</w:t>
            </w:r>
            <w:r>
              <w:rPr>
                <w:rFonts w:hint="default" w:ascii="Times New Roman" w:hAnsi="Times New Roman" w:cs="Times New Roman"/>
                <w:color w:val="auto"/>
                <w:sz w:val="24"/>
                <w:szCs w:val="24"/>
                <w:lang w:val="en-US" w:eastAsia="zh-CN"/>
              </w:rPr>
              <w:t>30cm</w:t>
            </w:r>
            <w:r>
              <w:rPr>
                <w:rFonts w:hint="default" w:ascii="Arial" w:hAnsi="Arial" w:cs="Arial"/>
                <w:color w:val="auto"/>
                <w:sz w:val="24"/>
                <w:szCs w:val="24"/>
                <w:lang w:val="en-US" w:eastAsia="zh-CN"/>
              </w:rPr>
              <w:t>×</w:t>
            </w:r>
            <w:r>
              <w:rPr>
                <w:rFonts w:hint="default" w:ascii="Times New Roman" w:hAnsi="Times New Roman" w:cs="Times New Roman"/>
                <w:color w:val="auto"/>
                <w:sz w:val="24"/>
                <w:szCs w:val="24"/>
                <w:lang w:val="en-US" w:eastAsia="zh-CN"/>
              </w:rPr>
              <w:t>10cm，材质为混凝土</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底座地面以下40cm。</w:t>
            </w:r>
          </w:p>
          <w:p w14:paraId="694D98F5">
            <w:pPr>
              <w:pStyle w:val="65"/>
              <w:keepNext w:val="0"/>
              <w:keepLines w:val="0"/>
              <w:pageBreakBefore w:val="0"/>
              <w:widowControl w:val="0"/>
              <w:numPr>
                <w:ilvl w:val="0"/>
                <w:numId w:val="14"/>
              </w:numPr>
              <w:kinsoku/>
              <w:wordWrap/>
              <w:overflowPunct/>
              <w:topLinePunct w:val="0"/>
              <w:autoSpaceDE/>
              <w:autoSpaceDN/>
              <w:bidi w:val="0"/>
              <w:adjustRightInd w:val="0"/>
              <w:snapToGrid w:val="0"/>
              <w:spacing w:line="360" w:lineRule="auto"/>
              <w:ind w:left="425" w:leftChars="0" w:right="0" w:hanging="425" w:firstLineChars="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警示牌</w:t>
            </w:r>
          </w:p>
          <w:p w14:paraId="1CCCB3CA">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在河道每隔500m设置安全警示牌，标明“水深危险，禁止游泳”等字样。本次工程共设24块安全警示牌。警示牌尺寸60cm</w:t>
            </w:r>
            <w:r>
              <w:rPr>
                <w:rFonts w:hint="default" w:ascii="Arial" w:hAnsi="Arial" w:cs="Arial"/>
                <w:color w:val="auto"/>
                <w:sz w:val="24"/>
                <w:szCs w:val="24"/>
                <w:lang w:val="en-US" w:eastAsia="zh-CN"/>
              </w:rPr>
              <w:t>×</w:t>
            </w:r>
            <w:r>
              <w:rPr>
                <w:rFonts w:hint="default" w:ascii="Times New Roman" w:hAnsi="Times New Roman" w:cs="Times New Roman"/>
                <w:color w:val="auto"/>
                <w:sz w:val="24"/>
                <w:szCs w:val="24"/>
                <w:lang w:val="en-US" w:eastAsia="zh-CN"/>
              </w:rPr>
              <w:t>80cm，材质为加厚铝板+防雨防晒PP背胶。</w:t>
            </w:r>
          </w:p>
          <w:p w14:paraId="4FEACA49">
            <w:pPr>
              <w:keepNext w:val="0"/>
              <w:keepLines w:val="0"/>
              <w:pageBreakBefore w:val="0"/>
              <w:widowControl/>
              <w:numPr>
                <w:ilvl w:val="0"/>
                <w:numId w:val="12"/>
              </w:numPr>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b/>
                <w:bCs/>
                <w:color w:val="auto"/>
                <w:spacing w:val="-1"/>
                <w:sz w:val="24"/>
                <w:szCs w:val="24"/>
                <w:lang w:val="en-US" w:eastAsia="zh-CN"/>
              </w:rPr>
            </w:pPr>
            <w:r>
              <w:rPr>
                <w:rFonts w:hint="default"/>
                <w:b/>
                <w:bCs/>
                <w:color w:val="auto"/>
                <w:spacing w:val="-1"/>
                <w:sz w:val="24"/>
                <w:szCs w:val="24"/>
                <w:lang w:val="en-US" w:eastAsia="zh-CN"/>
              </w:rPr>
              <w:t>主要工程量表</w:t>
            </w:r>
          </w:p>
          <w:p w14:paraId="6A61A000">
            <w:pPr>
              <w:spacing w:line="144" w:lineRule="auto"/>
              <w:rPr>
                <w:rFonts w:ascii="Arial"/>
                <w:color w:val="auto"/>
                <w:sz w:val="2"/>
              </w:rPr>
            </w:pPr>
          </w:p>
          <w:tbl>
            <w:tblPr>
              <w:tblStyle w:val="54"/>
              <w:tblW w:w="829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3"/>
              <w:gridCol w:w="3306"/>
              <w:gridCol w:w="1590"/>
              <w:gridCol w:w="2248"/>
            </w:tblGrid>
            <w:tr w14:paraId="466AC5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 w:hRule="atLeast"/>
              </w:trPr>
              <w:tc>
                <w:tcPr>
                  <w:tcW w:w="1153" w:type="dxa"/>
                  <w:vAlign w:val="center"/>
                </w:tcPr>
                <w:p w14:paraId="0C814EE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z w:val="21"/>
                      <w:szCs w:val="21"/>
                    </w:rPr>
                  </w:pPr>
                  <w:r>
                    <w:rPr>
                      <w:b/>
                      <w:bCs/>
                      <w:color w:val="auto"/>
                      <w:spacing w:val="5"/>
                      <w:sz w:val="21"/>
                      <w:szCs w:val="21"/>
                    </w:rPr>
                    <w:t>序号</w:t>
                  </w:r>
                </w:p>
              </w:tc>
              <w:tc>
                <w:tcPr>
                  <w:tcW w:w="3306" w:type="dxa"/>
                  <w:vAlign w:val="center"/>
                </w:tcPr>
                <w:p w14:paraId="2BC7BEE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z w:val="21"/>
                      <w:szCs w:val="21"/>
                    </w:rPr>
                  </w:pPr>
                  <w:r>
                    <w:rPr>
                      <w:b/>
                      <w:bCs/>
                      <w:color w:val="auto"/>
                      <w:spacing w:val="6"/>
                      <w:sz w:val="21"/>
                      <w:szCs w:val="21"/>
                    </w:rPr>
                    <w:t>项目名称</w:t>
                  </w:r>
                </w:p>
              </w:tc>
              <w:tc>
                <w:tcPr>
                  <w:tcW w:w="1590" w:type="dxa"/>
                  <w:vAlign w:val="center"/>
                </w:tcPr>
                <w:p w14:paraId="53F9574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z w:val="21"/>
                      <w:szCs w:val="21"/>
                    </w:rPr>
                  </w:pPr>
                  <w:r>
                    <w:rPr>
                      <w:b/>
                      <w:bCs/>
                      <w:color w:val="auto"/>
                      <w:spacing w:val="3"/>
                      <w:sz w:val="21"/>
                      <w:szCs w:val="21"/>
                    </w:rPr>
                    <w:t>单位</w:t>
                  </w:r>
                </w:p>
              </w:tc>
              <w:tc>
                <w:tcPr>
                  <w:tcW w:w="2248" w:type="dxa"/>
                  <w:vAlign w:val="center"/>
                </w:tcPr>
                <w:p w14:paraId="2A763DB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z w:val="21"/>
                      <w:szCs w:val="21"/>
                    </w:rPr>
                  </w:pPr>
                  <w:r>
                    <w:rPr>
                      <w:b/>
                      <w:bCs/>
                      <w:color w:val="auto"/>
                      <w:spacing w:val="6"/>
                      <w:sz w:val="21"/>
                      <w:szCs w:val="21"/>
                    </w:rPr>
                    <w:t>工程量</w:t>
                  </w:r>
                </w:p>
              </w:tc>
            </w:tr>
            <w:tr w14:paraId="0F5B2B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31A1412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1"/>
                      <w:sz w:val="21"/>
                      <w:szCs w:val="21"/>
                    </w:rPr>
                    <w:t>1</w:t>
                  </w:r>
                </w:p>
              </w:tc>
              <w:tc>
                <w:tcPr>
                  <w:tcW w:w="3306" w:type="dxa"/>
                  <w:vAlign w:val="center"/>
                </w:tcPr>
                <w:p w14:paraId="061D9CB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6"/>
                      <w:sz w:val="21"/>
                      <w:szCs w:val="21"/>
                    </w:rPr>
                    <w:t>覆盖层</w:t>
                  </w:r>
                </w:p>
              </w:tc>
              <w:tc>
                <w:tcPr>
                  <w:tcW w:w="1590" w:type="dxa"/>
                  <w:vAlign w:val="center"/>
                </w:tcPr>
                <w:p w14:paraId="108ABE8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m³</w:t>
                  </w:r>
                </w:p>
              </w:tc>
              <w:tc>
                <w:tcPr>
                  <w:tcW w:w="2248" w:type="dxa"/>
                  <w:vAlign w:val="center"/>
                </w:tcPr>
                <w:p w14:paraId="5366DAD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150443.62</w:t>
                  </w:r>
                </w:p>
              </w:tc>
            </w:tr>
            <w:tr w14:paraId="748DED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74B95BB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1"/>
                      <w:sz w:val="21"/>
                      <w:szCs w:val="21"/>
                    </w:rPr>
                    <w:t>2</w:t>
                  </w:r>
                </w:p>
              </w:tc>
              <w:tc>
                <w:tcPr>
                  <w:tcW w:w="3306" w:type="dxa"/>
                  <w:vAlign w:val="center"/>
                </w:tcPr>
                <w:p w14:paraId="5648C37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土方开挖</w:t>
                  </w:r>
                </w:p>
              </w:tc>
              <w:tc>
                <w:tcPr>
                  <w:tcW w:w="1590" w:type="dxa"/>
                  <w:vAlign w:val="center"/>
                </w:tcPr>
                <w:p w14:paraId="40B34F7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m³</w:t>
                  </w:r>
                </w:p>
              </w:tc>
              <w:tc>
                <w:tcPr>
                  <w:tcW w:w="2248" w:type="dxa"/>
                  <w:vAlign w:val="center"/>
                </w:tcPr>
                <w:p w14:paraId="20148E9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position w:val="1"/>
                      <w:sz w:val="21"/>
                      <w:szCs w:val="21"/>
                    </w:rPr>
                    <w:t>248254.10</w:t>
                  </w:r>
                </w:p>
              </w:tc>
            </w:tr>
            <w:tr w14:paraId="3425F9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27B143B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1"/>
                      <w:sz w:val="21"/>
                      <w:szCs w:val="21"/>
                    </w:rPr>
                    <w:t>3</w:t>
                  </w:r>
                </w:p>
              </w:tc>
              <w:tc>
                <w:tcPr>
                  <w:tcW w:w="3306" w:type="dxa"/>
                  <w:vAlign w:val="center"/>
                </w:tcPr>
                <w:p w14:paraId="4CEAEB7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土方回填利</w:t>
                  </w:r>
                </w:p>
              </w:tc>
              <w:tc>
                <w:tcPr>
                  <w:tcW w:w="1590" w:type="dxa"/>
                  <w:vAlign w:val="center"/>
                </w:tcPr>
                <w:p w14:paraId="69DCE92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m³</w:t>
                  </w:r>
                </w:p>
              </w:tc>
              <w:tc>
                <w:tcPr>
                  <w:tcW w:w="2248" w:type="dxa"/>
                  <w:vAlign w:val="center"/>
                </w:tcPr>
                <w:p w14:paraId="41E77CC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151006.86</w:t>
                  </w:r>
                </w:p>
              </w:tc>
            </w:tr>
            <w:tr w14:paraId="7724B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6D63132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1"/>
                      <w:sz w:val="21"/>
                      <w:szCs w:val="21"/>
                    </w:rPr>
                    <w:t>4</w:t>
                  </w:r>
                </w:p>
              </w:tc>
              <w:tc>
                <w:tcPr>
                  <w:tcW w:w="3306" w:type="dxa"/>
                  <w:vAlign w:val="center"/>
                </w:tcPr>
                <w:p w14:paraId="6F404DC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砂砾石</w:t>
                  </w:r>
                </w:p>
              </w:tc>
              <w:tc>
                <w:tcPr>
                  <w:tcW w:w="1590" w:type="dxa"/>
                  <w:vAlign w:val="center"/>
                </w:tcPr>
                <w:p w14:paraId="1B4D739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m³</w:t>
                  </w:r>
                </w:p>
              </w:tc>
              <w:tc>
                <w:tcPr>
                  <w:tcW w:w="2248" w:type="dxa"/>
                  <w:vAlign w:val="center"/>
                </w:tcPr>
                <w:p w14:paraId="2CAE628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position w:val="1"/>
                      <w:sz w:val="21"/>
                      <w:szCs w:val="21"/>
                    </w:rPr>
                    <w:t>57355.52</w:t>
                  </w:r>
                </w:p>
              </w:tc>
            </w:tr>
            <w:tr w14:paraId="3E69B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 w:hRule="atLeast"/>
              </w:trPr>
              <w:tc>
                <w:tcPr>
                  <w:tcW w:w="1153" w:type="dxa"/>
                  <w:vAlign w:val="center"/>
                </w:tcPr>
                <w:p w14:paraId="2FD6425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1"/>
                      <w:sz w:val="21"/>
                      <w:szCs w:val="21"/>
                    </w:rPr>
                    <w:t>5</w:t>
                  </w:r>
                </w:p>
              </w:tc>
              <w:tc>
                <w:tcPr>
                  <w:tcW w:w="3306" w:type="dxa"/>
                  <w:vAlign w:val="center"/>
                </w:tcPr>
                <w:p w14:paraId="6226BA8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8"/>
                      <w:sz w:val="21"/>
                      <w:szCs w:val="21"/>
                    </w:rPr>
                    <w:t>砂砾石道路</w:t>
                  </w:r>
                </w:p>
              </w:tc>
              <w:tc>
                <w:tcPr>
                  <w:tcW w:w="1590" w:type="dxa"/>
                  <w:vAlign w:val="center"/>
                </w:tcPr>
                <w:p w14:paraId="0F8394E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pacing w:val="2"/>
                      <w:sz w:val="21"/>
                      <w:szCs w:val="21"/>
                      <w:lang w:val="en-US" w:eastAsia="zh-CN"/>
                    </w:rPr>
                    <w:t>m</w:t>
                  </w:r>
                  <w:r>
                    <w:rPr>
                      <w:rFonts w:hint="eastAsia" w:ascii="Times New Roman" w:hAnsi="Times New Roman" w:cs="Times New Roman"/>
                      <w:color w:val="auto"/>
                      <w:spacing w:val="2"/>
                      <w:sz w:val="21"/>
                      <w:szCs w:val="21"/>
                      <w:vertAlign w:val="superscript"/>
                      <w:lang w:val="en-US" w:eastAsia="zh-CN"/>
                    </w:rPr>
                    <w:t>2</w:t>
                  </w:r>
                </w:p>
              </w:tc>
              <w:tc>
                <w:tcPr>
                  <w:tcW w:w="2248" w:type="dxa"/>
                  <w:vAlign w:val="center"/>
                </w:tcPr>
                <w:p w14:paraId="13F6CF8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position w:val="1"/>
                      <w:sz w:val="21"/>
                      <w:szCs w:val="21"/>
                    </w:rPr>
                    <w:t>8367.50</w:t>
                  </w:r>
                </w:p>
              </w:tc>
            </w:tr>
            <w:tr w14:paraId="38979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400358C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1"/>
                      <w:sz w:val="21"/>
                      <w:szCs w:val="21"/>
                    </w:rPr>
                    <w:t>6</w:t>
                  </w:r>
                </w:p>
              </w:tc>
              <w:tc>
                <w:tcPr>
                  <w:tcW w:w="3306" w:type="dxa"/>
                  <w:vAlign w:val="center"/>
                </w:tcPr>
                <w:p w14:paraId="78CD091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混凝土</w:t>
                  </w:r>
                  <w:r>
                    <w:rPr>
                      <w:rFonts w:hint="default" w:ascii="Times New Roman" w:hAnsi="Times New Roman" w:cs="Times New Roman"/>
                      <w:color w:val="auto"/>
                      <w:spacing w:val="-36"/>
                      <w:sz w:val="21"/>
                      <w:szCs w:val="21"/>
                    </w:rPr>
                    <w:t xml:space="preserve"> </w:t>
                  </w:r>
                  <w:r>
                    <w:rPr>
                      <w:rFonts w:hint="default" w:ascii="Times New Roman" w:hAnsi="Times New Roman" w:cs="Times New Roman"/>
                      <w:color w:val="auto"/>
                      <w:spacing w:val="4"/>
                      <w:sz w:val="21"/>
                      <w:szCs w:val="21"/>
                    </w:rPr>
                    <w:t>C35</w:t>
                  </w:r>
                </w:p>
              </w:tc>
              <w:tc>
                <w:tcPr>
                  <w:tcW w:w="1590" w:type="dxa"/>
                  <w:vAlign w:val="center"/>
                </w:tcPr>
                <w:p w14:paraId="0A1E73E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m³</w:t>
                  </w:r>
                </w:p>
              </w:tc>
              <w:tc>
                <w:tcPr>
                  <w:tcW w:w="2248" w:type="dxa"/>
                  <w:vAlign w:val="center"/>
                </w:tcPr>
                <w:p w14:paraId="77474EF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position w:val="1"/>
                      <w:sz w:val="21"/>
                      <w:szCs w:val="21"/>
                    </w:rPr>
                    <w:t>36324.38</w:t>
                  </w:r>
                </w:p>
              </w:tc>
            </w:tr>
            <w:tr w14:paraId="2F50E4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6CD00A9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1"/>
                      <w:sz w:val="21"/>
                      <w:szCs w:val="21"/>
                    </w:rPr>
                    <w:t>7</w:t>
                  </w:r>
                </w:p>
              </w:tc>
              <w:tc>
                <w:tcPr>
                  <w:tcW w:w="3306" w:type="dxa"/>
                  <w:vAlign w:val="center"/>
                </w:tcPr>
                <w:p w14:paraId="2E69E3C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钢筋制安</w:t>
                  </w:r>
                </w:p>
              </w:tc>
              <w:tc>
                <w:tcPr>
                  <w:tcW w:w="1590" w:type="dxa"/>
                  <w:vAlign w:val="center"/>
                </w:tcPr>
                <w:p w14:paraId="3492298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2"/>
                      <w:sz w:val="21"/>
                      <w:szCs w:val="21"/>
                    </w:rPr>
                    <w:t>t</w:t>
                  </w:r>
                </w:p>
              </w:tc>
              <w:tc>
                <w:tcPr>
                  <w:tcW w:w="2248" w:type="dxa"/>
                  <w:vAlign w:val="center"/>
                </w:tcPr>
                <w:p w14:paraId="62E3086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7.48</w:t>
                  </w:r>
                </w:p>
              </w:tc>
            </w:tr>
            <w:tr w14:paraId="7293A0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3DE0010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1"/>
                      <w:sz w:val="21"/>
                      <w:szCs w:val="21"/>
                    </w:rPr>
                    <w:t>8</w:t>
                  </w:r>
                </w:p>
              </w:tc>
              <w:tc>
                <w:tcPr>
                  <w:tcW w:w="3306" w:type="dxa"/>
                  <w:vAlign w:val="center"/>
                </w:tcPr>
                <w:p w14:paraId="78B9168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5"/>
                      <w:sz w:val="21"/>
                      <w:szCs w:val="21"/>
                    </w:rPr>
                    <w:t>模板</w:t>
                  </w:r>
                </w:p>
              </w:tc>
              <w:tc>
                <w:tcPr>
                  <w:tcW w:w="1590" w:type="dxa"/>
                  <w:vAlign w:val="center"/>
                </w:tcPr>
                <w:p w14:paraId="433DE57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2"/>
                      <w:sz w:val="21"/>
                      <w:szCs w:val="21"/>
                      <w:lang w:val="en-US" w:eastAsia="zh-CN"/>
                    </w:rPr>
                    <w:t>m</w:t>
                  </w:r>
                  <w:r>
                    <w:rPr>
                      <w:rFonts w:hint="eastAsia" w:ascii="Times New Roman" w:hAnsi="Times New Roman" w:cs="Times New Roman"/>
                      <w:color w:val="auto"/>
                      <w:spacing w:val="2"/>
                      <w:sz w:val="21"/>
                      <w:szCs w:val="21"/>
                      <w:vertAlign w:val="superscript"/>
                      <w:lang w:val="en-US" w:eastAsia="zh-CN"/>
                    </w:rPr>
                    <w:t>2</w:t>
                  </w:r>
                </w:p>
              </w:tc>
              <w:tc>
                <w:tcPr>
                  <w:tcW w:w="2248" w:type="dxa"/>
                  <w:vAlign w:val="center"/>
                </w:tcPr>
                <w:p w14:paraId="2140F73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position w:val="1"/>
                      <w:sz w:val="21"/>
                      <w:szCs w:val="21"/>
                    </w:rPr>
                    <w:t>39339.39</w:t>
                  </w:r>
                </w:p>
              </w:tc>
            </w:tr>
            <w:tr w14:paraId="12064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56B1BF0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position w:val="1"/>
                      <w:sz w:val="21"/>
                      <w:szCs w:val="21"/>
                    </w:rPr>
                    <w:t>9</w:t>
                  </w:r>
                </w:p>
              </w:tc>
              <w:tc>
                <w:tcPr>
                  <w:tcW w:w="3306" w:type="dxa"/>
                  <w:vAlign w:val="center"/>
                </w:tcPr>
                <w:p w14:paraId="5200EF5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高压闭孔板</w:t>
                  </w:r>
                </w:p>
              </w:tc>
              <w:tc>
                <w:tcPr>
                  <w:tcW w:w="1590" w:type="dxa"/>
                  <w:vAlign w:val="center"/>
                </w:tcPr>
                <w:p w14:paraId="6BCA53E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2"/>
                      <w:sz w:val="21"/>
                      <w:szCs w:val="21"/>
                      <w:lang w:val="en-US" w:eastAsia="zh-CN"/>
                    </w:rPr>
                    <w:t>m</w:t>
                  </w:r>
                  <w:r>
                    <w:rPr>
                      <w:rFonts w:hint="eastAsia" w:ascii="Times New Roman" w:hAnsi="Times New Roman" w:cs="Times New Roman"/>
                      <w:color w:val="auto"/>
                      <w:spacing w:val="2"/>
                      <w:sz w:val="21"/>
                      <w:szCs w:val="21"/>
                      <w:vertAlign w:val="superscript"/>
                      <w:lang w:val="en-US" w:eastAsia="zh-CN"/>
                    </w:rPr>
                    <w:t>2</w:t>
                  </w:r>
                </w:p>
              </w:tc>
              <w:tc>
                <w:tcPr>
                  <w:tcW w:w="2248" w:type="dxa"/>
                  <w:vAlign w:val="center"/>
                </w:tcPr>
                <w:p w14:paraId="002EFA7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position w:val="1"/>
                      <w:sz w:val="21"/>
                      <w:szCs w:val="21"/>
                    </w:rPr>
                    <w:t>21242.28</w:t>
                  </w:r>
                </w:p>
              </w:tc>
            </w:tr>
            <w:tr w14:paraId="18B9CD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5273511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position w:val="1"/>
                      <w:sz w:val="21"/>
                      <w:szCs w:val="21"/>
                    </w:rPr>
                    <w:t>10</w:t>
                  </w:r>
                </w:p>
              </w:tc>
              <w:tc>
                <w:tcPr>
                  <w:tcW w:w="3306" w:type="dxa"/>
                  <w:vAlign w:val="center"/>
                </w:tcPr>
                <w:p w14:paraId="6698AC6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5"/>
                      <w:sz w:val="21"/>
                      <w:szCs w:val="21"/>
                    </w:rPr>
                    <w:t>浆砌石M30</w:t>
                  </w:r>
                </w:p>
              </w:tc>
              <w:tc>
                <w:tcPr>
                  <w:tcW w:w="1590" w:type="dxa"/>
                  <w:vAlign w:val="center"/>
                </w:tcPr>
                <w:p w14:paraId="5B5729E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m³</w:t>
                  </w:r>
                </w:p>
              </w:tc>
              <w:tc>
                <w:tcPr>
                  <w:tcW w:w="2248" w:type="dxa"/>
                  <w:vAlign w:val="center"/>
                </w:tcPr>
                <w:p w14:paraId="480A90F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position w:val="1"/>
                      <w:sz w:val="21"/>
                      <w:szCs w:val="21"/>
                    </w:rPr>
                    <w:t>1063.95</w:t>
                  </w:r>
                </w:p>
              </w:tc>
            </w:tr>
            <w:tr w14:paraId="4F6044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6C20E83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position w:val="1"/>
                      <w:sz w:val="21"/>
                      <w:szCs w:val="21"/>
                    </w:rPr>
                    <w:t>11</w:t>
                  </w:r>
                </w:p>
              </w:tc>
              <w:tc>
                <w:tcPr>
                  <w:tcW w:w="3306" w:type="dxa"/>
                  <w:vAlign w:val="center"/>
                </w:tcPr>
                <w:p w14:paraId="53E0189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格宾石笼</w:t>
                  </w:r>
                </w:p>
              </w:tc>
              <w:tc>
                <w:tcPr>
                  <w:tcW w:w="1590" w:type="dxa"/>
                  <w:vAlign w:val="center"/>
                </w:tcPr>
                <w:p w14:paraId="2127F3F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m³</w:t>
                  </w:r>
                </w:p>
              </w:tc>
              <w:tc>
                <w:tcPr>
                  <w:tcW w:w="2248" w:type="dxa"/>
                  <w:vAlign w:val="center"/>
                </w:tcPr>
                <w:p w14:paraId="4F03D93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position w:val="1"/>
                      <w:sz w:val="21"/>
                      <w:szCs w:val="21"/>
                    </w:rPr>
                    <w:t>5071.44</w:t>
                  </w:r>
                </w:p>
              </w:tc>
            </w:tr>
            <w:tr w14:paraId="219252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371C792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position w:val="1"/>
                      <w:sz w:val="21"/>
                      <w:szCs w:val="21"/>
                    </w:rPr>
                    <w:t>12</w:t>
                  </w:r>
                </w:p>
              </w:tc>
              <w:tc>
                <w:tcPr>
                  <w:tcW w:w="3306" w:type="dxa"/>
                  <w:vAlign w:val="center"/>
                </w:tcPr>
                <w:p w14:paraId="177A8D8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栏杆</w:t>
                  </w:r>
                </w:p>
              </w:tc>
              <w:tc>
                <w:tcPr>
                  <w:tcW w:w="1590" w:type="dxa"/>
                  <w:vAlign w:val="center"/>
                </w:tcPr>
                <w:p w14:paraId="6F9AAF4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position w:val="3"/>
                      <w:sz w:val="21"/>
                      <w:szCs w:val="21"/>
                    </w:rPr>
                    <w:t>m</w:t>
                  </w:r>
                </w:p>
              </w:tc>
              <w:tc>
                <w:tcPr>
                  <w:tcW w:w="2248" w:type="dxa"/>
                  <w:vAlign w:val="center"/>
                </w:tcPr>
                <w:p w14:paraId="252BEAC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position w:val="1"/>
                      <w:sz w:val="21"/>
                      <w:szCs w:val="21"/>
                    </w:rPr>
                    <w:t>8222.00</w:t>
                  </w:r>
                </w:p>
              </w:tc>
            </w:tr>
            <w:tr w14:paraId="4D9914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7D01781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position w:val="1"/>
                      <w:sz w:val="21"/>
                      <w:szCs w:val="21"/>
                    </w:rPr>
                    <w:t>13</w:t>
                  </w:r>
                </w:p>
              </w:tc>
              <w:tc>
                <w:tcPr>
                  <w:tcW w:w="3306" w:type="dxa"/>
                  <w:vAlign w:val="center"/>
                </w:tcPr>
                <w:p w14:paraId="47244C3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5"/>
                      <w:sz w:val="21"/>
                      <w:szCs w:val="21"/>
                    </w:rPr>
                    <w:t>警示牌</w:t>
                  </w:r>
                </w:p>
              </w:tc>
              <w:tc>
                <w:tcPr>
                  <w:tcW w:w="1590" w:type="dxa"/>
                  <w:vAlign w:val="center"/>
                </w:tcPr>
                <w:p w14:paraId="4003B6C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个</w:t>
                  </w:r>
                </w:p>
              </w:tc>
              <w:tc>
                <w:tcPr>
                  <w:tcW w:w="2248" w:type="dxa"/>
                  <w:vAlign w:val="center"/>
                </w:tcPr>
                <w:p w14:paraId="6D485C7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20.00</w:t>
                  </w:r>
                </w:p>
              </w:tc>
            </w:tr>
            <w:tr w14:paraId="65804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53" w:type="dxa"/>
                  <w:vAlign w:val="center"/>
                </w:tcPr>
                <w:p w14:paraId="78F66BD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position w:val="1"/>
                      <w:sz w:val="21"/>
                      <w:szCs w:val="21"/>
                    </w:rPr>
                    <w:t>14</w:t>
                  </w:r>
                </w:p>
              </w:tc>
              <w:tc>
                <w:tcPr>
                  <w:tcW w:w="3306" w:type="dxa"/>
                  <w:vAlign w:val="center"/>
                </w:tcPr>
                <w:p w14:paraId="1918A78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6"/>
                      <w:sz w:val="21"/>
                      <w:szCs w:val="21"/>
                    </w:rPr>
                    <w:t>里程桩</w:t>
                  </w:r>
                </w:p>
              </w:tc>
              <w:tc>
                <w:tcPr>
                  <w:tcW w:w="1590" w:type="dxa"/>
                  <w:vAlign w:val="center"/>
                </w:tcPr>
                <w:p w14:paraId="28ED1D8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个</w:t>
                  </w:r>
                </w:p>
              </w:tc>
              <w:tc>
                <w:tcPr>
                  <w:tcW w:w="2248" w:type="dxa"/>
                  <w:vAlign w:val="center"/>
                </w:tcPr>
                <w:p w14:paraId="4B52B4F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24.00</w:t>
                  </w:r>
                </w:p>
              </w:tc>
            </w:tr>
          </w:tbl>
          <w:p w14:paraId="2DCAF9CC">
            <w:pPr>
              <w:pStyle w:val="65"/>
              <w:keepNext w:val="0"/>
              <w:keepLines w:val="0"/>
              <w:pageBreakBefore w:val="0"/>
              <w:widowControl w:val="0"/>
              <w:numPr>
                <w:ilvl w:val="0"/>
                <w:numId w:val="13"/>
              </w:numPr>
              <w:kinsoku/>
              <w:wordWrap/>
              <w:topLinePunct w:val="0"/>
              <w:autoSpaceDE/>
              <w:autoSpaceDN/>
              <w:bidi w:val="0"/>
              <w:adjustRightInd w:val="0"/>
              <w:snapToGrid w:val="0"/>
              <w:spacing w:line="360" w:lineRule="auto"/>
              <w:ind w:left="425" w:leftChars="0" w:right="0" w:hanging="425" w:firstLineChars="0"/>
              <w:textAlignment w:val="auto"/>
              <w:rPr>
                <w:rFonts w:hint="default"/>
                <w:b/>
                <w:bCs/>
                <w:color w:val="auto"/>
                <w:spacing w:val="-6"/>
                <w:sz w:val="24"/>
                <w:szCs w:val="24"/>
                <w:lang w:val="en-US" w:eastAsia="zh-CN"/>
              </w:rPr>
            </w:pPr>
            <w:r>
              <w:rPr>
                <w:rFonts w:hint="default"/>
                <w:b/>
                <w:bCs/>
                <w:color w:val="auto"/>
                <w:spacing w:val="-6"/>
                <w:sz w:val="24"/>
                <w:szCs w:val="24"/>
                <w:lang w:val="en-US" w:eastAsia="zh-CN"/>
              </w:rPr>
              <w:t>工程占地、拆迁</w:t>
            </w:r>
          </w:p>
          <w:p w14:paraId="0144AA94">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504" w:firstLineChars="200"/>
              <w:textAlignment w:val="auto"/>
              <w:rPr>
                <w:color w:val="auto"/>
              </w:rPr>
            </w:pPr>
            <w:r>
              <w:rPr>
                <w:rFonts w:hint="default" w:ascii="Times New Roman" w:hAnsi="Times New Roman" w:cs="Times New Roman"/>
                <w:b w:val="0"/>
                <w:bCs w:val="0"/>
                <w:color w:val="auto"/>
                <w:spacing w:val="6"/>
                <w:sz w:val="24"/>
                <w:szCs w:val="24"/>
                <w:lang w:val="en-US" w:eastAsia="zh-CN"/>
              </w:rPr>
              <w:t>工程建设征地总面积561.58亩，其中永久用地面积308.64亩，临时用地面积252.95亩。项目已取得奇台县自然资源局复函，同意用地。相关手续正在办理中，根据</w:t>
            </w:r>
            <w:r>
              <w:rPr>
                <w:rFonts w:hint="eastAsia" w:ascii="Times New Roman" w:hAnsi="Times New Roman" w:cs="Times New Roman"/>
                <w:b w:val="0"/>
                <w:bCs w:val="0"/>
                <w:color w:val="auto"/>
                <w:spacing w:val="6"/>
                <w:sz w:val="24"/>
                <w:szCs w:val="24"/>
                <w:lang w:val="en-US" w:eastAsia="zh-CN"/>
              </w:rPr>
              <w:t>初步</w:t>
            </w:r>
            <w:r>
              <w:rPr>
                <w:rFonts w:hint="default" w:ascii="Times New Roman" w:hAnsi="Times New Roman" w:cs="Times New Roman"/>
                <w:b w:val="0"/>
                <w:bCs w:val="0"/>
                <w:color w:val="auto"/>
                <w:spacing w:val="6"/>
                <w:sz w:val="24"/>
                <w:szCs w:val="24"/>
                <w:lang w:val="en-US" w:eastAsia="zh-CN"/>
              </w:rPr>
              <w:t>设计资料，核算出临时及永久占地面积，</w:t>
            </w:r>
            <w:r>
              <w:rPr>
                <w:rFonts w:hint="eastAsia" w:ascii="Times New Roman" w:hAnsi="Times New Roman" w:cs="Times New Roman"/>
                <w:b w:val="0"/>
                <w:bCs w:val="0"/>
                <w:color w:val="auto"/>
                <w:spacing w:val="6"/>
                <w:sz w:val="24"/>
                <w:szCs w:val="24"/>
                <w:lang w:val="en-US" w:eastAsia="zh-CN"/>
              </w:rPr>
              <w:t>根据现场核勘，</w:t>
            </w:r>
            <w:r>
              <w:rPr>
                <w:rFonts w:hint="default" w:ascii="Times New Roman" w:hAnsi="Times New Roman" w:cs="Times New Roman"/>
                <w:b w:val="0"/>
                <w:bCs w:val="0"/>
                <w:color w:val="auto"/>
                <w:spacing w:val="6"/>
                <w:sz w:val="24"/>
                <w:szCs w:val="24"/>
                <w:lang w:val="en-US" w:eastAsia="zh-CN"/>
              </w:rPr>
              <w:t>河道管理范围</w:t>
            </w:r>
            <w:r>
              <w:rPr>
                <w:rFonts w:hint="eastAsia" w:ascii="Times New Roman" w:hAnsi="Times New Roman" w:cs="Times New Roman"/>
                <w:b w:val="0"/>
                <w:bCs w:val="0"/>
                <w:color w:val="auto"/>
                <w:spacing w:val="6"/>
                <w:sz w:val="24"/>
                <w:szCs w:val="24"/>
                <w:lang w:val="en-US" w:eastAsia="zh-CN"/>
              </w:rPr>
              <w:t>不涉及林地、草地，临时占地涉及林地、草地。</w:t>
            </w:r>
            <w:r>
              <w:rPr>
                <w:rFonts w:hint="default" w:ascii="Times New Roman" w:hAnsi="Times New Roman" w:cs="Times New Roman"/>
                <w:color w:val="auto"/>
                <w:sz w:val="24"/>
                <w:szCs w:val="24"/>
                <w:lang w:val="en-US" w:eastAsia="zh-CN"/>
              </w:rPr>
              <w:t>工程建设征地实物成果汇总详见表</w:t>
            </w:r>
            <w:r>
              <w:rPr>
                <w:rFonts w:hint="eastAsia" w:ascii="Times New Roman" w:hAnsi="Times New Roman" w:cs="Times New Roman"/>
                <w:color w:val="auto"/>
                <w:sz w:val="24"/>
                <w:szCs w:val="24"/>
                <w:lang w:val="en-US" w:eastAsia="zh-CN"/>
              </w:rPr>
              <w:t>2-8</w:t>
            </w:r>
            <w:r>
              <w:rPr>
                <w:rFonts w:hint="default" w:ascii="Times New Roman" w:hAnsi="Times New Roman" w:cs="Times New Roman"/>
                <w:color w:val="auto"/>
                <w:sz w:val="24"/>
                <w:szCs w:val="24"/>
                <w:lang w:val="en-US" w:eastAsia="zh-CN"/>
              </w:rPr>
              <w:t>。</w:t>
            </w:r>
          </w:p>
          <w:p w14:paraId="1D721344">
            <w:pPr>
              <w:keepNext w:val="0"/>
              <w:keepLines w:val="0"/>
              <w:pageBreakBefore w:val="0"/>
              <w:widowControl/>
              <w:numPr>
                <w:ilvl w:val="0"/>
                <w:numId w:val="12"/>
              </w:numPr>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b/>
                <w:bCs/>
                <w:color w:val="auto"/>
                <w:spacing w:val="-1"/>
                <w:sz w:val="24"/>
                <w:szCs w:val="24"/>
                <w:lang w:val="en-US" w:eastAsia="zh-CN"/>
              </w:rPr>
            </w:pPr>
            <w:r>
              <w:rPr>
                <w:rFonts w:hint="default"/>
                <w:b/>
                <w:bCs/>
                <w:color w:val="auto"/>
                <w:spacing w:val="-1"/>
                <w:sz w:val="24"/>
                <w:szCs w:val="24"/>
                <w:lang w:val="en-US" w:eastAsia="zh-CN"/>
              </w:rPr>
              <w:t>吉布库河城区段治理工程占地汇总表</w:t>
            </w:r>
          </w:p>
          <w:tbl>
            <w:tblPr>
              <w:tblStyle w:val="54"/>
              <w:tblW w:w="83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1"/>
              <w:gridCol w:w="516"/>
              <w:gridCol w:w="788"/>
              <w:gridCol w:w="793"/>
              <w:gridCol w:w="762"/>
              <w:gridCol w:w="810"/>
              <w:gridCol w:w="810"/>
              <w:gridCol w:w="665"/>
              <w:gridCol w:w="889"/>
              <w:gridCol w:w="973"/>
            </w:tblGrid>
            <w:tr w14:paraId="5A750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331" w:type="dxa"/>
                  <w:vMerge w:val="restart"/>
                  <w:tcBorders>
                    <w:bottom w:val="nil"/>
                  </w:tcBorders>
                  <w:vAlign w:val="center"/>
                </w:tcPr>
                <w:p w14:paraId="0951227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rPr>
                  </w:pPr>
                  <w:r>
                    <w:rPr>
                      <w:b/>
                      <w:bCs/>
                      <w:color w:val="auto"/>
                      <w:spacing w:val="3"/>
                    </w:rPr>
                    <w:t>项目</w:t>
                  </w:r>
                </w:p>
              </w:tc>
              <w:tc>
                <w:tcPr>
                  <w:tcW w:w="516" w:type="dxa"/>
                  <w:vMerge w:val="restart"/>
                  <w:tcBorders>
                    <w:bottom w:val="nil"/>
                  </w:tcBorders>
                  <w:vAlign w:val="center"/>
                </w:tcPr>
                <w:p w14:paraId="3B87639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rPr>
                  </w:pPr>
                  <w:r>
                    <w:rPr>
                      <w:b/>
                      <w:bCs/>
                      <w:color w:val="auto"/>
                      <w:spacing w:val="8"/>
                    </w:rPr>
                    <w:t>单</w:t>
                  </w:r>
                  <w:r>
                    <w:rPr>
                      <w:b/>
                      <w:bCs/>
                      <w:color w:val="auto"/>
                      <w:spacing w:val="-38"/>
                    </w:rPr>
                    <w:t xml:space="preserve"> </w:t>
                  </w:r>
                  <w:r>
                    <w:rPr>
                      <w:b/>
                      <w:bCs/>
                      <w:color w:val="auto"/>
                      <w:spacing w:val="8"/>
                    </w:rPr>
                    <w:t>位</w:t>
                  </w:r>
                </w:p>
              </w:tc>
              <w:tc>
                <w:tcPr>
                  <w:tcW w:w="788" w:type="dxa"/>
                  <w:vMerge w:val="restart"/>
                  <w:tcBorders>
                    <w:bottom w:val="nil"/>
                  </w:tcBorders>
                  <w:vAlign w:val="center"/>
                </w:tcPr>
                <w:p w14:paraId="079A21A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rPr>
                  </w:pPr>
                  <w:r>
                    <w:rPr>
                      <w:b/>
                      <w:bCs/>
                      <w:color w:val="auto"/>
                      <w:spacing w:val="4"/>
                    </w:rPr>
                    <w:t>合计</w:t>
                  </w:r>
                </w:p>
              </w:tc>
              <w:tc>
                <w:tcPr>
                  <w:tcW w:w="2365" w:type="dxa"/>
                  <w:gridSpan w:val="3"/>
                  <w:vAlign w:val="center"/>
                </w:tcPr>
                <w:p w14:paraId="0DF2BD2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eastAsia="宋体"/>
                      <w:b/>
                      <w:bCs/>
                      <w:color w:val="auto"/>
                      <w:lang w:eastAsia="zh-CN"/>
                    </w:rPr>
                  </w:pPr>
                  <w:r>
                    <w:rPr>
                      <w:b/>
                      <w:bCs/>
                      <w:color w:val="auto"/>
                      <w:spacing w:val="6"/>
                    </w:rPr>
                    <w:t>永久占地</w:t>
                  </w:r>
                </w:p>
              </w:tc>
              <w:tc>
                <w:tcPr>
                  <w:tcW w:w="3337" w:type="dxa"/>
                  <w:gridSpan w:val="4"/>
                  <w:vAlign w:val="center"/>
                </w:tcPr>
                <w:p w14:paraId="035CBD1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rPr>
                  </w:pPr>
                  <w:r>
                    <w:rPr>
                      <w:b/>
                      <w:bCs/>
                      <w:color w:val="auto"/>
                      <w:spacing w:val="4"/>
                    </w:rPr>
                    <w:t>临时用地</w:t>
                  </w:r>
                </w:p>
              </w:tc>
            </w:tr>
            <w:tr w14:paraId="5ED2F4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trPr>
              <w:tc>
                <w:tcPr>
                  <w:tcW w:w="1331" w:type="dxa"/>
                  <w:vMerge w:val="continue"/>
                  <w:tcBorders>
                    <w:top w:val="nil"/>
                  </w:tcBorders>
                  <w:vAlign w:val="center"/>
                </w:tcPr>
                <w:p w14:paraId="51C3C00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Arial"/>
                      <w:b/>
                      <w:bCs/>
                      <w:color w:val="auto"/>
                      <w:sz w:val="21"/>
                    </w:rPr>
                  </w:pPr>
                </w:p>
              </w:tc>
              <w:tc>
                <w:tcPr>
                  <w:tcW w:w="516" w:type="dxa"/>
                  <w:vMerge w:val="continue"/>
                  <w:tcBorders>
                    <w:top w:val="nil"/>
                  </w:tcBorders>
                  <w:textDirection w:val="tbRlV"/>
                  <w:vAlign w:val="center"/>
                </w:tcPr>
                <w:p w14:paraId="4DB92CC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Arial"/>
                      <w:b/>
                      <w:bCs/>
                      <w:color w:val="auto"/>
                      <w:sz w:val="21"/>
                    </w:rPr>
                  </w:pPr>
                </w:p>
              </w:tc>
              <w:tc>
                <w:tcPr>
                  <w:tcW w:w="788" w:type="dxa"/>
                  <w:vMerge w:val="continue"/>
                  <w:tcBorders>
                    <w:top w:val="nil"/>
                  </w:tcBorders>
                  <w:vAlign w:val="center"/>
                </w:tcPr>
                <w:p w14:paraId="67AC97C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Arial"/>
                      <w:b/>
                      <w:bCs/>
                      <w:color w:val="auto"/>
                      <w:sz w:val="21"/>
                    </w:rPr>
                  </w:pPr>
                </w:p>
              </w:tc>
              <w:tc>
                <w:tcPr>
                  <w:tcW w:w="793" w:type="dxa"/>
                  <w:vAlign w:val="center"/>
                </w:tcPr>
                <w:p w14:paraId="33DC65D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rPr>
                  </w:pPr>
                  <w:r>
                    <w:rPr>
                      <w:b/>
                      <w:bCs/>
                      <w:color w:val="auto"/>
                      <w:spacing w:val="2"/>
                    </w:rPr>
                    <w:t>小计</w:t>
                  </w:r>
                </w:p>
              </w:tc>
              <w:tc>
                <w:tcPr>
                  <w:tcW w:w="762" w:type="dxa"/>
                  <w:vAlign w:val="center"/>
                </w:tcPr>
                <w:p w14:paraId="066A210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rPr>
                  </w:pPr>
                  <w:r>
                    <w:rPr>
                      <w:b/>
                      <w:bCs/>
                      <w:color w:val="auto"/>
                      <w:spacing w:val="4"/>
                    </w:rPr>
                    <w:t>护岸</w:t>
                  </w:r>
                </w:p>
              </w:tc>
              <w:tc>
                <w:tcPr>
                  <w:tcW w:w="810" w:type="dxa"/>
                  <w:vAlign w:val="center"/>
                </w:tcPr>
                <w:p w14:paraId="45A622E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bCs/>
                      <w:color w:val="auto"/>
                    </w:rPr>
                  </w:pPr>
                  <w:r>
                    <w:rPr>
                      <w:b/>
                      <w:bCs/>
                      <w:color w:val="auto"/>
                      <w:spacing w:val="6"/>
                    </w:rPr>
                    <w:t>巡检道</w:t>
                  </w:r>
                  <w:r>
                    <w:rPr>
                      <w:b/>
                      <w:bCs/>
                      <w:color w:val="auto"/>
                    </w:rPr>
                    <w:t>路</w:t>
                  </w:r>
                </w:p>
              </w:tc>
              <w:tc>
                <w:tcPr>
                  <w:tcW w:w="810" w:type="dxa"/>
                  <w:vAlign w:val="center"/>
                </w:tcPr>
                <w:p w14:paraId="5915260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rPr>
                  </w:pPr>
                  <w:r>
                    <w:rPr>
                      <w:b/>
                      <w:bCs/>
                      <w:color w:val="auto"/>
                      <w:spacing w:val="2"/>
                    </w:rPr>
                    <w:t>小计</w:t>
                  </w:r>
                </w:p>
              </w:tc>
              <w:tc>
                <w:tcPr>
                  <w:tcW w:w="665" w:type="dxa"/>
                  <w:vAlign w:val="center"/>
                </w:tcPr>
                <w:p w14:paraId="259DECC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rPr>
                  </w:pPr>
                  <w:r>
                    <w:rPr>
                      <w:b/>
                      <w:bCs/>
                      <w:color w:val="auto"/>
                      <w:spacing w:val="4"/>
                    </w:rPr>
                    <w:t>护岸</w:t>
                  </w:r>
                </w:p>
              </w:tc>
              <w:tc>
                <w:tcPr>
                  <w:tcW w:w="889" w:type="dxa"/>
                  <w:vAlign w:val="center"/>
                </w:tcPr>
                <w:p w14:paraId="143D1A8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rPr>
                  </w:pPr>
                  <w:r>
                    <w:rPr>
                      <w:b/>
                      <w:bCs/>
                      <w:color w:val="auto"/>
                      <w:spacing w:val="3"/>
                    </w:rPr>
                    <w:t>临时施</w:t>
                  </w:r>
                </w:p>
                <w:p w14:paraId="074906A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rPr>
                  </w:pPr>
                  <w:r>
                    <w:rPr>
                      <w:b/>
                      <w:bCs/>
                      <w:color w:val="auto"/>
                      <w:spacing w:val="6"/>
                    </w:rPr>
                    <w:t>工道路</w:t>
                  </w:r>
                </w:p>
              </w:tc>
              <w:tc>
                <w:tcPr>
                  <w:tcW w:w="973" w:type="dxa"/>
                  <w:vAlign w:val="center"/>
                </w:tcPr>
                <w:p w14:paraId="1DB08BD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bCs/>
                      <w:color w:val="auto"/>
                    </w:rPr>
                  </w:pPr>
                  <w:r>
                    <w:rPr>
                      <w:b/>
                      <w:bCs/>
                      <w:color w:val="auto"/>
                      <w:spacing w:val="7"/>
                    </w:rPr>
                    <w:t>其他临时</w:t>
                  </w:r>
                  <w:r>
                    <w:rPr>
                      <w:b/>
                      <w:bCs/>
                      <w:color w:val="auto"/>
                      <w:spacing w:val="3"/>
                    </w:rPr>
                    <w:t>用地</w:t>
                  </w:r>
                </w:p>
              </w:tc>
            </w:tr>
            <w:tr w14:paraId="1DD61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8337" w:type="dxa"/>
                  <w:gridSpan w:val="10"/>
                  <w:vAlign w:val="center"/>
                </w:tcPr>
                <w:p w14:paraId="5DEEE58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7"/>
                    </w:rPr>
                    <w:t>一、农村部分</w:t>
                  </w:r>
                </w:p>
              </w:tc>
            </w:tr>
            <w:tr w14:paraId="7545C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1331" w:type="dxa"/>
                  <w:vAlign w:val="center"/>
                </w:tcPr>
                <w:p w14:paraId="417C397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rPr>
                    <w:t>1.林地</w:t>
                  </w:r>
                </w:p>
              </w:tc>
              <w:tc>
                <w:tcPr>
                  <w:tcW w:w="516" w:type="dxa"/>
                  <w:vAlign w:val="center"/>
                </w:tcPr>
                <w:p w14:paraId="7EFE481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亩</w:t>
                  </w:r>
                </w:p>
              </w:tc>
              <w:tc>
                <w:tcPr>
                  <w:tcW w:w="788" w:type="dxa"/>
                  <w:vAlign w:val="center"/>
                </w:tcPr>
                <w:p w14:paraId="438A0D4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32.30</w:t>
                  </w:r>
                </w:p>
              </w:tc>
              <w:tc>
                <w:tcPr>
                  <w:tcW w:w="793" w:type="dxa"/>
                  <w:vAlign w:val="center"/>
                </w:tcPr>
                <w:p w14:paraId="4B8666D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20.58</w:t>
                  </w:r>
                </w:p>
              </w:tc>
              <w:tc>
                <w:tcPr>
                  <w:tcW w:w="762" w:type="dxa"/>
                  <w:vAlign w:val="center"/>
                </w:tcPr>
                <w:p w14:paraId="222EA94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10.29</w:t>
                  </w:r>
                </w:p>
              </w:tc>
              <w:tc>
                <w:tcPr>
                  <w:tcW w:w="810" w:type="dxa"/>
                  <w:vAlign w:val="center"/>
                </w:tcPr>
                <w:p w14:paraId="5CEB80B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10.29</w:t>
                  </w:r>
                </w:p>
              </w:tc>
              <w:tc>
                <w:tcPr>
                  <w:tcW w:w="810" w:type="dxa"/>
                  <w:vAlign w:val="center"/>
                </w:tcPr>
                <w:p w14:paraId="2BE6EFF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11.72</w:t>
                  </w:r>
                </w:p>
              </w:tc>
              <w:tc>
                <w:tcPr>
                  <w:tcW w:w="665" w:type="dxa"/>
                  <w:vAlign w:val="center"/>
                </w:tcPr>
                <w:p w14:paraId="6228328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889" w:type="dxa"/>
                  <w:vAlign w:val="center"/>
                </w:tcPr>
                <w:p w14:paraId="1C90DB3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11.72</w:t>
                  </w:r>
                </w:p>
              </w:tc>
              <w:tc>
                <w:tcPr>
                  <w:tcW w:w="973" w:type="dxa"/>
                  <w:vAlign w:val="center"/>
                </w:tcPr>
                <w:p w14:paraId="1716DFC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r>
            <w:tr w14:paraId="6EF3F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331" w:type="dxa"/>
                  <w:vAlign w:val="center"/>
                </w:tcPr>
                <w:p w14:paraId="47CC16F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4"/>
                    </w:rPr>
                    <w:t>2.耕地</w:t>
                  </w:r>
                </w:p>
              </w:tc>
              <w:tc>
                <w:tcPr>
                  <w:tcW w:w="516" w:type="dxa"/>
                  <w:vAlign w:val="center"/>
                </w:tcPr>
                <w:p w14:paraId="3ECCD93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亩</w:t>
                  </w:r>
                </w:p>
              </w:tc>
              <w:tc>
                <w:tcPr>
                  <w:tcW w:w="788" w:type="dxa"/>
                  <w:vAlign w:val="center"/>
                </w:tcPr>
                <w:p w14:paraId="45286B1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0.00</w:t>
                  </w:r>
                </w:p>
              </w:tc>
              <w:tc>
                <w:tcPr>
                  <w:tcW w:w="793" w:type="dxa"/>
                  <w:vAlign w:val="center"/>
                </w:tcPr>
                <w:p w14:paraId="1326D5A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0.00</w:t>
                  </w:r>
                </w:p>
              </w:tc>
              <w:tc>
                <w:tcPr>
                  <w:tcW w:w="762" w:type="dxa"/>
                  <w:vAlign w:val="center"/>
                </w:tcPr>
                <w:p w14:paraId="64DDC07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810" w:type="dxa"/>
                  <w:vAlign w:val="center"/>
                </w:tcPr>
                <w:p w14:paraId="3930B0E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810" w:type="dxa"/>
                  <w:vAlign w:val="center"/>
                </w:tcPr>
                <w:p w14:paraId="7A1BFFF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0.00</w:t>
                  </w:r>
                </w:p>
              </w:tc>
              <w:tc>
                <w:tcPr>
                  <w:tcW w:w="665" w:type="dxa"/>
                  <w:vAlign w:val="center"/>
                </w:tcPr>
                <w:p w14:paraId="4D69625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889" w:type="dxa"/>
                  <w:vAlign w:val="center"/>
                </w:tcPr>
                <w:p w14:paraId="375568A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973" w:type="dxa"/>
                  <w:vAlign w:val="center"/>
                </w:tcPr>
                <w:p w14:paraId="499F62E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r>
            <w:tr w14:paraId="28C405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1331" w:type="dxa"/>
                  <w:vAlign w:val="center"/>
                </w:tcPr>
                <w:p w14:paraId="03BB7DC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5"/>
                    </w:rPr>
                    <w:t>3.天然草场</w:t>
                  </w:r>
                </w:p>
              </w:tc>
              <w:tc>
                <w:tcPr>
                  <w:tcW w:w="516" w:type="dxa"/>
                  <w:vAlign w:val="center"/>
                </w:tcPr>
                <w:p w14:paraId="1151C06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亩</w:t>
                  </w:r>
                </w:p>
              </w:tc>
              <w:tc>
                <w:tcPr>
                  <w:tcW w:w="788" w:type="dxa"/>
                  <w:vAlign w:val="center"/>
                </w:tcPr>
                <w:p w14:paraId="7EC2B91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85.54</w:t>
                  </w:r>
                </w:p>
              </w:tc>
              <w:tc>
                <w:tcPr>
                  <w:tcW w:w="793" w:type="dxa"/>
                  <w:vAlign w:val="center"/>
                </w:tcPr>
                <w:p w14:paraId="2C8D914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33.95</w:t>
                  </w:r>
                </w:p>
              </w:tc>
              <w:tc>
                <w:tcPr>
                  <w:tcW w:w="762" w:type="dxa"/>
                  <w:vAlign w:val="center"/>
                </w:tcPr>
                <w:p w14:paraId="1B456A9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20.58</w:t>
                  </w:r>
                </w:p>
              </w:tc>
              <w:tc>
                <w:tcPr>
                  <w:tcW w:w="810" w:type="dxa"/>
                  <w:vAlign w:val="center"/>
                </w:tcPr>
                <w:p w14:paraId="684E426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13.37</w:t>
                  </w:r>
                </w:p>
              </w:tc>
              <w:tc>
                <w:tcPr>
                  <w:tcW w:w="810" w:type="dxa"/>
                  <w:vAlign w:val="center"/>
                </w:tcPr>
                <w:p w14:paraId="6FAEA38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51.59</w:t>
                  </w:r>
                </w:p>
              </w:tc>
              <w:tc>
                <w:tcPr>
                  <w:tcW w:w="665" w:type="dxa"/>
                  <w:vAlign w:val="center"/>
                </w:tcPr>
                <w:p w14:paraId="58873F5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889" w:type="dxa"/>
                  <w:vAlign w:val="center"/>
                </w:tcPr>
                <w:p w14:paraId="11A3C71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51.59</w:t>
                  </w:r>
                </w:p>
              </w:tc>
              <w:tc>
                <w:tcPr>
                  <w:tcW w:w="973" w:type="dxa"/>
                  <w:vAlign w:val="center"/>
                </w:tcPr>
                <w:p w14:paraId="3E9CED9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r>
            <w:tr w14:paraId="3C8E9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1331" w:type="dxa"/>
                  <w:vAlign w:val="center"/>
                </w:tcPr>
                <w:p w14:paraId="4D7132C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6"/>
                    </w:rPr>
                    <w:t>4.人工草场</w:t>
                  </w:r>
                </w:p>
              </w:tc>
              <w:tc>
                <w:tcPr>
                  <w:tcW w:w="516" w:type="dxa"/>
                  <w:vAlign w:val="center"/>
                </w:tcPr>
                <w:p w14:paraId="6A1CB10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亩</w:t>
                  </w:r>
                </w:p>
              </w:tc>
              <w:tc>
                <w:tcPr>
                  <w:tcW w:w="788" w:type="dxa"/>
                  <w:vAlign w:val="center"/>
                </w:tcPr>
                <w:p w14:paraId="2049E9A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0.00</w:t>
                  </w:r>
                </w:p>
              </w:tc>
              <w:tc>
                <w:tcPr>
                  <w:tcW w:w="793" w:type="dxa"/>
                  <w:vAlign w:val="center"/>
                </w:tcPr>
                <w:p w14:paraId="09A8C87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0.00</w:t>
                  </w:r>
                </w:p>
              </w:tc>
              <w:tc>
                <w:tcPr>
                  <w:tcW w:w="762" w:type="dxa"/>
                  <w:vAlign w:val="center"/>
                </w:tcPr>
                <w:p w14:paraId="215503B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810" w:type="dxa"/>
                  <w:vAlign w:val="center"/>
                </w:tcPr>
                <w:p w14:paraId="0C303F8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810" w:type="dxa"/>
                  <w:vAlign w:val="center"/>
                </w:tcPr>
                <w:p w14:paraId="6985C91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0.00</w:t>
                  </w:r>
                </w:p>
              </w:tc>
              <w:tc>
                <w:tcPr>
                  <w:tcW w:w="665" w:type="dxa"/>
                  <w:vAlign w:val="center"/>
                </w:tcPr>
                <w:p w14:paraId="1DB71B8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889" w:type="dxa"/>
                  <w:vAlign w:val="center"/>
                </w:tcPr>
                <w:p w14:paraId="6E1B912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973" w:type="dxa"/>
                  <w:vAlign w:val="center"/>
                </w:tcPr>
                <w:p w14:paraId="36760B0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r>
            <w:tr w14:paraId="29F99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331" w:type="dxa"/>
                  <w:vAlign w:val="center"/>
                </w:tcPr>
                <w:p w14:paraId="314FD86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rPr>
                  </w:pPr>
                  <w:r>
                    <w:rPr>
                      <w:rFonts w:hint="default" w:ascii="Times New Roman" w:hAnsi="Times New Roman" w:cs="Times New Roman"/>
                      <w:color w:val="auto"/>
                      <w:spacing w:val="6"/>
                    </w:rPr>
                    <w:t>5.水利设施用</w:t>
                  </w:r>
                  <w:r>
                    <w:rPr>
                      <w:rFonts w:hint="default" w:ascii="Times New Roman" w:hAnsi="Times New Roman" w:cs="Times New Roman"/>
                      <w:color w:val="auto"/>
                    </w:rPr>
                    <w:t>地</w:t>
                  </w:r>
                </w:p>
              </w:tc>
              <w:tc>
                <w:tcPr>
                  <w:tcW w:w="516" w:type="dxa"/>
                  <w:vAlign w:val="center"/>
                </w:tcPr>
                <w:p w14:paraId="5B2EF6F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亩</w:t>
                  </w:r>
                </w:p>
              </w:tc>
              <w:tc>
                <w:tcPr>
                  <w:tcW w:w="788" w:type="dxa"/>
                  <w:vAlign w:val="center"/>
                </w:tcPr>
                <w:p w14:paraId="508883B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position w:val="1"/>
                    </w:rPr>
                    <w:t>362.61</w:t>
                  </w:r>
                </w:p>
              </w:tc>
              <w:tc>
                <w:tcPr>
                  <w:tcW w:w="793" w:type="dxa"/>
                  <w:vAlign w:val="center"/>
                </w:tcPr>
                <w:p w14:paraId="203F1BE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position w:val="1"/>
                    </w:rPr>
                    <w:t>210.90</w:t>
                  </w:r>
                </w:p>
              </w:tc>
              <w:tc>
                <w:tcPr>
                  <w:tcW w:w="762" w:type="dxa"/>
                  <w:vAlign w:val="center"/>
                </w:tcPr>
                <w:p w14:paraId="543047F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position w:val="1"/>
                    </w:rPr>
                    <w:t>133.74</w:t>
                  </w:r>
                </w:p>
              </w:tc>
              <w:tc>
                <w:tcPr>
                  <w:tcW w:w="810" w:type="dxa"/>
                  <w:vAlign w:val="center"/>
                </w:tcPr>
                <w:p w14:paraId="049139F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position w:val="1"/>
                    </w:rPr>
                    <w:t>77.16</w:t>
                  </w:r>
                </w:p>
              </w:tc>
              <w:tc>
                <w:tcPr>
                  <w:tcW w:w="810" w:type="dxa"/>
                  <w:vAlign w:val="center"/>
                </w:tcPr>
                <w:p w14:paraId="0CE6C54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position w:val="1"/>
                    </w:rPr>
                    <w:t>151.71</w:t>
                  </w:r>
                </w:p>
              </w:tc>
              <w:tc>
                <w:tcPr>
                  <w:tcW w:w="665" w:type="dxa"/>
                  <w:vAlign w:val="center"/>
                </w:tcPr>
                <w:p w14:paraId="5D0F65A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position w:val="1"/>
                    </w:rPr>
                    <w:t>37.99</w:t>
                  </w:r>
                </w:p>
              </w:tc>
              <w:tc>
                <w:tcPr>
                  <w:tcW w:w="889" w:type="dxa"/>
                  <w:vAlign w:val="center"/>
                </w:tcPr>
                <w:p w14:paraId="012E66C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973" w:type="dxa"/>
                  <w:vAlign w:val="center"/>
                </w:tcPr>
                <w:p w14:paraId="480558A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position w:val="1"/>
                    </w:rPr>
                    <w:t>113.72</w:t>
                  </w:r>
                </w:p>
              </w:tc>
            </w:tr>
            <w:tr w14:paraId="136140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1331" w:type="dxa"/>
                  <w:vAlign w:val="center"/>
                </w:tcPr>
                <w:p w14:paraId="1B48DC9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6"/>
                    </w:rPr>
                    <w:t>6.其他土地</w:t>
                  </w:r>
                </w:p>
              </w:tc>
              <w:tc>
                <w:tcPr>
                  <w:tcW w:w="516" w:type="dxa"/>
                  <w:vAlign w:val="center"/>
                </w:tcPr>
                <w:p w14:paraId="2AB10A5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亩</w:t>
                  </w:r>
                </w:p>
              </w:tc>
              <w:tc>
                <w:tcPr>
                  <w:tcW w:w="788" w:type="dxa"/>
                  <w:vAlign w:val="center"/>
                </w:tcPr>
                <w:p w14:paraId="194F7B3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81.14</w:t>
                  </w:r>
                </w:p>
              </w:tc>
              <w:tc>
                <w:tcPr>
                  <w:tcW w:w="793" w:type="dxa"/>
                  <w:vAlign w:val="center"/>
                </w:tcPr>
                <w:p w14:paraId="4E3F4A8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43.21</w:t>
                  </w:r>
                </w:p>
              </w:tc>
              <w:tc>
                <w:tcPr>
                  <w:tcW w:w="762" w:type="dxa"/>
                  <w:vAlign w:val="center"/>
                </w:tcPr>
                <w:p w14:paraId="1065D52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41.15</w:t>
                  </w:r>
                </w:p>
              </w:tc>
              <w:tc>
                <w:tcPr>
                  <w:tcW w:w="810" w:type="dxa"/>
                  <w:vAlign w:val="center"/>
                </w:tcPr>
                <w:p w14:paraId="47C940E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2.06</w:t>
                  </w:r>
                </w:p>
              </w:tc>
              <w:tc>
                <w:tcPr>
                  <w:tcW w:w="810" w:type="dxa"/>
                  <w:vAlign w:val="center"/>
                </w:tcPr>
                <w:p w14:paraId="4E4CE91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37.93</w:t>
                  </w:r>
                </w:p>
              </w:tc>
              <w:tc>
                <w:tcPr>
                  <w:tcW w:w="665" w:type="dxa"/>
                  <w:vAlign w:val="center"/>
                </w:tcPr>
                <w:p w14:paraId="132903B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3"/>
                    </w:rPr>
                    <w:t>9.50</w:t>
                  </w:r>
                </w:p>
              </w:tc>
              <w:tc>
                <w:tcPr>
                  <w:tcW w:w="889" w:type="dxa"/>
                  <w:vAlign w:val="center"/>
                </w:tcPr>
                <w:p w14:paraId="2E0E77C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973" w:type="dxa"/>
                  <w:vAlign w:val="center"/>
                </w:tcPr>
                <w:p w14:paraId="64B7EC5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2"/>
                    </w:rPr>
                    <w:t>28.43</w:t>
                  </w:r>
                </w:p>
              </w:tc>
            </w:tr>
            <w:tr w14:paraId="24B074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8337" w:type="dxa"/>
                  <w:gridSpan w:val="10"/>
                  <w:vAlign w:val="center"/>
                </w:tcPr>
                <w:p w14:paraId="624FF08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r>
                    <w:rPr>
                      <w:rFonts w:hint="default" w:ascii="Times New Roman" w:hAnsi="Times New Roman" w:cs="Times New Roman"/>
                      <w:color w:val="auto"/>
                      <w:spacing w:val="7"/>
                    </w:rPr>
                    <w:t>二、专业部分</w:t>
                  </w:r>
                </w:p>
              </w:tc>
            </w:tr>
            <w:tr w14:paraId="00D1C6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1331" w:type="dxa"/>
                  <w:vAlign w:val="center"/>
                </w:tcPr>
                <w:p w14:paraId="6138EA3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1"/>
                    </w:rPr>
                    <w:t>1.公路</w:t>
                  </w:r>
                </w:p>
              </w:tc>
              <w:tc>
                <w:tcPr>
                  <w:tcW w:w="516" w:type="dxa"/>
                  <w:vAlign w:val="center"/>
                </w:tcPr>
                <w:p w14:paraId="05FC0F6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rPr>
                    <w:t>处</w:t>
                  </w:r>
                </w:p>
              </w:tc>
              <w:tc>
                <w:tcPr>
                  <w:tcW w:w="788" w:type="dxa"/>
                  <w:vAlign w:val="center"/>
                </w:tcPr>
                <w:p w14:paraId="6150C89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7"/>
                    </w:rPr>
                    <w:t>15</w:t>
                  </w:r>
                </w:p>
              </w:tc>
              <w:tc>
                <w:tcPr>
                  <w:tcW w:w="793" w:type="dxa"/>
                  <w:vAlign w:val="center"/>
                </w:tcPr>
                <w:p w14:paraId="621D5EE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7"/>
                    </w:rPr>
                    <w:t>15</w:t>
                  </w:r>
                </w:p>
              </w:tc>
              <w:tc>
                <w:tcPr>
                  <w:tcW w:w="762" w:type="dxa"/>
                  <w:vAlign w:val="center"/>
                </w:tcPr>
                <w:p w14:paraId="28C0C6D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rPr>
                  </w:pPr>
                  <w:r>
                    <w:rPr>
                      <w:rFonts w:hint="default" w:ascii="Times New Roman" w:hAnsi="Times New Roman" w:cs="Times New Roman"/>
                      <w:color w:val="auto"/>
                      <w:spacing w:val="-7"/>
                    </w:rPr>
                    <w:t>15</w:t>
                  </w:r>
                </w:p>
              </w:tc>
              <w:tc>
                <w:tcPr>
                  <w:tcW w:w="810" w:type="dxa"/>
                  <w:vAlign w:val="center"/>
                </w:tcPr>
                <w:p w14:paraId="79DF516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810" w:type="dxa"/>
                  <w:vAlign w:val="center"/>
                </w:tcPr>
                <w:p w14:paraId="04E56C1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665" w:type="dxa"/>
                  <w:vAlign w:val="center"/>
                </w:tcPr>
                <w:p w14:paraId="5F014B7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889" w:type="dxa"/>
                  <w:vAlign w:val="center"/>
                </w:tcPr>
                <w:p w14:paraId="382E7AF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c>
                <w:tcPr>
                  <w:tcW w:w="973" w:type="dxa"/>
                  <w:vAlign w:val="center"/>
                </w:tcPr>
                <w:p w14:paraId="462B1D3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rPr>
                  </w:pPr>
                </w:p>
              </w:tc>
            </w:tr>
          </w:tbl>
          <w:p w14:paraId="6E08817D">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本工程无拆迁安置人口</w:t>
            </w:r>
            <w:r>
              <w:rPr>
                <w:rFonts w:hint="eastAsia" w:ascii="Times New Roman" w:hAnsi="Times New Roman" w:cs="Times New Roman"/>
                <w:color w:val="auto"/>
                <w:sz w:val="24"/>
                <w:szCs w:val="24"/>
                <w:lang w:val="en-US" w:eastAsia="zh-CN"/>
              </w:rPr>
              <w:t>。</w:t>
            </w:r>
          </w:p>
          <w:p w14:paraId="21423C4B">
            <w:pPr>
              <w:pStyle w:val="65"/>
              <w:keepNext w:val="0"/>
              <w:keepLines w:val="0"/>
              <w:pageBreakBefore w:val="0"/>
              <w:widowControl w:val="0"/>
              <w:numPr>
                <w:ilvl w:val="0"/>
                <w:numId w:val="13"/>
              </w:numPr>
              <w:kinsoku/>
              <w:wordWrap/>
              <w:topLinePunct w:val="0"/>
              <w:autoSpaceDE/>
              <w:autoSpaceDN/>
              <w:bidi w:val="0"/>
              <w:adjustRightInd w:val="0"/>
              <w:snapToGrid w:val="0"/>
              <w:spacing w:line="360" w:lineRule="auto"/>
              <w:ind w:left="425" w:leftChars="0" w:right="0" w:hanging="425" w:firstLineChars="0"/>
              <w:textAlignment w:val="auto"/>
              <w:rPr>
                <w:rFonts w:hint="default"/>
                <w:b/>
                <w:bCs/>
                <w:color w:val="auto"/>
                <w:spacing w:val="-6"/>
                <w:sz w:val="24"/>
                <w:szCs w:val="24"/>
                <w:lang w:val="en-US" w:eastAsia="zh-CN"/>
              </w:rPr>
            </w:pPr>
            <w:r>
              <w:rPr>
                <w:rFonts w:hint="default"/>
                <w:b/>
                <w:bCs/>
                <w:color w:val="auto"/>
                <w:spacing w:val="-6"/>
                <w:sz w:val="24"/>
                <w:szCs w:val="24"/>
                <w:lang w:val="en-US" w:eastAsia="zh-CN"/>
              </w:rPr>
              <w:t>工程土石方</w:t>
            </w:r>
            <w:r>
              <w:rPr>
                <w:rFonts w:hint="eastAsia"/>
                <w:b/>
                <w:bCs/>
                <w:color w:val="auto"/>
                <w:spacing w:val="-6"/>
                <w:sz w:val="24"/>
                <w:szCs w:val="24"/>
                <w:lang w:val="en-US" w:eastAsia="zh-CN"/>
              </w:rPr>
              <w:t>量</w:t>
            </w:r>
          </w:p>
          <w:p w14:paraId="0C0EBC60">
            <w:pPr>
              <w:pStyle w:val="9"/>
              <w:keepNext w:val="0"/>
              <w:keepLines w:val="0"/>
              <w:pageBreakBefore w:val="0"/>
              <w:widowControl/>
              <w:kinsoku/>
              <w:wordWrap/>
              <w:overflowPunct/>
              <w:topLinePunct w:val="0"/>
              <w:autoSpaceDE/>
              <w:autoSpaceDN/>
              <w:bidi w:val="0"/>
              <w:adjustRightInd w:val="0"/>
              <w:snapToGrid w:val="0"/>
              <w:spacing w:before="0" w:after="0" w:line="360" w:lineRule="auto"/>
              <w:ind w:right="0" w:firstLine="504" w:firstLineChars="200"/>
              <w:jc w:val="both"/>
              <w:textAlignment w:val="auto"/>
              <w:rPr>
                <w:rFonts w:hint="default" w:ascii="Times New Roman" w:hAnsi="Times New Roman" w:eastAsia="宋体" w:cs="Times New Roman"/>
                <w:b w:val="0"/>
                <w:bCs w:val="0"/>
                <w:color w:val="auto"/>
                <w:spacing w:val="6"/>
                <w:kern w:val="2"/>
                <w:sz w:val="24"/>
                <w:szCs w:val="24"/>
                <w:lang w:val="en-US" w:eastAsia="zh-CN" w:bidi="ar-SA"/>
              </w:rPr>
            </w:pPr>
            <w:r>
              <w:rPr>
                <w:rFonts w:hint="default" w:ascii="Times New Roman" w:hAnsi="Times New Roman" w:eastAsia="宋体" w:cs="Times New Roman"/>
                <w:b w:val="0"/>
                <w:bCs w:val="0"/>
                <w:color w:val="auto"/>
                <w:spacing w:val="6"/>
                <w:kern w:val="2"/>
                <w:sz w:val="24"/>
                <w:szCs w:val="24"/>
                <w:lang w:val="en-US" w:eastAsia="zh-CN" w:bidi="ar-SA"/>
              </w:rPr>
              <w:t>本工程开挖总量40.06万m³</w:t>
            </w:r>
            <w:r>
              <w:rPr>
                <w:rFonts w:hint="eastAsia" w:ascii="Times New Roman" w:hAnsi="Times New Roman" w:eastAsia="宋体" w:cs="Times New Roman"/>
                <w:b w:val="0"/>
                <w:bCs w:val="0"/>
                <w:color w:val="auto"/>
                <w:spacing w:val="6"/>
                <w:kern w:val="2"/>
                <w:sz w:val="24"/>
                <w:szCs w:val="24"/>
                <w:lang w:val="en-US" w:eastAsia="zh-CN" w:bidi="ar-SA"/>
              </w:rPr>
              <w:t>，</w:t>
            </w:r>
            <w:r>
              <w:rPr>
                <w:rFonts w:hint="default" w:ascii="Times New Roman" w:hAnsi="Times New Roman" w:eastAsia="宋体" w:cs="Times New Roman"/>
                <w:b w:val="0"/>
                <w:bCs w:val="0"/>
                <w:color w:val="auto"/>
                <w:spacing w:val="6"/>
                <w:kern w:val="2"/>
                <w:sz w:val="24"/>
                <w:szCs w:val="24"/>
                <w:lang w:val="en-US" w:eastAsia="zh-CN" w:bidi="ar-SA"/>
              </w:rPr>
              <w:t>回填15.1万m³</w:t>
            </w:r>
            <w:r>
              <w:rPr>
                <w:rFonts w:hint="eastAsia" w:ascii="Times New Roman" w:hAnsi="Times New Roman" w:eastAsia="宋体" w:cs="Times New Roman"/>
                <w:b w:val="0"/>
                <w:bCs w:val="0"/>
                <w:color w:val="auto"/>
                <w:spacing w:val="6"/>
                <w:kern w:val="2"/>
                <w:sz w:val="24"/>
                <w:szCs w:val="24"/>
                <w:lang w:val="en-US" w:eastAsia="zh-CN" w:bidi="ar-SA"/>
              </w:rPr>
              <w:t>，</w:t>
            </w:r>
            <w:r>
              <w:rPr>
                <w:rFonts w:hint="default" w:ascii="Times New Roman" w:hAnsi="Times New Roman" w:eastAsia="宋体" w:cs="Times New Roman"/>
                <w:b w:val="0"/>
                <w:bCs w:val="0"/>
                <w:color w:val="auto"/>
                <w:spacing w:val="6"/>
                <w:kern w:val="2"/>
                <w:sz w:val="24"/>
                <w:szCs w:val="24"/>
                <w:lang w:val="en-US" w:eastAsia="zh-CN" w:bidi="ar-SA"/>
              </w:rPr>
              <w:t>弃方24.96万m³。工程土石方平衡见表</w:t>
            </w:r>
            <w:r>
              <w:rPr>
                <w:rFonts w:hint="eastAsia" w:ascii="Times New Roman" w:hAnsi="Times New Roman" w:eastAsia="宋体" w:cs="Times New Roman"/>
                <w:b w:val="0"/>
                <w:bCs w:val="0"/>
                <w:color w:val="auto"/>
                <w:spacing w:val="6"/>
                <w:kern w:val="2"/>
                <w:sz w:val="24"/>
                <w:szCs w:val="24"/>
                <w:lang w:val="en-US" w:eastAsia="zh-CN" w:bidi="ar-SA"/>
              </w:rPr>
              <w:t>2-9</w:t>
            </w:r>
            <w:r>
              <w:rPr>
                <w:rFonts w:hint="default" w:ascii="Times New Roman" w:hAnsi="Times New Roman" w:eastAsia="宋体" w:cs="Times New Roman"/>
                <w:b w:val="0"/>
                <w:bCs w:val="0"/>
                <w:color w:val="auto"/>
                <w:spacing w:val="6"/>
                <w:kern w:val="2"/>
                <w:sz w:val="24"/>
                <w:szCs w:val="24"/>
                <w:lang w:val="en-US" w:eastAsia="zh-CN" w:bidi="ar-SA"/>
              </w:rPr>
              <w:t>。</w:t>
            </w:r>
          </w:p>
          <w:p w14:paraId="033ACFEC">
            <w:pPr>
              <w:keepNext w:val="0"/>
              <w:keepLines w:val="0"/>
              <w:pageBreakBefore w:val="0"/>
              <w:widowControl/>
              <w:numPr>
                <w:ilvl w:val="0"/>
                <w:numId w:val="12"/>
              </w:numPr>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b/>
                <w:bCs/>
                <w:color w:val="auto"/>
                <w:spacing w:val="-1"/>
                <w:sz w:val="24"/>
                <w:szCs w:val="24"/>
                <w:lang w:val="en-US" w:eastAsia="zh-CN"/>
              </w:rPr>
            </w:pPr>
            <w:r>
              <w:rPr>
                <w:rFonts w:hint="default"/>
                <w:b/>
                <w:bCs/>
                <w:color w:val="auto"/>
                <w:spacing w:val="-1"/>
                <w:sz w:val="24"/>
                <w:szCs w:val="24"/>
                <w:lang w:val="en-US" w:eastAsia="zh-CN"/>
              </w:rPr>
              <w:t>土石方平衡表单位：万m³</w:t>
            </w:r>
          </w:p>
          <w:p w14:paraId="1130262A">
            <w:pPr>
              <w:spacing w:line="15" w:lineRule="exact"/>
              <w:rPr>
                <w:rFonts w:hint="default" w:ascii="Times New Roman" w:hAnsi="Times New Roman" w:eastAsia="宋体" w:cs="Times New Roman"/>
                <w:b w:val="0"/>
                <w:bCs w:val="0"/>
                <w:color w:val="auto"/>
                <w:spacing w:val="6"/>
                <w:kern w:val="2"/>
                <w:sz w:val="24"/>
                <w:szCs w:val="24"/>
                <w:lang w:val="en-US" w:eastAsia="zh-CN" w:bidi="ar-SA"/>
              </w:rPr>
            </w:pPr>
          </w:p>
          <w:tbl>
            <w:tblPr>
              <w:tblStyle w:val="54"/>
              <w:tblW w:w="83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6"/>
              <w:gridCol w:w="693"/>
              <w:gridCol w:w="694"/>
              <w:gridCol w:w="792"/>
              <w:gridCol w:w="600"/>
              <w:gridCol w:w="792"/>
              <w:gridCol w:w="600"/>
              <w:gridCol w:w="793"/>
              <w:gridCol w:w="600"/>
              <w:gridCol w:w="793"/>
              <w:gridCol w:w="803"/>
            </w:tblGrid>
            <w:tr w14:paraId="15428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1" w:hRule="atLeast"/>
              </w:trPr>
              <w:tc>
                <w:tcPr>
                  <w:tcW w:w="1196" w:type="dxa"/>
                  <w:vMerge w:val="restart"/>
                  <w:tcBorders>
                    <w:bottom w:val="nil"/>
                  </w:tcBorders>
                  <w:vAlign w:val="center"/>
                </w:tcPr>
                <w:p w14:paraId="3F49D56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项目分区</w:t>
                  </w:r>
                </w:p>
              </w:tc>
              <w:tc>
                <w:tcPr>
                  <w:tcW w:w="693" w:type="dxa"/>
                  <w:vMerge w:val="restart"/>
                  <w:tcBorders>
                    <w:bottom w:val="nil"/>
                  </w:tcBorders>
                  <w:vAlign w:val="center"/>
                </w:tcPr>
                <w:p w14:paraId="3D66BA1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开挖</w:t>
                  </w:r>
                </w:p>
              </w:tc>
              <w:tc>
                <w:tcPr>
                  <w:tcW w:w="694" w:type="dxa"/>
                  <w:vMerge w:val="restart"/>
                  <w:tcBorders>
                    <w:bottom w:val="nil"/>
                  </w:tcBorders>
                  <w:vAlign w:val="center"/>
                </w:tcPr>
                <w:p w14:paraId="04AF6A8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回填</w:t>
                  </w:r>
                </w:p>
              </w:tc>
              <w:tc>
                <w:tcPr>
                  <w:tcW w:w="1392" w:type="dxa"/>
                  <w:gridSpan w:val="2"/>
                  <w:vAlign w:val="center"/>
                </w:tcPr>
                <w:p w14:paraId="500B8D0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调入</w:t>
                  </w:r>
                </w:p>
              </w:tc>
              <w:tc>
                <w:tcPr>
                  <w:tcW w:w="1392" w:type="dxa"/>
                  <w:gridSpan w:val="2"/>
                  <w:vAlign w:val="center"/>
                </w:tcPr>
                <w:p w14:paraId="5D0C1CC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调出</w:t>
                  </w:r>
                </w:p>
              </w:tc>
              <w:tc>
                <w:tcPr>
                  <w:tcW w:w="1393" w:type="dxa"/>
                  <w:gridSpan w:val="2"/>
                  <w:vAlign w:val="center"/>
                </w:tcPr>
                <w:p w14:paraId="2F04343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外借</w:t>
                  </w:r>
                </w:p>
              </w:tc>
              <w:tc>
                <w:tcPr>
                  <w:tcW w:w="1596" w:type="dxa"/>
                  <w:gridSpan w:val="2"/>
                  <w:vAlign w:val="center"/>
                </w:tcPr>
                <w:p w14:paraId="4DAEFB1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弃方</w:t>
                  </w:r>
                </w:p>
              </w:tc>
            </w:tr>
            <w:tr w14:paraId="6D8BE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1196" w:type="dxa"/>
                  <w:vMerge w:val="continue"/>
                  <w:tcBorders>
                    <w:top w:val="nil"/>
                  </w:tcBorders>
                  <w:vAlign w:val="center"/>
                </w:tcPr>
                <w:p w14:paraId="156CEA3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p>
              </w:tc>
              <w:tc>
                <w:tcPr>
                  <w:tcW w:w="693" w:type="dxa"/>
                  <w:vMerge w:val="continue"/>
                  <w:tcBorders>
                    <w:top w:val="nil"/>
                  </w:tcBorders>
                  <w:vAlign w:val="center"/>
                </w:tcPr>
                <w:p w14:paraId="652FB0D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p>
              </w:tc>
              <w:tc>
                <w:tcPr>
                  <w:tcW w:w="694" w:type="dxa"/>
                  <w:vMerge w:val="continue"/>
                  <w:tcBorders>
                    <w:top w:val="nil"/>
                  </w:tcBorders>
                  <w:vAlign w:val="center"/>
                </w:tcPr>
                <w:p w14:paraId="3A9E492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p>
              </w:tc>
              <w:tc>
                <w:tcPr>
                  <w:tcW w:w="792" w:type="dxa"/>
                  <w:vAlign w:val="center"/>
                </w:tcPr>
                <w:p w14:paraId="7E007BF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调入量</w:t>
                  </w:r>
                </w:p>
              </w:tc>
              <w:tc>
                <w:tcPr>
                  <w:tcW w:w="600" w:type="dxa"/>
                  <w:vAlign w:val="center"/>
                </w:tcPr>
                <w:p w14:paraId="795812C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来源</w:t>
                  </w:r>
                </w:p>
              </w:tc>
              <w:tc>
                <w:tcPr>
                  <w:tcW w:w="792" w:type="dxa"/>
                  <w:vAlign w:val="center"/>
                </w:tcPr>
                <w:p w14:paraId="72DB234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调出量</w:t>
                  </w:r>
                </w:p>
              </w:tc>
              <w:tc>
                <w:tcPr>
                  <w:tcW w:w="600" w:type="dxa"/>
                  <w:vAlign w:val="center"/>
                </w:tcPr>
                <w:p w14:paraId="518F92A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去向</w:t>
                  </w:r>
                </w:p>
              </w:tc>
              <w:tc>
                <w:tcPr>
                  <w:tcW w:w="793" w:type="dxa"/>
                  <w:vAlign w:val="center"/>
                </w:tcPr>
                <w:p w14:paraId="216C084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外借量</w:t>
                  </w:r>
                </w:p>
              </w:tc>
              <w:tc>
                <w:tcPr>
                  <w:tcW w:w="600" w:type="dxa"/>
                  <w:vAlign w:val="center"/>
                </w:tcPr>
                <w:p w14:paraId="43E3FE6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来源</w:t>
                  </w:r>
                </w:p>
              </w:tc>
              <w:tc>
                <w:tcPr>
                  <w:tcW w:w="793" w:type="dxa"/>
                  <w:vAlign w:val="center"/>
                </w:tcPr>
                <w:p w14:paraId="6A4A2AD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弃渣量</w:t>
                  </w:r>
                </w:p>
              </w:tc>
              <w:tc>
                <w:tcPr>
                  <w:tcW w:w="803" w:type="dxa"/>
                  <w:vAlign w:val="center"/>
                </w:tcPr>
                <w:p w14:paraId="0B73AEC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去向</w:t>
                  </w:r>
                </w:p>
              </w:tc>
            </w:tr>
            <w:tr w14:paraId="7A860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1196" w:type="dxa"/>
                  <w:vAlign w:val="center"/>
                </w:tcPr>
                <w:p w14:paraId="3767118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主体工程区</w:t>
                  </w:r>
                </w:p>
              </w:tc>
              <w:tc>
                <w:tcPr>
                  <w:tcW w:w="693" w:type="dxa"/>
                  <w:vAlign w:val="center"/>
                </w:tcPr>
                <w:p w14:paraId="5F18D1E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40.06</w:t>
                  </w:r>
                </w:p>
              </w:tc>
              <w:tc>
                <w:tcPr>
                  <w:tcW w:w="694" w:type="dxa"/>
                  <w:vAlign w:val="center"/>
                </w:tcPr>
                <w:p w14:paraId="21FED41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15.1</w:t>
                  </w:r>
                </w:p>
              </w:tc>
              <w:tc>
                <w:tcPr>
                  <w:tcW w:w="792" w:type="dxa"/>
                  <w:vAlign w:val="center"/>
                </w:tcPr>
                <w:p w14:paraId="636066B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600" w:type="dxa"/>
                  <w:vAlign w:val="center"/>
                </w:tcPr>
                <w:p w14:paraId="4221C3E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792" w:type="dxa"/>
                  <w:vAlign w:val="center"/>
                </w:tcPr>
                <w:p w14:paraId="3DC3F30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600" w:type="dxa"/>
                  <w:vAlign w:val="center"/>
                </w:tcPr>
                <w:p w14:paraId="04B1DA1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793" w:type="dxa"/>
                  <w:vAlign w:val="center"/>
                </w:tcPr>
                <w:p w14:paraId="6A35A4E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600" w:type="dxa"/>
                  <w:vAlign w:val="center"/>
                </w:tcPr>
                <w:p w14:paraId="5FED7CF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793" w:type="dxa"/>
                  <w:vAlign w:val="center"/>
                </w:tcPr>
                <w:p w14:paraId="13B9F90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24.96</w:t>
                  </w:r>
                </w:p>
              </w:tc>
              <w:tc>
                <w:tcPr>
                  <w:tcW w:w="803" w:type="dxa"/>
                  <w:vAlign w:val="center"/>
                </w:tcPr>
                <w:p w14:paraId="2FBB58F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弃渣场</w:t>
                  </w:r>
                </w:p>
              </w:tc>
            </w:tr>
            <w:tr w14:paraId="6AAE0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1" w:hRule="atLeast"/>
              </w:trPr>
              <w:tc>
                <w:tcPr>
                  <w:tcW w:w="1196" w:type="dxa"/>
                  <w:vAlign w:val="center"/>
                </w:tcPr>
                <w:p w14:paraId="35381AE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临时道路区</w:t>
                  </w:r>
                </w:p>
              </w:tc>
              <w:tc>
                <w:tcPr>
                  <w:tcW w:w="693" w:type="dxa"/>
                  <w:vAlign w:val="center"/>
                </w:tcPr>
                <w:p w14:paraId="7483F4B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0.11</w:t>
                  </w:r>
                </w:p>
              </w:tc>
              <w:tc>
                <w:tcPr>
                  <w:tcW w:w="694" w:type="dxa"/>
                  <w:vAlign w:val="center"/>
                </w:tcPr>
                <w:p w14:paraId="33A6600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0.11</w:t>
                  </w:r>
                </w:p>
              </w:tc>
              <w:tc>
                <w:tcPr>
                  <w:tcW w:w="792" w:type="dxa"/>
                  <w:vAlign w:val="center"/>
                </w:tcPr>
                <w:p w14:paraId="376C00E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600" w:type="dxa"/>
                  <w:vAlign w:val="center"/>
                </w:tcPr>
                <w:p w14:paraId="3638D30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792" w:type="dxa"/>
                  <w:vAlign w:val="center"/>
                </w:tcPr>
                <w:p w14:paraId="63EDCB9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600" w:type="dxa"/>
                  <w:vAlign w:val="center"/>
                </w:tcPr>
                <w:p w14:paraId="17EF700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793" w:type="dxa"/>
                  <w:vAlign w:val="center"/>
                </w:tcPr>
                <w:p w14:paraId="63434E1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600" w:type="dxa"/>
                  <w:vAlign w:val="center"/>
                </w:tcPr>
                <w:p w14:paraId="04D44C1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793" w:type="dxa"/>
                  <w:vAlign w:val="center"/>
                </w:tcPr>
                <w:p w14:paraId="3F356DA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b w:val="0"/>
                      <w:bCs w:val="0"/>
                      <w:color w:val="auto"/>
                      <w:spacing w:val="6"/>
                      <w:kern w:val="2"/>
                      <w:sz w:val="21"/>
                      <w:szCs w:val="21"/>
                      <w:lang w:val="en-US" w:eastAsia="zh-CN" w:bidi="ar-SA"/>
                    </w:rPr>
                    <w:t>0</w:t>
                  </w:r>
                </w:p>
              </w:tc>
              <w:tc>
                <w:tcPr>
                  <w:tcW w:w="803" w:type="dxa"/>
                  <w:vAlign w:val="center"/>
                </w:tcPr>
                <w:p w14:paraId="2BC349D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b w:val="0"/>
                      <w:bCs w:val="0"/>
                      <w:color w:val="auto"/>
                      <w:spacing w:val="6"/>
                      <w:kern w:val="2"/>
                      <w:sz w:val="21"/>
                      <w:szCs w:val="21"/>
                      <w:lang w:val="en-US" w:eastAsia="zh-CN" w:bidi="ar-SA"/>
                    </w:rPr>
                    <w:t>/</w:t>
                  </w:r>
                </w:p>
              </w:tc>
            </w:tr>
            <w:tr w14:paraId="0B3FD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196" w:type="dxa"/>
                  <w:vAlign w:val="center"/>
                </w:tcPr>
                <w:p w14:paraId="473BB1B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施工生产区</w:t>
                  </w:r>
                </w:p>
              </w:tc>
              <w:tc>
                <w:tcPr>
                  <w:tcW w:w="693" w:type="dxa"/>
                  <w:vAlign w:val="center"/>
                </w:tcPr>
                <w:p w14:paraId="5501C4C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0.04</w:t>
                  </w:r>
                </w:p>
              </w:tc>
              <w:tc>
                <w:tcPr>
                  <w:tcW w:w="694" w:type="dxa"/>
                  <w:vAlign w:val="center"/>
                </w:tcPr>
                <w:p w14:paraId="57ED471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0.04</w:t>
                  </w:r>
                </w:p>
              </w:tc>
              <w:tc>
                <w:tcPr>
                  <w:tcW w:w="792" w:type="dxa"/>
                  <w:vAlign w:val="center"/>
                </w:tcPr>
                <w:p w14:paraId="37965E5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600" w:type="dxa"/>
                  <w:vAlign w:val="center"/>
                </w:tcPr>
                <w:p w14:paraId="2C97DE1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792" w:type="dxa"/>
                  <w:vAlign w:val="center"/>
                </w:tcPr>
                <w:p w14:paraId="3E4D0B5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600" w:type="dxa"/>
                  <w:vAlign w:val="center"/>
                </w:tcPr>
                <w:p w14:paraId="47FBD9C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793" w:type="dxa"/>
                  <w:vAlign w:val="center"/>
                </w:tcPr>
                <w:p w14:paraId="6E219F2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600" w:type="dxa"/>
                  <w:vAlign w:val="center"/>
                </w:tcPr>
                <w:p w14:paraId="5027B49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793" w:type="dxa"/>
                  <w:vAlign w:val="center"/>
                </w:tcPr>
                <w:p w14:paraId="3F8754D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b w:val="0"/>
                      <w:bCs w:val="0"/>
                      <w:color w:val="auto"/>
                      <w:spacing w:val="6"/>
                      <w:kern w:val="2"/>
                      <w:sz w:val="21"/>
                      <w:szCs w:val="21"/>
                      <w:lang w:val="en-US" w:eastAsia="zh-CN" w:bidi="ar-SA"/>
                    </w:rPr>
                    <w:t>0</w:t>
                  </w:r>
                </w:p>
              </w:tc>
              <w:tc>
                <w:tcPr>
                  <w:tcW w:w="803" w:type="dxa"/>
                  <w:vAlign w:val="center"/>
                </w:tcPr>
                <w:p w14:paraId="1C1AF53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b w:val="0"/>
                      <w:bCs w:val="0"/>
                      <w:color w:val="auto"/>
                      <w:spacing w:val="6"/>
                      <w:kern w:val="2"/>
                      <w:sz w:val="21"/>
                      <w:szCs w:val="21"/>
                      <w:lang w:val="en-US" w:eastAsia="zh-CN" w:bidi="ar-SA"/>
                    </w:rPr>
                    <w:t>/</w:t>
                  </w:r>
                </w:p>
              </w:tc>
            </w:tr>
            <w:tr w14:paraId="69FD5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trPr>
              <w:tc>
                <w:tcPr>
                  <w:tcW w:w="1196" w:type="dxa"/>
                  <w:vAlign w:val="center"/>
                </w:tcPr>
                <w:p w14:paraId="3144515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合计</w:t>
                  </w:r>
                </w:p>
              </w:tc>
              <w:tc>
                <w:tcPr>
                  <w:tcW w:w="693" w:type="dxa"/>
                  <w:vAlign w:val="center"/>
                </w:tcPr>
                <w:p w14:paraId="1E92B5D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40.21</w:t>
                  </w:r>
                </w:p>
              </w:tc>
              <w:tc>
                <w:tcPr>
                  <w:tcW w:w="694" w:type="dxa"/>
                  <w:vAlign w:val="center"/>
                </w:tcPr>
                <w:p w14:paraId="03E4FB9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15.25</w:t>
                  </w:r>
                </w:p>
              </w:tc>
              <w:tc>
                <w:tcPr>
                  <w:tcW w:w="792" w:type="dxa"/>
                  <w:vAlign w:val="center"/>
                </w:tcPr>
                <w:p w14:paraId="301209F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600" w:type="dxa"/>
                  <w:vAlign w:val="center"/>
                </w:tcPr>
                <w:p w14:paraId="78A4788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792" w:type="dxa"/>
                  <w:vAlign w:val="center"/>
                </w:tcPr>
                <w:p w14:paraId="1049166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600" w:type="dxa"/>
                  <w:vAlign w:val="center"/>
                </w:tcPr>
                <w:p w14:paraId="0B93446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793" w:type="dxa"/>
                  <w:vAlign w:val="center"/>
                </w:tcPr>
                <w:p w14:paraId="276E443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600" w:type="dxa"/>
                  <w:vAlign w:val="center"/>
                </w:tcPr>
                <w:p w14:paraId="088836E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color w:val="auto"/>
                      <w:sz w:val="21"/>
                      <w:szCs w:val="21"/>
                      <w:lang w:val="en-US" w:eastAsia="zh-CN"/>
                    </w:rPr>
                    <w:t>0</w:t>
                  </w:r>
                </w:p>
              </w:tc>
              <w:tc>
                <w:tcPr>
                  <w:tcW w:w="793" w:type="dxa"/>
                  <w:vAlign w:val="center"/>
                </w:tcPr>
                <w:p w14:paraId="34A3C9B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default" w:ascii="Times New Roman" w:hAnsi="Times New Roman" w:eastAsia="宋体" w:cs="Times New Roman"/>
                      <w:b w:val="0"/>
                      <w:bCs w:val="0"/>
                      <w:color w:val="auto"/>
                      <w:spacing w:val="6"/>
                      <w:kern w:val="2"/>
                      <w:sz w:val="21"/>
                      <w:szCs w:val="21"/>
                      <w:lang w:val="en-US" w:eastAsia="zh-CN" w:bidi="ar-SA"/>
                    </w:rPr>
                    <w:t>24.96</w:t>
                  </w:r>
                </w:p>
              </w:tc>
              <w:tc>
                <w:tcPr>
                  <w:tcW w:w="803" w:type="dxa"/>
                  <w:vAlign w:val="center"/>
                </w:tcPr>
                <w:p w14:paraId="538D78E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2"/>
                      <w:sz w:val="21"/>
                      <w:szCs w:val="21"/>
                      <w:lang w:val="en-US" w:eastAsia="zh-CN" w:bidi="ar-SA"/>
                    </w:rPr>
                  </w:pPr>
                  <w:r>
                    <w:rPr>
                      <w:rFonts w:hint="eastAsia" w:cs="Times New Roman"/>
                      <w:b w:val="0"/>
                      <w:bCs w:val="0"/>
                      <w:color w:val="auto"/>
                      <w:spacing w:val="6"/>
                      <w:kern w:val="2"/>
                      <w:sz w:val="21"/>
                      <w:szCs w:val="21"/>
                      <w:lang w:val="en-US" w:eastAsia="zh-CN" w:bidi="ar-SA"/>
                    </w:rPr>
                    <w:t>/</w:t>
                  </w:r>
                </w:p>
              </w:tc>
            </w:tr>
          </w:tbl>
          <w:p w14:paraId="783CFFD2">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default" w:ascii="Times New Roman" w:hAnsi="Times New Roman" w:cs="Times New Roman"/>
                <w:color w:val="auto"/>
                <w:sz w:val="24"/>
                <w:szCs w:val="24"/>
                <w:lang w:val="en-US" w:eastAsia="zh-CN"/>
              </w:rPr>
            </w:pPr>
          </w:p>
        </w:tc>
      </w:tr>
      <w:tr w14:paraId="517F43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3" w:type="pct"/>
            <w:noWrap w:val="0"/>
            <w:vAlign w:val="center"/>
          </w:tcPr>
          <w:p w14:paraId="45862625">
            <w:pPr>
              <w:pStyle w:val="24"/>
              <w:adjustRightInd w:val="0"/>
              <w:snapToGrid w:val="0"/>
              <w:spacing w:before="0" w:beforeAutospacing="0" w:after="0" w:afterAutospacing="0" w:line="240" w:lineRule="auto"/>
              <w:jc w:val="both"/>
              <w:rPr>
                <w:rFonts w:ascii="Times New Roman" w:hAnsi="Times New Roman"/>
                <w:color w:val="auto"/>
                <w:sz w:val="24"/>
                <w:szCs w:val="24"/>
                <w:highlight w:val="none"/>
              </w:rPr>
            </w:pPr>
            <w:r>
              <w:rPr>
                <w:color w:val="auto"/>
                <w:spacing w:val="-4"/>
              </w:rPr>
              <w:t>总平面及</w:t>
            </w:r>
            <w:r>
              <w:rPr>
                <w:color w:val="auto"/>
                <w:spacing w:val="-3"/>
              </w:rPr>
              <w:t>现场布置</w:t>
            </w:r>
          </w:p>
        </w:tc>
        <w:tc>
          <w:tcPr>
            <w:tcW w:w="4746" w:type="pct"/>
            <w:noWrap w:val="0"/>
            <w:vAlign w:val="center"/>
          </w:tcPr>
          <w:p w14:paraId="47B56943">
            <w:pPr>
              <w:pStyle w:val="65"/>
              <w:keepNext w:val="0"/>
              <w:keepLines w:val="0"/>
              <w:pageBreakBefore w:val="0"/>
              <w:widowControl w:val="0"/>
              <w:numPr>
                <w:ilvl w:val="0"/>
                <w:numId w:val="17"/>
              </w:numPr>
              <w:kinsoku/>
              <w:wordWrap/>
              <w:overflowPunct/>
              <w:topLinePunct w:val="0"/>
              <w:autoSpaceDE/>
              <w:autoSpaceDN/>
              <w:bidi w:val="0"/>
              <w:adjustRightInd w:val="0"/>
              <w:snapToGrid/>
              <w:spacing w:line="360" w:lineRule="auto"/>
              <w:ind w:left="425" w:leftChars="0" w:hanging="425" w:firstLineChars="0"/>
              <w:textAlignment w:val="auto"/>
              <w:rPr>
                <w:rFonts w:hint="eastAsia" w:eastAsia="宋体"/>
                <w:b/>
                <w:bCs/>
                <w:color w:val="auto"/>
                <w:spacing w:val="-3"/>
                <w:sz w:val="24"/>
                <w:szCs w:val="24"/>
                <w:lang w:val="en-US" w:eastAsia="zh-CN"/>
              </w:rPr>
            </w:pPr>
            <w:r>
              <w:rPr>
                <w:b/>
                <w:bCs/>
                <w:color w:val="auto"/>
                <w:spacing w:val="-3"/>
                <w:sz w:val="24"/>
                <w:szCs w:val="24"/>
              </w:rPr>
              <w:t>工程</w:t>
            </w:r>
            <w:r>
              <w:rPr>
                <w:b/>
                <w:bCs/>
                <w:color w:val="auto"/>
                <w:spacing w:val="-4"/>
                <w:sz w:val="24"/>
                <w:szCs w:val="24"/>
              </w:rPr>
              <w:t>总平面</w:t>
            </w:r>
            <w:r>
              <w:rPr>
                <w:rFonts w:hint="eastAsia"/>
                <w:b/>
                <w:bCs/>
                <w:color w:val="auto"/>
                <w:spacing w:val="-4"/>
                <w:sz w:val="24"/>
                <w:szCs w:val="24"/>
                <w:lang w:val="en-US" w:eastAsia="zh-CN"/>
              </w:rPr>
              <w:t>布置</w:t>
            </w:r>
          </w:p>
          <w:p w14:paraId="34EC7C05">
            <w:pPr>
              <w:pStyle w:val="6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right="0" w:firstLine="468" w:firstLineChars="200"/>
              <w:textAlignment w:val="auto"/>
              <w:rPr>
                <w:rFonts w:hint="eastAsia"/>
                <w:color w:val="auto"/>
                <w:spacing w:val="-3"/>
                <w:sz w:val="24"/>
                <w:szCs w:val="24"/>
              </w:rPr>
            </w:pPr>
            <w:r>
              <w:rPr>
                <w:rFonts w:hint="eastAsia"/>
                <w:color w:val="auto"/>
                <w:spacing w:val="-3"/>
                <w:sz w:val="24"/>
                <w:szCs w:val="24"/>
              </w:rPr>
              <w:t>主体工程施工区、施工企业区、</w:t>
            </w:r>
            <w:r>
              <w:rPr>
                <w:rFonts w:hint="eastAsia"/>
                <w:color w:val="auto"/>
                <w:spacing w:val="-3"/>
                <w:sz w:val="24"/>
                <w:szCs w:val="24"/>
                <w:lang w:val="en-US" w:eastAsia="zh-CN"/>
              </w:rPr>
              <w:t>施工生活区沿线布置，</w:t>
            </w:r>
            <w:r>
              <w:rPr>
                <w:rFonts w:hint="eastAsia"/>
                <w:color w:val="auto"/>
                <w:spacing w:val="-3"/>
                <w:sz w:val="24"/>
                <w:szCs w:val="24"/>
              </w:rPr>
              <w:t>在施工基地产地内设</w:t>
            </w:r>
            <w:r>
              <w:rPr>
                <w:rFonts w:hint="eastAsia"/>
                <w:color w:val="auto"/>
                <w:spacing w:val="-3"/>
                <w:sz w:val="24"/>
                <w:szCs w:val="24"/>
                <w:lang w:val="en-US" w:eastAsia="zh-CN"/>
              </w:rPr>
              <w:t>混凝土临时拌合站</w:t>
            </w:r>
            <w:r>
              <w:rPr>
                <w:rFonts w:hint="eastAsia"/>
                <w:color w:val="auto"/>
                <w:spacing w:val="-3"/>
                <w:sz w:val="24"/>
                <w:szCs w:val="24"/>
              </w:rPr>
              <w:t>及砂石料堆放场、钢筋模板加工车间、配电室等生产场地</w:t>
            </w:r>
            <w:r>
              <w:rPr>
                <w:rFonts w:hint="eastAsia"/>
                <w:color w:val="auto"/>
                <w:spacing w:val="-3"/>
                <w:sz w:val="24"/>
                <w:szCs w:val="24"/>
                <w:lang w:eastAsia="zh-CN"/>
              </w:rPr>
              <w:t>；</w:t>
            </w:r>
            <w:r>
              <w:rPr>
                <w:rFonts w:hint="eastAsia"/>
                <w:color w:val="auto"/>
                <w:spacing w:val="-3"/>
                <w:sz w:val="24"/>
                <w:szCs w:val="24"/>
              </w:rPr>
              <w:t>同时设置了办公室、实验室、宿舍、食堂和厕</w:t>
            </w:r>
            <w:r>
              <w:rPr>
                <w:rFonts w:hint="eastAsia"/>
                <w:color w:val="auto"/>
                <w:spacing w:val="-3"/>
                <w:sz w:val="24"/>
                <w:szCs w:val="24"/>
                <w:lang w:eastAsia="zh-CN"/>
              </w:rPr>
              <w:t>所等</w:t>
            </w:r>
            <w:r>
              <w:rPr>
                <w:rFonts w:hint="eastAsia"/>
                <w:color w:val="auto"/>
                <w:spacing w:val="-3"/>
                <w:sz w:val="24"/>
                <w:szCs w:val="24"/>
              </w:rPr>
              <w:t>生活场所。</w:t>
            </w:r>
          </w:p>
          <w:p w14:paraId="7EF2E719">
            <w:pPr>
              <w:pStyle w:val="65"/>
              <w:keepNext w:val="0"/>
              <w:keepLines w:val="0"/>
              <w:pageBreakBefore w:val="0"/>
              <w:widowControl w:val="0"/>
              <w:numPr>
                <w:ilvl w:val="0"/>
                <w:numId w:val="17"/>
              </w:numPr>
              <w:kinsoku/>
              <w:wordWrap/>
              <w:overflowPunct/>
              <w:topLinePunct w:val="0"/>
              <w:autoSpaceDE/>
              <w:autoSpaceDN/>
              <w:bidi w:val="0"/>
              <w:adjustRightInd w:val="0"/>
              <w:snapToGrid/>
              <w:spacing w:line="360" w:lineRule="auto"/>
              <w:ind w:left="425" w:leftChars="0" w:hanging="425" w:firstLineChars="0"/>
              <w:textAlignment w:val="auto"/>
              <w:rPr>
                <w:b/>
                <w:bCs/>
                <w:color w:val="auto"/>
                <w:spacing w:val="-3"/>
                <w:sz w:val="24"/>
                <w:szCs w:val="24"/>
              </w:rPr>
            </w:pPr>
            <w:r>
              <w:rPr>
                <w:b/>
                <w:bCs/>
                <w:color w:val="auto"/>
                <w:spacing w:val="-3"/>
                <w:sz w:val="24"/>
                <w:szCs w:val="24"/>
              </w:rPr>
              <w:t>施工现场布置</w:t>
            </w:r>
          </w:p>
          <w:p w14:paraId="486CF2BE">
            <w:pPr>
              <w:pStyle w:val="9"/>
              <w:keepNext w:val="0"/>
              <w:keepLines w:val="0"/>
              <w:pageBreakBefore w:val="0"/>
              <w:kinsoku/>
              <w:wordWrap/>
              <w:overflowPunct/>
              <w:topLinePunct w:val="0"/>
              <w:autoSpaceDE/>
              <w:autoSpaceDN/>
              <w:bidi w:val="0"/>
              <w:adjustRightInd w:val="0"/>
              <w:snapToGrid w:val="0"/>
              <w:spacing w:before="0" w:after="0" w:line="360" w:lineRule="auto"/>
              <w:ind w:left="0" w:right="0" w:firstLine="562"/>
              <w:jc w:val="both"/>
              <w:textAlignment w:val="auto"/>
              <w:rPr>
                <w:rFonts w:hint="eastAsia" w:ascii="宋体" w:hAnsi="宋体" w:eastAsia="宋体" w:cs="宋体"/>
                <w:color w:val="auto"/>
                <w:spacing w:val="-3"/>
                <w:kern w:val="2"/>
                <w:sz w:val="24"/>
                <w:szCs w:val="24"/>
                <w:lang w:val="en-US" w:eastAsia="en-US" w:bidi="ar-SA"/>
              </w:rPr>
            </w:pPr>
            <w:r>
              <w:rPr>
                <w:rFonts w:hint="eastAsia" w:ascii="宋体" w:hAnsi="宋体" w:eastAsia="宋体" w:cs="宋体"/>
                <w:color w:val="auto"/>
                <w:spacing w:val="-3"/>
                <w:kern w:val="2"/>
                <w:sz w:val="24"/>
                <w:szCs w:val="24"/>
                <w:lang w:val="en-US" w:eastAsia="en-US" w:bidi="ar-SA"/>
              </w:rPr>
              <w:t>根据工程施工要求和本工程的布置条件，为了利于管理，方便生产，本工程施工布置划分为四个区，即</w:t>
            </w:r>
            <w:r>
              <w:rPr>
                <w:rFonts w:hint="eastAsia"/>
                <w:color w:val="auto"/>
                <w:spacing w:val="-3"/>
                <w:sz w:val="24"/>
                <w:szCs w:val="24"/>
              </w:rPr>
              <w:t>工程施工区、施工企业区、</w:t>
            </w:r>
            <w:r>
              <w:rPr>
                <w:rFonts w:hint="eastAsia"/>
                <w:color w:val="auto"/>
                <w:spacing w:val="-3"/>
                <w:sz w:val="24"/>
                <w:szCs w:val="24"/>
                <w:lang w:val="en-US" w:eastAsia="zh-CN"/>
              </w:rPr>
              <w:t>施工生活区</w:t>
            </w:r>
            <w:r>
              <w:rPr>
                <w:rFonts w:hint="eastAsia" w:ascii="宋体" w:hAnsi="宋体" w:eastAsia="宋体" w:cs="宋体"/>
                <w:color w:val="auto"/>
                <w:spacing w:val="-3"/>
                <w:kern w:val="2"/>
                <w:sz w:val="24"/>
                <w:szCs w:val="24"/>
                <w:lang w:val="en-US" w:eastAsia="en-US" w:bidi="ar-SA"/>
              </w:rPr>
              <w:t>。施工风、水、电供应，交通道路围绕上述四个区布置。</w:t>
            </w:r>
          </w:p>
          <w:p w14:paraId="5143CD92">
            <w:pPr>
              <w:pStyle w:val="9"/>
              <w:keepNext w:val="0"/>
              <w:keepLines w:val="0"/>
              <w:pageBreakBefore w:val="0"/>
              <w:numPr>
                <w:ilvl w:val="0"/>
                <w:numId w:val="18"/>
              </w:numPr>
              <w:kinsoku/>
              <w:wordWrap/>
              <w:overflowPunct/>
              <w:topLinePunct w:val="0"/>
              <w:autoSpaceDE/>
              <w:autoSpaceDN/>
              <w:bidi w:val="0"/>
              <w:adjustRightInd w:val="0"/>
              <w:snapToGrid w:val="0"/>
              <w:spacing w:before="0" w:after="0" w:line="360" w:lineRule="auto"/>
              <w:ind w:left="425" w:leftChars="0" w:right="0" w:rightChars="0" w:hanging="425" w:firstLineChars="0"/>
              <w:jc w:val="both"/>
              <w:textAlignment w:val="auto"/>
              <w:rPr>
                <w:rFonts w:hint="eastAsia" w:ascii="宋体" w:hAnsi="宋体" w:eastAsia="宋体" w:cs="宋体"/>
                <w:color w:val="auto"/>
                <w:spacing w:val="-3"/>
                <w:kern w:val="2"/>
                <w:sz w:val="24"/>
                <w:szCs w:val="24"/>
                <w:lang w:val="en-US" w:eastAsia="en-US" w:bidi="ar-SA"/>
              </w:rPr>
            </w:pPr>
            <w:r>
              <w:rPr>
                <w:rFonts w:hint="eastAsia" w:ascii="宋体" w:hAnsi="宋体" w:eastAsia="宋体" w:cs="宋体"/>
                <w:color w:val="auto"/>
                <w:spacing w:val="-3"/>
                <w:kern w:val="2"/>
                <w:sz w:val="24"/>
                <w:szCs w:val="24"/>
                <w:lang w:val="en-US" w:eastAsia="en-US" w:bidi="ar-SA"/>
              </w:rPr>
              <w:t>主体工程施工区</w:t>
            </w:r>
          </w:p>
          <w:p w14:paraId="1A80FBC7">
            <w:pPr>
              <w:pStyle w:val="9"/>
              <w:keepNext w:val="0"/>
              <w:keepLines w:val="0"/>
              <w:pageBreakBefore w:val="0"/>
              <w:kinsoku/>
              <w:wordWrap/>
              <w:overflowPunct/>
              <w:topLinePunct w:val="0"/>
              <w:autoSpaceDE/>
              <w:autoSpaceDN/>
              <w:bidi w:val="0"/>
              <w:adjustRightInd w:val="0"/>
              <w:snapToGrid w:val="0"/>
              <w:spacing w:before="0" w:after="0" w:line="360" w:lineRule="auto"/>
              <w:ind w:left="0" w:right="0" w:firstLine="562"/>
              <w:jc w:val="both"/>
              <w:textAlignment w:val="auto"/>
              <w:rPr>
                <w:rFonts w:hint="eastAsia" w:ascii="宋体" w:hAnsi="宋体" w:eastAsia="宋体" w:cs="宋体"/>
                <w:color w:val="auto"/>
                <w:spacing w:val="-3"/>
                <w:kern w:val="2"/>
                <w:sz w:val="24"/>
                <w:szCs w:val="24"/>
                <w:lang w:val="en-US" w:eastAsia="en-US" w:bidi="ar-SA"/>
              </w:rPr>
            </w:pPr>
            <w:r>
              <w:rPr>
                <w:rFonts w:hint="eastAsia" w:ascii="宋体" w:hAnsi="宋体" w:eastAsia="宋体" w:cs="宋体"/>
                <w:color w:val="auto"/>
                <w:spacing w:val="-3"/>
                <w:kern w:val="2"/>
                <w:sz w:val="24"/>
                <w:szCs w:val="24"/>
                <w:lang w:val="en-US" w:eastAsia="en-US" w:bidi="ar-SA"/>
              </w:rPr>
              <w:t>主体工程包括渠道工程，因施工区分布长。水、电系统根据建筑物</w:t>
            </w:r>
            <w:r>
              <w:rPr>
                <w:rFonts w:hint="eastAsia" w:ascii="宋体" w:hAnsi="宋体" w:cs="宋体"/>
                <w:color w:val="auto"/>
                <w:spacing w:val="-3"/>
                <w:kern w:val="2"/>
                <w:sz w:val="24"/>
                <w:szCs w:val="24"/>
                <w:lang w:val="en-US" w:eastAsia="zh-CN" w:bidi="ar-SA"/>
              </w:rPr>
              <w:t>分布</w:t>
            </w:r>
            <w:r>
              <w:rPr>
                <w:rFonts w:hint="eastAsia" w:ascii="宋体" w:hAnsi="宋体" w:eastAsia="宋体" w:cs="宋体"/>
                <w:color w:val="auto"/>
                <w:spacing w:val="-3"/>
                <w:kern w:val="2"/>
                <w:sz w:val="24"/>
                <w:szCs w:val="24"/>
                <w:lang w:val="en-US" w:eastAsia="en-US" w:bidi="ar-SA"/>
              </w:rPr>
              <w:t>特点布置在渠道两侧就近区域。针对渠道的施工特点，渠线只设置临时性的移动生产设施，</w:t>
            </w:r>
            <w:r>
              <w:rPr>
                <w:rFonts w:hint="eastAsia" w:ascii="宋体" w:hAnsi="宋体" w:cs="宋体"/>
                <w:color w:val="auto"/>
                <w:spacing w:val="-3"/>
                <w:kern w:val="2"/>
                <w:sz w:val="24"/>
                <w:szCs w:val="24"/>
                <w:lang w:val="en-US" w:eastAsia="zh-CN" w:bidi="ar-SA"/>
              </w:rPr>
              <w:t>混凝土</w:t>
            </w:r>
            <w:r>
              <w:rPr>
                <w:rFonts w:hint="eastAsia"/>
                <w:color w:val="auto"/>
                <w:spacing w:val="-3"/>
                <w:sz w:val="24"/>
                <w:szCs w:val="24"/>
                <w:lang w:val="en-US" w:eastAsia="zh-CN"/>
              </w:rPr>
              <w:t>临时拌合站</w:t>
            </w:r>
            <w:r>
              <w:rPr>
                <w:rFonts w:hint="eastAsia" w:ascii="宋体" w:hAnsi="宋体" w:eastAsia="宋体" w:cs="宋体"/>
                <w:color w:val="auto"/>
                <w:spacing w:val="-3"/>
                <w:kern w:val="2"/>
                <w:sz w:val="24"/>
                <w:szCs w:val="24"/>
                <w:lang w:val="en-US" w:eastAsia="en-US" w:bidi="ar-SA"/>
              </w:rPr>
              <w:t>及骨料堆放场在建筑物处就近设置。主体工程施工区主要以土方开挖、填筑、混凝土工程、浆砌卵石工程为主，为适应施工进度的要求，应妥善解决安排施工道路，尽量避免或减少反向运输和二次倒运。</w:t>
            </w:r>
          </w:p>
          <w:p w14:paraId="105F9FE1">
            <w:pPr>
              <w:pStyle w:val="9"/>
              <w:keepNext w:val="0"/>
              <w:keepLines w:val="0"/>
              <w:pageBreakBefore w:val="0"/>
              <w:numPr>
                <w:ilvl w:val="0"/>
                <w:numId w:val="18"/>
              </w:numPr>
              <w:kinsoku/>
              <w:wordWrap/>
              <w:overflowPunct/>
              <w:topLinePunct w:val="0"/>
              <w:autoSpaceDE/>
              <w:autoSpaceDN/>
              <w:bidi w:val="0"/>
              <w:adjustRightInd w:val="0"/>
              <w:snapToGrid w:val="0"/>
              <w:spacing w:before="0" w:after="0" w:line="360" w:lineRule="auto"/>
              <w:ind w:left="425" w:leftChars="0" w:right="0" w:rightChars="0" w:hanging="425" w:firstLineChars="0"/>
              <w:jc w:val="both"/>
              <w:textAlignment w:val="auto"/>
              <w:rPr>
                <w:rFonts w:hint="eastAsia" w:ascii="宋体" w:hAnsi="宋体" w:eastAsia="宋体" w:cs="宋体"/>
                <w:color w:val="auto"/>
                <w:spacing w:val="-3"/>
                <w:kern w:val="2"/>
                <w:sz w:val="24"/>
                <w:szCs w:val="24"/>
                <w:lang w:val="en-US" w:eastAsia="en-US" w:bidi="ar-SA"/>
              </w:rPr>
            </w:pPr>
            <w:r>
              <w:rPr>
                <w:rFonts w:hint="eastAsia" w:ascii="宋体" w:hAnsi="宋体" w:eastAsia="宋体" w:cs="宋体"/>
                <w:color w:val="auto"/>
                <w:spacing w:val="-3"/>
                <w:kern w:val="2"/>
                <w:sz w:val="24"/>
                <w:szCs w:val="24"/>
                <w:lang w:val="en-US" w:eastAsia="en-US" w:bidi="ar-SA"/>
              </w:rPr>
              <w:t>施工企业区</w:t>
            </w:r>
          </w:p>
          <w:p w14:paraId="431EC84B">
            <w:pPr>
              <w:pStyle w:val="9"/>
              <w:keepNext w:val="0"/>
              <w:keepLines w:val="0"/>
              <w:pageBreakBefore w:val="0"/>
              <w:kinsoku/>
              <w:wordWrap/>
              <w:overflowPunct/>
              <w:topLinePunct w:val="0"/>
              <w:autoSpaceDE/>
              <w:autoSpaceDN/>
              <w:bidi w:val="0"/>
              <w:adjustRightInd w:val="0"/>
              <w:snapToGrid w:val="0"/>
              <w:spacing w:before="0" w:after="0" w:line="360" w:lineRule="auto"/>
              <w:ind w:left="0" w:right="0" w:firstLine="562"/>
              <w:jc w:val="both"/>
              <w:textAlignment w:val="auto"/>
              <w:rPr>
                <w:rFonts w:hint="eastAsia" w:ascii="宋体" w:hAnsi="宋体" w:eastAsia="宋体" w:cs="宋体"/>
                <w:color w:val="auto"/>
                <w:spacing w:val="-3"/>
                <w:kern w:val="2"/>
                <w:sz w:val="24"/>
                <w:szCs w:val="24"/>
                <w:lang w:val="en-US" w:eastAsia="en-US" w:bidi="ar-SA"/>
              </w:rPr>
            </w:pPr>
            <w:r>
              <w:rPr>
                <w:rFonts w:hint="eastAsia" w:ascii="宋体" w:hAnsi="宋体" w:eastAsia="宋体" w:cs="宋体"/>
                <w:color w:val="auto"/>
                <w:spacing w:val="-3"/>
                <w:kern w:val="2"/>
                <w:sz w:val="24"/>
                <w:szCs w:val="24"/>
                <w:lang w:val="en-US" w:eastAsia="en-US" w:bidi="ar-SA"/>
              </w:rPr>
              <w:t>施工企业区基本沿渠线两侧布置，主要布置有</w:t>
            </w:r>
            <w:r>
              <w:rPr>
                <w:rFonts w:hint="eastAsia" w:ascii="宋体" w:hAnsi="宋体" w:cs="宋体"/>
                <w:color w:val="auto"/>
                <w:spacing w:val="-3"/>
                <w:kern w:val="2"/>
                <w:sz w:val="24"/>
                <w:szCs w:val="24"/>
                <w:lang w:val="en-US" w:eastAsia="zh-CN" w:bidi="ar-SA"/>
              </w:rPr>
              <w:t>混凝土</w:t>
            </w:r>
            <w:r>
              <w:rPr>
                <w:rFonts w:hint="eastAsia"/>
                <w:color w:val="auto"/>
                <w:spacing w:val="-3"/>
                <w:sz w:val="24"/>
                <w:szCs w:val="24"/>
                <w:lang w:val="en-US" w:eastAsia="zh-CN"/>
              </w:rPr>
              <w:t>临时拌合站</w:t>
            </w:r>
            <w:r>
              <w:rPr>
                <w:rFonts w:hint="eastAsia" w:ascii="宋体" w:hAnsi="宋体" w:eastAsia="宋体" w:cs="宋体"/>
                <w:color w:val="auto"/>
                <w:spacing w:val="-3"/>
                <w:kern w:val="2"/>
                <w:sz w:val="24"/>
                <w:szCs w:val="24"/>
                <w:lang w:val="en-US" w:eastAsia="en-US" w:bidi="ar-SA"/>
              </w:rPr>
              <w:t>、钢筋加工场、仓库系统等。水泥库和木材等采取分散布置在各单体建筑物附近。工程区距离奇台县城较近，县城的机修单位能进行维修及非标准件的制作和加工。</w:t>
            </w:r>
          </w:p>
          <w:p w14:paraId="2FD72B96">
            <w:pPr>
              <w:pStyle w:val="9"/>
              <w:keepNext w:val="0"/>
              <w:keepLines w:val="0"/>
              <w:pageBreakBefore w:val="0"/>
              <w:numPr>
                <w:ilvl w:val="0"/>
                <w:numId w:val="18"/>
              </w:numPr>
              <w:kinsoku/>
              <w:wordWrap/>
              <w:overflowPunct/>
              <w:topLinePunct w:val="0"/>
              <w:autoSpaceDE/>
              <w:autoSpaceDN/>
              <w:bidi w:val="0"/>
              <w:adjustRightInd w:val="0"/>
              <w:snapToGrid w:val="0"/>
              <w:spacing w:before="0" w:after="0" w:line="360" w:lineRule="auto"/>
              <w:ind w:left="425" w:leftChars="0" w:right="0" w:rightChars="0" w:hanging="425" w:firstLineChars="0"/>
              <w:jc w:val="both"/>
              <w:textAlignment w:val="auto"/>
              <w:rPr>
                <w:rFonts w:hint="default" w:ascii="宋体" w:hAnsi="宋体" w:eastAsia="宋体" w:cs="宋体"/>
                <w:color w:val="auto"/>
                <w:spacing w:val="-3"/>
                <w:kern w:val="2"/>
                <w:sz w:val="24"/>
                <w:szCs w:val="24"/>
                <w:lang w:val="en-US" w:eastAsia="en-US" w:bidi="ar-SA"/>
              </w:rPr>
            </w:pPr>
            <w:r>
              <w:rPr>
                <w:rFonts w:hint="default" w:ascii="宋体" w:hAnsi="宋体" w:eastAsia="宋体" w:cs="宋体"/>
                <w:color w:val="auto"/>
                <w:spacing w:val="-3"/>
                <w:kern w:val="2"/>
                <w:sz w:val="24"/>
                <w:szCs w:val="24"/>
                <w:lang w:val="en-US" w:eastAsia="en-US" w:bidi="ar-SA"/>
              </w:rPr>
              <w:t>料场开采及工程弃渣区</w:t>
            </w:r>
          </w:p>
          <w:p w14:paraId="2176A954">
            <w:pPr>
              <w:pStyle w:val="9"/>
              <w:keepNext w:val="0"/>
              <w:keepLines w:val="0"/>
              <w:pageBreakBefore w:val="0"/>
              <w:kinsoku/>
              <w:wordWrap/>
              <w:overflowPunct/>
              <w:topLinePunct w:val="0"/>
              <w:autoSpaceDE/>
              <w:autoSpaceDN/>
              <w:bidi w:val="0"/>
              <w:adjustRightInd w:val="0"/>
              <w:snapToGrid w:val="0"/>
              <w:spacing w:before="0" w:after="0" w:line="360" w:lineRule="auto"/>
              <w:ind w:left="0" w:right="0" w:firstLine="562"/>
              <w:jc w:val="both"/>
              <w:textAlignment w:val="auto"/>
              <w:rPr>
                <w:rFonts w:hint="default" w:ascii="宋体" w:hAnsi="宋体" w:eastAsia="宋体" w:cs="宋体"/>
                <w:color w:val="auto"/>
                <w:spacing w:val="-3"/>
                <w:kern w:val="2"/>
                <w:sz w:val="24"/>
                <w:szCs w:val="24"/>
                <w:lang w:val="en-US" w:eastAsia="en-US" w:bidi="ar-SA"/>
              </w:rPr>
            </w:pPr>
            <w:r>
              <w:rPr>
                <w:rFonts w:hint="default" w:ascii="宋体" w:hAnsi="宋体" w:eastAsia="宋体" w:cs="宋体"/>
                <w:color w:val="auto"/>
                <w:spacing w:val="-3"/>
                <w:kern w:val="2"/>
                <w:sz w:val="24"/>
                <w:szCs w:val="24"/>
                <w:lang w:val="en-US" w:eastAsia="en-US" w:bidi="ar-SA"/>
              </w:rPr>
              <w:t>根据本工程的布置和料场的选择与开采规划，各渠道所需混凝土粗、细骨料及砂砾石换填料均在成品砂石料场购运。土方回填料选在成品料场。弃渣</w:t>
            </w:r>
            <w:r>
              <w:rPr>
                <w:rFonts w:hint="eastAsia" w:ascii="宋体" w:hAnsi="宋体" w:cs="宋体"/>
                <w:color w:val="auto"/>
                <w:spacing w:val="-3"/>
                <w:kern w:val="2"/>
                <w:sz w:val="24"/>
                <w:szCs w:val="24"/>
                <w:lang w:val="en-US" w:eastAsia="zh-CN" w:bidi="ar-SA"/>
              </w:rPr>
              <w:t>运至相关政府部门指定弃渣场</w:t>
            </w:r>
            <w:r>
              <w:rPr>
                <w:rFonts w:hint="default" w:ascii="宋体" w:hAnsi="宋体" w:eastAsia="宋体" w:cs="宋体"/>
                <w:color w:val="auto"/>
                <w:spacing w:val="-3"/>
                <w:kern w:val="2"/>
                <w:sz w:val="24"/>
                <w:szCs w:val="24"/>
                <w:lang w:val="en-US" w:eastAsia="en-US" w:bidi="ar-SA"/>
              </w:rPr>
              <w:t>。</w:t>
            </w:r>
          </w:p>
          <w:p w14:paraId="4B37A413">
            <w:pPr>
              <w:pStyle w:val="9"/>
              <w:keepNext w:val="0"/>
              <w:keepLines w:val="0"/>
              <w:pageBreakBefore w:val="0"/>
              <w:numPr>
                <w:ilvl w:val="0"/>
                <w:numId w:val="18"/>
              </w:numPr>
              <w:kinsoku/>
              <w:wordWrap/>
              <w:overflowPunct/>
              <w:topLinePunct w:val="0"/>
              <w:autoSpaceDE/>
              <w:autoSpaceDN/>
              <w:bidi w:val="0"/>
              <w:adjustRightInd w:val="0"/>
              <w:snapToGrid w:val="0"/>
              <w:spacing w:before="0" w:after="0" w:line="360" w:lineRule="auto"/>
              <w:ind w:left="425" w:leftChars="0" w:right="0" w:rightChars="0" w:hanging="425" w:firstLineChars="0"/>
              <w:jc w:val="both"/>
              <w:textAlignment w:val="auto"/>
              <w:rPr>
                <w:rFonts w:hint="default" w:ascii="宋体" w:hAnsi="宋体" w:eastAsia="宋体" w:cs="宋体"/>
                <w:color w:val="auto"/>
                <w:spacing w:val="-3"/>
                <w:kern w:val="2"/>
                <w:sz w:val="24"/>
                <w:szCs w:val="24"/>
                <w:lang w:val="en-US" w:eastAsia="en-US" w:bidi="ar-SA"/>
              </w:rPr>
            </w:pPr>
            <w:r>
              <w:rPr>
                <w:rFonts w:hint="default" w:ascii="宋体" w:hAnsi="宋体" w:eastAsia="宋体" w:cs="宋体"/>
                <w:color w:val="auto"/>
                <w:spacing w:val="-3"/>
                <w:kern w:val="2"/>
                <w:sz w:val="24"/>
                <w:szCs w:val="24"/>
                <w:lang w:val="en-US" w:eastAsia="en-US" w:bidi="ar-SA"/>
              </w:rPr>
              <w:t>施工</w:t>
            </w:r>
            <w:r>
              <w:rPr>
                <w:rFonts w:hint="eastAsia" w:ascii="宋体" w:hAnsi="宋体" w:cs="宋体"/>
                <w:color w:val="auto"/>
                <w:spacing w:val="-3"/>
                <w:kern w:val="2"/>
                <w:sz w:val="24"/>
                <w:szCs w:val="24"/>
                <w:lang w:val="en-US" w:eastAsia="zh-CN" w:bidi="ar-SA"/>
              </w:rPr>
              <w:t>生产生活</w:t>
            </w:r>
            <w:r>
              <w:rPr>
                <w:rFonts w:hint="default" w:ascii="宋体" w:hAnsi="宋体" w:eastAsia="宋体" w:cs="宋体"/>
                <w:color w:val="auto"/>
                <w:spacing w:val="-3"/>
                <w:kern w:val="2"/>
                <w:sz w:val="24"/>
                <w:szCs w:val="24"/>
                <w:lang w:val="en-US" w:eastAsia="en-US" w:bidi="ar-SA"/>
              </w:rPr>
              <w:t>区</w:t>
            </w:r>
          </w:p>
          <w:p w14:paraId="3F125D39">
            <w:pPr>
              <w:pStyle w:val="9"/>
              <w:keepNext w:val="0"/>
              <w:keepLines w:val="0"/>
              <w:pageBreakBefore w:val="0"/>
              <w:numPr>
                <w:ilvl w:val="0"/>
                <w:numId w:val="0"/>
              </w:numPr>
              <w:kinsoku/>
              <w:wordWrap/>
              <w:overflowPunct/>
              <w:topLinePunct w:val="0"/>
              <w:autoSpaceDE/>
              <w:autoSpaceDN/>
              <w:bidi w:val="0"/>
              <w:adjustRightInd w:val="0"/>
              <w:snapToGrid w:val="0"/>
              <w:spacing w:before="0" w:after="0" w:line="360" w:lineRule="auto"/>
              <w:ind w:leftChars="0" w:right="0" w:rightChars="0" w:firstLine="468" w:firstLineChars="200"/>
              <w:jc w:val="both"/>
              <w:textAlignment w:val="auto"/>
              <w:rPr>
                <w:rFonts w:hint="default" w:ascii="宋体" w:hAnsi="宋体" w:eastAsia="宋体" w:cs="宋体"/>
                <w:color w:val="auto"/>
                <w:spacing w:val="-3"/>
                <w:kern w:val="2"/>
                <w:sz w:val="24"/>
                <w:szCs w:val="24"/>
                <w:lang w:val="en-US" w:eastAsia="en-US" w:bidi="ar-SA"/>
              </w:rPr>
            </w:pPr>
            <w:r>
              <w:rPr>
                <w:rFonts w:hint="default" w:ascii="宋体" w:hAnsi="宋体" w:eastAsia="宋体" w:cs="宋体"/>
                <w:color w:val="auto"/>
                <w:spacing w:val="-3"/>
                <w:kern w:val="2"/>
                <w:sz w:val="24"/>
                <w:szCs w:val="24"/>
                <w:lang w:val="en-US" w:eastAsia="en-US" w:bidi="ar-SA"/>
              </w:rPr>
              <w:t>为了便于施工管理，施工</w:t>
            </w:r>
            <w:r>
              <w:rPr>
                <w:rFonts w:hint="eastAsia" w:ascii="宋体" w:hAnsi="宋体" w:cs="宋体"/>
                <w:color w:val="auto"/>
                <w:spacing w:val="-3"/>
                <w:kern w:val="2"/>
                <w:sz w:val="24"/>
                <w:szCs w:val="24"/>
                <w:lang w:val="en-US" w:eastAsia="zh-CN" w:bidi="ar-SA"/>
              </w:rPr>
              <w:t>生产生活</w:t>
            </w:r>
            <w:r>
              <w:rPr>
                <w:rFonts w:hint="default" w:ascii="宋体" w:hAnsi="宋体" w:eastAsia="宋体" w:cs="宋体"/>
                <w:color w:val="auto"/>
                <w:spacing w:val="-3"/>
                <w:kern w:val="2"/>
                <w:sz w:val="24"/>
                <w:szCs w:val="24"/>
                <w:lang w:val="en-US" w:eastAsia="en-US" w:bidi="ar-SA"/>
              </w:rPr>
              <w:t>区基本沿渠道沿线布置。在施工结束后，对临时生产及生活建筑物进行拆除，对占用的土地进行平整恢复。</w:t>
            </w:r>
          </w:p>
          <w:p w14:paraId="25D54395">
            <w:pPr>
              <w:pStyle w:val="65"/>
              <w:keepNext w:val="0"/>
              <w:keepLines w:val="0"/>
              <w:pageBreakBefore w:val="0"/>
              <w:widowControl w:val="0"/>
              <w:numPr>
                <w:ilvl w:val="0"/>
                <w:numId w:val="17"/>
              </w:numPr>
              <w:kinsoku/>
              <w:wordWrap/>
              <w:overflowPunct/>
              <w:topLinePunct w:val="0"/>
              <w:autoSpaceDE/>
              <w:autoSpaceDN/>
              <w:bidi w:val="0"/>
              <w:adjustRightInd w:val="0"/>
              <w:snapToGrid/>
              <w:spacing w:line="360" w:lineRule="auto"/>
              <w:ind w:left="425" w:leftChars="0" w:hanging="425" w:firstLineChars="0"/>
              <w:textAlignment w:val="auto"/>
              <w:rPr>
                <w:rFonts w:hint="default"/>
                <w:b/>
                <w:bCs/>
                <w:color w:val="auto"/>
                <w:spacing w:val="-3"/>
                <w:sz w:val="24"/>
                <w:szCs w:val="24"/>
                <w:lang w:val="en-US" w:eastAsia="en-US"/>
              </w:rPr>
            </w:pPr>
            <w:r>
              <w:rPr>
                <w:rFonts w:hint="default"/>
                <w:b/>
                <w:bCs/>
                <w:color w:val="auto"/>
                <w:spacing w:val="-3"/>
                <w:sz w:val="24"/>
                <w:szCs w:val="24"/>
                <w:lang w:val="en-US" w:eastAsia="en-US"/>
              </w:rPr>
              <w:t>施工工厂设施</w:t>
            </w:r>
          </w:p>
          <w:p w14:paraId="7A2CC7FA">
            <w:pPr>
              <w:pStyle w:val="9"/>
              <w:keepNext w:val="0"/>
              <w:keepLines w:val="0"/>
              <w:pageBreakBefore w:val="0"/>
              <w:numPr>
                <w:ilvl w:val="0"/>
                <w:numId w:val="19"/>
              </w:numPr>
              <w:kinsoku/>
              <w:wordWrap/>
              <w:overflowPunct/>
              <w:topLinePunct w:val="0"/>
              <w:autoSpaceDE/>
              <w:autoSpaceDN/>
              <w:bidi w:val="0"/>
              <w:adjustRightInd w:val="0"/>
              <w:snapToGrid w:val="0"/>
              <w:spacing w:before="0" w:after="0" w:line="360" w:lineRule="auto"/>
              <w:ind w:left="425" w:leftChars="0" w:right="0" w:hanging="425" w:firstLineChars="0"/>
              <w:jc w:val="both"/>
              <w:textAlignment w:val="auto"/>
              <w:rPr>
                <w:rFonts w:hint="default" w:ascii="宋体" w:hAnsi="宋体" w:eastAsia="宋体" w:cs="宋体"/>
                <w:color w:val="auto"/>
                <w:spacing w:val="-3"/>
                <w:kern w:val="2"/>
                <w:sz w:val="24"/>
                <w:szCs w:val="24"/>
                <w:lang w:val="en-US" w:eastAsia="en-US" w:bidi="ar-SA"/>
              </w:rPr>
            </w:pPr>
            <w:r>
              <w:rPr>
                <w:rFonts w:hint="default" w:ascii="宋体" w:hAnsi="宋体" w:eastAsia="宋体" w:cs="宋体"/>
                <w:color w:val="auto"/>
                <w:spacing w:val="-3"/>
                <w:kern w:val="2"/>
                <w:sz w:val="24"/>
                <w:szCs w:val="24"/>
                <w:lang w:val="en-US" w:eastAsia="en-US" w:bidi="ar-SA"/>
              </w:rPr>
              <w:t>砂石加工系统</w:t>
            </w:r>
          </w:p>
          <w:p w14:paraId="6C590E63">
            <w:pPr>
              <w:pStyle w:val="9"/>
              <w:keepNext w:val="0"/>
              <w:keepLines w:val="0"/>
              <w:pageBreakBefore w:val="0"/>
              <w:kinsoku/>
              <w:wordWrap/>
              <w:overflowPunct/>
              <w:topLinePunct w:val="0"/>
              <w:autoSpaceDE/>
              <w:autoSpaceDN/>
              <w:bidi w:val="0"/>
              <w:adjustRightInd w:val="0"/>
              <w:snapToGrid w:val="0"/>
              <w:spacing w:before="0" w:after="0" w:line="360" w:lineRule="auto"/>
              <w:ind w:left="0" w:right="0" w:firstLine="562"/>
              <w:jc w:val="both"/>
              <w:textAlignment w:val="auto"/>
              <w:rPr>
                <w:rFonts w:hint="default" w:ascii="宋体" w:hAnsi="宋体" w:eastAsia="宋体" w:cs="宋体"/>
                <w:color w:val="auto"/>
                <w:spacing w:val="-3"/>
                <w:kern w:val="2"/>
                <w:sz w:val="24"/>
                <w:szCs w:val="24"/>
                <w:lang w:val="en-US" w:eastAsia="en-US" w:bidi="ar-SA"/>
              </w:rPr>
            </w:pPr>
            <w:r>
              <w:rPr>
                <w:rFonts w:hint="default" w:ascii="宋体" w:hAnsi="宋体" w:eastAsia="宋体" w:cs="宋体"/>
                <w:color w:val="auto"/>
                <w:spacing w:val="-3"/>
                <w:kern w:val="2"/>
                <w:sz w:val="24"/>
                <w:szCs w:val="24"/>
                <w:lang w:val="en-US" w:eastAsia="en-US" w:bidi="ar-SA"/>
              </w:rPr>
              <w:t>工程所采用混凝土骨料自混凝土骨料料场购买。填筑用砂砾石料及土料由砂石料料场拉运，现场不设置砂石加工系统。</w:t>
            </w:r>
          </w:p>
          <w:p w14:paraId="5A425169">
            <w:pPr>
              <w:pStyle w:val="9"/>
              <w:keepNext w:val="0"/>
              <w:keepLines w:val="0"/>
              <w:pageBreakBefore w:val="0"/>
              <w:numPr>
                <w:ilvl w:val="0"/>
                <w:numId w:val="19"/>
              </w:numPr>
              <w:kinsoku/>
              <w:wordWrap/>
              <w:overflowPunct/>
              <w:topLinePunct w:val="0"/>
              <w:autoSpaceDE/>
              <w:autoSpaceDN/>
              <w:bidi w:val="0"/>
              <w:adjustRightInd w:val="0"/>
              <w:snapToGrid w:val="0"/>
              <w:spacing w:before="0" w:after="0" w:line="360" w:lineRule="auto"/>
              <w:ind w:left="425" w:leftChars="0" w:right="0" w:hanging="425" w:firstLineChars="0"/>
              <w:jc w:val="both"/>
              <w:textAlignment w:val="auto"/>
              <w:rPr>
                <w:rFonts w:hint="default" w:ascii="宋体" w:hAnsi="宋体" w:eastAsia="宋体" w:cs="宋体"/>
                <w:color w:val="auto"/>
                <w:spacing w:val="-3"/>
                <w:kern w:val="2"/>
                <w:sz w:val="24"/>
                <w:szCs w:val="24"/>
                <w:lang w:val="en-US" w:eastAsia="en-US" w:bidi="ar-SA"/>
              </w:rPr>
            </w:pPr>
            <w:r>
              <w:rPr>
                <w:rFonts w:hint="default" w:ascii="宋体" w:hAnsi="宋体" w:eastAsia="宋体" w:cs="宋体"/>
                <w:color w:val="auto"/>
                <w:spacing w:val="-3"/>
                <w:kern w:val="2"/>
                <w:sz w:val="24"/>
                <w:szCs w:val="24"/>
                <w:lang w:val="en-US" w:eastAsia="en-US" w:bidi="ar-SA"/>
              </w:rPr>
              <w:t>木材加工厂</w:t>
            </w:r>
          </w:p>
          <w:p w14:paraId="2042B49A">
            <w:pPr>
              <w:pStyle w:val="9"/>
              <w:keepNext w:val="0"/>
              <w:keepLines w:val="0"/>
              <w:pageBreakBefore w:val="0"/>
              <w:kinsoku/>
              <w:wordWrap/>
              <w:overflowPunct/>
              <w:topLinePunct w:val="0"/>
              <w:autoSpaceDE/>
              <w:autoSpaceDN/>
              <w:bidi w:val="0"/>
              <w:adjustRightInd w:val="0"/>
              <w:snapToGrid w:val="0"/>
              <w:spacing w:before="0" w:after="0" w:line="360" w:lineRule="auto"/>
              <w:ind w:left="0" w:right="0" w:firstLine="562"/>
              <w:jc w:val="both"/>
              <w:textAlignment w:val="auto"/>
              <w:rPr>
                <w:rFonts w:hint="default" w:ascii="Times New Roman" w:hAnsi="Times New Roman" w:eastAsia="宋体" w:cs="Times New Roman"/>
                <w:color w:val="auto"/>
                <w:spacing w:val="-3"/>
                <w:kern w:val="2"/>
                <w:sz w:val="24"/>
                <w:szCs w:val="24"/>
                <w:lang w:val="en-US" w:eastAsia="en-US" w:bidi="ar-SA"/>
              </w:rPr>
            </w:pPr>
            <w:r>
              <w:rPr>
                <w:rFonts w:hint="default" w:ascii="Times New Roman" w:hAnsi="Times New Roman" w:eastAsia="宋体" w:cs="Times New Roman"/>
                <w:color w:val="auto"/>
                <w:spacing w:val="-3"/>
                <w:kern w:val="2"/>
                <w:sz w:val="24"/>
                <w:szCs w:val="24"/>
                <w:lang w:val="en-US" w:eastAsia="en-US" w:bidi="ar-SA"/>
              </w:rPr>
              <w:t>本工程规模较小，工地钢筋及木材的加工量较小，设置工棚进行加工生产。钢筋及木材加工厂布置在主干道路旁边，钢筋生产能力约为0.5t/班、木材生产能力约为0.3m</w:t>
            </w:r>
            <w:r>
              <w:rPr>
                <w:rFonts w:hint="default" w:ascii="Times New Roman" w:hAnsi="Times New Roman" w:eastAsia="宋体" w:cs="Times New Roman"/>
                <w:color w:val="auto"/>
                <w:spacing w:val="-3"/>
                <w:kern w:val="2"/>
                <w:sz w:val="24"/>
                <w:szCs w:val="24"/>
                <w:vertAlign w:val="superscript"/>
                <w:lang w:val="en-US" w:eastAsia="en-US" w:bidi="ar-SA"/>
              </w:rPr>
              <w:t>2</w:t>
            </w:r>
            <w:r>
              <w:rPr>
                <w:rFonts w:hint="default" w:ascii="Times New Roman" w:hAnsi="Times New Roman" w:eastAsia="宋体" w:cs="Times New Roman"/>
                <w:color w:val="auto"/>
                <w:spacing w:val="-3"/>
                <w:kern w:val="2"/>
                <w:sz w:val="24"/>
                <w:szCs w:val="24"/>
                <w:lang w:val="en-US" w:eastAsia="en-US" w:bidi="ar-SA"/>
              </w:rPr>
              <w:t>/班。</w:t>
            </w:r>
          </w:p>
          <w:p w14:paraId="09D7612E">
            <w:pPr>
              <w:pStyle w:val="9"/>
              <w:keepNext w:val="0"/>
              <w:keepLines w:val="0"/>
              <w:pageBreakBefore w:val="0"/>
              <w:numPr>
                <w:ilvl w:val="0"/>
                <w:numId w:val="19"/>
              </w:numPr>
              <w:kinsoku/>
              <w:wordWrap/>
              <w:overflowPunct/>
              <w:topLinePunct w:val="0"/>
              <w:autoSpaceDE/>
              <w:autoSpaceDN/>
              <w:bidi w:val="0"/>
              <w:adjustRightInd w:val="0"/>
              <w:snapToGrid w:val="0"/>
              <w:spacing w:before="0" w:after="0" w:line="360" w:lineRule="auto"/>
              <w:ind w:left="425" w:leftChars="0" w:right="0" w:hanging="425" w:firstLineChars="0"/>
              <w:jc w:val="both"/>
              <w:textAlignment w:val="auto"/>
              <w:rPr>
                <w:rFonts w:hint="default" w:ascii="宋体" w:hAnsi="宋体" w:eastAsia="宋体" w:cs="宋体"/>
                <w:color w:val="auto"/>
                <w:spacing w:val="-3"/>
                <w:kern w:val="2"/>
                <w:sz w:val="24"/>
                <w:szCs w:val="24"/>
                <w:lang w:val="en-US" w:eastAsia="en-US" w:bidi="ar-SA"/>
              </w:rPr>
            </w:pPr>
            <w:r>
              <w:rPr>
                <w:rFonts w:hint="default" w:ascii="宋体" w:hAnsi="宋体" w:eastAsia="宋体" w:cs="宋体"/>
                <w:color w:val="auto"/>
                <w:spacing w:val="-3"/>
                <w:kern w:val="2"/>
                <w:sz w:val="24"/>
                <w:szCs w:val="24"/>
                <w:lang w:val="en-US" w:eastAsia="en-US" w:bidi="ar-SA"/>
              </w:rPr>
              <w:t>机械修配及汽车保养站</w:t>
            </w:r>
          </w:p>
          <w:p w14:paraId="23BE23B6">
            <w:pPr>
              <w:pStyle w:val="9"/>
              <w:keepNext w:val="0"/>
              <w:keepLines w:val="0"/>
              <w:pageBreakBefore w:val="0"/>
              <w:kinsoku/>
              <w:wordWrap/>
              <w:overflowPunct/>
              <w:topLinePunct w:val="0"/>
              <w:autoSpaceDE/>
              <w:autoSpaceDN/>
              <w:bidi w:val="0"/>
              <w:adjustRightInd w:val="0"/>
              <w:snapToGrid w:val="0"/>
              <w:spacing w:before="0" w:after="0" w:line="360" w:lineRule="auto"/>
              <w:ind w:left="0" w:right="0" w:firstLine="562"/>
              <w:jc w:val="both"/>
              <w:textAlignment w:val="auto"/>
              <w:rPr>
                <w:rFonts w:hint="default" w:ascii="宋体" w:hAnsi="宋体" w:eastAsia="宋体" w:cs="宋体"/>
                <w:color w:val="auto"/>
                <w:spacing w:val="-3"/>
                <w:kern w:val="2"/>
                <w:sz w:val="24"/>
                <w:szCs w:val="24"/>
                <w:lang w:val="en-US" w:eastAsia="en-US" w:bidi="ar-SA"/>
              </w:rPr>
            </w:pPr>
            <w:r>
              <w:rPr>
                <w:rFonts w:hint="default" w:ascii="宋体" w:hAnsi="宋体" w:eastAsia="宋体" w:cs="宋体"/>
                <w:color w:val="auto"/>
                <w:spacing w:val="-3"/>
                <w:kern w:val="2"/>
                <w:sz w:val="24"/>
                <w:szCs w:val="24"/>
                <w:lang w:val="en-US" w:eastAsia="en-US" w:bidi="ar-SA"/>
              </w:rPr>
              <w:t>机械修配及汽车保养站为了管理和运输方便，</w:t>
            </w:r>
            <w:r>
              <w:rPr>
                <w:rFonts w:hint="eastAsia" w:ascii="宋体" w:hAnsi="宋体" w:cs="宋体"/>
                <w:color w:val="auto"/>
                <w:spacing w:val="-3"/>
                <w:kern w:val="2"/>
                <w:sz w:val="24"/>
                <w:szCs w:val="24"/>
                <w:lang w:val="en-US" w:eastAsia="zh-CN" w:bidi="ar-SA"/>
              </w:rPr>
              <w:t>紧靠</w:t>
            </w:r>
            <w:r>
              <w:rPr>
                <w:rFonts w:hint="default" w:ascii="宋体" w:hAnsi="宋体" w:eastAsia="宋体" w:cs="宋体"/>
                <w:color w:val="auto"/>
                <w:spacing w:val="-3"/>
                <w:kern w:val="2"/>
                <w:sz w:val="24"/>
                <w:szCs w:val="24"/>
                <w:lang w:val="en-US" w:eastAsia="en-US" w:bidi="ar-SA"/>
              </w:rPr>
              <w:t>临时生活区布置，工程施工机械设备的一般维修、保养均在工地机械修配及汽车保养站进行，施工机械设备大修放在奇台县的修理厂进行</w:t>
            </w:r>
            <w:r>
              <w:rPr>
                <w:rFonts w:hint="eastAsia" w:ascii="宋体" w:hAnsi="宋体" w:cs="宋体"/>
                <w:color w:val="auto"/>
                <w:spacing w:val="-3"/>
                <w:kern w:val="2"/>
                <w:sz w:val="24"/>
                <w:szCs w:val="24"/>
                <w:lang w:val="en-US" w:eastAsia="zh-CN" w:bidi="ar-SA"/>
              </w:rPr>
              <w:t>，</w:t>
            </w:r>
            <w:r>
              <w:rPr>
                <w:rFonts w:hint="default" w:ascii="宋体" w:hAnsi="宋体" w:eastAsia="宋体" w:cs="宋体"/>
                <w:color w:val="auto"/>
                <w:spacing w:val="-3"/>
                <w:kern w:val="2"/>
                <w:sz w:val="24"/>
                <w:szCs w:val="24"/>
                <w:lang w:val="en-US" w:eastAsia="en-US" w:bidi="ar-SA"/>
              </w:rPr>
              <w:t>占地面积</w:t>
            </w:r>
            <w:r>
              <w:rPr>
                <w:rFonts w:hint="default" w:ascii="Times New Roman" w:hAnsi="Times New Roman" w:eastAsia="宋体" w:cs="Times New Roman"/>
                <w:color w:val="auto"/>
                <w:spacing w:val="-3"/>
                <w:kern w:val="2"/>
                <w:sz w:val="24"/>
                <w:szCs w:val="24"/>
                <w:lang w:val="en-US" w:eastAsia="en-US" w:bidi="ar-SA"/>
              </w:rPr>
              <w:t>500m</w:t>
            </w:r>
            <w:r>
              <w:rPr>
                <w:rFonts w:hint="default" w:ascii="Times New Roman" w:hAnsi="Times New Roman" w:eastAsia="宋体" w:cs="Times New Roman"/>
                <w:color w:val="auto"/>
                <w:spacing w:val="-3"/>
                <w:kern w:val="2"/>
                <w:sz w:val="24"/>
                <w:szCs w:val="24"/>
                <w:vertAlign w:val="superscript"/>
                <w:lang w:val="en-US" w:eastAsia="en-US" w:bidi="ar-SA"/>
              </w:rPr>
              <w:t>2</w:t>
            </w:r>
            <w:r>
              <w:rPr>
                <w:rFonts w:hint="default" w:ascii="Times New Roman" w:hAnsi="Times New Roman" w:eastAsia="宋体" w:cs="Times New Roman"/>
                <w:color w:val="auto"/>
                <w:spacing w:val="-3"/>
                <w:kern w:val="2"/>
                <w:sz w:val="24"/>
                <w:szCs w:val="24"/>
                <w:lang w:val="en-US" w:eastAsia="en-US" w:bidi="ar-SA"/>
              </w:rPr>
              <w:t>。</w:t>
            </w:r>
          </w:p>
          <w:p w14:paraId="68BD449B">
            <w:pPr>
              <w:pStyle w:val="9"/>
              <w:keepNext w:val="0"/>
              <w:keepLines w:val="0"/>
              <w:pageBreakBefore w:val="0"/>
              <w:numPr>
                <w:ilvl w:val="0"/>
                <w:numId w:val="19"/>
              </w:numPr>
              <w:kinsoku/>
              <w:wordWrap/>
              <w:overflowPunct/>
              <w:topLinePunct w:val="0"/>
              <w:autoSpaceDE/>
              <w:autoSpaceDN/>
              <w:bidi w:val="0"/>
              <w:adjustRightInd w:val="0"/>
              <w:snapToGrid w:val="0"/>
              <w:spacing w:before="0" w:after="0" w:line="360" w:lineRule="auto"/>
              <w:ind w:left="425" w:leftChars="0" w:right="0" w:hanging="425" w:firstLineChars="0"/>
              <w:jc w:val="both"/>
              <w:textAlignment w:val="auto"/>
              <w:rPr>
                <w:rFonts w:hint="default" w:ascii="宋体" w:hAnsi="宋体" w:eastAsia="宋体" w:cs="宋体"/>
                <w:color w:val="auto"/>
                <w:spacing w:val="-3"/>
                <w:kern w:val="2"/>
                <w:sz w:val="24"/>
                <w:szCs w:val="24"/>
                <w:lang w:val="en-US" w:eastAsia="en-US" w:bidi="ar-SA"/>
              </w:rPr>
            </w:pPr>
            <w:r>
              <w:rPr>
                <w:rFonts w:hint="default" w:ascii="宋体" w:hAnsi="宋体" w:eastAsia="宋体" w:cs="宋体"/>
                <w:color w:val="auto"/>
                <w:spacing w:val="-3"/>
                <w:kern w:val="2"/>
                <w:sz w:val="24"/>
                <w:szCs w:val="24"/>
                <w:lang w:val="en-US" w:eastAsia="en-US" w:bidi="ar-SA"/>
              </w:rPr>
              <w:t>风水电系统</w:t>
            </w:r>
          </w:p>
          <w:p w14:paraId="73B9CFB0">
            <w:pPr>
              <w:pStyle w:val="9"/>
              <w:keepNext w:val="0"/>
              <w:keepLines w:val="0"/>
              <w:pageBreakBefore w:val="0"/>
              <w:numPr>
                <w:ilvl w:val="0"/>
                <w:numId w:val="20"/>
              </w:numPr>
              <w:kinsoku/>
              <w:wordWrap/>
              <w:overflowPunct/>
              <w:topLinePunct w:val="0"/>
              <w:autoSpaceDE/>
              <w:autoSpaceDN/>
              <w:bidi w:val="0"/>
              <w:adjustRightInd w:val="0"/>
              <w:snapToGrid w:val="0"/>
              <w:spacing w:before="0" w:after="0" w:line="360" w:lineRule="auto"/>
              <w:ind w:left="0" w:leftChars="0" w:right="0" w:firstLine="504" w:firstLineChars="200"/>
              <w:jc w:val="both"/>
              <w:textAlignment w:val="auto"/>
              <w:rPr>
                <w:rFonts w:hint="default" w:ascii="Times New Roman" w:hAnsi="Times New Roman" w:eastAsia="宋体" w:cs="Times New Roman"/>
                <w:b w:val="0"/>
                <w:bCs w:val="0"/>
                <w:color w:val="auto"/>
                <w:spacing w:val="6"/>
                <w:kern w:val="2"/>
                <w:sz w:val="24"/>
                <w:szCs w:val="24"/>
                <w:lang w:val="en-US" w:eastAsia="en-US" w:bidi="ar-SA"/>
              </w:rPr>
            </w:pPr>
            <w:r>
              <w:rPr>
                <w:rFonts w:hint="default" w:ascii="Times New Roman" w:hAnsi="Times New Roman" w:eastAsia="宋体" w:cs="Times New Roman"/>
                <w:b w:val="0"/>
                <w:bCs w:val="0"/>
                <w:color w:val="auto"/>
                <w:spacing w:val="6"/>
                <w:kern w:val="2"/>
                <w:sz w:val="24"/>
                <w:szCs w:val="24"/>
                <w:lang w:val="en-US" w:eastAsia="en-US" w:bidi="ar-SA"/>
              </w:rPr>
              <w:t>供风系统</w:t>
            </w:r>
          </w:p>
          <w:p w14:paraId="4640198B">
            <w:pPr>
              <w:pStyle w:val="9"/>
              <w:keepNext w:val="0"/>
              <w:keepLines w:val="0"/>
              <w:pageBreakBefore w:val="0"/>
              <w:kinsoku/>
              <w:wordWrap/>
              <w:overflowPunct/>
              <w:topLinePunct w:val="0"/>
              <w:autoSpaceDE/>
              <w:autoSpaceDN/>
              <w:bidi w:val="0"/>
              <w:adjustRightInd w:val="0"/>
              <w:snapToGrid w:val="0"/>
              <w:spacing w:before="0" w:after="0" w:line="360" w:lineRule="auto"/>
              <w:ind w:left="0" w:right="0" w:firstLine="562"/>
              <w:jc w:val="both"/>
              <w:textAlignment w:val="auto"/>
              <w:rPr>
                <w:rFonts w:hint="default" w:ascii="Times New Roman" w:hAnsi="Times New Roman" w:eastAsia="宋体" w:cs="Times New Roman"/>
                <w:b w:val="0"/>
                <w:bCs w:val="0"/>
                <w:color w:val="auto"/>
                <w:spacing w:val="6"/>
                <w:kern w:val="2"/>
                <w:sz w:val="24"/>
                <w:szCs w:val="24"/>
                <w:lang w:val="en-US" w:eastAsia="en-US" w:bidi="ar-SA"/>
              </w:rPr>
            </w:pPr>
            <w:r>
              <w:rPr>
                <w:rFonts w:hint="default" w:ascii="Times New Roman" w:hAnsi="Times New Roman" w:eastAsia="宋体" w:cs="Times New Roman"/>
                <w:b w:val="0"/>
                <w:bCs w:val="0"/>
                <w:color w:val="auto"/>
                <w:spacing w:val="6"/>
                <w:kern w:val="2"/>
                <w:sz w:val="24"/>
                <w:szCs w:val="24"/>
                <w:lang w:val="en-US" w:eastAsia="en-US" w:bidi="ar-SA"/>
              </w:rPr>
              <w:t>工程没有供风要求，不设供风系统。</w:t>
            </w:r>
          </w:p>
          <w:p w14:paraId="3DA0814B">
            <w:pPr>
              <w:pStyle w:val="9"/>
              <w:keepNext w:val="0"/>
              <w:keepLines w:val="0"/>
              <w:pageBreakBefore w:val="0"/>
              <w:numPr>
                <w:ilvl w:val="0"/>
                <w:numId w:val="20"/>
              </w:numPr>
              <w:kinsoku/>
              <w:wordWrap/>
              <w:overflowPunct/>
              <w:topLinePunct w:val="0"/>
              <w:autoSpaceDE/>
              <w:autoSpaceDN/>
              <w:bidi w:val="0"/>
              <w:adjustRightInd w:val="0"/>
              <w:snapToGrid w:val="0"/>
              <w:spacing w:before="0" w:after="0" w:line="360" w:lineRule="auto"/>
              <w:ind w:left="0" w:leftChars="0" w:right="0" w:firstLine="504" w:firstLineChars="200"/>
              <w:jc w:val="both"/>
              <w:textAlignment w:val="auto"/>
              <w:rPr>
                <w:rFonts w:hint="default" w:ascii="Times New Roman" w:hAnsi="Times New Roman" w:eastAsia="宋体" w:cs="Times New Roman"/>
                <w:b w:val="0"/>
                <w:bCs w:val="0"/>
                <w:color w:val="auto"/>
                <w:spacing w:val="6"/>
                <w:kern w:val="2"/>
                <w:sz w:val="24"/>
                <w:szCs w:val="24"/>
                <w:lang w:val="en-US" w:eastAsia="en-US" w:bidi="ar-SA"/>
              </w:rPr>
            </w:pPr>
            <w:r>
              <w:rPr>
                <w:rFonts w:hint="default" w:ascii="Times New Roman" w:hAnsi="Times New Roman" w:eastAsia="宋体" w:cs="Times New Roman"/>
                <w:b w:val="0"/>
                <w:bCs w:val="0"/>
                <w:color w:val="auto"/>
                <w:spacing w:val="6"/>
                <w:kern w:val="2"/>
                <w:sz w:val="24"/>
                <w:szCs w:val="24"/>
                <w:lang w:val="en-US" w:eastAsia="en-US" w:bidi="ar-SA"/>
              </w:rPr>
              <w:t>供水系统</w:t>
            </w:r>
          </w:p>
          <w:p w14:paraId="67948E4A">
            <w:pPr>
              <w:pStyle w:val="9"/>
              <w:keepNext w:val="0"/>
              <w:keepLines w:val="0"/>
              <w:pageBreakBefore w:val="0"/>
              <w:kinsoku/>
              <w:wordWrap/>
              <w:overflowPunct/>
              <w:topLinePunct w:val="0"/>
              <w:autoSpaceDE/>
              <w:autoSpaceDN/>
              <w:bidi w:val="0"/>
              <w:adjustRightInd w:val="0"/>
              <w:snapToGrid w:val="0"/>
              <w:spacing w:before="0" w:after="0" w:line="360" w:lineRule="auto"/>
              <w:ind w:left="0" w:right="0" w:firstLine="562"/>
              <w:jc w:val="both"/>
              <w:textAlignment w:val="auto"/>
              <w:rPr>
                <w:rFonts w:hint="default" w:ascii="Times New Roman" w:hAnsi="Times New Roman" w:eastAsia="宋体" w:cs="Times New Roman"/>
                <w:b w:val="0"/>
                <w:bCs w:val="0"/>
                <w:color w:val="auto"/>
                <w:spacing w:val="6"/>
                <w:kern w:val="2"/>
                <w:sz w:val="24"/>
                <w:szCs w:val="24"/>
                <w:lang w:val="en-US" w:eastAsia="en-US" w:bidi="ar-SA"/>
              </w:rPr>
            </w:pPr>
            <w:r>
              <w:rPr>
                <w:rFonts w:hint="default" w:ascii="Times New Roman" w:hAnsi="Times New Roman" w:eastAsia="宋体" w:cs="Times New Roman"/>
                <w:b w:val="0"/>
                <w:bCs w:val="0"/>
                <w:color w:val="auto"/>
                <w:spacing w:val="6"/>
                <w:kern w:val="2"/>
                <w:sz w:val="24"/>
                <w:szCs w:val="24"/>
                <w:lang w:val="en-US" w:eastAsia="en-US" w:bidi="ar-SA"/>
              </w:rPr>
              <w:t>施工用水采用水车在附近乡镇拉运，拉运3km。</w:t>
            </w:r>
          </w:p>
          <w:p w14:paraId="75193133">
            <w:pPr>
              <w:pStyle w:val="9"/>
              <w:keepNext w:val="0"/>
              <w:keepLines w:val="0"/>
              <w:pageBreakBefore w:val="0"/>
              <w:numPr>
                <w:ilvl w:val="0"/>
                <w:numId w:val="20"/>
              </w:numPr>
              <w:kinsoku/>
              <w:wordWrap/>
              <w:overflowPunct/>
              <w:topLinePunct w:val="0"/>
              <w:autoSpaceDE/>
              <w:autoSpaceDN/>
              <w:bidi w:val="0"/>
              <w:adjustRightInd w:val="0"/>
              <w:snapToGrid w:val="0"/>
              <w:spacing w:before="0" w:after="0" w:line="360" w:lineRule="auto"/>
              <w:ind w:left="0" w:leftChars="0" w:right="0" w:firstLine="504" w:firstLineChars="200"/>
              <w:jc w:val="both"/>
              <w:textAlignment w:val="auto"/>
              <w:rPr>
                <w:rFonts w:hint="default" w:ascii="Times New Roman" w:hAnsi="Times New Roman" w:eastAsia="宋体" w:cs="Times New Roman"/>
                <w:b w:val="0"/>
                <w:bCs w:val="0"/>
                <w:color w:val="auto"/>
                <w:spacing w:val="6"/>
                <w:kern w:val="2"/>
                <w:sz w:val="24"/>
                <w:szCs w:val="24"/>
                <w:lang w:val="en-US" w:eastAsia="en-US" w:bidi="ar-SA"/>
              </w:rPr>
            </w:pPr>
            <w:r>
              <w:rPr>
                <w:rFonts w:hint="default" w:ascii="Times New Roman" w:hAnsi="Times New Roman" w:eastAsia="宋体" w:cs="Times New Roman"/>
                <w:b w:val="0"/>
                <w:bCs w:val="0"/>
                <w:color w:val="auto"/>
                <w:spacing w:val="6"/>
                <w:kern w:val="2"/>
                <w:sz w:val="24"/>
                <w:szCs w:val="24"/>
                <w:lang w:val="en-US" w:eastAsia="en-US" w:bidi="ar-SA"/>
              </w:rPr>
              <w:t>供电系统</w:t>
            </w:r>
          </w:p>
          <w:p w14:paraId="5CF607FE">
            <w:pPr>
              <w:pStyle w:val="9"/>
              <w:keepNext w:val="0"/>
              <w:keepLines w:val="0"/>
              <w:pageBreakBefore w:val="0"/>
              <w:kinsoku/>
              <w:wordWrap/>
              <w:overflowPunct/>
              <w:topLinePunct w:val="0"/>
              <w:autoSpaceDE/>
              <w:autoSpaceDN/>
              <w:bidi w:val="0"/>
              <w:adjustRightInd w:val="0"/>
              <w:snapToGrid w:val="0"/>
              <w:spacing w:before="0" w:after="0" w:line="360" w:lineRule="auto"/>
              <w:ind w:left="0" w:right="0" w:firstLine="562"/>
              <w:jc w:val="both"/>
              <w:textAlignment w:val="auto"/>
              <w:rPr>
                <w:rFonts w:hint="default" w:ascii="Times New Roman" w:hAnsi="Times New Roman" w:eastAsia="宋体" w:cs="Times New Roman"/>
                <w:b w:val="0"/>
                <w:bCs w:val="0"/>
                <w:color w:val="auto"/>
                <w:spacing w:val="6"/>
                <w:kern w:val="2"/>
                <w:sz w:val="24"/>
                <w:szCs w:val="24"/>
                <w:lang w:val="en-US" w:eastAsia="en-US" w:bidi="ar-SA"/>
              </w:rPr>
            </w:pPr>
            <w:r>
              <w:rPr>
                <w:rFonts w:hint="default" w:ascii="Times New Roman" w:hAnsi="Times New Roman" w:eastAsia="宋体" w:cs="Times New Roman"/>
                <w:b w:val="0"/>
                <w:bCs w:val="0"/>
                <w:color w:val="auto"/>
                <w:spacing w:val="6"/>
                <w:kern w:val="2"/>
                <w:sz w:val="24"/>
                <w:szCs w:val="24"/>
                <w:lang w:val="en-US" w:eastAsia="en-US" w:bidi="ar-SA"/>
              </w:rPr>
              <w:t>本工程施工期较短，故施工用电全部采用</w:t>
            </w:r>
            <w:r>
              <w:rPr>
                <w:rFonts w:hint="eastAsia" w:ascii="Times New Roman" w:hAnsi="Times New Roman" w:eastAsia="宋体" w:cs="Times New Roman"/>
                <w:b w:val="0"/>
                <w:bCs w:val="0"/>
                <w:color w:val="auto"/>
                <w:spacing w:val="6"/>
                <w:kern w:val="2"/>
                <w:sz w:val="24"/>
                <w:szCs w:val="24"/>
                <w:lang w:val="en-US" w:eastAsia="zh-CN" w:bidi="ar-SA"/>
              </w:rPr>
              <w:t>柴油发电机</w:t>
            </w:r>
            <w:r>
              <w:rPr>
                <w:rFonts w:hint="default" w:ascii="Times New Roman" w:hAnsi="Times New Roman" w:eastAsia="宋体" w:cs="Times New Roman"/>
                <w:b w:val="0"/>
                <w:bCs w:val="0"/>
                <w:color w:val="auto"/>
                <w:spacing w:val="6"/>
                <w:kern w:val="2"/>
                <w:sz w:val="24"/>
                <w:szCs w:val="24"/>
                <w:lang w:val="en-US" w:eastAsia="en-US" w:bidi="ar-SA"/>
              </w:rPr>
              <w:t>。</w:t>
            </w:r>
          </w:p>
          <w:p w14:paraId="3EBED0F6">
            <w:pPr>
              <w:pStyle w:val="65"/>
              <w:keepNext w:val="0"/>
              <w:keepLines w:val="0"/>
              <w:pageBreakBefore w:val="0"/>
              <w:widowControl w:val="0"/>
              <w:numPr>
                <w:ilvl w:val="0"/>
                <w:numId w:val="17"/>
              </w:numPr>
              <w:kinsoku/>
              <w:wordWrap/>
              <w:overflowPunct/>
              <w:topLinePunct w:val="0"/>
              <w:autoSpaceDE/>
              <w:autoSpaceDN/>
              <w:bidi w:val="0"/>
              <w:adjustRightInd w:val="0"/>
              <w:snapToGrid/>
              <w:spacing w:line="360" w:lineRule="auto"/>
              <w:ind w:left="425" w:leftChars="0" w:hanging="425" w:firstLineChars="0"/>
              <w:textAlignment w:val="auto"/>
              <w:rPr>
                <w:rFonts w:hint="default"/>
                <w:b/>
                <w:bCs/>
                <w:color w:val="auto"/>
                <w:spacing w:val="-3"/>
                <w:sz w:val="24"/>
                <w:szCs w:val="24"/>
                <w:lang w:val="en-US" w:eastAsia="en-US"/>
              </w:rPr>
            </w:pPr>
            <w:r>
              <w:rPr>
                <w:rFonts w:hint="default"/>
                <w:b/>
                <w:bCs/>
                <w:color w:val="auto"/>
                <w:spacing w:val="-3"/>
                <w:sz w:val="24"/>
                <w:szCs w:val="24"/>
                <w:lang w:val="en-US" w:eastAsia="en-US"/>
              </w:rPr>
              <w:t>施工占地</w:t>
            </w:r>
          </w:p>
          <w:p w14:paraId="5F7F5BAF">
            <w:pPr>
              <w:pStyle w:val="9"/>
              <w:keepNext w:val="0"/>
              <w:keepLines w:val="0"/>
              <w:pageBreakBefore w:val="0"/>
              <w:kinsoku/>
              <w:wordWrap/>
              <w:overflowPunct/>
              <w:topLinePunct w:val="0"/>
              <w:autoSpaceDE/>
              <w:autoSpaceDN/>
              <w:bidi w:val="0"/>
              <w:adjustRightInd w:val="0"/>
              <w:snapToGrid w:val="0"/>
              <w:spacing w:before="0" w:after="0" w:line="360" w:lineRule="auto"/>
              <w:ind w:left="0" w:right="0" w:firstLine="562"/>
              <w:jc w:val="both"/>
              <w:textAlignment w:val="auto"/>
              <w:rPr>
                <w:rFonts w:hint="default" w:ascii="Times New Roman" w:hAnsi="Times New Roman" w:eastAsia="宋体" w:cs="Times New Roman"/>
                <w:color w:val="auto"/>
                <w:spacing w:val="-3"/>
                <w:kern w:val="2"/>
                <w:sz w:val="24"/>
                <w:szCs w:val="24"/>
                <w:lang w:val="en-US" w:eastAsia="en-US" w:bidi="ar-SA"/>
              </w:rPr>
            </w:pPr>
            <w:r>
              <w:rPr>
                <w:rFonts w:hint="default" w:ascii="Times New Roman" w:hAnsi="Times New Roman" w:eastAsia="宋体" w:cs="Times New Roman"/>
                <w:color w:val="auto"/>
                <w:spacing w:val="-3"/>
                <w:kern w:val="2"/>
                <w:sz w:val="24"/>
                <w:szCs w:val="24"/>
                <w:lang w:val="en-US" w:eastAsia="en-US" w:bidi="ar-SA"/>
              </w:rPr>
              <w:t>临时工程主要有临时生活用房修建及施工过程中的场内交通道路、输电线路、通讯线路、植被恢复等。</w:t>
            </w:r>
          </w:p>
          <w:p w14:paraId="369084A1">
            <w:pPr>
              <w:keepNext w:val="0"/>
              <w:keepLines w:val="0"/>
              <w:pageBreakBefore w:val="0"/>
              <w:widowControl/>
              <w:numPr>
                <w:ilvl w:val="0"/>
                <w:numId w:val="12"/>
              </w:numPr>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default"/>
                <w:b/>
                <w:bCs/>
                <w:color w:val="auto"/>
                <w:spacing w:val="-1"/>
                <w:sz w:val="24"/>
                <w:szCs w:val="24"/>
                <w:lang w:val="en-US" w:eastAsia="zh-CN"/>
              </w:rPr>
            </w:pPr>
            <w:r>
              <w:rPr>
                <w:rFonts w:hint="default"/>
                <w:b/>
                <w:bCs/>
                <w:color w:val="auto"/>
                <w:spacing w:val="-1"/>
                <w:sz w:val="24"/>
                <w:szCs w:val="24"/>
                <w:lang w:val="en-US" w:eastAsia="zh-CN"/>
              </w:rPr>
              <w:t>施工总布置特性表</w:t>
            </w:r>
          </w:p>
          <w:p w14:paraId="5678C2BE">
            <w:pPr>
              <w:spacing w:line="15" w:lineRule="exact"/>
              <w:rPr>
                <w:color w:val="auto"/>
              </w:rPr>
            </w:pPr>
          </w:p>
          <w:tbl>
            <w:tblPr>
              <w:tblStyle w:val="54"/>
              <w:tblW w:w="835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41"/>
              <w:gridCol w:w="1332"/>
              <w:gridCol w:w="1934"/>
              <w:gridCol w:w="1933"/>
              <w:gridCol w:w="1218"/>
            </w:tblGrid>
            <w:tr w14:paraId="34D8A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9" w:hRule="atLeast"/>
              </w:trPr>
              <w:tc>
                <w:tcPr>
                  <w:tcW w:w="1941" w:type="dxa"/>
                  <w:vAlign w:val="center"/>
                </w:tcPr>
                <w:p w14:paraId="365E6EB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z w:val="21"/>
                      <w:szCs w:val="21"/>
                    </w:rPr>
                  </w:pPr>
                  <w:r>
                    <w:rPr>
                      <w:b/>
                      <w:bCs/>
                      <w:color w:val="auto"/>
                      <w:spacing w:val="-2"/>
                      <w:sz w:val="21"/>
                      <w:szCs w:val="21"/>
                    </w:rPr>
                    <w:t>项目</w:t>
                  </w:r>
                </w:p>
              </w:tc>
              <w:tc>
                <w:tcPr>
                  <w:tcW w:w="1332" w:type="dxa"/>
                  <w:vAlign w:val="center"/>
                </w:tcPr>
                <w:p w14:paraId="34F83E3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z w:val="21"/>
                      <w:szCs w:val="21"/>
                    </w:rPr>
                  </w:pPr>
                  <w:r>
                    <w:rPr>
                      <w:b/>
                      <w:bCs/>
                      <w:color w:val="auto"/>
                      <w:spacing w:val="6"/>
                      <w:sz w:val="21"/>
                      <w:szCs w:val="21"/>
                    </w:rPr>
                    <w:t>生产规模</w:t>
                  </w:r>
                </w:p>
              </w:tc>
              <w:tc>
                <w:tcPr>
                  <w:tcW w:w="1934" w:type="dxa"/>
                  <w:vAlign w:val="center"/>
                </w:tcPr>
                <w:p w14:paraId="504CD7E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z w:val="21"/>
                      <w:szCs w:val="21"/>
                    </w:rPr>
                  </w:pPr>
                  <w:r>
                    <w:rPr>
                      <w:b/>
                      <w:bCs/>
                      <w:color w:val="auto"/>
                      <w:spacing w:val="5"/>
                      <w:sz w:val="21"/>
                      <w:szCs w:val="21"/>
                    </w:rPr>
                    <w:t>建筑面积（㎡）</w:t>
                  </w:r>
                </w:p>
              </w:tc>
              <w:tc>
                <w:tcPr>
                  <w:tcW w:w="1933" w:type="dxa"/>
                  <w:vAlign w:val="center"/>
                </w:tcPr>
                <w:p w14:paraId="0D63F93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z w:val="21"/>
                      <w:szCs w:val="21"/>
                    </w:rPr>
                  </w:pPr>
                  <w:r>
                    <w:rPr>
                      <w:b/>
                      <w:bCs/>
                      <w:color w:val="auto"/>
                      <w:spacing w:val="1"/>
                      <w:sz w:val="21"/>
                      <w:szCs w:val="21"/>
                    </w:rPr>
                    <w:t>占地面积（㎡）</w:t>
                  </w:r>
                </w:p>
              </w:tc>
              <w:tc>
                <w:tcPr>
                  <w:tcW w:w="1218" w:type="dxa"/>
                  <w:vAlign w:val="center"/>
                </w:tcPr>
                <w:p w14:paraId="4D40FAE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z w:val="21"/>
                      <w:szCs w:val="21"/>
                    </w:rPr>
                  </w:pPr>
                  <w:r>
                    <w:rPr>
                      <w:b/>
                      <w:bCs/>
                      <w:color w:val="auto"/>
                      <w:spacing w:val="-1"/>
                      <w:sz w:val="21"/>
                      <w:szCs w:val="21"/>
                    </w:rPr>
                    <w:t>备注</w:t>
                  </w:r>
                </w:p>
              </w:tc>
            </w:tr>
            <w:tr w14:paraId="24462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9" w:hRule="atLeast"/>
              </w:trPr>
              <w:tc>
                <w:tcPr>
                  <w:tcW w:w="1941" w:type="dxa"/>
                  <w:vAlign w:val="center"/>
                </w:tcPr>
                <w:p w14:paraId="1314A7B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6"/>
                      <w:sz w:val="21"/>
                      <w:szCs w:val="21"/>
                    </w:rPr>
                    <w:t>临时生活用房</w:t>
                  </w:r>
                </w:p>
              </w:tc>
              <w:tc>
                <w:tcPr>
                  <w:tcW w:w="1332" w:type="dxa"/>
                  <w:vAlign w:val="center"/>
                </w:tcPr>
                <w:p w14:paraId="4C12696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1934" w:type="dxa"/>
                  <w:vAlign w:val="center"/>
                </w:tcPr>
                <w:p w14:paraId="21F9950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600</w:t>
                  </w:r>
                </w:p>
              </w:tc>
              <w:tc>
                <w:tcPr>
                  <w:tcW w:w="1933" w:type="dxa"/>
                  <w:vAlign w:val="center"/>
                </w:tcPr>
                <w:p w14:paraId="67FA163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2000</w:t>
                  </w:r>
                </w:p>
              </w:tc>
              <w:tc>
                <w:tcPr>
                  <w:tcW w:w="1218" w:type="dxa"/>
                  <w:vAlign w:val="center"/>
                </w:tcPr>
                <w:p w14:paraId="5396188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临时占地</w:t>
                  </w:r>
                </w:p>
              </w:tc>
            </w:tr>
            <w:tr w14:paraId="60355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9" w:hRule="atLeast"/>
              </w:trPr>
              <w:tc>
                <w:tcPr>
                  <w:tcW w:w="1941" w:type="dxa"/>
                  <w:vAlign w:val="center"/>
                </w:tcPr>
                <w:p w14:paraId="1CAD0C6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6"/>
                      <w:sz w:val="21"/>
                      <w:szCs w:val="21"/>
                    </w:rPr>
                    <w:t>临时施工道路</w:t>
                  </w:r>
                </w:p>
              </w:tc>
              <w:tc>
                <w:tcPr>
                  <w:tcW w:w="1332" w:type="dxa"/>
                  <w:vAlign w:val="center"/>
                </w:tcPr>
                <w:p w14:paraId="5199125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cs="Times New Roman"/>
                      <w:color w:val="auto"/>
                      <w:sz w:val="21"/>
                      <w:szCs w:val="21"/>
                      <w:lang w:val="en-US" w:eastAsia="zh-CN"/>
                    </w:rPr>
                    <w:t>/</w:t>
                  </w:r>
                </w:p>
              </w:tc>
              <w:tc>
                <w:tcPr>
                  <w:tcW w:w="1934" w:type="dxa"/>
                  <w:vAlign w:val="center"/>
                </w:tcPr>
                <w:p w14:paraId="64AD1B0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cs="Times New Roman"/>
                      <w:color w:val="auto"/>
                      <w:sz w:val="21"/>
                      <w:szCs w:val="21"/>
                      <w:lang w:val="en-US" w:eastAsia="zh-CN"/>
                    </w:rPr>
                    <w:t>/</w:t>
                  </w:r>
                </w:p>
              </w:tc>
              <w:tc>
                <w:tcPr>
                  <w:tcW w:w="1933" w:type="dxa"/>
                  <w:vAlign w:val="center"/>
                </w:tcPr>
                <w:p w14:paraId="28F19DD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44600</w:t>
                  </w:r>
                </w:p>
              </w:tc>
              <w:tc>
                <w:tcPr>
                  <w:tcW w:w="1218" w:type="dxa"/>
                  <w:vAlign w:val="center"/>
                </w:tcPr>
                <w:p w14:paraId="28444A8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临时占地</w:t>
                  </w:r>
                </w:p>
              </w:tc>
            </w:tr>
            <w:tr w14:paraId="1136E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1941" w:type="dxa"/>
                  <w:vAlign w:val="center"/>
                </w:tcPr>
                <w:p w14:paraId="7EC3856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6"/>
                      <w:sz w:val="21"/>
                      <w:szCs w:val="21"/>
                      <w:lang w:val="en-US" w:eastAsia="zh-CN"/>
                    </w:rPr>
                    <w:t>混凝土临时拌合站</w:t>
                  </w:r>
                </w:p>
              </w:tc>
              <w:tc>
                <w:tcPr>
                  <w:tcW w:w="1332" w:type="dxa"/>
                  <w:vAlign w:val="center"/>
                </w:tcPr>
                <w:p w14:paraId="10E5C0C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cs="Times New Roman"/>
                      <w:color w:val="auto"/>
                      <w:sz w:val="21"/>
                      <w:szCs w:val="21"/>
                      <w:lang w:val="en-US" w:eastAsia="zh-CN"/>
                    </w:rPr>
                    <w:t>/</w:t>
                  </w:r>
                </w:p>
              </w:tc>
              <w:tc>
                <w:tcPr>
                  <w:tcW w:w="1934" w:type="dxa"/>
                  <w:vAlign w:val="center"/>
                </w:tcPr>
                <w:p w14:paraId="79D3761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cs="Times New Roman"/>
                      <w:color w:val="auto"/>
                      <w:sz w:val="21"/>
                      <w:szCs w:val="21"/>
                      <w:lang w:val="en-US" w:eastAsia="zh-CN"/>
                    </w:rPr>
                    <w:t>/</w:t>
                  </w:r>
                </w:p>
              </w:tc>
              <w:tc>
                <w:tcPr>
                  <w:tcW w:w="1933" w:type="dxa"/>
                  <w:vAlign w:val="center"/>
                </w:tcPr>
                <w:p w14:paraId="1968619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500</w:t>
                  </w:r>
                </w:p>
              </w:tc>
              <w:tc>
                <w:tcPr>
                  <w:tcW w:w="1218" w:type="dxa"/>
                  <w:vAlign w:val="center"/>
                </w:tcPr>
                <w:p w14:paraId="3227692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临时占地</w:t>
                  </w:r>
                </w:p>
              </w:tc>
            </w:tr>
            <w:tr w14:paraId="54DBA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6" w:hRule="atLeast"/>
              </w:trPr>
              <w:tc>
                <w:tcPr>
                  <w:tcW w:w="1941" w:type="dxa"/>
                  <w:vAlign w:val="center"/>
                </w:tcPr>
                <w:p w14:paraId="5E8D06D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5"/>
                      <w:sz w:val="21"/>
                      <w:szCs w:val="21"/>
                    </w:rPr>
                    <w:t>仓库</w:t>
                  </w:r>
                </w:p>
              </w:tc>
              <w:tc>
                <w:tcPr>
                  <w:tcW w:w="1332" w:type="dxa"/>
                  <w:vAlign w:val="center"/>
                </w:tcPr>
                <w:p w14:paraId="5161C5D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p>
              </w:tc>
              <w:tc>
                <w:tcPr>
                  <w:tcW w:w="1934" w:type="dxa"/>
                  <w:vAlign w:val="center"/>
                </w:tcPr>
                <w:p w14:paraId="3A67269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300</w:t>
                  </w:r>
                </w:p>
              </w:tc>
              <w:tc>
                <w:tcPr>
                  <w:tcW w:w="1933" w:type="dxa"/>
                  <w:vAlign w:val="center"/>
                </w:tcPr>
                <w:p w14:paraId="1EDB42A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500</w:t>
                  </w:r>
                </w:p>
              </w:tc>
              <w:tc>
                <w:tcPr>
                  <w:tcW w:w="1218" w:type="dxa"/>
                  <w:vAlign w:val="center"/>
                </w:tcPr>
                <w:p w14:paraId="1E78C99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临时占地</w:t>
                  </w:r>
                </w:p>
              </w:tc>
            </w:tr>
            <w:tr w14:paraId="5228F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trPr>
              <w:tc>
                <w:tcPr>
                  <w:tcW w:w="1941" w:type="dxa"/>
                  <w:vAlign w:val="center"/>
                </w:tcPr>
                <w:p w14:paraId="45EF862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木材加工厂</w:t>
                  </w:r>
                </w:p>
              </w:tc>
              <w:tc>
                <w:tcPr>
                  <w:tcW w:w="1332" w:type="dxa"/>
                  <w:vAlign w:val="center"/>
                </w:tcPr>
                <w:p w14:paraId="3F8665D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0.3m</w:t>
                  </w:r>
                  <w:r>
                    <w:rPr>
                      <w:rFonts w:hint="default" w:ascii="Times New Roman" w:hAnsi="Times New Roman" w:cs="Times New Roman"/>
                      <w:color w:val="auto"/>
                      <w:spacing w:val="4"/>
                      <w:sz w:val="21"/>
                      <w:szCs w:val="21"/>
                      <w:vertAlign w:val="superscript"/>
                      <w:lang w:val="en-US" w:eastAsia="zh-CN"/>
                    </w:rPr>
                    <w:t>3</w:t>
                  </w:r>
                  <w:r>
                    <w:rPr>
                      <w:rFonts w:hint="default" w:ascii="Times New Roman" w:hAnsi="Times New Roman" w:cs="Times New Roman"/>
                      <w:color w:val="auto"/>
                      <w:spacing w:val="4"/>
                      <w:sz w:val="21"/>
                      <w:szCs w:val="21"/>
                    </w:rPr>
                    <w:t>/班</w:t>
                  </w:r>
                </w:p>
              </w:tc>
              <w:tc>
                <w:tcPr>
                  <w:tcW w:w="1934" w:type="dxa"/>
                  <w:vAlign w:val="center"/>
                </w:tcPr>
                <w:p w14:paraId="7296C9C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100</w:t>
                  </w:r>
                </w:p>
              </w:tc>
              <w:tc>
                <w:tcPr>
                  <w:tcW w:w="1933" w:type="dxa"/>
                  <w:vAlign w:val="center"/>
                </w:tcPr>
                <w:p w14:paraId="2D1ECA5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500</w:t>
                  </w:r>
                </w:p>
              </w:tc>
              <w:tc>
                <w:tcPr>
                  <w:tcW w:w="1218" w:type="dxa"/>
                  <w:vAlign w:val="center"/>
                </w:tcPr>
                <w:p w14:paraId="76184EF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临时占地</w:t>
                  </w:r>
                </w:p>
              </w:tc>
            </w:tr>
            <w:tr w14:paraId="5C239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941" w:type="dxa"/>
                  <w:vAlign w:val="center"/>
                </w:tcPr>
                <w:p w14:paraId="4F74232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8"/>
                      <w:sz w:val="21"/>
                      <w:szCs w:val="21"/>
                    </w:rPr>
                    <w:t>机械设备停放场</w:t>
                  </w:r>
                </w:p>
              </w:tc>
              <w:tc>
                <w:tcPr>
                  <w:tcW w:w="1332" w:type="dxa"/>
                  <w:vAlign w:val="center"/>
                </w:tcPr>
                <w:p w14:paraId="1D93B0C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cs="Times New Roman"/>
                      <w:color w:val="auto"/>
                      <w:sz w:val="21"/>
                      <w:szCs w:val="21"/>
                      <w:lang w:val="en-US" w:eastAsia="zh-CN"/>
                    </w:rPr>
                    <w:t>/</w:t>
                  </w:r>
                </w:p>
              </w:tc>
              <w:tc>
                <w:tcPr>
                  <w:tcW w:w="1934" w:type="dxa"/>
                  <w:vAlign w:val="center"/>
                </w:tcPr>
                <w:p w14:paraId="758AE92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100</w:t>
                  </w:r>
                </w:p>
              </w:tc>
              <w:tc>
                <w:tcPr>
                  <w:tcW w:w="1933" w:type="dxa"/>
                  <w:vAlign w:val="center"/>
                </w:tcPr>
                <w:p w14:paraId="5A4BD07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500</w:t>
                  </w:r>
                </w:p>
              </w:tc>
              <w:tc>
                <w:tcPr>
                  <w:tcW w:w="1218" w:type="dxa"/>
                  <w:vAlign w:val="center"/>
                </w:tcPr>
                <w:p w14:paraId="1F7CECB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临时占地</w:t>
                  </w:r>
                </w:p>
              </w:tc>
            </w:tr>
            <w:tr w14:paraId="6FD8F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9" w:hRule="atLeast"/>
              </w:trPr>
              <w:tc>
                <w:tcPr>
                  <w:tcW w:w="1941" w:type="dxa"/>
                  <w:vAlign w:val="center"/>
                </w:tcPr>
                <w:p w14:paraId="5DFFAAF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ascii="Times New Roman" w:hAnsi="Times New Roman" w:cs="Times New Roman"/>
                      <w:color w:val="auto"/>
                      <w:spacing w:val="8"/>
                      <w:sz w:val="21"/>
                      <w:szCs w:val="21"/>
                      <w:lang w:val="en-US" w:eastAsia="zh-CN"/>
                    </w:rPr>
                    <w:t>临时</w:t>
                  </w:r>
                  <w:r>
                    <w:rPr>
                      <w:rFonts w:hint="default" w:ascii="Times New Roman" w:hAnsi="Times New Roman" w:cs="Times New Roman"/>
                      <w:color w:val="auto"/>
                      <w:spacing w:val="8"/>
                      <w:sz w:val="21"/>
                      <w:szCs w:val="21"/>
                    </w:rPr>
                    <w:t>堆料区</w:t>
                  </w:r>
                </w:p>
              </w:tc>
              <w:tc>
                <w:tcPr>
                  <w:tcW w:w="1332" w:type="dxa"/>
                  <w:vAlign w:val="center"/>
                </w:tcPr>
                <w:p w14:paraId="42BFC27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cs="Times New Roman"/>
                      <w:color w:val="auto"/>
                      <w:sz w:val="21"/>
                      <w:szCs w:val="21"/>
                      <w:lang w:val="en-US" w:eastAsia="zh-CN"/>
                    </w:rPr>
                    <w:t>/</w:t>
                  </w:r>
                </w:p>
              </w:tc>
              <w:tc>
                <w:tcPr>
                  <w:tcW w:w="1934" w:type="dxa"/>
                  <w:vAlign w:val="center"/>
                </w:tcPr>
                <w:p w14:paraId="677BB31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eastAsia" w:cs="Times New Roman"/>
                      <w:color w:val="auto"/>
                      <w:sz w:val="21"/>
                      <w:szCs w:val="21"/>
                      <w:lang w:val="en-US" w:eastAsia="zh-CN"/>
                    </w:rPr>
                    <w:t>/</w:t>
                  </w:r>
                </w:p>
              </w:tc>
              <w:tc>
                <w:tcPr>
                  <w:tcW w:w="1933" w:type="dxa"/>
                  <w:vAlign w:val="center"/>
                </w:tcPr>
                <w:p w14:paraId="7E28A6B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36160</w:t>
                  </w:r>
                </w:p>
              </w:tc>
              <w:tc>
                <w:tcPr>
                  <w:tcW w:w="1218" w:type="dxa"/>
                  <w:vAlign w:val="center"/>
                </w:tcPr>
                <w:p w14:paraId="041BB2C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临时占地</w:t>
                  </w:r>
                </w:p>
              </w:tc>
            </w:tr>
          </w:tbl>
          <w:p w14:paraId="27084E8B">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auto"/>
              <w:rPr>
                <w:rFonts w:hint="eastAsia"/>
                <w:color w:val="auto"/>
                <w:spacing w:val="-1"/>
                <w:lang w:eastAsia="zh-CN"/>
              </w:rPr>
            </w:pPr>
          </w:p>
        </w:tc>
      </w:tr>
      <w:tr w14:paraId="784AA8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3" w:type="pct"/>
            <w:noWrap w:val="0"/>
            <w:vAlign w:val="center"/>
          </w:tcPr>
          <w:p w14:paraId="5C877788">
            <w:pPr>
              <w:pStyle w:val="24"/>
              <w:adjustRightInd w:val="0"/>
              <w:snapToGrid w:val="0"/>
              <w:spacing w:before="0" w:beforeAutospacing="0" w:after="0" w:afterAutospacing="0" w:line="240" w:lineRule="auto"/>
              <w:jc w:val="both"/>
              <w:rPr>
                <w:rFonts w:hint="default" w:eastAsia="宋体"/>
                <w:color w:val="auto"/>
                <w:spacing w:val="-4"/>
                <w:lang w:val="en-US" w:eastAsia="zh-CN"/>
              </w:rPr>
            </w:pPr>
            <w:r>
              <w:rPr>
                <w:rFonts w:hint="eastAsia"/>
                <w:color w:val="auto"/>
                <w:spacing w:val="-4"/>
                <w:lang w:val="en-US" w:eastAsia="zh-CN"/>
              </w:rPr>
              <w:t>施工方案</w:t>
            </w:r>
          </w:p>
        </w:tc>
        <w:tc>
          <w:tcPr>
            <w:tcW w:w="4746" w:type="pct"/>
            <w:noWrap w:val="0"/>
            <w:vAlign w:val="center"/>
          </w:tcPr>
          <w:p w14:paraId="12EDBED1">
            <w:pPr>
              <w:pStyle w:val="65"/>
              <w:keepNext w:val="0"/>
              <w:keepLines w:val="0"/>
              <w:pageBreakBefore w:val="0"/>
              <w:widowControl w:val="0"/>
              <w:numPr>
                <w:ilvl w:val="0"/>
                <w:numId w:val="21"/>
              </w:numPr>
              <w:kinsoku/>
              <w:wordWrap/>
              <w:overflowPunct/>
              <w:topLinePunct w:val="0"/>
              <w:autoSpaceDE/>
              <w:autoSpaceDN/>
              <w:bidi w:val="0"/>
              <w:adjustRightInd w:val="0"/>
              <w:snapToGrid/>
              <w:spacing w:line="360" w:lineRule="auto"/>
              <w:ind w:left="425" w:leftChars="0" w:hanging="425" w:firstLineChars="0"/>
              <w:textAlignment w:val="auto"/>
              <w:rPr>
                <w:rFonts w:hint="default" w:ascii="Times New Roman" w:hAnsi="Times New Roman" w:eastAsia="宋体" w:cs="Times New Roman"/>
                <w:color w:val="auto"/>
                <w:spacing w:val="-3"/>
                <w:kern w:val="2"/>
                <w:sz w:val="24"/>
                <w:szCs w:val="24"/>
                <w:lang w:val="en-US" w:eastAsia="zh-CN" w:bidi="ar-SA"/>
              </w:rPr>
            </w:pPr>
            <w:r>
              <w:rPr>
                <w:rFonts w:hint="default" w:ascii="Times New Roman" w:hAnsi="Times New Roman" w:cs="Times New Roman"/>
                <w:color w:val="auto"/>
                <w:spacing w:val="-3"/>
                <w:kern w:val="2"/>
                <w:sz w:val="24"/>
                <w:szCs w:val="24"/>
                <w:lang w:val="en-US" w:eastAsia="zh-CN" w:bidi="ar-SA"/>
              </w:rPr>
              <w:t>施工工艺</w:t>
            </w:r>
          </w:p>
          <w:p w14:paraId="009569EF">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68" w:firstLineChars="200"/>
              <w:textAlignment w:val="auto"/>
              <w:rPr>
                <w:rFonts w:hint="default" w:ascii="Times New Roman" w:hAnsi="Times New Roman" w:cs="Times New Roman"/>
                <w:color w:val="auto"/>
                <w:spacing w:val="-3"/>
                <w:sz w:val="24"/>
                <w:szCs w:val="24"/>
              </w:rPr>
            </w:pPr>
            <w:r>
              <w:rPr>
                <w:rFonts w:hint="default" w:ascii="Times New Roman" w:hAnsi="Times New Roman" w:cs="Times New Roman"/>
                <w:color w:val="auto"/>
                <w:spacing w:val="-3"/>
                <w:sz w:val="24"/>
                <w:szCs w:val="24"/>
              </w:rPr>
              <w:t>防洪工程包括清废、土方开挖、土方回填、现浇砼、格宾石笼等内容，各防洪段落施工内容基本相同，考虑地形条形、地质、建筑物结构形式差异不大，施工方法基本相同。施工程序均为，土方清废一土方开挖一护岸填筑一格宾石笼施工一土方回填。</w:t>
            </w:r>
          </w:p>
          <w:p w14:paraId="35E9A0F8">
            <w:pPr>
              <w:pStyle w:val="65"/>
              <w:keepNext w:val="0"/>
              <w:keepLines w:val="0"/>
              <w:pageBreakBefore w:val="0"/>
              <w:widowControl w:val="0"/>
              <w:numPr>
                <w:ilvl w:val="0"/>
                <w:numId w:val="21"/>
              </w:numPr>
              <w:kinsoku/>
              <w:wordWrap/>
              <w:overflowPunct/>
              <w:topLinePunct w:val="0"/>
              <w:autoSpaceDE/>
              <w:autoSpaceDN/>
              <w:bidi w:val="0"/>
              <w:adjustRightInd w:val="0"/>
              <w:snapToGrid/>
              <w:spacing w:line="360" w:lineRule="auto"/>
              <w:ind w:left="425" w:leftChars="0" w:hanging="425" w:firstLineChars="0"/>
              <w:textAlignment w:val="auto"/>
              <w:rPr>
                <w:rFonts w:hint="default" w:ascii="Times New Roman" w:hAnsi="Times New Roman" w:cs="Times New Roman"/>
                <w:color w:val="auto"/>
                <w:spacing w:val="-3"/>
                <w:kern w:val="2"/>
                <w:sz w:val="24"/>
                <w:szCs w:val="24"/>
                <w:lang w:val="en-US" w:eastAsia="zh-CN" w:bidi="ar-SA"/>
              </w:rPr>
            </w:pPr>
            <w:r>
              <w:rPr>
                <w:rFonts w:hint="default" w:ascii="Times New Roman" w:hAnsi="Times New Roman" w:cs="Times New Roman"/>
                <w:color w:val="auto"/>
                <w:spacing w:val="-3"/>
                <w:kern w:val="2"/>
                <w:sz w:val="24"/>
                <w:szCs w:val="24"/>
                <w:lang w:val="en-US" w:eastAsia="zh-CN" w:bidi="ar-SA"/>
              </w:rPr>
              <w:t>施工时序，建设周期</w:t>
            </w:r>
          </w:p>
          <w:p w14:paraId="4D0A91C5">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68" w:firstLineChars="200"/>
              <w:textAlignment w:val="auto"/>
              <w:rPr>
                <w:rFonts w:hint="default" w:ascii="Times New Roman" w:hAnsi="Times New Roman" w:cs="Times New Roman"/>
                <w:color w:val="auto"/>
                <w:spacing w:val="-3"/>
                <w:sz w:val="24"/>
                <w:szCs w:val="24"/>
              </w:rPr>
            </w:pPr>
            <w:r>
              <w:rPr>
                <w:rFonts w:hint="default" w:ascii="Times New Roman" w:hAnsi="Times New Roman" w:cs="Times New Roman"/>
                <w:color w:val="auto"/>
                <w:spacing w:val="-3"/>
                <w:sz w:val="24"/>
                <w:szCs w:val="24"/>
              </w:rPr>
              <w:t>根据能源部、水利部部颁标准《水利水电工程施工组织设计》</w:t>
            </w:r>
            <w:r>
              <w:rPr>
                <w:rFonts w:hint="eastAsia" w:ascii="Times New Roman" w:hAnsi="Times New Roman" w:cs="Times New Roman"/>
                <w:color w:val="auto"/>
                <w:spacing w:val="-3"/>
                <w:sz w:val="24"/>
                <w:szCs w:val="24"/>
                <w:lang w:eastAsia="zh-CN"/>
              </w:rPr>
              <w:t>（</w:t>
            </w:r>
            <w:r>
              <w:rPr>
                <w:rFonts w:hint="default" w:ascii="Times New Roman" w:hAnsi="Times New Roman" w:cs="Times New Roman"/>
                <w:color w:val="auto"/>
                <w:spacing w:val="-3"/>
                <w:sz w:val="24"/>
                <w:szCs w:val="24"/>
              </w:rPr>
              <w:t>SL303-2017)和《水利水电工程初步设计报告编制规程》</w:t>
            </w:r>
            <w:r>
              <w:rPr>
                <w:rFonts w:hint="eastAsia" w:ascii="Times New Roman" w:hAnsi="Times New Roman" w:cs="Times New Roman"/>
                <w:color w:val="auto"/>
                <w:spacing w:val="-3"/>
                <w:sz w:val="24"/>
                <w:szCs w:val="24"/>
                <w:lang w:eastAsia="zh-CN"/>
              </w:rPr>
              <w:t>（</w:t>
            </w:r>
            <w:r>
              <w:rPr>
                <w:rFonts w:hint="default" w:ascii="Times New Roman" w:hAnsi="Times New Roman" w:cs="Times New Roman"/>
                <w:color w:val="auto"/>
                <w:spacing w:val="-3"/>
                <w:sz w:val="24"/>
                <w:szCs w:val="24"/>
              </w:rPr>
              <w:t>SL/T619-2021)，结合工程特点、规模、建设条件及业主要求和工期定额初步确定工程总工期为7个月。其中:工程筹备期0.5个月，主体工程施工期6.5个月，工程完建期1个月</w:t>
            </w:r>
            <w:r>
              <w:rPr>
                <w:rFonts w:hint="eastAsia" w:ascii="Times New Roman" w:hAnsi="Times New Roman" w:cs="Times New Roman"/>
                <w:color w:val="auto"/>
                <w:spacing w:val="-3"/>
                <w:sz w:val="24"/>
                <w:szCs w:val="24"/>
                <w:lang w:eastAsia="zh-CN"/>
              </w:rPr>
              <w:t>（</w:t>
            </w:r>
            <w:r>
              <w:rPr>
                <w:rFonts w:hint="default" w:ascii="Times New Roman" w:hAnsi="Times New Roman" w:cs="Times New Roman"/>
                <w:color w:val="auto"/>
                <w:spacing w:val="-3"/>
                <w:sz w:val="24"/>
                <w:szCs w:val="24"/>
              </w:rPr>
              <w:t>与主体工程重叠)。</w:t>
            </w:r>
          </w:p>
          <w:p w14:paraId="611CAFDC">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68" w:firstLineChars="200"/>
              <w:textAlignment w:val="auto"/>
              <w:rPr>
                <w:rFonts w:hint="default" w:ascii="Times New Roman" w:hAnsi="Times New Roman" w:cs="Times New Roman"/>
                <w:color w:val="auto"/>
                <w:spacing w:val="-3"/>
                <w:sz w:val="24"/>
                <w:szCs w:val="24"/>
              </w:rPr>
            </w:pPr>
            <w:r>
              <w:rPr>
                <w:rFonts w:hint="default" w:ascii="Times New Roman" w:hAnsi="Times New Roman" w:cs="Times New Roman"/>
                <w:color w:val="auto"/>
                <w:spacing w:val="-3"/>
                <w:sz w:val="24"/>
                <w:szCs w:val="24"/>
              </w:rPr>
              <w:t>本工程施工进度计划安排如下:</w:t>
            </w:r>
          </w:p>
          <w:p w14:paraId="1A37BCD3">
            <w:pPr>
              <w:pStyle w:val="65"/>
              <w:keepNext w:val="0"/>
              <w:keepLines w:val="0"/>
              <w:pageBreakBefore w:val="0"/>
              <w:widowControl w:val="0"/>
              <w:numPr>
                <w:ilvl w:val="0"/>
                <w:numId w:val="22"/>
              </w:numPr>
              <w:kinsoku/>
              <w:wordWrap/>
              <w:overflowPunct/>
              <w:topLinePunct w:val="0"/>
              <w:autoSpaceDE/>
              <w:autoSpaceDN/>
              <w:bidi w:val="0"/>
              <w:adjustRightInd w:val="0"/>
              <w:snapToGrid/>
              <w:spacing w:line="360" w:lineRule="auto"/>
              <w:ind w:left="425" w:leftChars="0" w:hanging="425" w:firstLineChars="0"/>
              <w:textAlignment w:val="auto"/>
              <w:rPr>
                <w:rFonts w:hint="default" w:ascii="Times New Roman" w:hAnsi="Times New Roman" w:cs="Times New Roman"/>
                <w:color w:val="auto"/>
                <w:spacing w:val="-3"/>
                <w:sz w:val="24"/>
                <w:szCs w:val="24"/>
              </w:rPr>
            </w:pPr>
            <w:r>
              <w:rPr>
                <w:rFonts w:hint="default" w:ascii="Times New Roman" w:hAnsi="Times New Roman" w:cs="Times New Roman"/>
                <w:color w:val="auto"/>
                <w:spacing w:val="-3"/>
                <w:sz w:val="24"/>
                <w:szCs w:val="24"/>
              </w:rPr>
              <w:t>工程筹建期</w:t>
            </w:r>
          </w:p>
          <w:p w14:paraId="2595E755">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68" w:firstLineChars="200"/>
              <w:textAlignment w:val="auto"/>
              <w:rPr>
                <w:rFonts w:hint="default" w:ascii="Times New Roman" w:hAnsi="Times New Roman" w:cs="Times New Roman"/>
                <w:color w:val="auto"/>
                <w:spacing w:val="-3"/>
                <w:sz w:val="24"/>
                <w:szCs w:val="24"/>
              </w:rPr>
            </w:pPr>
            <w:r>
              <w:rPr>
                <w:rFonts w:hint="default" w:ascii="Times New Roman" w:hAnsi="Times New Roman" w:cs="Times New Roman"/>
                <w:color w:val="auto"/>
                <w:spacing w:val="-3"/>
                <w:sz w:val="24"/>
                <w:szCs w:val="24"/>
              </w:rPr>
              <w:t>工程筹建期主要完成由业主单位负责的对外交通道路建设、招标评标签约工作、施工用电线路建设等工作，为承包单位进场顺利开工创造条件。同时为了工程开工后，主体工程能很快进入施工状态，在工程筹建期部分场内交通道路、业主单位生产、生活房屋、生活生产区用水用电系统也应动工建设。</w:t>
            </w:r>
          </w:p>
          <w:p w14:paraId="2E304897">
            <w:pPr>
              <w:pStyle w:val="65"/>
              <w:keepNext w:val="0"/>
              <w:keepLines w:val="0"/>
              <w:pageBreakBefore w:val="0"/>
              <w:widowControl w:val="0"/>
              <w:numPr>
                <w:ilvl w:val="0"/>
                <w:numId w:val="22"/>
              </w:numPr>
              <w:kinsoku/>
              <w:wordWrap/>
              <w:overflowPunct/>
              <w:topLinePunct w:val="0"/>
              <w:autoSpaceDE/>
              <w:autoSpaceDN/>
              <w:bidi w:val="0"/>
              <w:adjustRightInd w:val="0"/>
              <w:snapToGrid/>
              <w:spacing w:line="360" w:lineRule="auto"/>
              <w:ind w:left="425" w:leftChars="0" w:hanging="425" w:firstLineChars="0"/>
              <w:textAlignment w:val="auto"/>
              <w:rPr>
                <w:rFonts w:hint="default" w:ascii="Times New Roman" w:hAnsi="Times New Roman" w:cs="Times New Roman"/>
                <w:color w:val="auto"/>
                <w:spacing w:val="-3"/>
                <w:sz w:val="24"/>
                <w:szCs w:val="24"/>
              </w:rPr>
            </w:pPr>
            <w:r>
              <w:rPr>
                <w:rFonts w:hint="default" w:ascii="Times New Roman" w:hAnsi="Times New Roman" w:cs="Times New Roman"/>
                <w:color w:val="auto"/>
                <w:spacing w:val="-3"/>
                <w:sz w:val="24"/>
                <w:szCs w:val="24"/>
              </w:rPr>
              <w:t>工程准备期</w:t>
            </w:r>
          </w:p>
          <w:p w14:paraId="44A3B29B">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68" w:firstLineChars="200"/>
              <w:textAlignment w:val="auto"/>
              <w:rPr>
                <w:rFonts w:hint="default" w:ascii="Times New Roman" w:hAnsi="Times New Roman" w:cs="Times New Roman"/>
                <w:color w:val="auto"/>
                <w:spacing w:val="-3"/>
                <w:sz w:val="24"/>
                <w:szCs w:val="24"/>
              </w:rPr>
            </w:pPr>
            <w:r>
              <w:rPr>
                <w:rFonts w:hint="default" w:ascii="Times New Roman" w:hAnsi="Times New Roman" w:cs="Times New Roman"/>
                <w:color w:val="auto"/>
                <w:spacing w:val="-3"/>
                <w:sz w:val="24"/>
                <w:szCs w:val="24"/>
              </w:rPr>
              <w:t>工程准备期为0.5个月。主要完成场内交通道路建设、场地平整、施工单位生产、生活用房建设、施工工厂建设等工作，建设完成生活区、各生产施工区等处的风、水、电、通讯系统，为主体工程顺利进行施工创造条件。</w:t>
            </w:r>
          </w:p>
          <w:p w14:paraId="395FF67E">
            <w:pPr>
              <w:pStyle w:val="65"/>
              <w:keepNext w:val="0"/>
              <w:keepLines w:val="0"/>
              <w:pageBreakBefore w:val="0"/>
              <w:widowControl w:val="0"/>
              <w:numPr>
                <w:ilvl w:val="0"/>
                <w:numId w:val="22"/>
              </w:numPr>
              <w:kinsoku/>
              <w:wordWrap/>
              <w:overflowPunct/>
              <w:topLinePunct w:val="0"/>
              <w:autoSpaceDE/>
              <w:autoSpaceDN/>
              <w:bidi w:val="0"/>
              <w:adjustRightInd w:val="0"/>
              <w:snapToGrid/>
              <w:spacing w:line="360" w:lineRule="auto"/>
              <w:ind w:left="425" w:leftChars="0" w:hanging="425" w:firstLineChars="0"/>
              <w:textAlignment w:val="auto"/>
              <w:rPr>
                <w:rFonts w:hint="default" w:ascii="Times New Roman" w:hAnsi="Times New Roman" w:cs="Times New Roman"/>
                <w:color w:val="auto"/>
                <w:spacing w:val="-3"/>
                <w:sz w:val="24"/>
                <w:szCs w:val="24"/>
              </w:rPr>
            </w:pPr>
            <w:r>
              <w:rPr>
                <w:rFonts w:hint="default" w:ascii="Times New Roman" w:hAnsi="Times New Roman" w:cs="Times New Roman"/>
                <w:color w:val="auto"/>
                <w:spacing w:val="-3"/>
                <w:sz w:val="24"/>
                <w:szCs w:val="24"/>
              </w:rPr>
              <w:t>主体工程施工期</w:t>
            </w:r>
          </w:p>
          <w:p w14:paraId="4DA0DC16">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68" w:firstLineChars="200"/>
              <w:textAlignment w:val="auto"/>
              <w:rPr>
                <w:rFonts w:hint="default" w:ascii="Times New Roman" w:hAnsi="Times New Roman" w:cs="Times New Roman"/>
                <w:color w:val="auto"/>
                <w:spacing w:val="-3"/>
                <w:sz w:val="24"/>
                <w:szCs w:val="24"/>
              </w:rPr>
            </w:pPr>
            <w:r>
              <w:rPr>
                <w:rFonts w:hint="default" w:ascii="Times New Roman" w:hAnsi="Times New Roman" w:cs="Times New Roman"/>
                <w:color w:val="auto"/>
                <w:spacing w:val="-3"/>
                <w:sz w:val="24"/>
                <w:szCs w:val="24"/>
              </w:rPr>
              <w:t>主体工程施工期为6.5个月，本时段完成护岸的土方开挖、填筑、混凝土浇筑、格宾石笼铺设等施工任务。</w:t>
            </w:r>
          </w:p>
          <w:p w14:paraId="7DDBEBC8">
            <w:pPr>
              <w:pStyle w:val="65"/>
              <w:keepNext w:val="0"/>
              <w:keepLines w:val="0"/>
              <w:pageBreakBefore w:val="0"/>
              <w:widowControl w:val="0"/>
              <w:numPr>
                <w:ilvl w:val="0"/>
                <w:numId w:val="22"/>
              </w:numPr>
              <w:kinsoku/>
              <w:wordWrap/>
              <w:overflowPunct/>
              <w:topLinePunct w:val="0"/>
              <w:autoSpaceDE/>
              <w:autoSpaceDN/>
              <w:bidi w:val="0"/>
              <w:adjustRightInd w:val="0"/>
              <w:snapToGrid/>
              <w:spacing w:line="360" w:lineRule="auto"/>
              <w:ind w:left="425" w:leftChars="0" w:hanging="425" w:firstLineChars="0"/>
              <w:textAlignment w:val="auto"/>
              <w:rPr>
                <w:rFonts w:hint="default" w:ascii="Times New Roman" w:hAnsi="Times New Roman" w:cs="Times New Roman"/>
                <w:color w:val="auto"/>
                <w:spacing w:val="-3"/>
                <w:sz w:val="24"/>
                <w:szCs w:val="24"/>
              </w:rPr>
            </w:pPr>
            <w:r>
              <w:rPr>
                <w:rFonts w:hint="default" w:ascii="Times New Roman" w:hAnsi="Times New Roman" w:cs="Times New Roman"/>
                <w:color w:val="auto"/>
                <w:spacing w:val="-3"/>
                <w:sz w:val="24"/>
                <w:szCs w:val="24"/>
              </w:rPr>
              <w:t>竣工期</w:t>
            </w:r>
          </w:p>
          <w:p w14:paraId="5FF6A86C">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0" w:firstLine="468" w:firstLineChars="200"/>
              <w:textAlignment w:val="auto"/>
              <w:rPr>
                <w:rFonts w:hint="eastAsia"/>
                <w:b w:val="0"/>
                <w:bCs w:val="0"/>
                <w:color w:val="auto"/>
                <w:spacing w:val="-3"/>
                <w:sz w:val="24"/>
                <w:szCs w:val="24"/>
              </w:rPr>
            </w:pPr>
            <w:r>
              <w:rPr>
                <w:rFonts w:hint="default" w:ascii="Times New Roman" w:hAnsi="Times New Roman" w:cs="Times New Roman"/>
                <w:color w:val="auto"/>
                <w:spacing w:val="-3"/>
                <w:sz w:val="24"/>
                <w:szCs w:val="24"/>
              </w:rPr>
              <w:t>主要进行竣工清理和竣工验收，可采取分期分段验收，最终交付方法。</w:t>
            </w:r>
          </w:p>
        </w:tc>
      </w:tr>
      <w:tr w14:paraId="78D903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3" w:type="pct"/>
            <w:noWrap w:val="0"/>
            <w:vAlign w:val="center"/>
          </w:tcPr>
          <w:p w14:paraId="4C5F82F9">
            <w:pPr>
              <w:pStyle w:val="24"/>
              <w:adjustRightInd w:val="0"/>
              <w:snapToGrid w:val="0"/>
              <w:spacing w:before="0" w:beforeAutospacing="0" w:after="0" w:afterAutospacing="0" w:line="240" w:lineRule="auto"/>
              <w:jc w:val="both"/>
              <w:rPr>
                <w:rFonts w:hint="eastAsia" w:eastAsia="宋体"/>
                <w:color w:val="auto"/>
                <w:spacing w:val="-4"/>
                <w:lang w:val="en-US" w:eastAsia="zh-CN"/>
              </w:rPr>
            </w:pPr>
            <w:r>
              <w:rPr>
                <w:rFonts w:hint="eastAsia"/>
                <w:color w:val="auto"/>
                <w:spacing w:val="-4"/>
                <w:lang w:val="en-US" w:eastAsia="zh-CN"/>
              </w:rPr>
              <w:t>其他</w:t>
            </w:r>
          </w:p>
        </w:tc>
        <w:tc>
          <w:tcPr>
            <w:tcW w:w="4746" w:type="pct"/>
            <w:noWrap w:val="0"/>
            <w:vAlign w:val="center"/>
          </w:tcPr>
          <w:p w14:paraId="489C8E43">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color w:val="auto"/>
                <w:spacing w:val="-3"/>
                <w:sz w:val="24"/>
                <w:szCs w:val="24"/>
              </w:rPr>
            </w:pPr>
          </w:p>
          <w:p w14:paraId="4941C1AB">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color w:val="auto"/>
                <w:spacing w:val="-3"/>
                <w:sz w:val="24"/>
                <w:szCs w:val="24"/>
              </w:rPr>
            </w:pPr>
          </w:p>
          <w:p w14:paraId="6752B8EE">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color w:val="auto"/>
                <w:spacing w:val="-3"/>
                <w:sz w:val="24"/>
                <w:szCs w:val="24"/>
              </w:rPr>
            </w:pPr>
          </w:p>
          <w:p w14:paraId="3CB8B2CC">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color w:val="auto"/>
                <w:spacing w:val="-3"/>
                <w:sz w:val="24"/>
                <w:szCs w:val="24"/>
              </w:rPr>
            </w:pPr>
          </w:p>
          <w:p w14:paraId="6A30A1FB">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color w:val="auto"/>
                <w:spacing w:val="-3"/>
                <w:sz w:val="24"/>
                <w:szCs w:val="24"/>
              </w:rPr>
            </w:pPr>
          </w:p>
          <w:p w14:paraId="63E76DFA">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color w:val="auto"/>
                <w:spacing w:val="-3"/>
                <w:sz w:val="24"/>
                <w:szCs w:val="24"/>
              </w:rPr>
            </w:pPr>
          </w:p>
          <w:p w14:paraId="3C66EAE6">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color w:val="auto"/>
                <w:spacing w:val="-3"/>
                <w:sz w:val="24"/>
                <w:szCs w:val="24"/>
              </w:rPr>
            </w:pPr>
            <w:r>
              <w:rPr>
                <w:rFonts w:hint="eastAsia"/>
                <w:color w:val="auto"/>
                <w:spacing w:val="-3"/>
                <w:sz w:val="24"/>
                <w:szCs w:val="24"/>
                <w:lang w:val="en-US" w:eastAsia="zh-CN"/>
              </w:rPr>
              <w:t>无</w:t>
            </w:r>
          </w:p>
          <w:p w14:paraId="246AE22B">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color w:val="auto"/>
                <w:spacing w:val="-3"/>
                <w:sz w:val="24"/>
                <w:szCs w:val="24"/>
              </w:rPr>
            </w:pPr>
          </w:p>
          <w:p w14:paraId="2B8E46AF">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color w:val="auto"/>
                <w:spacing w:val="-3"/>
                <w:sz w:val="24"/>
                <w:szCs w:val="24"/>
              </w:rPr>
            </w:pPr>
          </w:p>
          <w:p w14:paraId="64E5A4F5">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color w:val="auto"/>
                <w:spacing w:val="-3"/>
                <w:sz w:val="24"/>
                <w:szCs w:val="24"/>
              </w:rPr>
            </w:pPr>
          </w:p>
          <w:p w14:paraId="56757AD1">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color w:val="auto"/>
                <w:spacing w:val="-3"/>
                <w:sz w:val="24"/>
                <w:szCs w:val="24"/>
              </w:rPr>
            </w:pPr>
          </w:p>
          <w:p w14:paraId="0FDCA345">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color w:val="auto"/>
                <w:spacing w:val="-3"/>
                <w:sz w:val="24"/>
                <w:szCs w:val="24"/>
              </w:rPr>
            </w:pPr>
          </w:p>
          <w:p w14:paraId="772367BB">
            <w:pPr>
              <w:pStyle w:val="6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both"/>
              <w:textAlignment w:val="auto"/>
              <w:rPr>
                <w:color w:val="auto"/>
                <w:spacing w:val="-3"/>
                <w:sz w:val="24"/>
                <w:szCs w:val="24"/>
              </w:rPr>
            </w:pPr>
          </w:p>
        </w:tc>
      </w:tr>
    </w:tbl>
    <w:p w14:paraId="5861BA72">
      <w:pPr>
        <w:pStyle w:val="24"/>
        <w:jc w:val="center"/>
        <w:rPr>
          <w:rFonts w:ascii="黑体" w:hAnsi="黑体" w:eastAsia="黑体"/>
          <w:snapToGrid w:val="0"/>
          <w:color w:val="auto"/>
          <w:sz w:val="36"/>
          <w:szCs w:val="36"/>
        </w:rPr>
        <w:sectPr>
          <w:footerReference r:id="rId7" w:type="default"/>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0EA545A7">
      <w:pPr>
        <w:spacing w:before="332" w:line="187" w:lineRule="auto"/>
        <w:ind w:left="1905"/>
        <w:outlineLvl w:val="0"/>
        <w:rPr>
          <w:rFonts w:ascii="黑体" w:hAnsi="黑体" w:eastAsia="黑体"/>
          <w:snapToGrid w:val="0"/>
          <w:color w:val="auto"/>
          <w:sz w:val="30"/>
          <w:szCs w:val="30"/>
        </w:rPr>
      </w:pPr>
      <w:bookmarkStart w:id="37" w:name="_Toc18717"/>
      <w:bookmarkStart w:id="38" w:name="_Toc6744"/>
      <w:r>
        <w:rPr>
          <w:rFonts w:ascii="微软雅黑" w:hAnsi="微软雅黑" w:eastAsia="微软雅黑" w:cs="微软雅黑"/>
          <w:spacing w:val="-6"/>
          <w:sz w:val="30"/>
          <w:szCs w:val="30"/>
        </w:rPr>
        <w:t>三、生态环境现状、保护目标及评价标准</w:t>
      </w:r>
      <w:bookmarkEnd w:id="37"/>
      <w:bookmarkEnd w:id="38"/>
    </w:p>
    <w:tbl>
      <w:tblPr>
        <w:tblStyle w:val="27"/>
        <w:tblW w:w="49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03"/>
        <w:gridCol w:w="8197"/>
      </w:tblGrid>
      <w:tr w14:paraId="28D148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4" w:type="pct"/>
            <w:noWrap w:val="0"/>
            <w:vAlign w:val="center"/>
          </w:tcPr>
          <w:p w14:paraId="6BE5589D">
            <w:pPr>
              <w:adjustRightInd w:val="0"/>
              <w:snapToGrid w:val="0"/>
              <w:jc w:val="center"/>
              <w:rPr>
                <w:rFonts w:ascii="宋体" w:hAnsi="宋体" w:cs="宋体"/>
                <w:color w:val="auto"/>
                <w:kern w:val="0"/>
                <w:sz w:val="21"/>
                <w:szCs w:val="21"/>
              </w:rPr>
            </w:pPr>
            <w:r>
              <w:rPr>
                <w:color w:val="auto"/>
                <w:spacing w:val="-6"/>
                <w:sz w:val="24"/>
                <w:szCs w:val="32"/>
              </w:rPr>
              <w:t>生态</w:t>
            </w:r>
            <w:r>
              <w:rPr>
                <w:color w:val="auto"/>
                <w:spacing w:val="-5"/>
                <w:sz w:val="24"/>
                <w:szCs w:val="32"/>
              </w:rPr>
              <w:t>环境现状</w:t>
            </w:r>
          </w:p>
        </w:tc>
        <w:tc>
          <w:tcPr>
            <w:tcW w:w="4605" w:type="pct"/>
            <w:noWrap w:val="0"/>
            <w:vAlign w:val="center"/>
          </w:tcPr>
          <w:p w14:paraId="1EEEC6DA">
            <w:pPr>
              <w:pStyle w:val="65"/>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firstLine="420" w:firstLineChars="0"/>
              <w:textAlignment w:val="auto"/>
              <w:rPr>
                <w:color w:val="auto"/>
                <w:sz w:val="24"/>
                <w:szCs w:val="24"/>
              </w:rPr>
            </w:pPr>
            <w:r>
              <w:rPr>
                <w:b/>
                <w:bCs/>
                <w:color w:val="auto"/>
                <w:spacing w:val="-4"/>
                <w:sz w:val="24"/>
                <w:szCs w:val="24"/>
              </w:rPr>
              <w:t>生态环境现状</w:t>
            </w:r>
          </w:p>
          <w:p w14:paraId="3C074EC5">
            <w:pPr>
              <w:pStyle w:val="65"/>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425" w:leftChars="0" w:right="0" w:hanging="425" w:firstLineChars="0"/>
              <w:textAlignment w:val="auto"/>
              <w:rPr>
                <w:color w:val="auto"/>
                <w:sz w:val="24"/>
                <w:szCs w:val="24"/>
              </w:rPr>
            </w:pPr>
            <w:r>
              <w:rPr>
                <w:b/>
                <w:bCs/>
                <w:color w:val="auto"/>
                <w:spacing w:val="-4"/>
                <w:sz w:val="24"/>
                <w:szCs w:val="24"/>
              </w:rPr>
              <w:t>主体功能区规划</w:t>
            </w:r>
          </w:p>
          <w:p w14:paraId="0C40EC99">
            <w:pPr>
              <w:pStyle w:val="65"/>
              <w:keepNext w:val="0"/>
              <w:keepLines w:val="0"/>
              <w:pageBreakBefore w:val="0"/>
              <w:kinsoku/>
              <w:wordWrap/>
              <w:overflowPunct/>
              <w:topLinePunct w:val="0"/>
              <w:autoSpaceDE/>
              <w:autoSpaceDN/>
              <w:bidi w:val="0"/>
              <w:adjustRightInd w:val="0"/>
              <w:snapToGrid w:val="0"/>
              <w:spacing w:line="360" w:lineRule="auto"/>
              <w:ind w:left="0" w:right="0" w:firstLine="476" w:firstLineChars="200"/>
              <w:textAlignment w:val="auto"/>
              <w:rPr>
                <w:color w:val="auto"/>
                <w:sz w:val="24"/>
                <w:szCs w:val="24"/>
              </w:rPr>
            </w:pPr>
            <w:r>
              <w:rPr>
                <w:color w:val="auto"/>
                <w:spacing w:val="-1"/>
                <w:sz w:val="24"/>
                <w:szCs w:val="24"/>
              </w:rPr>
              <w:t>本项目位于</w:t>
            </w:r>
            <w:r>
              <w:rPr>
                <w:rFonts w:hint="default" w:ascii="Times New Roman" w:hAnsi="Times New Roman" w:eastAsia="宋体" w:cs="Times New Roman"/>
                <w:color w:val="auto"/>
                <w:sz w:val="24"/>
                <w:lang w:val="en-US" w:eastAsia="zh-CN"/>
              </w:rPr>
              <w:t>新疆昌吉回族自治州奇台县</w:t>
            </w:r>
            <w:r>
              <w:rPr>
                <w:rFonts w:hint="eastAsia"/>
                <w:color w:val="auto"/>
                <w:sz w:val="24"/>
                <w:szCs w:val="24"/>
                <w:lang w:val="en-US" w:eastAsia="zh-CN"/>
              </w:rPr>
              <w:t>县城</w:t>
            </w:r>
            <w:r>
              <w:rPr>
                <w:color w:val="auto"/>
                <w:spacing w:val="-1"/>
                <w:sz w:val="24"/>
                <w:szCs w:val="24"/>
              </w:rPr>
              <w:t>。</w:t>
            </w:r>
          </w:p>
          <w:p w14:paraId="32DF219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jc w:val="both"/>
              <w:textAlignment w:val="auto"/>
              <w:rPr>
                <w:color w:val="auto"/>
                <w:sz w:val="24"/>
                <w:szCs w:val="24"/>
              </w:rPr>
            </w:pPr>
            <w:r>
              <w:rPr>
                <w:color w:val="auto"/>
                <w:spacing w:val="-4"/>
                <w:sz w:val="24"/>
                <w:szCs w:val="24"/>
              </w:rPr>
              <w:t>根据《新疆维吾尔自治区主体功能区规划》，</w:t>
            </w:r>
            <w:r>
              <w:rPr>
                <w:rFonts w:hint="eastAsia" w:ascii="Times New Roman" w:hAnsi="Times New Roman" w:eastAsia="宋体" w:cs="Times New Roman"/>
                <w:color w:val="auto"/>
                <w:kern w:val="2"/>
                <w:sz w:val="24"/>
                <w:szCs w:val="24"/>
                <w:highlight w:val="none"/>
                <w:lang w:val="en-US" w:eastAsia="zh-CN" w:bidi="ar-SA"/>
              </w:rPr>
              <w:t>新建护岸22.184km</w:t>
            </w:r>
            <w:r>
              <w:rPr>
                <w:rFonts w:hint="eastAsia" w:ascii="Times New Roman" w:hAnsi="Times New Roman" w:cs="Times New Roman"/>
                <w:color w:val="auto"/>
                <w:kern w:val="2"/>
                <w:sz w:val="24"/>
                <w:szCs w:val="24"/>
                <w:highlight w:val="none"/>
                <w:lang w:val="en-US" w:eastAsia="zh-CN" w:bidi="ar-SA"/>
              </w:rPr>
              <w:t>工程</w:t>
            </w:r>
            <w:r>
              <w:rPr>
                <w:color w:val="auto"/>
                <w:spacing w:val="-4"/>
                <w:sz w:val="24"/>
                <w:szCs w:val="24"/>
              </w:rPr>
              <w:t>属于国家级天山北坡主产区的新疆农产品生产区，以提供农牧产品为主体功能的区域为农产品主产区，生态产品为主</w:t>
            </w:r>
            <w:r>
              <w:rPr>
                <w:color w:val="auto"/>
                <w:spacing w:val="-1"/>
                <w:sz w:val="24"/>
                <w:szCs w:val="24"/>
              </w:rPr>
              <w:t>体功能的区域为重点生态功能区。</w:t>
            </w:r>
            <w:r>
              <w:rPr>
                <w:rFonts w:hint="eastAsia"/>
                <w:color w:val="auto"/>
                <w:spacing w:val="-1"/>
                <w:sz w:val="24"/>
                <w:szCs w:val="24"/>
                <w:lang w:val="en-US" w:eastAsia="zh-CN"/>
              </w:rPr>
              <w:t>根据《新疆生产建设兵团主体功能区规划》，</w:t>
            </w:r>
            <w:r>
              <w:rPr>
                <w:rFonts w:hint="eastAsia" w:ascii="Times New Roman" w:hAnsi="Times New Roman" w:eastAsia="宋体" w:cs="Times New Roman"/>
                <w:color w:val="auto"/>
                <w:kern w:val="2"/>
                <w:sz w:val="24"/>
                <w:szCs w:val="24"/>
                <w:highlight w:val="none"/>
                <w:lang w:val="en-US" w:eastAsia="zh-CN" w:bidi="ar-SA"/>
              </w:rPr>
              <w:t>改建1座交通桥</w:t>
            </w:r>
            <w:r>
              <w:rPr>
                <w:rFonts w:hint="eastAsia" w:ascii="Times New Roman" w:hAnsi="Times New Roman" w:cs="Times New Roman"/>
                <w:color w:val="auto"/>
                <w:kern w:val="2"/>
                <w:sz w:val="24"/>
                <w:szCs w:val="24"/>
                <w:highlight w:val="none"/>
                <w:lang w:val="en-US" w:eastAsia="zh-CN" w:bidi="ar-SA"/>
              </w:rPr>
              <w:t>工程</w:t>
            </w:r>
            <w:r>
              <w:rPr>
                <w:color w:val="auto"/>
                <w:spacing w:val="-4"/>
                <w:sz w:val="24"/>
                <w:szCs w:val="24"/>
              </w:rPr>
              <w:t>属于国家级天山北坡主产区的新疆农产品生产区，以提供农牧产品为主体功能的区域为农产品主产区，生态产品为主</w:t>
            </w:r>
            <w:r>
              <w:rPr>
                <w:color w:val="auto"/>
                <w:spacing w:val="-1"/>
                <w:sz w:val="24"/>
                <w:szCs w:val="24"/>
              </w:rPr>
              <w:t>体功能的区域为重点生态功能区。</w:t>
            </w:r>
          </w:p>
          <w:p w14:paraId="4C9ABF24">
            <w:pPr>
              <w:pStyle w:val="65"/>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425" w:leftChars="0" w:right="0" w:hanging="425" w:firstLineChars="0"/>
              <w:textAlignment w:val="auto"/>
              <w:rPr>
                <w:b/>
                <w:bCs/>
                <w:color w:val="auto"/>
                <w:spacing w:val="-4"/>
                <w:sz w:val="24"/>
                <w:szCs w:val="24"/>
              </w:rPr>
            </w:pPr>
            <w:r>
              <w:rPr>
                <w:b/>
                <w:bCs/>
                <w:color w:val="auto"/>
                <w:spacing w:val="-4"/>
                <w:sz w:val="24"/>
                <w:szCs w:val="24"/>
              </w:rPr>
              <w:t>生态功能区划</w:t>
            </w:r>
          </w:p>
          <w:p w14:paraId="5E5A30F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jc w:val="both"/>
              <w:textAlignment w:val="auto"/>
              <w:rPr>
                <w:color w:val="auto"/>
                <w:sz w:val="24"/>
                <w:szCs w:val="24"/>
              </w:rPr>
            </w:pPr>
            <w:r>
              <w:rPr>
                <w:rFonts w:hint="eastAsia" w:ascii="Times New Roman" w:hAnsi="Times New Roman" w:eastAsia="宋体" w:cs="Times New Roman"/>
                <w:color w:val="auto"/>
                <w:kern w:val="2"/>
                <w:sz w:val="24"/>
                <w:szCs w:val="24"/>
                <w:highlight w:val="none"/>
                <w:lang w:val="en-US" w:eastAsia="zh-CN" w:bidi="ar-SA"/>
              </w:rPr>
              <w:t>根据《新疆生态功能区划》，</w:t>
            </w:r>
            <w:r>
              <w:rPr>
                <w:rFonts w:hint="default" w:ascii="Times New Roman" w:hAnsi="Times New Roman" w:eastAsia="宋体" w:cs="Times New Roman"/>
                <w:color w:val="auto"/>
                <w:kern w:val="0"/>
                <w:sz w:val="24"/>
              </w:rPr>
              <w:t>本项目属于Ⅱ准噶尔盆地温性荒漠与绿洲农业生态区-Ⅱ</w:t>
            </w:r>
            <w:r>
              <w:rPr>
                <w:rFonts w:hint="default" w:ascii="Times New Roman" w:hAnsi="Times New Roman" w:eastAsia="宋体" w:cs="Times New Roman"/>
                <w:color w:val="auto"/>
                <w:kern w:val="0"/>
                <w:sz w:val="24"/>
                <w:vertAlign w:val="subscript"/>
              </w:rPr>
              <w:t>5</w:t>
            </w:r>
            <w:r>
              <w:rPr>
                <w:rFonts w:hint="default" w:ascii="Times New Roman" w:hAnsi="Times New Roman" w:eastAsia="宋体" w:cs="Times New Roman"/>
                <w:color w:val="auto"/>
                <w:kern w:val="0"/>
                <w:sz w:val="24"/>
              </w:rPr>
              <w:t>准噶尔盆地南部荒漠绿洲农业生态亚区-28.阜康—木垒绿洲农业、荒漠草地保护生态功能区。</w:t>
            </w:r>
            <w:r>
              <w:rPr>
                <w:rFonts w:hint="eastAsia" w:ascii="Times New Roman" w:hAnsi="Times New Roman" w:eastAsia="宋体" w:cs="Times New Roman"/>
                <w:color w:val="auto"/>
                <w:kern w:val="2"/>
                <w:sz w:val="24"/>
                <w:szCs w:val="24"/>
                <w:highlight w:val="none"/>
                <w:lang w:val="en-US" w:eastAsia="zh-CN" w:bidi="ar-SA"/>
              </w:rPr>
              <w:t>详见表3-1及附图8。</w:t>
            </w:r>
          </w:p>
          <w:p w14:paraId="12A37DB1">
            <w:pPr>
              <w:pStyle w:val="65"/>
              <w:keepNext w:val="0"/>
              <w:keepLines w:val="0"/>
              <w:pageBreakBefore w:val="0"/>
              <w:widowControl w:val="0"/>
              <w:numPr>
                <w:ilvl w:val="0"/>
                <w:numId w:val="25"/>
              </w:numPr>
              <w:kinsoku/>
              <w:wordWrap/>
              <w:overflowPunct/>
              <w:topLinePunct w:val="0"/>
              <w:autoSpaceDE/>
              <w:autoSpaceDN/>
              <w:bidi w:val="0"/>
              <w:adjustRightInd w:val="0"/>
              <w:snapToGrid w:val="0"/>
              <w:spacing w:line="240" w:lineRule="auto"/>
              <w:ind w:left="0" w:leftChars="0" w:right="0" w:firstLine="0" w:firstLineChars="0"/>
              <w:jc w:val="center"/>
              <w:textAlignment w:val="auto"/>
              <w:rPr>
                <w:color w:val="auto"/>
              </w:rPr>
            </w:pPr>
            <w:r>
              <w:rPr>
                <w:b/>
                <w:bCs/>
                <w:color w:val="auto"/>
                <w:spacing w:val="5"/>
                <w:sz w:val="24"/>
                <w:szCs w:val="24"/>
              </w:rPr>
              <w:t>新疆生态功能区划简表（片段）</w:t>
            </w:r>
          </w:p>
          <w:tbl>
            <w:tblPr>
              <w:tblStyle w:val="54"/>
              <w:tblW w:w="7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3"/>
              <w:gridCol w:w="757"/>
              <w:gridCol w:w="669"/>
              <w:gridCol w:w="966"/>
              <w:gridCol w:w="966"/>
              <w:gridCol w:w="966"/>
              <w:gridCol w:w="966"/>
              <w:gridCol w:w="1131"/>
              <w:gridCol w:w="812"/>
            </w:tblGrid>
            <w:tr w14:paraId="2B38D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jc w:val="center"/>
              </w:trPr>
              <w:tc>
                <w:tcPr>
                  <w:tcW w:w="1480" w:type="dxa"/>
                  <w:gridSpan w:val="2"/>
                  <w:vAlign w:val="center"/>
                </w:tcPr>
                <w:p w14:paraId="28B09C4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bCs/>
                      <w:color w:val="auto"/>
                      <w:sz w:val="21"/>
                      <w:szCs w:val="21"/>
                    </w:rPr>
                  </w:pPr>
                  <w:r>
                    <w:rPr>
                      <w:b/>
                      <w:bCs/>
                      <w:color w:val="auto"/>
                      <w:spacing w:val="6"/>
                      <w:sz w:val="21"/>
                      <w:szCs w:val="21"/>
                    </w:rPr>
                    <w:t>生态功能分区</w:t>
                  </w:r>
                  <w:r>
                    <w:rPr>
                      <w:b/>
                      <w:bCs/>
                      <w:color w:val="auto"/>
                      <w:spacing w:val="3"/>
                      <w:sz w:val="21"/>
                      <w:szCs w:val="21"/>
                    </w:rPr>
                    <w:t>单元</w:t>
                  </w:r>
                </w:p>
              </w:tc>
              <w:tc>
                <w:tcPr>
                  <w:tcW w:w="669" w:type="dxa"/>
                  <w:vMerge w:val="restart"/>
                  <w:tcBorders>
                    <w:bottom w:val="nil"/>
                  </w:tcBorders>
                  <w:vAlign w:val="center"/>
                </w:tcPr>
                <w:p w14:paraId="40EEA08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bCs/>
                      <w:color w:val="auto"/>
                      <w:sz w:val="21"/>
                      <w:szCs w:val="21"/>
                    </w:rPr>
                  </w:pPr>
                  <w:r>
                    <w:rPr>
                      <w:b/>
                      <w:bCs/>
                      <w:color w:val="auto"/>
                      <w:spacing w:val="2"/>
                      <w:sz w:val="21"/>
                      <w:szCs w:val="21"/>
                    </w:rPr>
                    <w:t>隶属行政</w:t>
                  </w:r>
                  <w:r>
                    <w:rPr>
                      <w:b/>
                      <w:bCs/>
                      <w:color w:val="auto"/>
                      <w:spacing w:val="-3"/>
                      <w:sz w:val="21"/>
                      <w:szCs w:val="21"/>
                    </w:rPr>
                    <w:t>区</w:t>
                  </w:r>
                </w:p>
              </w:tc>
              <w:tc>
                <w:tcPr>
                  <w:tcW w:w="966" w:type="dxa"/>
                  <w:vMerge w:val="restart"/>
                  <w:tcBorders>
                    <w:bottom w:val="nil"/>
                  </w:tcBorders>
                  <w:vAlign w:val="center"/>
                </w:tcPr>
                <w:p w14:paraId="5E29596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bCs/>
                      <w:color w:val="auto"/>
                      <w:sz w:val="21"/>
                      <w:szCs w:val="21"/>
                    </w:rPr>
                  </w:pPr>
                  <w:r>
                    <w:rPr>
                      <w:b/>
                      <w:bCs/>
                      <w:color w:val="auto"/>
                      <w:spacing w:val="5"/>
                      <w:sz w:val="21"/>
                      <w:szCs w:val="21"/>
                    </w:rPr>
                    <w:t>主要生态服务功能</w:t>
                  </w:r>
                </w:p>
              </w:tc>
              <w:tc>
                <w:tcPr>
                  <w:tcW w:w="966" w:type="dxa"/>
                  <w:vMerge w:val="restart"/>
                  <w:tcBorders>
                    <w:bottom w:val="nil"/>
                  </w:tcBorders>
                  <w:vAlign w:val="center"/>
                </w:tcPr>
                <w:p w14:paraId="09E8B81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bCs/>
                      <w:color w:val="auto"/>
                      <w:sz w:val="21"/>
                      <w:szCs w:val="21"/>
                    </w:rPr>
                  </w:pPr>
                  <w:r>
                    <w:rPr>
                      <w:b/>
                      <w:bCs/>
                      <w:color w:val="auto"/>
                      <w:spacing w:val="5"/>
                      <w:sz w:val="21"/>
                      <w:szCs w:val="21"/>
                    </w:rPr>
                    <w:t>主要生态环境</w:t>
                  </w:r>
                  <w:r>
                    <w:rPr>
                      <w:b/>
                      <w:bCs/>
                      <w:color w:val="auto"/>
                      <w:spacing w:val="-8"/>
                      <w:sz w:val="21"/>
                      <w:szCs w:val="21"/>
                    </w:rPr>
                    <w:t>问题</w:t>
                  </w:r>
                </w:p>
              </w:tc>
              <w:tc>
                <w:tcPr>
                  <w:tcW w:w="966" w:type="dxa"/>
                  <w:vMerge w:val="restart"/>
                  <w:tcBorders>
                    <w:bottom w:val="nil"/>
                  </w:tcBorders>
                  <w:vAlign w:val="center"/>
                </w:tcPr>
                <w:p w14:paraId="7E9AE6A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bCs/>
                      <w:color w:val="auto"/>
                      <w:sz w:val="21"/>
                      <w:szCs w:val="21"/>
                    </w:rPr>
                  </w:pPr>
                  <w:r>
                    <w:rPr>
                      <w:b/>
                      <w:bCs/>
                      <w:color w:val="auto"/>
                      <w:spacing w:val="5"/>
                      <w:sz w:val="21"/>
                      <w:szCs w:val="21"/>
                    </w:rPr>
                    <w:t>主要生态敏感</w:t>
                  </w:r>
                  <w:r>
                    <w:rPr>
                      <w:b/>
                      <w:bCs/>
                      <w:color w:val="auto"/>
                      <w:spacing w:val="-20"/>
                      <w:sz w:val="21"/>
                      <w:szCs w:val="21"/>
                    </w:rPr>
                    <w:t>因子、敏</w:t>
                  </w:r>
                  <w:r>
                    <w:rPr>
                      <w:b/>
                      <w:bCs/>
                      <w:color w:val="auto"/>
                      <w:spacing w:val="21"/>
                      <w:sz w:val="21"/>
                      <w:szCs w:val="21"/>
                    </w:rPr>
                    <w:t>感程度</w:t>
                  </w:r>
                </w:p>
              </w:tc>
              <w:tc>
                <w:tcPr>
                  <w:tcW w:w="966" w:type="dxa"/>
                  <w:vMerge w:val="restart"/>
                  <w:tcBorders>
                    <w:bottom w:val="nil"/>
                  </w:tcBorders>
                  <w:vAlign w:val="center"/>
                </w:tcPr>
                <w:p w14:paraId="6E2E9BF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bCs/>
                      <w:color w:val="auto"/>
                      <w:sz w:val="21"/>
                      <w:szCs w:val="21"/>
                    </w:rPr>
                  </w:pPr>
                  <w:r>
                    <w:rPr>
                      <w:b/>
                      <w:bCs/>
                      <w:color w:val="auto"/>
                      <w:spacing w:val="5"/>
                      <w:sz w:val="21"/>
                      <w:szCs w:val="21"/>
                    </w:rPr>
                    <w:t>主要保护目标</w:t>
                  </w:r>
                </w:p>
              </w:tc>
              <w:tc>
                <w:tcPr>
                  <w:tcW w:w="1131" w:type="dxa"/>
                  <w:vMerge w:val="restart"/>
                  <w:tcBorders>
                    <w:bottom w:val="nil"/>
                  </w:tcBorders>
                  <w:vAlign w:val="center"/>
                </w:tcPr>
                <w:p w14:paraId="5604A7E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bCs/>
                      <w:color w:val="auto"/>
                      <w:sz w:val="21"/>
                      <w:szCs w:val="21"/>
                    </w:rPr>
                  </w:pPr>
                  <w:r>
                    <w:rPr>
                      <w:b/>
                      <w:bCs/>
                      <w:color w:val="auto"/>
                      <w:spacing w:val="6"/>
                      <w:sz w:val="21"/>
                      <w:szCs w:val="21"/>
                    </w:rPr>
                    <w:t>主要保护</w:t>
                  </w:r>
                  <w:r>
                    <w:rPr>
                      <w:b/>
                      <w:bCs/>
                      <w:color w:val="auto"/>
                      <w:spacing w:val="3"/>
                      <w:sz w:val="21"/>
                      <w:szCs w:val="21"/>
                    </w:rPr>
                    <w:t>措施</w:t>
                  </w:r>
                </w:p>
              </w:tc>
              <w:tc>
                <w:tcPr>
                  <w:tcW w:w="812" w:type="dxa"/>
                  <w:vMerge w:val="restart"/>
                  <w:tcBorders>
                    <w:bottom w:val="nil"/>
                  </w:tcBorders>
                  <w:vAlign w:val="center"/>
                </w:tcPr>
                <w:p w14:paraId="6CB823C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bCs/>
                      <w:color w:val="auto"/>
                      <w:sz w:val="21"/>
                      <w:szCs w:val="21"/>
                    </w:rPr>
                  </w:pPr>
                  <w:r>
                    <w:rPr>
                      <w:b/>
                      <w:bCs/>
                      <w:color w:val="auto"/>
                      <w:spacing w:val="3"/>
                      <w:sz w:val="21"/>
                      <w:szCs w:val="21"/>
                    </w:rPr>
                    <w:t>适宜发展方向</w:t>
                  </w:r>
                </w:p>
              </w:tc>
            </w:tr>
            <w:tr w14:paraId="48830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23" w:type="dxa"/>
                  <w:vAlign w:val="center"/>
                </w:tcPr>
                <w:p w14:paraId="2FD27C5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bCs/>
                      <w:color w:val="auto"/>
                      <w:sz w:val="21"/>
                      <w:szCs w:val="21"/>
                    </w:rPr>
                  </w:pPr>
                  <w:r>
                    <w:rPr>
                      <w:b/>
                      <w:bCs/>
                      <w:color w:val="auto"/>
                      <w:spacing w:val="3"/>
                      <w:sz w:val="21"/>
                      <w:szCs w:val="21"/>
                    </w:rPr>
                    <w:t>生态亚区</w:t>
                  </w:r>
                </w:p>
              </w:tc>
              <w:tc>
                <w:tcPr>
                  <w:tcW w:w="757" w:type="dxa"/>
                  <w:vAlign w:val="center"/>
                </w:tcPr>
                <w:p w14:paraId="6C2E034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bCs/>
                      <w:color w:val="auto"/>
                      <w:sz w:val="21"/>
                      <w:szCs w:val="21"/>
                    </w:rPr>
                  </w:pPr>
                  <w:r>
                    <w:rPr>
                      <w:b/>
                      <w:bCs/>
                      <w:color w:val="auto"/>
                      <w:spacing w:val="3"/>
                      <w:sz w:val="21"/>
                      <w:szCs w:val="21"/>
                    </w:rPr>
                    <w:t>生态</w:t>
                  </w:r>
                  <w:r>
                    <w:rPr>
                      <w:b/>
                      <w:bCs/>
                      <w:color w:val="auto"/>
                      <w:spacing w:val="2"/>
                      <w:sz w:val="21"/>
                      <w:szCs w:val="21"/>
                    </w:rPr>
                    <w:t>功能</w:t>
                  </w:r>
                  <w:r>
                    <w:rPr>
                      <w:b/>
                      <w:bCs/>
                      <w:color w:val="auto"/>
                      <w:spacing w:val="-3"/>
                      <w:sz w:val="21"/>
                      <w:szCs w:val="21"/>
                    </w:rPr>
                    <w:t>区</w:t>
                  </w:r>
                </w:p>
              </w:tc>
              <w:tc>
                <w:tcPr>
                  <w:tcW w:w="669" w:type="dxa"/>
                  <w:vMerge w:val="continue"/>
                  <w:tcBorders>
                    <w:top w:val="nil"/>
                  </w:tcBorders>
                  <w:vAlign w:val="center"/>
                </w:tcPr>
                <w:p w14:paraId="382BE95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ascii="Arial"/>
                      <w:b w:val="0"/>
                      <w:bCs w:val="0"/>
                      <w:color w:val="auto"/>
                      <w:sz w:val="21"/>
                      <w:szCs w:val="21"/>
                    </w:rPr>
                  </w:pPr>
                </w:p>
              </w:tc>
              <w:tc>
                <w:tcPr>
                  <w:tcW w:w="966" w:type="dxa"/>
                  <w:vMerge w:val="continue"/>
                  <w:tcBorders>
                    <w:top w:val="nil"/>
                  </w:tcBorders>
                  <w:vAlign w:val="center"/>
                </w:tcPr>
                <w:p w14:paraId="23366FCA">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ascii="Arial"/>
                      <w:b w:val="0"/>
                      <w:bCs w:val="0"/>
                      <w:color w:val="auto"/>
                      <w:sz w:val="21"/>
                      <w:szCs w:val="21"/>
                    </w:rPr>
                  </w:pPr>
                </w:p>
              </w:tc>
              <w:tc>
                <w:tcPr>
                  <w:tcW w:w="966" w:type="dxa"/>
                  <w:vMerge w:val="continue"/>
                  <w:tcBorders>
                    <w:top w:val="nil"/>
                  </w:tcBorders>
                  <w:vAlign w:val="center"/>
                </w:tcPr>
                <w:p w14:paraId="05788DB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ascii="Arial"/>
                      <w:b w:val="0"/>
                      <w:bCs w:val="0"/>
                      <w:color w:val="auto"/>
                      <w:sz w:val="21"/>
                      <w:szCs w:val="21"/>
                    </w:rPr>
                  </w:pPr>
                </w:p>
              </w:tc>
              <w:tc>
                <w:tcPr>
                  <w:tcW w:w="966" w:type="dxa"/>
                  <w:vMerge w:val="continue"/>
                  <w:tcBorders>
                    <w:top w:val="nil"/>
                  </w:tcBorders>
                  <w:vAlign w:val="center"/>
                </w:tcPr>
                <w:p w14:paraId="6F759D8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ascii="Arial"/>
                      <w:b w:val="0"/>
                      <w:bCs w:val="0"/>
                      <w:color w:val="auto"/>
                      <w:sz w:val="21"/>
                      <w:szCs w:val="21"/>
                    </w:rPr>
                  </w:pPr>
                </w:p>
              </w:tc>
              <w:tc>
                <w:tcPr>
                  <w:tcW w:w="966" w:type="dxa"/>
                  <w:vMerge w:val="continue"/>
                  <w:tcBorders>
                    <w:top w:val="nil"/>
                  </w:tcBorders>
                  <w:vAlign w:val="center"/>
                </w:tcPr>
                <w:p w14:paraId="6046FFDC">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ascii="Arial"/>
                      <w:b w:val="0"/>
                      <w:bCs w:val="0"/>
                      <w:color w:val="auto"/>
                      <w:sz w:val="21"/>
                      <w:szCs w:val="21"/>
                    </w:rPr>
                  </w:pPr>
                </w:p>
              </w:tc>
              <w:tc>
                <w:tcPr>
                  <w:tcW w:w="1131" w:type="dxa"/>
                  <w:vMerge w:val="continue"/>
                  <w:tcBorders>
                    <w:top w:val="nil"/>
                  </w:tcBorders>
                  <w:vAlign w:val="center"/>
                </w:tcPr>
                <w:p w14:paraId="3FF2403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ascii="Arial"/>
                      <w:b w:val="0"/>
                      <w:bCs w:val="0"/>
                      <w:color w:val="auto"/>
                      <w:sz w:val="21"/>
                      <w:szCs w:val="21"/>
                    </w:rPr>
                  </w:pPr>
                </w:p>
              </w:tc>
              <w:tc>
                <w:tcPr>
                  <w:tcW w:w="812" w:type="dxa"/>
                  <w:vMerge w:val="continue"/>
                  <w:tcBorders>
                    <w:top w:val="nil"/>
                  </w:tcBorders>
                  <w:vAlign w:val="center"/>
                </w:tcPr>
                <w:p w14:paraId="4743F4D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ascii="Arial"/>
                      <w:b w:val="0"/>
                      <w:bCs w:val="0"/>
                      <w:color w:val="auto"/>
                      <w:sz w:val="21"/>
                      <w:szCs w:val="21"/>
                    </w:rPr>
                  </w:pPr>
                </w:p>
              </w:tc>
            </w:tr>
            <w:tr w14:paraId="2565D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23" w:type="dxa"/>
                  <w:vAlign w:val="center"/>
                </w:tcPr>
                <w:p w14:paraId="25B606B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ascii="宋体" w:hAnsi="宋体" w:eastAsia="宋体" w:cs="宋体"/>
                      <w:b w:val="0"/>
                      <w:bCs w:val="0"/>
                      <w:color w:val="auto"/>
                      <w:spacing w:val="6"/>
                      <w:kern w:val="2"/>
                      <w:sz w:val="21"/>
                      <w:szCs w:val="21"/>
                      <w:lang w:val="en-US" w:eastAsia="en-US" w:bidi="ar-SA"/>
                    </w:rPr>
                  </w:pPr>
                  <w:r>
                    <w:rPr>
                      <w:rFonts w:ascii="宋体" w:hAnsi="宋体" w:eastAsia="宋体" w:cs="宋体"/>
                      <w:b w:val="0"/>
                      <w:bCs w:val="0"/>
                      <w:color w:val="auto"/>
                      <w:spacing w:val="6"/>
                      <w:kern w:val="2"/>
                      <w:sz w:val="21"/>
                      <w:szCs w:val="21"/>
                      <w:lang w:val="en-US" w:eastAsia="en-US" w:bidi="ar-SA"/>
                    </w:rPr>
                    <w:t>准噶尔盆地南部荒漠绿洲农业生态亚区</w:t>
                  </w:r>
                </w:p>
              </w:tc>
              <w:tc>
                <w:tcPr>
                  <w:tcW w:w="757" w:type="dxa"/>
                  <w:vAlign w:val="center"/>
                </w:tcPr>
                <w:p w14:paraId="0FC7FE0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ascii="宋体" w:hAnsi="宋体" w:eastAsia="宋体" w:cs="宋体"/>
                      <w:b w:val="0"/>
                      <w:bCs w:val="0"/>
                      <w:color w:val="auto"/>
                      <w:spacing w:val="6"/>
                      <w:kern w:val="2"/>
                      <w:sz w:val="21"/>
                      <w:szCs w:val="21"/>
                      <w:lang w:val="en-US" w:eastAsia="en-US" w:bidi="ar-SA"/>
                    </w:rPr>
                  </w:pPr>
                  <w:r>
                    <w:rPr>
                      <w:rFonts w:hint="default" w:ascii="Times New Roman" w:hAnsi="Times New Roman" w:eastAsia="宋体" w:cs="Times New Roman"/>
                      <w:color w:val="auto"/>
                      <w:sz w:val="21"/>
                      <w:szCs w:val="21"/>
                    </w:rPr>
                    <w:t>阜康-木垒绿洲农业、荒漠草地保护生态功能区</w:t>
                  </w:r>
                  <w:r>
                    <w:rPr>
                      <w:rFonts w:hint="default" w:ascii="Times New Roman" w:hAnsi="Times New Roman" w:cs="Times New Roman"/>
                      <w:color w:val="auto"/>
                      <w:sz w:val="21"/>
                      <w:szCs w:val="21"/>
                      <w:lang w:eastAsia="zh-CN"/>
                    </w:rPr>
                    <w:t>（</w:t>
                  </w:r>
                  <w:r>
                    <w:rPr>
                      <w:rFonts w:hint="default" w:ascii="Times New Roman" w:hAnsi="Times New Roman" w:eastAsia="宋体" w:cs="Times New Roman"/>
                      <w:color w:val="auto"/>
                      <w:sz w:val="21"/>
                      <w:szCs w:val="21"/>
                    </w:rPr>
                    <w:t>28</w:t>
                  </w:r>
                  <w:r>
                    <w:rPr>
                      <w:rFonts w:hint="default" w:ascii="Times New Roman" w:hAnsi="Times New Roman" w:cs="Times New Roman"/>
                      <w:color w:val="auto"/>
                      <w:sz w:val="21"/>
                      <w:szCs w:val="21"/>
                      <w:lang w:eastAsia="zh-CN"/>
                    </w:rPr>
                    <w:t>）</w:t>
                  </w:r>
                </w:p>
              </w:tc>
              <w:tc>
                <w:tcPr>
                  <w:tcW w:w="669" w:type="dxa"/>
                  <w:vAlign w:val="center"/>
                </w:tcPr>
                <w:p w14:paraId="0D3DEDE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val="0"/>
                      <w:bCs w:val="0"/>
                      <w:color w:val="auto"/>
                      <w:sz w:val="21"/>
                      <w:szCs w:val="21"/>
                    </w:rPr>
                  </w:pPr>
                  <w:r>
                    <w:rPr>
                      <w:b w:val="0"/>
                      <w:bCs w:val="0"/>
                      <w:color w:val="auto"/>
                      <w:spacing w:val="3"/>
                      <w:sz w:val="21"/>
                      <w:szCs w:val="21"/>
                    </w:rPr>
                    <w:t>奇台</w:t>
                  </w:r>
                  <w:r>
                    <w:rPr>
                      <w:b w:val="0"/>
                      <w:bCs w:val="0"/>
                      <w:color w:val="auto"/>
                      <w:sz w:val="21"/>
                      <w:szCs w:val="21"/>
                    </w:rPr>
                    <w:t>县</w:t>
                  </w:r>
                </w:p>
              </w:tc>
              <w:tc>
                <w:tcPr>
                  <w:tcW w:w="966" w:type="dxa"/>
                  <w:vAlign w:val="center"/>
                </w:tcPr>
                <w:p w14:paraId="77395E4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val="0"/>
                      <w:bCs w:val="0"/>
                      <w:color w:val="auto"/>
                      <w:sz w:val="21"/>
                      <w:szCs w:val="21"/>
                    </w:rPr>
                  </w:pPr>
                  <w:r>
                    <w:rPr>
                      <w:b w:val="0"/>
                      <w:bCs w:val="0"/>
                      <w:color w:val="auto"/>
                      <w:spacing w:val="6"/>
                      <w:sz w:val="21"/>
                      <w:szCs w:val="21"/>
                    </w:rPr>
                    <w:t>农牧业产品生</w:t>
                  </w:r>
                  <w:r>
                    <w:rPr>
                      <w:b w:val="0"/>
                      <w:bCs w:val="0"/>
                      <w:color w:val="auto"/>
                      <w:spacing w:val="-13"/>
                      <w:sz w:val="21"/>
                      <w:szCs w:val="21"/>
                    </w:rPr>
                    <w:t>产、人居环境、荒</w:t>
                  </w:r>
                </w:p>
                <w:p w14:paraId="270AAEB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val="0"/>
                      <w:bCs w:val="0"/>
                      <w:color w:val="auto"/>
                      <w:sz w:val="21"/>
                      <w:szCs w:val="21"/>
                    </w:rPr>
                  </w:pPr>
                  <w:r>
                    <w:rPr>
                      <w:b w:val="0"/>
                      <w:bCs w:val="0"/>
                      <w:color w:val="auto"/>
                      <w:spacing w:val="6"/>
                      <w:sz w:val="21"/>
                      <w:szCs w:val="21"/>
                    </w:rPr>
                    <w:t>漠化控</w:t>
                  </w:r>
                  <w:r>
                    <w:rPr>
                      <w:b w:val="0"/>
                      <w:bCs w:val="0"/>
                      <w:color w:val="auto"/>
                      <w:sz w:val="21"/>
                      <w:szCs w:val="21"/>
                    </w:rPr>
                    <w:t>制</w:t>
                  </w:r>
                </w:p>
              </w:tc>
              <w:tc>
                <w:tcPr>
                  <w:tcW w:w="966" w:type="dxa"/>
                  <w:vAlign w:val="center"/>
                </w:tcPr>
                <w:p w14:paraId="60AB946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val="0"/>
                      <w:bCs w:val="0"/>
                      <w:color w:val="auto"/>
                      <w:sz w:val="21"/>
                      <w:szCs w:val="21"/>
                    </w:rPr>
                  </w:pPr>
                  <w:r>
                    <w:rPr>
                      <w:b w:val="0"/>
                      <w:bCs w:val="0"/>
                      <w:color w:val="auto"/>
                      <w:spacing w:val="6"/>
                      <w:sz w:val="21"/>
                      <w:szCs w:val="21"/>
                    </w:rPr>
                    <w:t>地下水</w:t>
                  </w:r>
                  <w:r>
                    <w:rPr>
                      <w:b w:val="0"/>
                      <w:bCs w:val="0"/>
                      <w:color w:val="auto"/>
                      <w:spacing w:val="-13"/>
                      <w:sz w:val="21"/>
                      <w:szCs w:val="21"/>
                    </w:rPr>
                    <w:t>超采、荒</w:t>
                  </w:r>
                  <w:r>
                    <w:rPr>
                      <w:b w:val="0"/>
                      <w:bCs w:val="0"/>
                      <w:color w:val="auto"/>
                      <w:spacing w:val="6"/>
                      <w:sz w:val="21"/>
                      <w:szCs w:val="21"/>
                    </w:rPr>
                    <w:t>漠植被</w:t>
                  </w:r>
                  <w:r>
                    <w:rPr>
                      <w:b w:val="0"/>
                      <w:bCs w:val="0"/>
                      <w:color w:val="auto"/>
                      <w:spacing w:val="-13"/>
                      <w:sz w:val="21"/>
                      <w:szCs w:val="21"/>
                    </w:rPr>
                    <w:t>退化、沙</w:t>
                  </w:r>
                </w:p>
                <w:p w14:paraId="38423F4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val="0"/>
                      <w:bCs w:val="0"/>
                      <w:color w:val="auto"/>
                      <w:sz w:val="21"/>
                      <w:szCs w:val="21"/>
                    </w:rPr>
                  </w:pPr>
                  <w:r>
                    <w:rPr>
                      <w:b w:val="0"/>
                      <w:bCs w:val="0"/>
                      <w:color w:val="auto"/>
                      <w:spacing w:val="6"/>
                      <w:sz w:val="21"/>
                      <w:szCs w:val="21"/>
                    </w:rPr>
                    <w:t>漠化威</w:t>
                  </w:r>
                  <w:r>
                    <w:rPr>
                      <w:b w:val="0"/>
                      <w:bCs w:val="0"/>
                      <w:color w:val="auto"/>
                      <w:spacing w:val="-13"/>
                      <w:sz w:val="21"/>
                      <w:szCs w:val="21"/>
                    </w:rPr>
                    <w:t>胁、局部</w:t>
                  </w:r>
                  <w:r>
                    <w:rPr>
                      <w:b w:val="0"/>
                      <w:bCs w:val="0"/>
                      <w:color w:val="auto"/>
                      <w:spacing w:val="6"/>
                      <w:sz w:val="21"/>
                      <w:szCs w:val="21"/>
                    </w:rPr>
                    <w:t>土壤盐</w:t>
                  </w:r>
                  <w:r>
                    <w:rPr>
                      <w:b w:val="0"/>
                      <w:bCs w:val="0"/>
                      <w:color w:val="auto"/>
                      <w:spacing w:val="-14"/>
                      <w:sz w:val="21"/>
                      <w:szCs w:val="21"/>
                    </w:rPr>
                    <w:t>渍化、河</w:t>
                  </w:r>
                </w:p>
                <w:p w14:paraId="6533AF0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val="0"/>
                      <w:bCs w:val="0"/>
                      <w:color w:val="auto"/>
                      <w:sz w:val="21"/>
                      <w:szCs w:val="21"/>
                    </w:rPr>
                  </w:pPr>
                  <w:r>
                    <w:rPr>
                      <w:b w:val="0"/>
                      <w:bCs w:val="0"/>
                      <w:color w:val="auto"/>
                      <w:spacing w:val="4"/>
                      <w:sz w:val="21"/>
                      <w:szCs w:val="21"/>
                    </w:rPr>
                    <w:t>流萎缩、</w:t>
                  </w:r>
                  <w:r>
                    <w:rPr>
                      <w:b w:val="0"/>
                      <w:bCs w:val="0"/>
                      <w:color w:val="auto"/>
                      <w:spacing w:val="6"/>
                      <w:sz w:val="21"/>
                      <w:szCs w:val="21"/>
                    </w:rPr>
                    <w:t>滥开荒</w:t>
                  </w:r>
                  <w:r>
                    <w:rPr>
                      <w:b w:val="0"/>
                      <w:bCs w:val="0"/>
                      <w:color w:val="auto"/>
                      <w:sz w:val="21"/>
                      <w:szCs w:val="21"/>
                    </w:rPr>
                    <w:t>地</w:t>
                  </w:r>
                </w:p>
              </w:tc>
              <w:tc>
                <w:tcPr>
                  <w:tcW w:w="966" w:type="dxa"/>
                  <w:vAlign w:val="center"/>
                </w:tcPr>
                <w:p w14:paraId="5BE3354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val="0"/>
                      <w:bCs w:val="0"/>
                      <w:color w:val="auto"/>
                      <w:sz w:val="21"/>
                      <w:szCs w:val="21"/>
                    </w:rPr>
                  </w:pPr>
                  <w:r>
                    <w:rPr>
                      <w:b w:val="0"/>
                      <w:bCs w:val="0"/>
                      <w:color w:val="auto"/>
                      <w:spacing w:val="6"/>
                      <w:sz w:val="21"/>
                      <w:szCs w:val="21"/>
                    </w:rPr>
                    <w:t>生物多</w:t>
                  </w:r>
                  <w:r>
                    <w:rPr>
                      <w:b w:val="0"/>
                      <w:bCs w:val="0"/>
                      <w:color w:val="auto"/>
                      <w:spacing w:val="7"/>
                      <w:sz w:val="21"/>
                      <w:szCs w:val="21"/>
                    </w:rPr>
                    <w:t>样性及</w:t>
                  </w:r>
                  <w:r>
                    <w:rPr>
                      <w:b w:val="0"/>
                      <w:bCs w:val="0"/>
                      <w:color w:val="auto"/>
                      <w:spacing w:val="6"/>
                      <w:sz w:val="21"/>
                      <w:szCs w:val="21"/>
                    </w:rPr>
                    <w:t>其生境</w:t>
                  </w:r>
                  <w:r>
                    <w:rPr>
                      <w:b w:val="0"/>
                      <w:bCs w:val="0"/>
                      <w:color w:val="auto"/>
                      <w:sz w:val="21"/>
                      <w:szCs w:val="21"/>
                    </w:rPr>
                    <w:t>中度敏</w:t>
                  </w:r>
                  <w:r>
                    <w:rPr>
                      <w:b w:val="0"/>
                      <w:bCs w:val="0"/>
                      <w:color w:val="auto"/>
                      <w:spacing w:val="-14"/>
                      <w:sz w:val="21"/>
                      <w:szCs w:val="21"/>
                    </w:rPr>
                    <w:t>感，土壤</w:t>
                  </w:r>
                  <w:r>
                    <w:rPr>
                      <w:b w:val="0"/>
                      <w:bCs w:val="0"/>
                      <w:color w:val="auto"/>
                      <w:spacing w:val="27"/>
                      <w:sz w:val="21"/>
                      <w:szCs w:val="21"/>
                    </w:rPr>
                    <w:t>侵蚀度</w:t>
                  </w:r>
                  <w:r>
                    <w:rPr>
                      <w:b w:val="0"/>
                      <w:bCs w:val="0"/>
                      <w:color w:val="auto"/>
                      <w:spacing w:val="-14"/>
                      <w:sz w:val="21"/>
                      <w:szCs w:val="21"/>
                    </w:rPr>
                    <w:t>敏感，土</w:t>
                  </w:r>
                  <w:r>
                    <w:rPr>
                      <w:b w:val="0"/>
                      <w:bCs w:val="0"/>
                      <w:color w:val="auto"/>
                      <w:spacing w:val="27"/>
                      <w:sz w:val="21"/>
                      <w:szCs w:val="21"/>
                    </w:rPr>
                    <w:t>地沙漠</w:t>
                  </w:r>
                  <w:r>
                    <w:rPr>
                      <w:b w:val="0"/>
                      <w:bCs w:val="0"/>
                      <w:color w:val="auto"/>
                      <w:spacing w:val="6"/>
                      <w:sz w:val="21"/>
                      <w:szCs w:val="21"/>
                    </w:rPr>
                    <w:t>化中度</w:t>
                  </w:r>
                  <w:r>
                    <w:rPr>
                      <w:b w:val="0"/>
                      <w:bCs w:val="0"/>
                      <w:color w:val="auto"/>
                      <w:spacing w:val="-14"/>
                      <w:sz w:val="21"/>
                      <w:szCs w:val="21"/>
                    </w:rPr>
                    <w:t>敏感，土</w:t>
                  </w:r>
                  <w:r>
                    <w:rPr>
                      <w:b w:val="0"/>
                      <w:bCs w:val="0"/>
                      <w:color w:val="auto"/>
                      <w:spacing w:val="27"/>
                      <w:sz w:val="21"/>
                      <w:szCs w:val="21"/>
                    </w:rPr>
                    <w:t>壤盐渍</w:t>
                  </w:r>
                  <w:r>
                    <w:rPr>
                      <w:b w:val="0"/>
                      <w:bCs w:val="0"/>
                      <w:color w:val="auto"/>
                      <w:spacing w:val="6"/>
                      <w:sz w:val="21"/>
                      <w:szCs w:val="21"/>
                    </w:rPr>
                    <w:t>化轻度</w:t>
                  </w:r>
                  <w:r>
                    <w:rPr>
                      <w:b w:val="0"/>
                      <w:bCs w:val="0"/>
                      <w:color w:val="auto"/>
                      <w:spacing w:val="4"/>
                      <w:sz w:val="21"/>
                      <w:szCs w:val="21"/>
                    </w:rPr>
                    <w:t>敏感</w:t>
                  </w:r>
                </w:p>
              </w:tc>
              <w:tc>
                <w:tcPr>
                  <w:tcW w:w="966" w:type="dxa"/>
                  <w:vAlign w:val="center"/>
                </w:tcPr>
                <w:p w14:paraId="5982CBE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val="0"/>
                      <w:bCs w:val="0"/>
                      <w:color w:val="auto"/>
                      <w:sz w:val="21"/>
                      <w:szCs w:val="21"/>
                    </w:rPr>
                  </w:pPr>
                  <w:r>
                    <w:rPr>
                      <w:b w:val="0"/>
                      <w:bCs w:val="0"/>
                      <w:color w:val="auto"/>
                      <w:spacing w:val="6"/>
                      <w:sz w:val="21"/>
                      <w:szCs w:val="21"/>
                    </w:rPr>
                    <w:t>保护基</w:t>
                  </w:r>
                  <w:r>
                    <w:rPr>
                      <w:b w:val="0"/>
                      <w:bCs w:val="0"/>
                      <w:color w:val="auto"/>
                      <w:spacing w:val="4"/>
                      <w:sz w:val="21"/>
                      <w:szCs w:val="21"/>
                    </w:rPr>
                    <w:t>本农田、</w:t>
                  </w:r>
                  <w:r>
                    <w:rPr>
                      <w:b w:val="0"/>
                      <w:bCs w:val="0"/>
                      <w:color w:val="auto"/>
                      <w:spacing w:val="6"/>
                      <w:sz w:val="21"/>
                      <w:szCs w:val="21"/>
                    </w:rPr>
                    <w:t>保护荒</w:t>
                  </w:r>
                  <w:r>
                    <w:rPr>
                      <w:b w:val="0"/>
                      <w:bCs w:val="0"/>
                      <w:color w:val="auto"/>
                      <w:spacing w:val="5"/>
                      <w:sz w:val="21"/>
                      <w:szCs w:val="21"/>
                    </w:rPr>
                    <w:t>漠植被、</w:t>
                  </w:r>
                  <w:r>
                    <w:rPr>
                      <w:b w:val="0"/>
                      <w:bCs w:val="0"/>
                      <w:color w:val="auto"/>
                      <w:spacing w:val="6"/>
                      <w:sz w:val="21"/>
                      <w:szCs w:val="21"/>
                    </w:rPr>
                    <w:t>保护土壤环境</w:t>
                  </w:r>
                  <w:r>
                    <w:rPr>
                      <w:b w:val="0"/>
                      <w:bCs w:val="0"/>
                      <w:color w:val="auto"/>
                      <w:spacing w:val="4"/>
                      <w:sz w:val="21"/>
                      <w:szCs w:val="21"/>
                    </w:rPr>
                    <w:t>质量</w:t>
                  </w:r>
                </w:p>
              </w:tc>
              <w:tc>
                <w:tcPr>
                  <w:tcW w:w="1131" w:type="dxa"/>
                  <w:vAlign w:val="center"/>
                </w:tcPr>
                <w:p w14:paraId="28B02CD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val="0"/>
                      <w:bCs w:val="0"/>
                      <w:color w:val="auto"/>
                      <w:sz w:val="21"/>
                      <w:szCs w:val="21"/>
                    </w:rPr>
                  </w:pPr>
                  <w:r>
                    <w:rPr>
                      <w:b w:val="0"/>
                      <w:bCs w:val="0"/>
                      <w:color w:val="auto"/>
                      <w:spacing w:val="6"/>
                      <w:sz w:val="21"/>
                      <w:szCs w:val="21"/>
                    </w:rPr>
                    <w:t>节水灌</w:t>
                  </w:r>
                  <w:r>
                    <w:rPr>
                      <w:b w:val="0"/>
                      <w:bCs w:val="0"/>
                      <w:color w:val="auto"/>
                      <w:spacing w:val="7"/>
                      <w:sz w:val="21"/>
                      <w:szCs w:val="21"/>
                    </w:rPr>
                    <w:t>溉、草场休牧、对坡耕地和</w:t>
                  </w:r>
                  <w:r>
                    <w:rPr>
                      <w:b w:val="0"/>
                      <w:bCs w:val="0"/>
                      <w:color w:val="auto"/>
                      <w:spacing w:val="6"/>
                      <w:sz w:val="21"/>
                      <w:szCs w:val="21"/>
                    </w:rPr>
                    <w:t>沙化土地实施退耕</w:t>
                  </w:r>
                  <w:r>
                    <w:rPr>
                      <w:b w:val="0"/>
                      <w:bCs w:val="0"/>
                      <w:color w:val="auto"/>
                      <w:spacing w:val="5"/>
                      <w:sz w:val="21"/>
                      <w:szCs w:val="21"/>
                    </w:rPr>
                    <w:t>还林</w:t>
                  </w:r>
                  <w:r>
                    <w:rPr>
                      <w:b w:val="0"/>
                      <w:bCs w:val="0"/>
                      <w:color w:val="auto"/>
                      <w:spacing w:val="-1"/>
                      <w:sz w:val="21"/>
                      <w:szCs w:val="21"/>
                    </w:rPr>
                    <w:t>（草</w:t>
                  </w:r>
                  <w:r>
                    <w:rPr>
                      <w:b w:val="0"/>
                      <w:bCs w:val="0"/>
                      <w:color w:val="auto"/>
                      <w:sz w:val="21"/>
                      <w:szCs w:val="21"/>
                    </w:rPr>
                    <w:t>），</w:t>
                  </w:r>
                  <w:r>
                    <w:rPr>
                      <w:b w:val="0"/>
                      <w:bCs w:val="0"/>
                      <w:color w:val="auto"/>
                      <w:spacing w:val="7"/>
                      <w:sz w:val="21"/>
                      <w:szCs w:val="21"/>
                    </w:rPr>
                    <w:t>在水源无保障、植</w:t>
                  </w:r>
                  <w:r>
                    <w:rPr>
                      <w:b w:val="0"/>
                      <w:bCs w:val="0"/>
                      <w:color w:val="auto"/>
                      <w:spacing w:val="5"/>
                      <w:sz w:val="21"/>
                      <w:szCs w:val="21"/>
                    </w:rPr>
                    <w:t>被稀少、</w:t>
                  </w:r>
                  <w:r>
                    <w:rPr>
                      <w:b w:val="0"/>
                      <w:bCs w:val="0"/>
                      <w:color w:val="auto"/>
                      <w:spacing w:val="6"/>
                      <w:sz w:val="21"/>
                      <w:szCs w:val="21"/>
                    </w:rPr>
                    <w:t>生态脆弱</w:t>
                  </w:r>
                  <w:r>
                    <w:rPr>
                      <w:b w:val="0"/>
                      <w:bCs w:val="0"/>
                      <w:color w:val="auto"/>
                      <w:spacing w:val="7"/>
                      <w:sz w:val="21"/>
                      <w:szCs w:val="21"/>
                    </w:rPr>
                    <w:t>地带禁止开荒、加</w:t>
                  </w:r>
                </w:p>
                <w:p w14:paraId="428D1CD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val="0"/>
                      <w:bCs w:val="0"/>
                      <w:color w:val="auto"/>
                      <w:sz w:val="21"/>
                      <w:szCs w:val="21"/>
                    </w:rPr>
                  </w:pPr>
                  <w:r>
                    <w:rPr>
                      <w:b w:val="0"/>
                      <w:bCs w:val="0"/>
                      <w:color w:val="auto"/>
                      <w:spacing w:val="6"/>
                      <w:sz w:val="21"/>
                      <w:szCs w:val="21"/>
                    </w:rPr>
                    <w:t>强农田投</w:t>
                  </w:r>
                  <w:r>
                    <w:rPr>
                      <w:b w:val="0"/>
                      <w:bCs w:val="0"/>
                      <w:color w:val="auto"/>
                      <w:spacing w:val="7"/>
                      <w:sz w:val="21"/>
                      <w:szCs w:val="21"/>
                    </w:rPr>
                    <w:t>入品的使</w:t>
                  </w:r>
                  <w:r>
                    <w:rPr>
                      <w:b w:val="0"/>
                      <w:bCs w:val="0"/>
                      <w:color w:val="auto"/>
                      <w:spacing w:val="6"/>
                      <w:sz w:val="21"/>
                      <w:szCs w:val="21"/>
                    </w:rPr>
                    <w:t>用管理</w:t>
                  </w:r>
                </w:p>
              </w:tc>
              <w:tc>
                <w:tcPr>
                  <w:tcW w:w="812" w:type="dxa"/>
                  <w:vAlign w:val="center"/>
                </w:tcPr>
                <w:p w14:paraId="1B0CF4F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b w:val="0"/>
                      <w:bCs w:val="0"/>
                      <w:color w:val="auto"/>
                      <w:sz w:val="21"/>
                      <w:szCs w:val="21"/>
                    </w:rPr>
                  </w:pPr>
                  <w:r>
                    <w:rPr>
                      <w:b w:val="0"/>
                      <w:bCs w:val="0"/>
                      <w:color w:val="auto"/>
                      <w:spacing w:val="6"/>
                      <w:sz w:val="21"/>
                      <w:szCs w:val="21"/>
                    </w:rPr>
                    <w:t>农牧结合，发展优质、高效特色农业和畜牧业</w:t>
                  </w:r>
                </w:p>
              </w:tc>
            </w:tr>
          </w:tbl>
          <w:p w14:paraId="0CCE6375">
            <w:pPr>
              <w:pStyle w:val="65"/>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425" w:leftChars="0" w:right="0" w:hanging="425" w:firstLineChars="0"/>
              <w:textAlignment w:val="auto"/>
              <w:rPr>
                <w:b/>
                <w:bCs/>
                <w:color w:val="auto"/>
                <w:spacing w:val="-4"/>
                <w:sz w:val="24"/>
                <w:szCs w:val="24"/>
              </w:rPr>
            </w:pPr>
            <w:r>
              <w:rPr>
                <w:b/>
                <w:bCs/>
                <w:color w:val="auto"/>
                <w:spacing w:val="-4"/>
                <w:sz w:val="24"/>
                <w:szCs w:val="24"/>
              </w:rPr>
              <w:t>植被类型</w:t>
            </w:r>
          </w:p>
          <w:p w14:paraId="713C1547">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jc w:val="both"/>
              <w:textAlignment w:val="auto"/>
              <w:rPr>
                <w:color w:val="auto"/>
                <w:spacing w:val="-2"/>
                <w:sz w:val="24"/>
                <w:szCs w:val="24"/>
              </w:rPr>
            </w:pPr>
            <w:r>
              <w:rPr>
                <w:color w:val="auto"/>
                <w:spacing w:val="-2"/>
                <w:sz w:val="24"/>
                <w:szCs w:val="24"/>
              </w:rPr>
              <w:t>本项目评价区</w:t>
            </w:r>
            <w:r>
              <w:rPr>
                <w:rFonts w:hint="eastAsia"/>
                <w:color w:val="auto"/>
                <w:spacing w:val="-2"/>
                <w:sz w:val="24"/>
                <w:szCs w:val="24"/>
                <w:lang w:val="en-US" w:eastAsia="zh-CN"/>
              </w:rPr>
              <w:t>主要位于城市建成区，</w:t>
            </w:r>
            <w:r>
              <w:rPr>
                <w:color w:val="auto"/>
                <w:spacing w:val="-2"/>
                <w:sz w:val="24"/>
                <w:szCs w:val="24"/>
              </w:rPr>
              <w:t>地势较为平坦，根据现状调查踏勘，河岸沿线植被类型主要为榆树林、杨树林、耕地等。杨树林树种主要为杨树、榆树等；耕地种植作物主要有冬（春）小麦、玉米、早熟棉花、哈密瓜等。该项目区域内未发现古树名木，也未发现国家及自治区重点保护野生植物。</w:t>
            </w:r>
          </w:p>
          <w:p w14:paraId="6246F348">
            <w:pPr>
              <w:pStyle w:val="65"/>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425" w:leftChars="0" w:right="0" w:hanging="425" w:firstLineChars="0"/>
              <w:textAlignment w:val="auto"/>
              <w:rPr>
                <w:b/>
                <w:bCs/>
                <w:color w:val="auto"/>
                <w:spacing w:val="-4"/>
                <w:sz w:val="24"/>
                <w:szCs w:val="24"/>
              </w:rPr>
            </w:pPr>
            <w:r>
              <w:rPr>
                <w:b/>
                <w:bCs/>
                <w:color w:val="auto"/>
                <w:spacing w:val="-4"/>
                <w:sz w:val="24"/>
                <w:szCs w:val="24"/>
              </w:rPr>
              <w:t>土地利用类型</w:t>
            </w:r>
          </w:p>
          <w:p w14:paraId="1082C9A3">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jc w:val="both"/>
              <w:textAlignment w:val="auto"/>
              <w:rPr>
                <w:color w:val="auto"/>
                <w:spacing w:val="-1"/>
                <w:sz w:val="24"/>
                <w:szCs w:val="24"/>
              </w:rPr>
            </w:pPr>
            <w:r>
              <w:rPr>
                <w:color w:val="auto"/>
                <w:spacing w:val="-1"/>
                <w:sz w:val="24"/>
                <w:szCs w:val="24"/>
              </w:rPr>
              <w:t>根据可研报告，区域土地利用类型以林地、耕地、天然草场、人工草场、水利设施用地、其他土地等。项目临时占地包括主体工程、临时堆土区、道路</w:t>
            </w:r>
            <w:r>
              <w:rPr>
                <w:rFonts w:hint="default" w:ascii="Times New Roman" w:hAnsi="Times New Roman" w:cs="Times New Roman"/>
                <w:color w:val="auto"/>
                <w:spacing w:val="-1"/>
                <w:sz w:val="24"/>
                <w:szCs w:val="24"/>
              </w:rPr>
              <w:t>工程占地以及施工生产区，不涉及</w:t>
            </w:r>
            <w:r>
              <w:rPr>
                <w:rFonts w:hint="default" w:ascii="Times New Roman" w:hAnsi="Times New Roman" w:cs="Times New Roman"/>
                <w:color w:val="auto"/>
                <w:spacing w:val="-1"/>
                <w:sz w:val="24"/>
                <w:szCs w:val="24"/>
                <w:lang w:val="en-US" w:eastAsia="zh-CN"/>
              </w:rPr>
              <w:t>永久</w:t>
            </w:r>
            <w:r>
              <w:rPr>
                <w:rFonts w:hint="default" w:ascii="Times New Roman" w:hAnsi="Times New Roman" w:cs="Times New Roman"/>
                <w:color w:val="auto"/>
                <w:spacing w:val="-1"/>
                <w:sz w:val="24"/>
                <w:szCs w:val="24"/>
              </w:rPr>
              <w:t>基本农田。涉及的土地利用类型见</w:t>
            </w:r>
            <w:r>
              <w:rPr>
                <w:rFonts w:hint="default" w:ascii="Times New Roman" w:hAnsi="Times New Roman" w:cs="Times New Roman"/>
                <w:color w:val="auto"/>
                <w:spacing w:val="-1"/>
                <w:sz w:val="24"/>
                <w:szCs w:val="24"/>
                <w:lang w:val="en-US" w:eastAsia="zh-CN"/>
              </w:rPr>
              <w:t>附</w:t>
            </w:r>
            <w:r>
              <w:rPr>
                <w:rFonts w:hint="default" w:ascii="Times New Roman" w:hAnsi="Times New Roman" w:cs="Times New Roman"/>
                <w:color w:val="auto"/>
                <w:spacing w:val="-1"/>
                <w:sz w:val="24"/>
                <w:szCs w:val="24"/>
              </w:rPr>
              <w:t>图</w:t>
            </w:r>
            <w:r>
              <w:rPr>
                <w:rFonts w:hint="default" w:ascii="Times New Roman" w:hAnsi="Times New Roman" w:cs="Times New Roman"/>
                <w:color w:val="auto"/>
                <w:spacing w:val="-1"/>
                <w:sz w:val="24"/>
                <w:szCs w:val="24"/>
                <w:lang w:val="en-US" w:eastAsia="zh-CN"/>
              </w:rPr>
              <w:t>9</w:t>
            </w:r>
            <w:r>
              <w:rPr>
                <w:rFonts w:hint="default" w:ascii="Times New Roman" w:hAnsi="Times New Roman" w:cs="Times New Roman"/>
                <w:color w:val="auto"/>
                <w:spacing w:val="-1"/>
                <w:sz w:val="24"/>
                <w:szCs w:val="24"/>
              </w:rPr>
              <w:t>。</w:t>
            </w:r>
          </w:p>
          <w:p w14:paraId="0E566307">
            <w:pPr>
              <w:pStyle w:val="65"/>
              <w:keepNext w:val="0"/>
              <w:keepLines w:val="0"/>
              <w:pageBreakBefore w:val="0"/>
              <w:widowControl w:val="0"/>
              <w:numPr>
                <w:ilvl w:val="0"/>
                <w:numId w:val="25"/>
              </w:numPr>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b/>
                <w:bCs/>
                <w:color w:val="auto"/>
                <w:spacing w:val="5"/>
                <w:sz w:val="24"/>
                <w:szCs w:val="24"/>
                <w:lang w:val="en-US" w:eastAsia="zh-CN"/>
              </w:rPr>
            </w:pPr>
            <w:r>
              <w:rPr>
                <w:b/>
                <w:bCs/>
                <w:color w:val="auto"/>
                <w:spacing w:val="5"/>
                <w:sz w:val="24"/>
                <w:szCs w:val="24"/>
              </w:rPr>
              <w:t>项目区土地类型占用情况 单位：</w:t>
            </w:r>
            <w:r>
              <w:rPr>
                <w:rFonts w:hint="eastAsia"/>
                <w:b/>
                <w:bCs/>
                <w:color w:val="auto"/>
                <w:spacing w:val="5"/>
                <w:sz w:val="24"/>
                <w:szCs w:val="24"/>
                <w:lang w:val="en-US" w:eastAsia="zh-CN"/>
              </w:rPr>
              <w:t>亩</w:t>
            </w:r>
          </w:p>
          <w:tbl>
            <w:tblPr>
              <w:tblStyle w:val="54"/>
              <w:tblW w:w="80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83"/>
              <w:gridCol w:w="497"/>
              <w:gridCol w:w="760"/>
              <w:gridCol w:w="764"/>
              <w:gridCol w:w="734"/>
              <w:gridCol w:w="782"/>
              <w:gridCol w:w="780"/>
              <w:gridCol w:w="640"/>
              <w:gridCol w:w="857"/>
              <w:gridCol w:w="940"/>
            </w:tblGrid>
            <w:tr w14:paraId="7922B7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 w:hRule="atLeast"/>
              </w:trPr>
              <w:tc>
                <w:tcPr>
                  <w:tcW w:w="1283" w:type="dxa"/>
                  <w:vMerge w:val="restart"/>
                  <w:tcBorders>
                    <w:bottom w:val="nil"/>
                  </w:tcBorders>
                  <w:vAlign w:val="center"/>
                </w:tcPr>
                <w:p w14:paraId="05733AE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3"/>
                      <w:sz w:val="21"/>
                      <w:szCs w:val="21"/>
                    </w:rPr>
                    <w:t>项目</w:t>
                  </w:r>
                </w:p>
              </w:tc>
              <w:tc>
                <w:tcPr>
                  <w:tcW w:w="497" w:type="dxa"/>
                  <w:vMerge w:val="restart"/>
                  <w:tcBorders>
                    <w:bottom w:val="nil"/>
                  </w:tcBorders>
                  <w:vAlign w:val="center"/>
                </w:tcPr>
                <w:p w14:paraId="7503CF0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8"/>
                      <w:sz w:val="21"/>
                      <w:szCs w:val="21"/>
                    </w:rPr>
                    <w:t>单位</w:t>
                  </w:r>
                </w:p>
              </w:tc>
              <w:tc>
                <w:tcPr>
                  <w:tcW w:w="760" w:type="dxa"/>
                  <w:vMerge w:val="restart"/>
                  <w:tcBorders>
                    <w:bottom w:val="nil"/>
                  </w:tcBorders>
                  <w:vAlign w:val="center"/>
                </w:tcPr>
                <w:p w14:paraId="5DD2609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p>
                <w:p w14:paraId="0A2C1DA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合计</w:t>
                  </w:r>
                </w:p>
              </w:tc>
              <w:tc>
                <w:tcPr>
                  <w:tcW w:w="2280" w:type="dxa"/>
                  <w:gridSpan w:val="3"/>
                  <w:vAlign w:val="center"/>
                </w:tcPr>
                <w:p w14:paraId="1B50750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6"/>
                      <w:sz w:val="21"/>
                      <w:szCs w:val="21"/>
                    </w:rPr>
                    <w:t>永久占地</w:t>
                  </w:r>
                </w:p>
              </w:tc>
              <w:tc>
                <w:tcPr>
                  <w:tcW w:w="3217" w:type="dxa"/>
                  <w:gridSpan w:val="4"/>
                  <w:vAlign w:val="center"/>
                </w:tcPr>
                <w:p w14:paraId="7542286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临时用地</w:t>
                  </w:r>
                </w:p>
              </w:tc>
            </w:tr>
            <w:tr w14:paraId="380CA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 w:hRule="atLeast"/>
              </w:trPr>
              <w:tc>
                <w:tcPr>
                  <w:tcW w:w="1283" w:type="dxa"/>
                  <w:vMerge w:val="continue"/>
                  <w:tcBorders>
                    <w:top w:val="nil"/>
                  </w:tcBorders>
                  <w:vAlign w:val="center"/>
                </w:tcPr>
                <w:p w14:paraId="300A138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p>
              </w:tc>
              <w:tc>
                <w:tcPr>
                  <w:tcW w:w="497" w:type="dxa"/>
                  <w:vMerge w:val="continue"/>
                  <w:tcBorders>
                    <w:top w:val="nil"/>
                  </w:tcBorders>
                  <w:textDirection w:val="tbRlV"/>
                  <w:vAlign w:val="center"/>
                </w:tcPr>
                <w:p w14:paraId="10949989">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p>
              </w:tc>
              <w:tc>
                <w:tcPr>
                  <w:tcW w:w="760" w:type="dxa"/>
                  <w:vMerge w:val="continue"/>
                  <w:tcBorders>
                    <w:top w:val="nil"/>
                  </w:tcBorders>
                  <w:vAlign w:val="center"/>
                </w:tcPr>
                <w:p w14:paraId="4F76642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p>
              </w:tc>
              <w:tc>
                <w:tcPr>
                  <w:tcW w:w="764" w:type="dxa"/>
                  <w:vAlign w:val="center"/>
                </w:tcPr>
                <w:p w14:paraId="7886FF3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2"/>
                      <w:sz w:val="21"/>
                      <w:szCs w:val="21"/>
                    </w:rPr>
                    <w:t>小计</w:t>
                  </w:r>
                </w:p>
              </w:tc>
              <w:tc>
                <w:tcPr>
                  <w:tcW w:w="734" w:type="dxa"/>
                  <w:vAlign w:val="center"/>
                </w:tcPr>
                <w:p w14:paraId="735CBED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护岸</w:t>
                  </w:r>
                </w:p>
              </w:tc>
              <w:tc>
                <w:tcPr>
                  <w:tcW w:w="782" w:type="dxa"/>
                  <w:vAlign w:val="center"/>
                </w:tcPr>
                <w:p w14:paraId="43734F4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6"/>
                      <w:sz w:val="21"/>
                      <w:szCs w:val="21"/>
                    </w:rPr>
                    <w:t>巡检道</w:t>
                  </w:r>
                  <w:r>
                    <w:rPr>
                      <w:rFonts w:hint="default" w:ascii="Times New Roman" w:hAnsi="Times New Roman" w:cs="Times New Roman"/>
                      <w:b/>
                      <w:bCs/>
                      <w:color w:val="auto"/>
                      <w:sz w:val="21"/>
                      <w:szCs w:val="21"/>
                    </w:rPr>
                    <w:t>路</w:t>
                  </w:r>
                </w:p>
              </w:tc>
              <w:tc>
                <w:tcPr>
                  <w:tcW w:w="780" w:type="dxa"/>
                  <w:vAlign w:val="center"/>
                </w:tcPr>
                <w:p w14:paraId="2454325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2"/>
                      <w:sz w:val="21"/>
                      <w:szCs w:val="21"/>
                    </w:rPr>
                    <w:t>小计</w:t>
                  </w:r>
                </w:p>
              </w:tc>
              <w:tc>
                <w:tcPr>
                  <w:tcW w:w="640" w:type="dxa"/>
                  <w:vAlign w:val="center"/>
                </w:tcPr>
                <w:p w14:paraId="682A26A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4"/>
                      <w:sz w:val="21"/>
                      <w:szCs w:val="21"/>
                    </w:rPr>
                    <w:t>护岸</w:t>
                  </w:r>
                </w:p>
              </w:tc>
              <w:tc>
                <w:tcPr>
                  <w:tcW w:w="857" w:type="dxa"/>
                  <w:vAlign w:val="center"/>
                </w:tcPr>
                <w:p w14:paraId="30D8BA1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3"/>
                      <w:sz w:val="21"/>
                      <w:szCs w:val="21"/>
                    </w:rPr>
                    <w:t>临时施</w:t>
                  </w:r>
                  <w:r>
                    <w:rPr>
                      <w:rFonts w:hint="default" w:ascii="Times New Roman" w:hAnsi="Times New Roman" w:cs="Times New Roman"/>
                      <w:b/>
                      <w:bCs/>
                      <w:color w:val="auto"/>
                      <w:spacing w:val="6"/>
                      <w:sz w:val="21"/>
                      <w:szCs w:val="21"/>
                    </w:rPr>
                    <w:t>工道路</w:t>
                  </w:r>
                </w:p>
              </w:tc>
              <w:tc>
                <w:tcPr>
                  <w:tcW w:w="940" w:type="dxa"/>
                  <w:vAlign w:val="center"/>
                </w:tcPr>
                <w:p w14:paraId="76ADFFD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pacing w:val="7"/>
                      <w:sz w:val="21"/>
                      <w:szCs w:val="21"/>
                    </w:rPr>
                    <w:t>其他临时</w:t>
                  </w:r>
                  <w:r>
                    <w:rPr>
                      <w:rFonts w:hint="default" w:ascii="Times New Roman" w:hAnsi="Times New Roman" w:cs="Times New Roman"/>
                      <w:b/>
                      <w:bCs/>
                      <w:color w:val="auto"/>
                      <w:spacing w:val="3"/>
                      <w:sz w:val="21"/>
                      <w:szCs w:val="21"/>
                    </w:rPr>
                    <w:t>用地</w:t>
                  </w:r>
                </w:p>
              </w:tc>
            </w:tr>
            <w:tr w14:paraId="695F8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037" w:type="dxa"/>
                  <w:gridSpan w:val="10"/>
                  <w:vAlign w:val="center"/>
                </w:tcPr>
                <w:p w14:paraId="690992A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一、农村部分</w:t>
                  </w:r>
                </w:p>
              </w:tc>
            </w:tr>
            <w:tr w14:paraId="3F096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 w:hRule="atLeast"/>
              </w:trPr>
              <w:tc>
                <w:tcPr>
                  <w:tcW w:w="1283" w:type="dxa"/>
                  <w:vAlign w:val="center"/>
                </w:tcPr>
                <w:p w14:paraId="1DFA59C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1.林地</w:t>
                  </w:r>
                </w:p>
              </w:tc>
              <w:tc>
                <w:tcPr>
                  <w:tcW w:w="497" w:type="dxa"/>
                  <w:vAlign w:val="center"/>
                </w:tcPr>
                <w:p w14:paraId="7805A2A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亩</w:t>
                  </w:r>
                </w:p>
              </w:tc>
              <w:tc>
                <w:tcPr>
                  <w:tcW w:w="760" w:type="dxa"/>
                  <w:vAlign w:val="center"/>
                </w:tcPr>
                <w:p w14:paraId="7157A0F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32.30</w:t>
                  </w:r>
                </w:p>
              </w:tc>
              <w:tc>
                <w:tcPr>
                  <w:tcW w:w="764" w:type="dxa"/>
                  <w:vAlign w:val="center"/>
                </w:tcPr>
                <w:p w14:paraId="149E290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20.58</w:t>
                  </w:r>
                </w:p>
              </w:tc>
              <w:tc>
                <w:tcPr>
                  <w:tcW w:w="734" w:type="dxa"/>
                  <w:vAlign w:val="center"/>
                </w:tcPr>
                <w:p w14:paraId="12A1018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10.29</w:t>
                  </w:r>
                </w:p>
              </w:tc>
              <w:tc>
                <w:tcPr>
                  <w:tcW w:w="782" w:type="dxa"/>
                  <w:vAlign w:val="center"/>
                </w:tcPr>
                <w:p w14:paraId="7D4C5AB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10.29</w:t>
                  </w:r>
                </w:p>
              </w:tc>
              <w:tc>
                <w:tcPr>
                  <w:tcW w:w="780" w:type="dxa"/>
                  <w:vAlign w:val="center"/>
                </w:tcPr>
                <w:p w14:paraId="507414F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11.72</w:t>
                  </w:r>
                </w:p>
              </w:tc>
              <w:tc>
                <w:tcPr>
                  <w:tcW w:w="640" w:type="dxa"/>
                  <w:vAlign w:val="center"/>
                </w:tcPr>
                <w:p w14:paraId="45F0E88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857" w:type="dxa"/>
                  <w:vAlign w:val="center"/>
                </w:tcPr>
                <w:p w14:paraId="37F5FA9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11.72</w:t>
                  </w:r>
                </w:p>
              </w:tc>
              <w:tc>
                <w:tcPr>
                  <w:tcW w:w="940" w:type="dxa"/>
                  <w:vAlign w:val="center"/>
                </w:tcPr>
                <w:p w14:paraId="28FD593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r>
            <w:tr w14:paraId="6B70B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83" w:type="dxa"/>
                  <w:vAlign w:val="center"/>
                </w:tcPr>
                <w:p w14:paraId="7B757A2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4"/>
                      <w:sz w:val="21"/>
                      <w:szCs w:val="21"/>
                    </w:rPr>
                    <w:t>2.耕地</w:t>
                  </w:r>
                </w:p>
              </w:tc>
              <w:tc>
                <w:tcPr>
                  <w:tcW w:w="497" w:type="dxa"/>
                  <w:vAlign w:val="center"/>
                </w:tcPr>
                <w:p w14:paraId="5E1FBBA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亩</w:t>
                  </w:r>
                </w:p>
              </w:tc>
              <w:tc>
                <w:tcPr>
                  <w:tcW w:w="760" w:type="dxa"/>
                  <w:vAlign w:val="center"/>
                </w:tcPr>
                <w:p w14:paraId="43FB4A4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0.00</w:t>
                  </w:r>
                </w:p>
              </w:tc>
              <w:tc>
                <w:tcPr>
                  <w:tcW w:w="764" w:type="dxa"/>
                  <w:vAlign w:val="center"/>
                </w:tcPr>
                <w:p w14:paraId="7178477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0.00</w:t>
                  </w:r>
                </w:p>
              </w:tc>
              <w:tc>
                <w:tcPr>
                  <w:tcW w:w="734" w:type="dxa"/>
                  <w:vAlign w:val="center"/>
                </w:tcPr>
                <w:p w14:paraId="1D787A6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782" w:type="dxa"/>
                  <w:vAlign w:val="center"/>
                </w:tcPr>
                <w:p w14:paraId="4B3DAE8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780" w:type="dxa"/>
                  <w:vAlign w:val="center"/>
                </w:tcPr>
                <w:p w14:paraId="33823E7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0.00</w:t>
                  </w:r>
                </w:p>
              </w:tc>
              <w:tc>
                <w:tcPr>
                  <w:tcW w:w="640" w:type="dxa"/>
                  <w:vAlign w:val="center"/>
                </w:tcPr>
                <w:p w14:paraId="2A862B5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857" w:type="dxa"/>
                  <w:vAlign w:val="center"/>
                </w:tcPr>
                <w:p w14:paraId="6152A93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940" w:type="dxa"/>
                  <w:vAlign w:val="center"/>
                </w:tcPr>
                <w:p w14:paraId="51083CD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r>
            <w:tr w14:paraId="459D02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0" w:hRule="atLeast"/>
              </w:trPr>
              <w:tc>
                <w:tcPr>
                  <w:tcW w:w="1283" w:type="dxa"/>
                  <w:vAlign w:val="center"/>
                </w:tcPr>
                <w:p w14:paraId="67C7595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5"/>
                      <w:sz w:val="21"/>
                      <w:szCs w:val="21"/>
                    </w:rPr>
                    <w:t>3.天然草场</w:t>
                  </w:r>
                </w:p>
              </w:tc>
              <w:tc>
                <w:tcPr>
                  <w:tcW w:w="497" w:type="dxa"/>
                  <w:vAlign w:val="center"/>
                </w:tcPr>
                <w:p w14:paraId="5F99F46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亩</w:t>
                  </w:r>
                </w:p>
              </w:tc>
              <w:tc>
                <w:tcPr>
                  <w:tcW w:w="760" w:type="dxa"/>
                  <w:vAlign w:val="center"/>
                </w:tcPr>
                <w:p w14:paraId="3AFCAA8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85.54</w:t>
                  </w:r>
                </w:p>
              </w:tc>
              <w:tc>
                <w:tcPr>
                  <w:tcW w:w="764" w:type="dxa"/>
                  <w:vAlign w:val="center"/>
                </w:tcPr>
                <w:p w14:paraId="365A1D4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33.95</w:t>
                  </w:r>
                </w:p>
              </w:tc>
              <w:tc>
                <w:tcPr>
                  <w:tcW w:w="734" w:type="dxa"/>
                  <w:vAlign w:val="center"/>
                </w:tcPr>
                <w:p w14:paraId="49B9B32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20.58</w:t>
                  </w:r>
                </w:p>
              </w:tc>
              <w:tc>
                <w:tcPr>
                  <w:tcW w:w="782" w:type="dxa"/>
                  <w:vAlign w:val="center"/>
                </w:tcPr>
                <w:p w14:paraId="767C937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13.37</w:t>
                  </w:r>
                </w:p>
              </w:tc>
              <w:tc>
                <w:tcPr>
                  <w:tcW w:w="780" w:type="dxa"/>
                  <w:vAlign w:val="center"/>
                </w:tcPr>
                <w:p w14:paraId="167DB97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51.59</w:t>
                  </w:r>
                </w:p>
              </w:tc>
              <w:tc>
                <w:tcPr>
                  <w:tcW w:w="640" w:type="dxa"/>
                  <w:vAlign w:val="center"/>
                </w:tcPr>
                <w:p w14:paraId="7B10EED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857" w:type="dxa"/>
                  <w:vAlign w:val="center"/>
                </w:tcPr>
                <w:p w14:paraId="03D4B23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51.59</w:t>
                  </w:r>
                </w:p>
              </w:tc>
              <w:tc>
                <w:tcPr>
                  <w:tcW w:w="940" w:type="dxa"/>
                  <w:vAlign w:val="center"/>
                </w:tcPr>
                <w:p w14:paraId="5AA0C0D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r>
            <w:tr w14:paraId="1DCE4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83" w:type="dxa"/>
                  <w:vAlign w:val="center"/>
                </w:tcPr>
                <w:p w14:paraId="12BF6AC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6"/>
                      <w:sz w:val="21"/>
                      <w:szCs w:val="21"/>
                    </w:rPr>
                    <w:t>4.人工草场</w:t>
                  </w:r>
                </w:p>
              </w:tc>
              <w:tc>
                <w:tcPr>
                  <w:tcW w:w="497" w:type="dxa"/>
                  <w:vAlign w:val="center"/>
                </w:tcPr>
                <w:p w14:paraId="3DFA1C1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亩</w:t>
                  </w:r>
                </w:p>
              </w:tc>
              <w:tc>
                <w:tcPr>
                  <w:tcW w:w="760" w:type="dxa"/>
                  <w:vAlign w:val="center"/>
                </w:tcPr>
                <w:p w14:paraId="00272C4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0.00</w:t>
                  </w:r>
                </w:p>
              </w:tc>
              <w:tc>
                <w:tcPr>
                  <w:tcW w:w="764" w:type="dxa"/>
                  <w:vAlign w:val="center"/>
                </w:tcPr>
                <w:p w14:paraId="083FCAA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0.00</w:t>
                  </w:r>
                </w:p>
              </w:tc>
              <w:tc>
                <w:tcPr>
                  <w:tcW w:w="734" w:type="dxa"/>
                  <w:vAlign w:val="center"/>
                </w:tcPr>
                <w:p w14:paraId="300BF45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782" w:type="dxa"/>
                  <w:vAlign w:val="center"/>
                </w:tcPr>
                <w:p w14:paraId="17CF813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780" w:type="dxa"/>
                  <w:vAlign w:val="center"/>
                </w:tcPr>
                <w:p w14:paraId="0DDF218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0.00</w:t>
                  </w:r>
                </w:p>
              </w:tc>
              <w:tc>
                <w:tcPr>
                  <w:tcW w:w="640" w:type="dxa"/>
                  <w:vAlign w:val="center"/>
                </w:tcPr>
                <w:p w14:paraId="4B378B3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857" w:type="dxa"/>
                  <w:vAlign w:val="center"/>
                </w:tcPr>
                <w:p w14:paraId="20F0545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940" w:type="dxa"/>
                  <w:vAlign w:val="center"/>
                </w:tcPr>
                <w:p w14:paraId="030E28B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r>
            <w:tr w14:paraId="0FC10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83" w:type="dxa"/>
                  <w:vAlign w:val="center"/>
                </w:tcPr>
                <w:p w14:paraId="28B9170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6"/>
                      <w:sz w:val="21"/>
                      <w:szCs w:val="21"/>
                    </w:rPr>
                    <w:t>5.水利设施用</w:t>
                  </w:r>
                  <w:r>
                    <w:rPr>
                      <w:rFonts w:hint="default" w:ascii="Times New Roman" w:hAnsi="Times New Roman" w:cs="Times New Roman"/>
                      <w:color w:val="auto"/>
                      <w:sz w:val="21"/>
                      <w:szCs w:val="21"/>
                    </w:rPr>
                    <w:t>地</w:t>
                  </w:r>
                </w:p>
              </w:tc>
              <w:tc>
                <w:tcPr>
                  <w:tcW w:w="497" w:type="dxa"/>
                  <w:vAlign w:val="center"/>
                </w:tcPr>
                <w:p w14:paraId="445EAD6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亩</w:t>
                  </w:r>
                </w:p>
              </w:tc>
              <w:tc>
                <w:tcPr>
                  <w:tcW w:w="760" w:type="dxa"/>
                  <w:vAlign w:val="center"/>
                </w:tcPr>
                <w:p w14:paraId="620E568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362.61</w:t>
                  </w:r>
                </w:p>
              </w:tc>
              <w:tc>
                <w:tcPr>
                  <w:tcW w:w="764" w:type="dxa"/>
                  <w:vAlign w:val="center"/>
                </w:tcPr>
                <w:p w14:paraId="2518630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position w:val="1"/>
                      <w:sz w:val="21"/>
                      <w:szCs w:val="21"/>
                    </w:rPr>
                    <w:t>210.90</w:t>
                  </w:r>
                </w:p>
              </w:tc>
              <w:tc>
                <w:tcPr>
                  <w:tcW w:w="734" w:type="dxa"/>
                  <w:vAlign w:val="center"/>
                </w:tcPr>
                <w:p w14:paraId="6A4324A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position w:val="1"/>
                      <w:sz w:val="21"/>
                      <w:szCs w:val="21"/>
                    </w:rPr>
                    <w:t>133.74</w:t>
                  </w:r>
                </w:p>
              </w:tc>
              <w:tc>
                <w:tcPr>
                  <w:tcW w:w="782" w:type="dxa"/>
                  <w:vAlign w:val="center"/>
                </w:tcPr>
                <w:p w14:paraId="388022C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77.16</w:t>
                  </w:r>
                </w:p>
              </w:tc>
              <w:tc>
                <w:tcPr>
                  <w:tcW w:w="780" w:type="dxa"/>
                  <w:vAlign w:val="center"/>
                </w:tcPr>
                <w:p w14:paraId="3210159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position w:val="1"/>
                      <w:sz w:val="21"/>
                      <w:szCs w:val="21"/>
                    </w:rPr>
                    <w:t>151.71</w:t>
                  </w:r>
                </w:p>
              </w:tc>
              <w:tc>
                <w:tcPr>
                  <w:tcW w:w="640" w:type="dxa"/>
                  <w:vAlign w:val="center"/>
                </w:tcPr>
                <w:p w14:paraId="66D9DF2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position w:val="1"/>
                      <w:sz w:val="21"/>
                      <w:szCs w:val="21"/>
                    </w:rPr>
                    <w:t>37.99</w:t>
                  </w:r>
                </w:p>
              </w:tc>
              <w:tc>
                <w:tcPr>
                  <w:tcW w:w="857" w:type="dxa"/>
                  <w:vAlign w:val="center"/>
                </w:tcPr>
                <w:p w14:paraId="24358AA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940" w:type="dxa"/>
                  <w:vAlign w:val="center"/>
                </w:tcPr>
                <w:p w14:paraId="4E24573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position w:val="1"/>
                      <w:sz w:val="21"/>
                      <w:szCs w:val="21"/>
                    </w:rPr>
                    <w:t>113.72</w:t>
                  </w:r>
                </w:p>
              </w:tc>
            </w:tr>
            <w:tr w14:paraId="1FCE1A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83" w:type="dxa"/>
                  <w:vAlign w:val="center"/>
                </w:tcPr>
                <w:p w14:paraId="311E8AC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6"/>
                      <w:sz w:val="21"/>
                      <w:szCs w:val="21"/>
                    </w:rPr>
                    <w:t>6.其他土地</w:t>
                  </w:r>
                </w:p>
              </w:tc>
              <w:tc>
                <w:tcPr>
                  <w:tcW w:w="497" w:type="dxa"/>
                  <w:vAlign w:val="center"/>
                </w:tcPr>
                <w:p w14:paraId="365FA95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亩</w:t>
                  </w:r>
                </w:p>
              </w:tc>
              <w:tc>
                <w:tcPr>
                  <w:tcW w:w="760" w:type="dxa"/>
                  <w:vAlign w:val="center"/>
                </w:tcPr>
                <w:p w14:paraId="584F2D4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81.14</w:t>
                  </w:r>
                </w:p>
              </w:tc>
              <w:tc>
                <w:tcPr>
                  <w:tcW w:w="764" w:type="dxa"/>
                  <w:vAlign w:val="center"/>
                </w:tcPr>
                <w:p w14:paraId="39DE108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43.21</w:t>
                  </w:r>
                </w:p>
              </w:tc>
              <w:tc>
                <w:tcPr>
                  <w:tcW w:w="734" w:type="dxa"/>
                  <w:vAlign w:val="center"/>
                </w:tcPr>
                <w:p w14:paraId="582260C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41.15</w:t>
                  </w:r>
                </w:p>
              </w:tc>
              <w:tc>
                <w:tcPr>
                  <w:tcW w:w="782" w:type="dxa"/>
                  <w:vAlign w:val="center"/>
                </w:tcPr>
                <w:p w14:paraId="1B048E2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2.06</w:t>
                  </w:r>
                </w:p>
              </w:tc>
              <w:tc>
                <w:tcPr>
                  <w:tcW w:w="780" w:type="dxa"/>
                  <w:vAlign w:val="center"/>
                </w:tcPr>
                <w:p w14:paraId="7A997BF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37.93</w:t>
                  </w:r>
                </w:p>
              </w:tc>
              <w:tc>
                <w:tcPr>
                  <w:tcW w:w="640" w:type="dxa"/>
                  <w:vAlign w:val="center"/>
                </w:tcPr>
                <w:p w14:paraId="65B2FA5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3"/>
                      <w:sz w:val="21"/>
                      <w:szCs w:val="21"/>
                    </w:rPr>
                    <w:t>9.50</w:t>
                  </w:r>
                </w:p>
              </w:tc>
              <w:tc>
                <w:tcPr>
                  <w:tcW w:w="857" w:type="dxa"/>
                  <w:vAlign w:val="center"/>
                </w:tcPr>
                <w:p w14:paraId="549A868C">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940" w:type="dxa"/>
                  <w:vAlign w:val="center"/>
                </w:tcPr>
                <w:p w14:paraId="5B4FD0C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2"/>
                      <w:sz w:val="21"/>
                      <w:szCs w:val="21"/>
                    </w:rPr>
                    <w:t>28.43</w:t>
                  </w:r>
                </w:p>
              </w:tc>
            </w:tr>
            <w:tr w14:paraId="51D66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037" w:type="dxa"/>
                  <w:gridSpan w:val="10"/>
                  <w:vAlign w:val="center"/>
                </w:tcPr>
                <w:p w14:paraId="0920416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二、专业部分</w:t>
                  </w:r>
                </w:p>
              </w:tc>
            </w:tr>
            <w:tr w14:paraId="4E0C4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83" w:type="dxa"/>
                  <w:vAlign w:val="center"/>
                </w:tcPr>
                <w:p w14:paraId="17BA8ED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1"/>
                      <w:sz w:val="21"/>
                      <w:szCs w:val="21"/>
                    </w:rPr>
                    <w:t>公路</w:t>
                  </w:r>
                </w:p>
              </w:tc>
              <w:tc>
                <w:tcPr>
                  <w:tcW w:w="497" w:type="dxa"/>
                  <w:vAlign w:val="center"/>
                </w:tcPr>
                <w:p w14:paraId="7FF1259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处</w:t>
                  </w:r>
                </w:p>
              </w:tc>
              <w:tc>
                <w:tcPr>
                  <w:tcW w:w="760" w:type="dxa"/>
                  <w:vAlign w:val="center"/>
                </w:tcPr>
                <w:p w14:paraId="7966471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15</w:t>
                  </w:r>
                </w:p>
              </w:tc>
              <w:tc>
                <w:tcPr>
                  <w:tcW w:w="764" w:type="dxa"/>
                  <w:vAlign w:val="center"/>
                </w:tcPr>
                <w:p w14:paraId="1C9A60B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15</w:t>
                  </w:r>
                </w:p>
              </w:tc>
              <w:tc>
                <w:tcPr>
                  <w:tcW w:w="734" w:type="dxa"/>
                  <w:vAlign w:val="center"/>
                </w:tcPr>
                <w:p w14:paraId="466C9C8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pacing w:val="-7"/>
                      <w:sz w:val="21"/>
                      <w:szCs w:val="21"/>
                    </w:rPr>
                    <w:t>15</w:t>
                  </w:r>
                </w:p>
              </w:tc>
              <w:tc>
                <w:tcPr>
                  <w:tcW w:w="782" w:type="dxa"/>
                  <w:vAlign w:val="center"/>
                </w:tcPr>
                <w:p w14:paraId="10101FD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780" w:type="dxa"/>
                  <w:vAlign w:val="center"/>
                </w:tcPr>
                <w:p w14:paraId="6FEC309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640" w:type="dxa"/>
                  <w:vAlign w:val="center"/>
                </w:tcPr>
                <w:p w14:paraId="18551FC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857" w:type="dxa"/>
                  <w:vAlign w:val="center"/>
                </w:tcPr>
                <w:p w14:paraId="0F157FEC">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c>
                <w:tcPr>
                  <w:tcW w:w="940" w:type="dxa"/>
                  <w:vAlign w:val="center"/>
                </w:tcPr>
                <w:p w14:paraId="09A2BA4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cs="Times New Roman"/>
                      <w:color w:val="auto"/>
                      <w:sz w:val="21"/>
                      <w:szCs w:val="21"/>
                    </w:rPr>
                  </w:pPr>
                </w:p>
              </w:tc>
            </w:tr>
          </w:tbl>
          <w:p w14:paraId="30DA35A9">
            <w:pPr>
              <w:pStyle w:val="65"/>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425" w:leftChars="0" w:right="0" w:hanging="425" w:firstLineChars="0"/>
              <w:textAlignment w:val="auto"/>
              <w:rPr>
                <w:b/>
                <w:bCs/>
                <w:color w:val="auto"/>
                <w:spacing w:val="-4"/>
                <w:sz w:val="24"/>
                <w:szCs w:val="24"/>
              </w:rPr>
            </w:pPr>
            <w:r>
              <w:rPr>
                <w:b/>
                <w:bCs/>
                <w:color w:val="auto"/>
                <w:spacing w:val="-4"/>
                <w:sz w:val="24"/>
                <w:szCs w:val="24"/>
              </w:rPr>
              <w:t>土壤类型</w:t>
            </w:r>
          </w:p>
          <w:p w14:paraId="0311FFFE">
            <w:pPr>
              <w:pStyle w:val="65"/>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04" w:firstLineChars="200"/>
              <w:jc w:val="both"/>
              <w:textAlignment w:val="auto"/>
              <w:rPr>
                <w:rFonts w:hint="default" w:ascii="Times New Roman" w:hAnsi="Times New Roman" w:cs="Times New Roman"/>
                <w:b w:val="0"/>
                <w:bCs w:val="0"/>
                <w:color w:val="auto"/>
                <w:spacing w:val="6"/>
                <w:sz w:val="24"/>
                <w:szCs w:val="24"/>
                <w:lang w:val="en-US" w:eastAsia="zh-CN"/>
              </w:rPr>
            </w:pPr>
            <w:r>
              <w:rPr>
                <w:rFonts w:hint="default" w:ascii="Times New Roman" w:hAnsi="Times New Roman" w:cs="Times New Roman"/>
                <w:b w:val="0"/>
                <w:bCs w:val="0"/>
                <w:color w:val="auto"/>
                <w:spacing w:val="6"/>
                <w:sz w:val="24"/>
                <w:szCs w:val="24"/>
                <w:lang w:val="en-US" w:eastAsia="zh-CN"/>
              </w:rPr>
              <w:t>项目区土壤类型为灰漠土、棕钙土以及渠首的部分灌漠土。棕钙土广泛分布于干旱、半干旱地区，有机质含量较低，结构松散，易受风蚀。灰漠土是石膏盐层土中稍微湿润的类型，是温带漠境边缘细土物质上发育的土壤。灰漠土是在温带荒漠气候条件下形成的。年平均气温为6~8°C，热量接近暖温带，与邻近的灰钙土差不多;灌漠土颗粒组成中，粘粒含量一般为11%-31%，粉砂含量14%-52%，砂粒含量25%-72%，细砂、粉砂、粘粒占据主导地位，土壤质地较为多样，可能出现砂、粘、壤土等多种土层变化，这是冲积扇末端交互沉积的结果。</w:t>
            </w:r>
          </w:p>
          <w:p w14:paraId="2100ABD9">
            <w:pPr>
              <w:pStyle w:val="65"/>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425" w:leftChars="0" w:right="0" w:hanging="425" w:firstLineChars="0"/>
              <w:textAlignment w:val="auto"/>
              <w:rPr>
                <w:b/>
                <w:bCs/>
                <w:color w:val="auto"/>
                <w:spacing w:val="-4"/>
                <w:sz w:val="24"/>
                <w:szCs w:val="24"/>
              </w:rPr>
            </w:pPr>
            <w:r>
              <w:rPr>
                <w:b/>
                <w:bCs/>
                <w:color w:val="auto"/>
                <w:spacing w:val="-4"/>
                <w:sz w:val="24"/>
                <w:szCs w:val="24"/>
              </w:rPr>
              <w:t>野生动物</w:t>
            </w:r>
          </w:p>
          <w:p w14:paraId="2C6AE632">
            <w:pPr>
              <w:pStyle w:val="65"/>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04" w:firstLineChars="200"/>
              <w:jc w:val="both"/>
              <w:textAlignment w:val="auto"/>
              <w:rPr>
                <w:rFonts w:hint="default" w:ascii="Times New Roman" w:hAnsi="Times New Roman" w:cs="Times New Roman"/>
                <w:b w:val="0"/>
                <w:bCs w:val="0"/>
                <w:color w:val="auto"/>
                <w:spacing w:val="6"/>
                <w:sz w:val="24"/>
                <w:szCs w:val="24"/>
                <w:lang w:val="en-US" w:eastAsia="zh-CN"/>
              </w:rPr>
            </w:pPr>
            <w:r>
              <w:rPr>
                <w:rFonts w:hint="default" w:ascii="Times New Roman" w:hAnsi="Times New Roman" w:cs="Times New Roman"/>
                <w:b w:val="0"/>
                <w:bCs w:val="0"/>
                <w:color w:val="auto"/>
                <w:spacing w:val="6"/>
                <w:sz w:val="24"/>
                <w:szCs w:val="24"/>
                <w:lang w:val="en-US" w:eastAsia="zh-CN"/>
              </w:rPr>
              <w:t>项目区的动物区系类型属古北界、中亚亚界、蒙新区、西部荒漠亚区、准噶尔盆地小区。主要分布有适于荒漠和人工绿洲生活的动物。爬行动物的蜥脚类种数较多，如快步麻蜥、变色沙蜥等，评价区两栖类动物比较少，主要为蛙类和蟾蜍类，分布在河岸边的草地和防护林带；子午沙鼠、大沙鼠、小家鼠等啮齿动物在该区分布很广，较为常见。</w:t>
            </w:r>
          </w:p>
          <w:p w14:paraId="29BC2C7A">
            <w:pPr>
              <w:pStyle w:val="65"/>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425" w:leftChars="0" w:right="0" w:hanging="425" w:firstLineChars="0"/>
              <w:textAlignment w:val="auto"/>
              <w:rPr>
                <w:b/>
                <w:bCs/>
                <w:color w:val="auto"/>
                <w:spacing w:val="-4"/>
                <w:sz w:val="24"/>
                <w:szCs w:val="24"/>
              </w:rPr>
            </w:pPr>
            <w:r>
              <w:rPr>
                <w:b/>
                <w:bCs/>
                <w:color w:val="auto"/>
                <w:spacing w:val="-4"/>
                <w:sz w:val="24"/>
                <w:szCs w:val="24"/>
              </w:rPr>
              <w:t>沙化土地</w:t>
            </w:r>
          </w:p>
          <w:p w14:paraId="2F943A73">
            <w:pPr>
              <w:pStyle w:val="65"/>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04" w:firstLineChars="200"/>
              <w:jc w:val="both"/>
              <w:textAlignment w:val="auto"/>
              <w:rPr>
                <w:rFonts w:hint="default" w:ascii="Times New Roman" w:hAnsi="Times New Roman" w:cs="Times New Roman"/>
                <w:b w:val="0"/>
                <w:bCs w:val="0"/>
                <w:color w:val="auto"/>
                <w:spacing w:val="6"/>
                <w:sz w:val="24"/>
                <w:szCs w:val="24"/>
                <w:lang w:val="en-US" w:eastAsia="zh-CN"/>
              </w:rPr>
            </w:pPr>
            <w:r>
              <w:rPr>
                <w:rFonts w:hint="default" w:ascii="Times New Roman" w:hAnsi="Times New Roman" w:cs="Times New Roman"/>
                <w:b w:val="0"/>
                <w:bCs w:val="0"/>
                <w:color w:val="auto"/>
                <w:spacing w:val="6"/>
                <w:sz w:val="24"/>
                <w:szCs w:val="24"/>
                <w:lang w:val="en-US" w:eastAsia="zh-CN"/>
              </w:rPr>
              <w:t>根据《新疆第六次沙化监测报告》和《新疆第六次沙化监测监测区分布图》，本项目不涉及沙化土地区域。目前，该地区尚未出现严重沙化问题，但由于气候干旱、风力较大（年平均风速0.85</w:t>
            </w:r>
            <w:r>
              <w:rPr>
                <w:rFonts w:hint="eastAsia" w:ascii="Times New Roman" w:hAnsi="Times New Roman" w:cs="Times New Roman"/>
                <w:b w:val="0"/>
                <w:bCs w:val="0"/>
                <w:color w:val="auto"/>
                <w:spacing w:val="6"/>
                <w:sz w:val="24"/>
                <w:szCs w:val="24"/>
                <w:lang w:val="en-US" w:eastAsia="zh-CN"/>
              </w:rPr>
              <w:t>～</w:t>
            </w:r>
            <w:r>
              <w:rPr>
                <w:rFonts w:hint="default" w:ascii="Times New Roman" w:hAnsi="Times New Roman" w:cs="Times New Roman"/>
                <w:b w:val="0"/>
                <w:bCs w:val="0"/>
                <w:color w:val="auto"/>
                <w:spacing w:val="6"/>
                <w:sz w:val="24"/>
                <w:szCs w:val="24"/>
                <w:lang w:val="en-US" w:eastAsia="zh-CN"/>
              </w:rPr>
              <w:t>5.1m/s），仍需持续关注土壤退化和风蚀风险。</w:t>
            </w:r>
          </w:p>
          <w:p w14:paraId="1C6DC3D0">
            <w:pPr>
              <w:pStyle w:val="65"/>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425" w:leftChars="0" w:right="0" w:hanging="425" w:firstLineChars="0"/>
              <w:textAlignment w:val="auto"/>
              <w:rPr>
                <w:b/>
                <w:bCs/>
                <w:color w:val="auto"/>
                <w:spacing w:val="-4"/>
                <w:sz w:val="24"/>
                <w:szCs w:val="24"/>
              </w:rPr>
            </w:pPr>
            <w:r>
              <w:rPr>
                <w:b/>
                <w:bCs/>
                <w:color w:val="auto"/>
                <w:spacing w:val="-4"/>
                <w:sz w:val="24"/>
                <w:szCs w:val="24"/>
              </w:rPr>
              <w:t>流域现状</w:t>
            </w:r>
          </w:p>
          <w:p w14:paraId="20A2C7FA">
            <w:pPr>
              <w:pStyle w:val="65"/>
              <w:keepNext w:val="0"/>
              <w:keepLines w:val="0"/>
              <w:pageBreakBefore w:val="0"/>
              <w:widowControl w:val="0"/>
              <w:numPr>
                <w:ilvl w:val="0"/>
                <w:numId w:val="26"/>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流域概况</w:t>
            </w:r>
          </w:p>
          <w:p w14:paraId="7A99477F">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default"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吉布库河流域位于新疆昌吉回族自治州奇台县，属天山东段北麓的内陆河流域，以高山冰川融水、季节性积雪融水、夏季降雨补给为主，主要流经吉布库镇，向北延伸至奇台县城附近及灌区，全长约40～45公里。流域面积约300～400平方公里。多年平均径流量：约3700万立方米。</w:t>
            </w:r>
          </w:p>
          <w:p w14:paraId="05CF4060">
            <w:pPr>
              <w:pStyle w:val="65"/>
              <w:keepNext w:val="0"/>
              <w:keepLines w:val="0"/>
              <w:pageBreakBefore w:val="0"/>
              <w:widowControl w:val="0"/>
              <w:numPr>
                <w:ilvl w:val="0"/>
                <w:numId w:val="26"/>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河流水系</w:t>
            </w:r>
          </w:p>
          <w:p w14:paraId="5157FE3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吉布库河是天山北坡东段奇台县境内的一条山溪性河流，发源于博格达山脉，东与吉布库河相邻，西与达坂河接壤。最高海拔4120m，与冰川湖相通，有支流8条（其中水根台、西沟较长，约8km)，吉布库河全长约84.5km，其中吉布库渠首以上27.1km，渠首以下57.4km。流经上堡子、下堡子、吉布库、达板河，奇台县城、终止于八户地水库。吉布库河从县城南部流入城区，在县城段河流称为城南防洪渠。</w:t>
            </w:r>
          </w:p>
          <w:p w14:paraId="48A2C8C5">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吉布库河与新疆其他河流一样，分为中低山区、前山丘陵区、山前倾斜平原区和平原区，中低山区与前山丘陵区的分界线为吉布库河新渠首。吉布库河在新渠首以上河段为山区，上游山区段河床发育较好，支流呈树枝状分布，主要有西沟、水根台沟、结拜库沟河等八支流；其中水根台、西沟较长，约8km，以上几条河沟在水根台形成主河道。</w:t>
            </w:r>
          </w:p>
          <w:p w14:paraId="1E48D0B7">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渠首以上为山区河流，渠首以下进入丘陵与倾斜平原区。主河道直至S303公路，河道进入平原区，经108团，在县城转向西北，再通过西北湾乡柳树河子村三队，最后经盐碱地消失于北部八户地水库。</w:t>
            </w:r>
          </w:p>
          <w:p w14:paraId="5B52CA69">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吉布库河跨越高、中、低山带，中高山带的积雪和冰川消融及中低山带的暴雨是吉布库河洪水形成的主要因素，洪水多发生于春夏两季。</w:t>
            </w:r>
          </w:p>
          <w:p w14:paraId="30F4B0A3">
            <w:pPr>
              <w:pStyle w:val="65"/>
              <w:keepNext w:val="0"/>
              <w:keepLines w:val="0"/>
              <w:pageBreakBefore w:val="0"/>
              <w:widowControl w:val="0"/>
              <w:numPr>
                <w:ilvl w:val="0"/>
                <w:numId w:val="26"/>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水利工程现状</w:t>
            </w:r>
          </w:p>
          <w:p w14:paraId="6738AC76">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渠首工程1965年以前采用木质结构水闸引水，1965年改造为钢筋砼底栏栅式引水枢纽，为便于从河道中引水，1978年在吉布库河出山口重新建设了渠首，2005年又对渠首进行了改扩建，达到目前的规模。吉布库渠首工程由泄洪冲沙闸、东干渠引水闸、西干渠引水闸、渠首上游左右岸导流堤组成。泄洪冲沙闸正对河道，右侧为东干渠引水闸，左侧为西干渠引水闸，渠首上游左右岸导流堤分别接在东干渠引水闸和西干渠引水闸上。</w:t>
            </w:r>
          </w:p>
          <w:p w14:paraId="0EE52873">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泄洪冲沙闸设计最大泄洪能力41.34m</w:t>
            </w:r>
            <w:r>
              <w:rPr>
                <w:rFonts w:hint="eastAsia" w:ascii="Times New Roman" w:hAnsi="Times New Roman" w:cs="Times New Roman"/>
                <w:color w:val="auto"/>
                <w:spacing w:val="-4"/>
                <w:sz w:val="24"/>
                <w:szCs w:val="24"/>
                <w:vertAlign w:val="superscript"/>
                <w:lang w:val="en-US" w:eastAsia="zh-CN"/>
              </w:rPr>
              <w:t>2</w:t>
            </w:r>
            <w:r>
              <w:rPr>
                <w:rFonts w:hint="eastAsia" w:ascii="Times New Roman" w:hAnsi="Times New Roman" w:cs="Times New Roman"/>
                <w:color w:val="auto"/>
                <w:spacing w:val="-4"/>
                <w:sz w:val="24"/>
                <w:szCs w:val="24"/>
                <w:lang w:val="en-US" w:eastAsia="zh-CN"/>
              </w:rPr>
              <w:t>/s。东干渠引水闸，设计最大引水能力6.0m</w:t>
            </w:r>
            <w:r>
              <w:rPr>
                <w:rFonts w:hint="eastAsia" w:ascii="Times New Roman" w:hAnsi="Times New Roman" w:cs="Times New Roman"/>
                <w:color w:val="auto"/>
                <w:spacing w:val="-4"/>
                <w:sz w:val="24"/>
                <w:szCs w:val="24"/>
                <w:vertAlign w:val="superscript"/>
                <w:lang w:val="en-US" w:eastAsia="zh-CN"/>
              </w:rPr>
              <w:t>2</w:t>
            </w:r>
            <w:r>
              <w:rPr>
                <w:rFonts w:hint="eastAsia" w:ascii="Times New Roman" w:hAnsi="Times New Roman" w:cs="Times New Roman"/>
                <w:color w:val="auto"/>
                <w:spacing w:val="-4"/>
                <w:sz w:val="24"/>
                <w:szCs w:val="24"/>
                <w:lang w:val="en-US" w:eastAsia="zh-CN"/>
              </w:rPr>
              <w:t>/s。西干渠引水闸设计最大引水能力2.5m</w:t>
            </w:r>
            <w:r>
              <w:rPr>
                <w:rFonts w:hint="eastAsia" w:ascii="Times New Roman" w:hAnsi="Times New Roman" w:cs="Times New Roman"/>
                <w:color w:val="auto"/>
                <w:spacing w:val="-4"/>
                <w:sz w:val="24"/>
                <w:szCs w:val="24"/>
                <w:vertAlign w:val="superscript"/>
                <w:lang w:val="en-US" w:eastAsia="zh-CN"/>
              </w:rPr>
              <w:t>2</w:t>
            </w:r>
            <w:r>
              <w:rPr>
                <w:rFonts w:hint="eastAsia" w:ascii="Times New Roman" w:hAnsi="Times New Roman" w:cs="Times New Roman"/>
                <w:color w:val="auto"/>
                <w:spacing w:val="-4"/>
                <w:sz w:val="24"/>
                <w:szCs w:val="24"/>
                <w:lang w:val="en-US" w:eastAsia="zh-CN"/>
              </w:rPr>
              <w:t>/s。渠首上游左右岸导流堤在2005年重新进行了改造，为砼结构，左、右岸导流堤分别与东、西干渠引水闸边墙相接，其中左岸导流堤长120m，右岸导流堤长130m。</w:t>
            </w:r>
          </w:p>
          <w:p w14:paraId="22D4A572">
            <w:pPr>
              <w:pStyle w:val="65"/>
              <w:keepNext w:val="0"/>
              <w:keepLines w:val="0"/>
              <w:pageBreakBefore w:val="0"/>
              <w:widowControl w:val="0"/>
              <w:numPr>
                <w:ilvl w:val="0"/>
                <w:numId w:val="24"/>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b/>
                <w:bCs/>
                <w:color w:val="auto"/>
                <w:spacing w:val="-4"/>
                <w:sz w:val="24"/>
                <w:szCs w:val="24"/>
                <w:lang w:val="en-US" w:eastAsia="zh-CN"/>
              </w:rPr>
            </w:pPr>
            <w:r>
              <w:rPr>
                <w:rFonts w:hint="eastAsia"/>
                <w:b/>
                <w:bCs/>
                <w:color w:val="auto"/>
                <w:spacing w:val="-4"/>
                <w:sz w:val="24"/>
                <w:szCs w:val="24"/>
                <w:lang w:val="en-US" w:eastAsia="zh-CN"/>
              </w:rPr>
              <w:t>水生生态现状</w:t>
            </w:r>
          </w:p>
          <w:p w14:paraId="41B64E36">
            <w:pPr>
              <w:pStyle w:val="65"/>
              <w:keepNext w:val="0"/>
              <w:keepLines w:val="0"/>
              <w:pageBreakBefore w:val="0"/>
              <w:widowControl w:val="0"/>
              <w:numPr>
                <w:ilvl w:val="0"/>
                <w:numId w:val="27"/>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植被分布</w:t>
            </w:r>
          </w:p>
          <w:p w14:paraId="73BFB292">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根据现场调查和影像资料分析可知，本项目上游河道内分布有博洛塔绢蒿、短叶假木贼、伊犁绢蒿、驼绒藜等；项目中游及下游河段内分布有少量依赖河水的榆树、杨树、伊犁绢蒿、驼绒藜等植被分布。</w:t>
            </w:r>
          </w:p>
          <w:p w14:paraId="56AE18E5">
            <w:pPr>
              <w:pStyle w:val="65"/>
              <w:keepNext w:val="0"/>
              <w:keepLines w:val="0"/>
              <w:pageBreakBefore w:val="0"/>
              <w:widowControl w:val="0"/>
              <w:numPr>
                <w:ilvl w:val="0"/>
                <w:numId w:val="27"/>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底栖生物</w:t>
            </w:r>
          </w:p>
          <w:p w14:paraId="1A4988B0">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根据收集资料可知，项目区域内在汛期河流内以摇蚊幼虫、水蚯蚓占优，指示中营养状态；石蝇、蜉蝣等清洁水体指示物种在上游有零星发现。</w:t>
            </w:r>
          </w:p>
          <w:p w14:paraId="2BDBEE65">
            <w:pPr>
              <w:pStyle w:val="65"/>
              <w:keepNext w:val="0"/>
              <w:keepLines w:val="0"/>
              <w:pageBreakBefore w:val="0"/>
              <w:widowControl w:val="0"/>
              <w:numPr>
                <w:ilvl w:val="0"/>
                <w:numId w:val="27"/>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鱼类</w:t>
            </w:r>
          </w:p>
          <w:p w14:paraId="5A38C6EB">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default" w:ascii="Times New Roman" w:hAnsi="Times New Roman" w:cs="Times New Roman"/>
                <w:color w:val="auto"/>
                <w:spacing w:val="-4"/>
                <w:sz w:val="24"/>
                <w:szCs w:val="24"/>
                <w:lang w:val="en-US" w:eastAsia="zh-CN"/>
              </w:rPr>
            </w:pPr>
            <w:r>
              <w:rPr>
                <w:rFonts w:hint="eastAsia" w:ascii="Times New Roman" w:hAnsi="Times New Roman" w:cs="Times New Roman"/>
                <w:color w:val="auto"/>
                <w:spacing w:val="-4"/>
                <w:sz w:val="24"/>
                <w:szCs w:val="24"/>
                <w:lang w:val="en-US" w:eastAsia="zh-CN"/>
              </w:rPr>
              <w:t>本项目涉及的河段内汛期无鱼类分布，不涉及洄游通道或“三场”（产卵场、索饵场、越冬场）。</w:t>
            </w:r>
          </w:p>
          <w:p w14:paraId="4398F459">
            <w:pPr>
              <w:pStyle w:val="65"/>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firstLine="420" w:firstLineChars="0"/>
              <w:textAlignment w:val="auto"/>
              <w:rPr>
                <w:b/>
                <w:bCs/>
                <w:color w:val="auto"/>
                <w:spacing w:val="-4"/>
                <w:sz w:val="24"/>
                <w:szCs w:val="24"/>
              </w:rPr>
            </w:pPr>
            <w:r>
              <w:rPr>
                <w:b/>
                <w:bCs/>
                <w:color w:val="auto"/>
                <w:spacing w:val="-4"/>
                <w:sz w:val="24"/>
                <w:szCs w:val="24"/>
              </w:rPr>
              <w:t>环境空气质量现状</w:t>
            </w:r>
          </w:p>
          <w:p w14:paraId="32ADCFE1">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jc w:val="both"/>
              <w:textAlignment w:val="auto"/>
              <w:rPr>
                <w:rFonts w:hint="default" w:ascii="Times New Roman" w:hAnsi="Times New Roman" w:cs="Times New Roman"/>
                <w:color w:val="auto"/>
                <w:spacing w:val="1"/>
                <w:sz w:val="24"/>
                <w:szCs w:val="24"/>
              </w:rPr>
            </w:pPr>
            <w:r>
              <w:rPr>
                <w:rFonts w:hint="default" w:ascii="Times New Roman" w:hAnsi="Times New Roman" w:cs="Times New Roman"/>
                <w:color w:val="auto"/>
                <w:spacing w:val="1"/>
                <w:sz w:val="24"/>
                <w:szCs w:val="24"/>
              </w:rPr>
              <w:t>本环评根据《环境影响评价技术导则 大气环境》（HJ2.2-2018）对环境质量现状数据的要求，本次基本污染物环境质量现状评价引用《昌吉州2024年环境空气质量报告》中</w:t>
            </w:r>
            <w:r>
              <w:rPr>
                <w:rFonts w:hint="default" w:ascii="Times New Roman" w:hAnsi="Times New Roman" w:cs="Times New Roman"/>
                <w:color w:val="auto"/>
                <w:spacing w:val="1"/>
                <w:sz w:val="24"/>
                <w:szCs w:val="24"/>
                <w:lang w:val="en-US" w:eastAsia="zh-CN"/>
              </w:rPr>
              <w:t>2</w:t>
            </w:r>
            <w:r>
              <w:rPr>
                <w:rFonts w:hint="default" w:ascii="Times New Roman" w:hAnsi="Times New Roman" w:cs="Times New Roman"/>
                <w:color w:val="auto"/>
                <w:spacing w:val="1"/>
                <w:sz w:val="24"/>
                <w:szCs w:val="24"/>
              </w:rPr>
              <w:t>024年奇台县环境空气质量数据进行判定</w:t>
            </w:r>
            <w:r>
              <w:rPr>
                <w:rFonts w:hint="default" w:ascii="Times New Roman" w:hAnsi="Times New Roman" w:cs="Times New Roman"/>
                <w:color w:val="auto"/>
                <w:spacing w:val="1"/>
                <w:sz w:val="24"/>
                <w:szCs w:val="24"/>
                <w:lang w:eastAsia="zh-CN"/>
              </w:rPr>
              <w:t>，</w:t>
            </w:r>
            <w:r>
              <w:rPr>
                <w:rFonts w:hint="default" w:ascii="Times New Roman" w:hAnsi="Times New Roman" w:cs="Times New Roman"/>
                <w:color w:val="auto"/>
                <w:spacing w:val="1"/>
                <w:sz w:val="24"/>
                <w:szCs w:val="24"/>
                <w:lang w:val="en-US" w:eastAsia="zh-CN"/>
              </w:rPr>
              <w:t>本次环境空气质量评价标准采用</w:t>
            </w:r>
            <w:r>
              <w:rPr>
                <w:rFonts w:hint="default" w:ascii="Times New Roman" w:hAnsi="Times New Roman" w:cs="Times New Roman"/>
                <w:b w:val="0"/>
                <w:bCs w:val="0"/>
                <w:color w:val="auto"/>
                <w:spacing w:val="-3"/>
                <w:sz w:val="24"/>
                <w:szCs w:val="24"/>
              </w:rPr>
              <w:t>《环境空气质量标准》（GB3095-20</w:t>
            </w:r>
            <w:r>
              <w:rPr>
                <w:rFonts w:hint="default" w:ascii="Times New Roman" w:hAnsi="Times New Roman" w:cs="Times New Roman"/>
                <w:b w:val="0"/>
                <w:bCs w:val="0"/>
                <w:color w:val="auto"/>
                <w:spacing w:val="-3"/>
                <w:sz w:val="24"/>
                <w:szCs w:val="24"/>
                <w:lang w:val="en-US" w:eastAsia="zh-CN"/>
              </w:rPr>
              <w:t>26</w:t>
            </w:r>
            <w:r>
              <w:rPr>
                <w:rFonts w:hint="default" w:ascii="Times New Roman" w:hAnsi="Times New Roman" w:cs="Times New Roman"/>
                <w:b w:val="0"/>
                <w:bCs w:val="0"/>
                <w:color w:val="auto"/>
                <w:spacing w:val="-3"/>
                <w:sz w:val="24"/>
                <w:szCs w:val="24"/>
              </w:rPr>
              <w:t>）</w:t>
            </w:r>
            <w:r>
              <w:rPr>
                <w:rFonts w:hint="eastAsia" w:ascii="Times New Roman" w:hAnsi="Times New Roman" w:cs="Times New Roman"/>
                <w:b w:val="0"/>
                <w:bCs w:val="0"/>
                <w:color w:val="auto"/>
                <w:spacing w:val="-3"/>
                <w:sz w:val="24"/>
                <w:szCs w:val="24"/>
                <w:lang w:val="en-US" w:eastAsia="zh-CN"/>
              </w:rPr>
              <w:t>表1过渡阶段二级浓度限值</w:t>
            </w:r>
            <w:r>
              <w:rPr>
                <w:rFonts w:hint="default" w:ascii="Times New Roman" w:hAnsi="Times New Roman" w:cs="Times New Roman"/>
                <w:color w:val="auto"/>
                <w:spacing w:val="1"/>
                <w:sz w:val="24"/>
                <w:szCs w:val="24"/>
              </w:rPr>
              <w:t>。</w:t>
            </w:r>
          </w:p>
          <w:p w14:paraId="7A791776">
            <w:pPr>
              <w:spacing w:line="32" w:lineRule="exact"/>
              <w:rPr>
                <w:color w:val="auto"/>
              </w:rPr>
            </w:pPr>
          </w:p>
          <w:p w14:paraId="606D1EEF">
            <w:pPr>
              <w:pStyle w:val="65"/>
              <w:keepNext w:val="0"/>
              <w:keepLines w:val="0"/>
              <w:pageBreakBefore w:val="0"/>
              <w:widowControl w:val="0"/>
              <w:numPr>
                <w:ilvl w:val="0"/>
                <w:numId w:val="25"/>
              </w:numPr>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cs="Times New Roman"/>
                <w:color w:val="auto"/>
                <w:spacing w:val="1"/>
                <w:sz w:val="24"/>
                <w:szCs w:val="24"/>
                <w:lang w:val="en-US" w:eastAsia="zh-CN"/>
              </w:rPr>
            </w:pPr>
            <w:r>
              <w:rPr>
                <w:rFonts w:hint="eastAsia"/>
                <w:b/>
                <w:bCs/>
                <w:color w:val="auto"/>
                <w:spacing w:val="5"/>
                <w:sz w:val="24"/>
                <w:szCs w:val="24"/>
                <w:lang w:val="en-US" w:eastAsia="zh-CN"/>
              </w:rPr>
              <w:t>环境空气质量达标判定结果</w:t>
            </w:r>
          </w:p>
          <w:tbl>
            <w:tblPr>
              <w:tblStyle w:val="54"/>
              <w:tblpPr w:leftFromText="180" w:rightFromText="180" w:vertAnchor="text" w:horzAnchor="page" w:tblpX="82" w:tblpY="12"/>
              <w:tblOverlap w:val="never"/>
              <w:tblW w:w="80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8"/>
              <w:gridCol w:w="1984"/>
              <w:gridCol w:w="1416"/>
              <w:gridCol w:w="1250"/>
              <w:gridCol w:w="1486"/>
              <w:gridCol w:w="1127"/>
            </w:tblGrid>
            <w:tr w14:paraId="30ABD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788" w:type="dxa"/>
                  <w:tcBorders>
                    <w:left w:val="single" w:color="000000" w:sz="2" w:space="0"/>
                  </w:tcBorders>
                  <w:vAlign w:val="center"/>
                </w:tcPr>
                <w:p w14:paraId="7FD42955">
                  <w:pPr>
                    <w:pStyle w:val="65"/>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color w:val="auto"/>
                      <w:sz w:val="21"/>
                      <w:szCs w:val="21"/>
                    </w:rPr>
                  </w:pPr>
                  <w:r>
                    <w:rPr>
                      <w:b/>
                      <w:bCs/>
                      <w:color w:val="auto"/>
                      <w:spacing w:val="3"/>
                      <w:sz w:val="21"/>
                      <w:szCs w:val="21"/>
                    </w:rPr>
                    <w:t>监测</w:t>
                  </w:r>
                  <w:r>
                    <w:rPr>
                      <w:b/>
                      <w:bCs/>
                      <w:color w:val="auto"/>
                      <w:spacing w:val="-5"/>
                      <w:sz w:val="21"/>
                      <w:szCs w:val="21"/>
                    </w:rPr>
                    <w:t>因子</w:t>
                  </w:r>
                </w:p>
              </w:tc>
              <w:tc>
                <w:tcPr>
                  <w:tcW w:w="1984" w:type="dxa"/>
                  <w:vAlign w:val="center"/>
                </w:tcPr>
                <w:p w14:paraId="67D94B5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6"/>
                      <w:sz w:val="21"/>
                      <w:szCs w:val="21"/>
                    </w:rPr>
                    <w:t>评价指标</w:t>
                  </w:r>
                </w:p>
              </w:tc>
              <w:tc>
                <w:tcPr>
                  <w:tcW w:w="1416" w:type="dxa"/>
                  <w:vAlign w:val="center"/>
                </w:tcPr>
                <w:p w14:paraId="1109D5F1">
                  <w:pPr>
                    <w:pStyle w:val="65"/>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color w:val="auto"/>
                      <w:sz w:val="21"/>
                      <w:szCs w:val="21"/>
                    </w:rPr>
                  </w:pPr>
                  <w:r>
                    <w:rPr>
                      <w:b/>
                      <w:bCs/>
                      <w:color w:val="auto"/>
                      <w:spacing w:val="6"/>
                      <w:sz w:val="21"/>
                      <w:szCs w:val="21"/>
                    </w:rPr>
                    <w:t>现状浓度</w:t>
                  </w:r>
                  <w:r>
                    <w:rPr>
                      <w:rFonts w:hint="eastAsia"/>
                      <w:b/>
                      <w:bCs/>
                      <w:color w:val="auto"/>
                      <w:spacing w:val="6"/>
                      <w:sz w:val="21"/>
                      <w:szCs w:val="21"/>
                      <w:lang w:eastAsia="zh-CN"/>
                    </w:rPr>
                    <w:t>（</w:t>
                  </w:r>
                  <w:r>
                    <w:rPr>
                      <w:rFonts w:ascii="Times New Roman" w:hAnsi="Times New Roman" w:eastAsia="Times New Roman" w:cs="Times New Roman"/>
                      <w:b/>
                      <w:bCs/>
                      <w:color w:val="auto"/>
                      <w:sz w:val="21"/>
                      <w:szCs w:val="21"/>
                    </w:rPr>
                    <w:t>μg/m</w:t>
                  </w:r>
                  <w:r>
                    <w:rPr>
                      <w:rFonts w:ascii="Times New Roman" w:hAnsi="Times New Roman" w:eastAsia="Times New Roman" w:cs="Times New Roman"/>
                      <w:b/>
                      <w:bCs/>
                      <w:color w:val="auto"/>
                      <w:sz w:val="21"/>
                      <w:szCs w:val="21"/>
                      <w:vertAlign w:val="superscript"/>
                    </w:rPr>
                    <w:t>3</w:t>
                  </w:r>
                  <w:r>
                    <w:rPr>
                      <w:b/>
                      <w:bCs/>
                      <w:color w:val="auto"/>
                      <w:sz w:val="21"/>
                      <w:szCs w:val="21"/>
                    </w:rPr>
                    <w:t>）</w:t>
                  </w:r>
                </w:p>
              </w:tc>
              <w:tc>
                <w:tcPr>
                  <w:tcW w:w="1250" w:type="dxa"/>
                  <w:vAlign w:val="center"/>
                </w:tcPr>
                <w:p w14:paraId="0DCFC786">
                  <w:pPr>
                    <w:pStyle w:val="65"/>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color w:val="auto"/>
                      <w:sz w:val="21"/>
                      <w:szCs w:val="21"/>
                    </w:rPr>
                  </w:pPr>
                  <w:r>
                    <w:rPr>
                      <w:b/>
                      <w:bCs/>
                      <w:color w:val="auto"/>
                      <w:spacing w:val="5"/>
                      <w:sz w:val="21"/>
                      <w:szCs w:val="21"/>
                    </w:rPr>
                    <w:t>标准值</w:t>
                  </w:r>
                  <w:r>
                    <w:rPr>
                      <w:rFonts w:hint="eastAsia"/>
                      <w:b/>
                      <w:bCs/>
                      <w:color w:val="auto"/>
                      <w:spacing w:val="5"/>
                      <w:sz w:val="21"/>
                      <w:szCs w:val="21"/>
                      <w:lang w:eastAsia="zh-CN"/>
                    </w:rPr>
                    <w:t>（</w:t>
                  </w:r>
                  <w:r>
                    <w:rPr>
                      <w:rFonts w:ascii="Times New Roman" w:hAnsi="Times New Roman" w:eastAsia="Times New Roman" w:cs="Times New Roman"/>
                      <w:b/>
                      <w:bCs/>
                      <w:color w:val="auto"/>
                      <w:sz w:val="21"/>
                      <w:szCs w:val="21"/>
                    </w:rPr>
                    <w:t>μg/m</w:t>
                  </w:r>
                  <w:r>
                    <w:rPr>
                      <w:rFonts w:ascii="Times New Roman" w:hAnsi="Times New Roman" w:eastAsia="Times New Roman" w:cs="Times New Roman"/>
                      <w:b/>
                      <w:bCs/>
                      <w:color w:val="auto"/>
                      <w:sz w:val="21"/>
                      <w:szCs w:val="21"/>
                      <w:vertAlign w:val="superscript"/>
                    </w:rPr>
                    <w:t>3</w:t>
                  </w:r>
                  <w:r>
                    <w:rPr>
                      <w:b/>
                      <w:bCs/>
                      <w:color w:val="auto"/>
                      <w:sz w:val="21"/>
                      <w:szCs w:val="21"/>
                    </w:rPr>
                    <w:t>）</w:t>
                  </w:r>
                </w:p>
              </w:tc>
              <w:tc>
                <w:tcPr>
                  <w:tcW w:w="1486" w:type="dxa"/>
                  <w:vAlign w:val="center"/>
                </w:tcPr>
                <w:p w14:paraId="5EEF42AC">
                  <w:pPr>
                    <w:pStyle w:val="65"/>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color w:val="auto"/>
                      <w:sz w:val="21"/>
                      <w:szCs w:val="21"/>
                    </w:rPr>
                  </w:pPr>
                  <w:r>
                    <w:rPr>
                      <w:b/>
                      <w:bCs/>
                      <w:color w:val="auto"/>
                      <w:spacing w:val="6"/>
                      <w:sz w:val="21"/>
                      <w:szCs w:val="21"/>
                    </w:rPr>
                    <w:t>浓度占标率</w:t>
                  </w:r>
                  <w:r>
                    <w:rPr>
                      <w:b/>
                      <w:bCs/>
                      <w:color w:val="auto"/>
                      <w:spacing w:val="-1"/>
                      <w:sz w:val="21"/>
                      <w:szCs w:val="21"/>
                    </w:rPr>
                    <w:t>（</w:t>
                  </w:r>
                  <w:r>
                    <w:rPr>
                      <w:rFonts w:ascii="Times New Roman" w:hAnsi="Times New Roman" w:eastAsia="Times New Roman" w:cs="Times New Roman"/>
                      <w:b/>
                      <w:bCs/>
                      <w:color w:val="auto"/>
                      <w:spacing w:val="-1"/>
                      <w:sz w:val="21"/>
                      <w:szCs w:val="21"/>
                    </w:rPr>
                    <w:t>%</w:t>
                  </w:r>
                  <w:r>
                    <w:rPr>
                      <w:b/>
                      <w:bCs/>
                      <w:color w:val="auto"/>
                      <w:spacing w:val="-1"/>
                      <w:sz w:val="21"/>
                      <w:szCs w:val="21"/>
                    </w:rPr>
                    <w:t>）</w:t>
                  </w:r>
                </w:p>
              </w:tc>
              <w:tc>
                <w:tcPr>
                  <w:tcW w:w="1127" w:type="dxa"/>
                  <w:vAlign w:val="center"/>
                </w:tcPr>
                <w:p w14:paraId="0B609063">
                  <w:pPr>
                    <w:pStyle w:val="65"/>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color w:val="auto"/>
                      <w:sz w:val="21"/>
                      <w:szCs w:val="21"/>
                    </w:rPr>
                  </w:pPr>
                  <w:r>
                    <w:rPr>
                      <w:b/>
                      <w:bCs/>
                      <w:color w:val="auto"/>
                      <w:spacing w:val="4"/>
                      <w:sz w:val="21"/>
                      <w:szCs w:val="21"/>
                    </w:rPr>
                    <w:t>达标</w:t>
                  </w:r>
                  <w:r>
                    <w:rPr>
                      <w:b/>
                      <w:bCs/>
                      <w:color w:val="auto"/>
                      <w:spacing w:val="3"/>
                      <w:sz w:val="21"/>
                      <w:szCs w:val="21"/>
                    </w:rPr>
                    <w:t>情况</w:t>
                  </w:r>
                </w:p>
              </w:tc>
            </w:tr>
            <w:tr w14:paraId="07BE5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 w:hRule="atLeast"/>
              </w:trPr>
              <w:tc>
                <w:tcPr>
                  <w:tcW w:w="788" w:type="dxa"/>
                  <w:tcBorders>
                    <w:left w:val="single" w:color="000000" w:sz="2" w:space="0"/>
                  </w:tcBorders>
                  <w:vAlign w:val="center"/>
                </w:tcPr>
                <w:p w14:paraId="1EC4BE75">
                  <w:pPr>
                    <w:keepNext w:val="0"/>
                    <w:keepLines w:val="0"/>
                    <w:pageBreakBefore w:val="0"/>
                    <w:widowControl w:val="0"/>
                    <w:kinsoku w:val="0"/>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SO</w:t>
                  </w:r>
                  <w:r>
                    <w:rPr>
                      <w:rFonts w:ascii="Times New Roman" w:hAnsi="Times New Roman" w:eastAsia="Times New Roman" w:cs="Times New Roman"/>
                      <w:color w:val="auto"/>
                      <w:spacing w:val="3"/>
                      <w:position w:val="-1"/>
                      <w:sz w:val="21"/>
                      <w:szCs w:val="21"/>
                      <w:vertAlign w:val="subscript"/>
                    </w:rPr>
                    <w:t>2</w:t>
                  </w:r>
                </w:p>
              </w:tc>
              <w:tc>
                <w:tcPr>
                  <w:tcW w:w="1984" w:type="dxa"/>
                  <w:vAlign w:val="center"/>
                </w:tcPr>
                <w:p w14:paraId="79FE631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color w:val="auto"/>
                      <w:sz w:val="21"/>
                      <w:szCs w:val="21"/>
                    </w:rPr>
                  </w:pPr>
                  <w:r>
                    <w:rPr>
                      <w:color w:val="auto"/>
                      <w:spacing w:val="7"/>
                      <w:sz w:val="21"/>
                      <w:szCs w:val="21"/>
                    </w:rPr>
                    <w:t>年平均值</w:t>
                  </w:r>
                </w:p>
              </w:tc>
              <w:tc>
                <w:tcPr>
                  <w:tcW w:w="1416" w:type="dxa"/>
                  <w:vAlign w:val="center"/>
                </w:tcPr>
                <w:p w14:paraId="6325DE0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7.0</w:t>
                  </w:r>
                </w:p>
              </w:tc>
              <w:tc>
                <w:tcPr>
                  <w:tcW w:w="1250" w:type="dxa"/>
                  <w:vAlign w:val="center"/>
                </w:tcPr>
                <w:p w14:paraId="1445B24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60</w:t>
                  </w:r>
                </w:p>
              </w:tc>
              <w:tc>
                <w:tcPr>
                  <w:tcW w:w="1486" w:type="dxa"/>
                  <w:vAlign w:val="center"/>
                </w:tcPr>
                <w:p w14:paraId="71C21D5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11.67</w:t>
                  </w:r>
                </w:p>
              </w:tc>
              <w:tc>
                <w:tcPr>
                  <w:tcW w:w="1127" w:type="dxa"/>
                  <w:vAlign w:val="center"/>
                </w:tcPr>
                <w:p w14:paraId="300A078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color w:val="auto"/>
                      <w:sz w:val="21"/>
                      <w:szCs w:val="21"/>
                    </w:rPr>
                  </w:pPr>
                  <w:r>
                    <w:rPr>
                      <w:color w:val="auto"/>
                      <w:spacing w:val="5"/>
                      <w:sz w:val="21"/>
                      <w:szCs w:val="21"/>
                    </w:rPr>
                    <w:t>达标</w:t>
                  </w:r>
                </w:p>
              </w:tc>
            </w:tr>
            <w:tr w14:paraId="3E479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88" w:type="dxa"/>
                  <w:tcBorders>
                    <w:left w:val="single" w:color="000000" w:sz="2" w:space="0"/>
                  </w:tcBorders>
                  <w:vAlign w:val="center"/>
                </w:tcPr>
                <w:p w14:paraId="1B2C9642">
                  <w:pPr>
                    <w:keepNext w:val="0"/>
                    <w:keepLines w:val="0"/>
                    <w:pageBreakBefore w:val="0"/>
                    <w:widowControl w:val="0"/>
                    <w:kinsoku w:val="0"/>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NO</w:t>
                  </w:r>
                  <w:r>
                    <w:rPr>
                      <w:rFonts w:ascii="Times New Roman" w:hAnsi="Times New Roman" w:eastAsia="Times New Roman" w:cs="Times New Roman"/>
                      <w:color w:val="auto"/>
                      <w:spacing w:val="6"/>
                      <w:position w:val="-1"/>
                      <w:sz w:val="21"/>
                      <w:szCs w:val="21"/>
                      <w:vertAlign w:val="subscript"/>
                    </w:rPr>
                    <w:t>2</w:t>
                  </w:r>
                </w:p>
              </w:tc>
              <w:tc>
                <w:tcPr>
                  <w:tcW w:w="1984" w:type="dxa"/>
                  <w:vAlign w:val="center"/>
                </w:tcPr>
                <w:p w14:paraId="2FAF0A4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color w:val="auto"/>
                      <w:sz w:val="21"/>
                      <w:szCs w:val="21"/>
                    </w:rPr>
                  </w:pPr>
                  <w:r>
                    <w:rPr>
                      <w:color w:val="auto"/>
                      <w:spacing w:val="7"/>
                      <w:sz w:val="21"/>
                      <w:szCs w:val="21"/>
                    </w:rPr>
                    <w:t>年平均值</w:t>
                  </w:r>
                </w:p>
              </w:tc>
              <w:tc>
                <w:tcPr>
                  <w:tcW w:w="1416" w:type="dxa"/>
                  <w:vAlign w:val="center"/>
                </w:tcPr>
                <w:p w14:paraId="2DFEE59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10.0</w:t>
                  </w:r>
                </w:p>
              </w:tc>
              <w:tc>
                <w:tcPr>
                  <w:tcW w:w="1250" w:type="dxa"/>
                  <w:vAlign w:val="center"/>
                </w:tcPr>
                <w:p w14:paraId="42AF66A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40</w:t>
                  </w:r>
                </w:p>
              </w:tc>
              <w:tc>
                <w:tcPr>
                  <w:tcW w:w="1486" w:type="dxa"/>
                  <w:vAlign w:val="center"/>
                </w:tcPr>
                <w:p w14:paraId="52059EF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3"/>
                      <w:sz w:val="21"/>
                      <w:szCs w:val="21"/>
                    </w:rPr>
                    <w:t>25.0</w:t>
                  </w:r>
                </w:p>
              </w:tc>
              <w:tc>
                <w:tcPr>
                  <w:tcW w:w="1127" w:type="dxa"/>
                  <w:vAlign w:val="center"/>
                </w:tcPr>
                <w:p w14:paraId="0D84E77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color w:val="auto"/>
                      <w:sz w:val="21"/>
                      <w:szCs w:val="21"/>
                    </w:rPr>
                  </w:pPr>
                  <w:r>
                    <w:rPr>
                      <w:color w:val="auto"/>
                      <w:spacing w:val="5"/>
                      <w:sz w:val="21"/>
                      <w:szCs w:val="21"/>
                    </w:rPr>
                    <w:t>达标</w:t>
                  </w:r>
                </w:p>
              </w:tc>
            </w:tr>
            <w:tr w14:paraId="49DFE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88" w:type="dxa"/>
                  <w:tcBorders>
                    <w:left w:val="single" w:color="000000" w:sz="2" w:space="0"/>
                  </w:tcBorders>
                  <w:vAlign w:val="center"/>
                </w:tcPr>
                <w:p w14:paraId="79E4E1CF">
                  <w:pPr>
                    <w:keepNext w:val="0"/>
                    <w:keepLines w:val="0"/>
                    <w:pageBreakBefore w:val="0"/>
                    <w:widowControl w:val="0"/>
                    <w:kinsoku w:val="0"/>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PM</w:t>
                  </w:r>
                  <w:r>
                    <w:rPr>
                      <w:rFonts w:ascii="Times New Roman" w:hAnsi="Times New Roman" w:eastAsia="Times New Roman" w:cs="Times New Roman"/>
                      <w:color w:val="auto"/>
                      <w:spacing w:val="8"/>
                      <w:position w:val="-1"/>
                      <w:sz w:val="21"/>
                      <w:szCs w:val="21"/>
                      <w:vertAlign w:val="subscript"/>
                    </w:rPr>
                    <w:t>10</w:t>
                  </w:r>
                </w:p>
              </w:tc>
              <w:tc>
                <w:tcPr>
                  <w:tcW w:w="1984" w:type="dxa"/>
                  <w:vAlign w:val="center"/>
                </w:tcPr>
                <w:p w14:paraId="414176D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color w:val="auto"/>
                      <w:sz w:val="21"/>
                      <w:szCs w:val="21"/>
                    </w:rPr>
                  </w:pPr>
                  <w:r>
                    <w:rPr>
                      <w:color w:val="auto"/>
                      <w:spacing w:val="7"/>
                      <w:sz w:val="21"/>
                      <w:szCs w:val="21"/>
                    </w:rPr>
                    <w:t>年平均值</w:t>
                  </w:r>
                </w:p>
              </w:tc>
              <w:tc>
                <w:tcPr>
                  <w:tcW w:w="1416" w:type="dxa"/>
                  <w:vAlign w:val="center"/>
                </w:tcPr>
                <w:p w14:paraId="034B9B2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29</w:t>
                  </w:r>
                </w:p>
              </w:tc>
              <w:tc>
                <w:tcPr>
                  <w:tcW w:w="1250" w:type="dxa"/>
                  <w:vAlign w:val="center"/>
                </w:tcPr>
                <w:p w14:paraId="7295627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60</w:t>
                  </w:r>
                </w:p>
              </w:tc>
              <w:tc>
                <w:tcPr>
                  <w:tcW w:w="1486" w:type="dxa"/>
                  <w:vAlign w:val="center"/>
                </w:tcPr>
                <w:p w14:paraId="19450BA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48.3</w:t>
                  </w:r>
                </w:p>
              </w:tc>
              <w:tc>
                <w:tcPr>
                  <w:tcW w:w="1127" w:type="dxa"/>
                  <w:vAlign w:val="center"/>
                </w:tcPr>
                <w:p w14:paraId="39C6192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color w:val="auto"/>
                      <w:sz w:val="21"/>
                      <w:szCs w:val="21"/>
                    </w:rPr>
                  </w:pPr>
                  <w:r>
                    <w:rPr>
                      <w:color w:val="auto"/>
                      <w:spacing w:val="5"/>
                      <w:sz w:val="21"/>
                      <w:szCs w:val="21"/>
                    </w:rPr>
                    <w:t>达标</w:t>
                  </w:r>
                </w:p>
              </w:tc>
            </w:tr>
            <w:tr w14:paraId="17032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88" w:type="dxa"/>
                  <w:tcBorders>
                    <w:left w:val="single" w:color="000000" w:sz="2" w:space="0"/>
                  </w:tcBorders>
                  <w:vAlign w:val="center"/>
                </w:tcPr>
                <w:p w14:paraId="33477837">
                  <w:pPr>
                    <w:keepNext w:val="0"/>
                    <w:keepLines w:val="0"/>
                    <w:pageBreakBefore w:val="0"/>
                    <w:widowControl w:val="0"/>
                    <w:kinsoku w:val="0"/>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PM</w:t>
                  </w:r>
                  <w:r>
                    <w:rPr>
                      <w:rFonts w:ascii="Times New Roman" w:hAnsi="Times New Roman" w:eastAsia="Times New Roman" w:cs="Times New Roman"/>
                      <w:color w:val="auto"/>
                      <w:spacing w:val="6"/>
                      <w:position w:val="-1"/>
                      <w:sz w:val="21"/>
                      <w:szCs w:val="21"/>
                      <w:vertAlign w:val="subscript"/>
                    </w:rPr>
                    <w:t>2.5</w:t>
                  </w:r>
                </w:p>
              </w:tc>
              <w:tc>
                <w:tcPr>
                  <w:tcW w:w="1984" w:type="dxa"/>
                  <w:vAlign w:val="center"/>
                </w:tcPr>
                <w:p w14:paraId="22F77FE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color w:val="auto"/>
                      <w:sz w:val="21"/>
                      <w:szCs w:val="21"/>
                    </w:rPr>
                  </w:pPr>
                  <w:r>
                    <w:rPr>
                      <w:color w:val="auto"/>
                      <w:spacing w:val="7"/>
                      <w:sz w:val="21"/>
                      <w:szCs w:val="21"/>
                    </w:rPr>
                    <w:t>年平均值</w:t>
                  </w:r>
                </w:p>
              </w:tc>
              <w:tc>
                <w:tcPr>
                  <w:tcW w:w="1416" w:type="dxa"/>
                  <w:vAlign w:val="center"/>
                </w:tcPr>
                <w:p w14:paraId="7BA2729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9</w:t>
                  </w:r>
                </w:p>
              </w:tc>
              <w:tc>
                <w:tcPr>
                  <w:tcW w:w="1250" w:type="dxa"/>
                  <w:vAlign w:val="center"/>
                </w:tcPr>
                <w:p w14:paraId="3312265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30</w:t>
                  </w:r>
                </w:p>
              </w:tc>
              <w:tc>
                <w:tcPr>
                  <w:tcW w:w="1486" w:type="dxa"/>
                  <w:vAlign w:val="center"/>
                </w:tcPr>
                <w:p w14:paraId="1D171FC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30</w:t>
                  </w:r>
                </w:p>
              </w:tc>
              <w:tc>
                <w:tcPr>
                  <w:tcW w:w="1127" w:type="dxa"/>
                  <w:vAlign w:val="center"/>
                </w:tcPr>
                <w:p w14:paraId="0C89604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color w:val="auto"/>
                      <w:sz w:val="21"/>
                      <w:szCs w:val="21"/>
                    </w:rPr>
                  </w:pPr>
                  <w:r>
                    <w:rPr>
                      <w:color w:val="auto"/>
                      <w:spacing w:val="5"/>
                      <w:sz w:val="21"/>
                      <w:szCs w:val="21"/>
                    </w:rPr>
                    <w:t>达标</w:t>
                  </w:r>
                </w:p>
              </w:tc>
            </w:tr>
            <w:tr w14:paraId="2E69B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788" w:type="dxa"/>
                  <w:tcBorders>
                    <w:left w:val="single" w:color="000000" w:sz="2" w:space="0"/>
                  </w:tcBorders>
                  <w:vAlign w:val="center"/>
                </w:tcPr>
                <w:p w14:paraId="6D30861D">
                  <w:pPr>
                    <w:keepNext w:val="0"/>
                    <w:keepLines w:val="0"/>
                    <w:pageBreakBefore w:val="0"/>
                    <w:widowControl w:val="0"/>
                    <w:kinsoku w:val="0"/>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CO</w:t>
                  </w:r>
                </w:p>
              </w:tc>
              <w:tc>
                <w:tcPr>
                  <w:tcW w:w="1984" w:type="dxa"/>
                  <w:vAlign w:val="center"/>
                </w:tcPr>
                <w:p w14:paraId="0388F70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color w:val="auto"/>
                      <w:sz w:val="21"/>
                      <w:szCs w:val="21"/>
                    </w:rPr>
                  </w:pPr>
                  <w:r>
                    <w:rPr>
                      <w:rFonts w:ascii="Times New Roman" w:hAnsi="Times New Roman" w:eastAsia="Times New Roman" w:cs="Times New Roman"/>
                      <w:color w:val="auto"/>
                      <w:spacing w:val="5"/>
                      <w:sz w:val="21"/>
                      <w:szCs w:val="21"/>
                    </w:rPr>
                    <w:t>24</w:t>
                  </w:r>
                  <w:r>
                    <w:rPr>
                      <w:color w:val="auto"/>
                      <w:spacing w:val="5"/>
                      <w:sz w:val="21"/>
                      <w:szCs w:val="21"/>
                    </w:rPr>
                    <w:t>小时第</w:t>
                  </w:r>
                  <w:r>
                    <w:rPr>
                      <w:rFonts w:ascii="Times New Roman" w:hAnsi="Times New Roman" w:eastAsia="Times New Roman" w:cs="Times New Roman"/>
                      <w:color w:val="auto"/>
                      <w:spacing w:val="5"/>
                      <w:sz w:val="21"/>
                      <w:szCs w:val="21"/>
                    </w:rPr>
                    <w:t>95</w:t>
                  </w:r>
                  <w:r>
                    <w:rPr>
                      <w:color w:val="auto"/>
                      <w:spacing w:val="5"/>
                      <w:sz w:val="21"/>
                      <w:szCs w:val="21"/>
                    </w:rPr>
                    <w:t>百分位</w:t>
                  </w:r>
                  <w:r>
                    <w:rPr>
                      <w:color w:val="auto"/>
                      <w:spacing w:val="6"/>
                      <w:sz w:val="21"/>
                      <w:szCs w:val="21"/>
                    </w:rPr>
                    <w:t>数日平均</w:t>
                  </w:r>
                </w:p>
              </w:tc>
              <w:tc>
                <w:tcPr>
                  <w:tcW w:w="1416" w:type="dxa"/>
                  <w:vAlign w:val="center"/>
                </w:tcPr>
                <w:p w14:paraId="7530384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600</w:t>
                  </w:r>
                </w:p>
              </w:tc>
              <w:tc>
                <w:tcPr>
                  <w:tcW w:w="1250" w:type="dxa"/>
                  <w:vAlign w:val="center"/>
                </w:tcPr>
                <w:p w14:paraId="2C65AEB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4000</w:t>
                  </w:r>
                </w:p>
              </w:tc>
              <w:tc>
                <w:tcPr>
                  <w:tcW w:w="1486" w:type="dxa"/>
                  <w:vAlign w:val="center"/>
                </w:tcPr>
                <w:p w14:paraId="505B507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15.0</w:t>
                  </w:r>
                </w:p>
              </w:tc>
              <w:tc>
                <w:tcPr>
                  <w:tcW w:w="1127" w:type="dxa"/>
                  <w:vAlign w:val="center"/>
                </w:tcPr>
                <w:p w14:paraId="16DA3C0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color w:val="auto"/>
                      <w:sz w:val="21"/>
                      <w:szCs w:val="21"/>
                    </w:rPr>
                  </w:pPr>
                  <w:r>
                    <w:rPr>
                      <w:color w:val="auto"/>
                      <w:spacing w:val="5"/>
                      <w:sz w:val="21"/>
                      <w:szCs w:val="21"/>
                    </w:rPr>
                    <w:t>达标</w:t>
                  </w:r>
                </w:p>
              </w:tc>
            </w:tr>
            <w:tr w14:paraId="2111C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788" w:type="dxa"/>
                  <w:tcBorders>
                    <w:left w:val="single" w:color="000000" w:sz="2" w:space="0"/>
                  </w:tcBorders>
                  <w:vAlign w:val="center"/>
                </w:tcPr>
                <w:p w14:paraId="44E03399">
                  <w:pPr>
                    <w:keepNext w:val="0"/>
                    <w:keepLines w:val="0"/>
                    <w:pageBreakBefore w:val="0"/>
                    <w:widowControl w:val="0"/>
                    <w:kinsoku w:val="0"/>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O</w:t>
                  </w:r>
                  <w:r>
                    <w:rPr>
                      <w:rFonts w:ascii="Times New Roman" w:hAnsi="Times New Roman" w:eastAsia="Times New Roman" w:cs="Times New Roman"/>
                      <w:color w:val="auto"/>
                      <w:spacing w:val="1"/>
                      <w:position w:val="-1"/>
                      <w:sz w:val="21"/>
                      <w:szCs w:val="21"/>
                      <w:vertAlign w:val="subscript"/>
                    </w:rPr>
                    <w:t>3</w:t>
                  </w:r>
                </w:p>
              </w:tc>
              <w:tc>
                <w:tcPr>
                  <w:tcW w:w="1984" w:type="dxa"/>
                  <w:vAlign w:val="center"/>
                </w:tcPr>
                <w:p w14:paraId="3C229D51">
                  <w:pPr>
                    <w:pStyle w:val="65"/>
                    <w:keepNext w:val="0"/>
                    <w:keepLines w:val="0"/>
                    <w:pageBreakBefore w:val="0"/>
                    <w:widowControl w:val="0"/>
                    <w:kinsoku/>
                    <w:wordWrap/>
                    <w:overflowPunct/>
                    <w:topLinePunct w:val="0"/>
                    <w:autoSpaceDE/>
                    <w:autoSpaceDN/>
                    <w:bidi w:val="0"/>
                    <w:adjustRightInd w:val="0"/>
                    <w:snapToGrid w:val="0"/>
                    <w:spacing w:line="240" w:lineRule="auto"/>
                    <w:ind w:right="0" w:rightChars="0"/>
                    <w:jc w:val="left"/>
                    <w:textAlignment w:val="auto"/>
                    <w:rPr>
                      <w:color w:val="auto"/>
                      <w:sz w:val="21"/>
                      <w:szCs w:val="21"/>
                    </w:rPr>
                  </w:pPr>
                  <w:r>
                    <w:rPr>
                      <w:color w:val="auto"/>
                      <w:spacing w:val="1"/>
                      <w:sz w:val="21"/>
                      <w:szCs w:val="21"/>
                    </w:rPr>
                    <w:t>最大</w:t>
                  </w:r>
                  <w:r>
                    <w:rPr>
                      <w:rFonts w:ascii="Times New Roman" w:hAnsi="Times New Roman" w:eastAsia="Times New Roman" w:cs="Times New Roman"/>
                      <w:color w:val="auto"/>
                      <w:spacing w:val="1"/>
                      <w:sz w:val="21"/>
                      <w:szCs w:val="21"/>
                    </w:rPr>
                    <w:t>8</w:t>
                  </w:r>
                  <w:r>
                    <w:rPr>
                      <w:color w:val="auto"/>
                      <w:spacing w:val="1"/>
                      <w:sz w:val="21"/>
                      <w:szCs w:val="21"/>
                    </w:rPr>
                    <w:t>小时第</w:t>
                  </w:r>
                  <w:r>
                    <w:rPr>
                      <w:rFonts w:ascii="Times New Roman" w:hAnsi="Times New Roman" w:eastAsia="Times New Roman" w:cs="Times New Roman"/>
                      <w:color w:val="auto"/>
                      <w:spacing w:val="1"/>
                      <w:sz w:val="21"/>
                      <w:szCs w:val="21"/>
                    </w:rPr>
                    <w:t>90</w:t>
                  </w:r>
                  <w:r>
                    <w:rPr>
                      <w:color w:val="auto"/>
                      <w:spacing w:val="1"/>
                      <w:sz w:val="21"/>
                      <w:szCs w:val="21"/>
                    </w:rPr>
                    <w:t>百</w:t>
                  </w:r>
                  <w:r>
                    <w:rPr>
                      <w:color w:val="auto"/>
                      <w:spacing w:val="7"/>
                      <w:sz w:val="21"/>
                      <w:szCs w:val="21"/>
                    </w:rPr>
                    <w:t>分位数日平均</w:t>
                  </w:r>
                </w:p>
              </w:tc>
              <w:tc>
                <w:tcPr>
                  <w:tcW w:w="1416" w:type="dxa"/>
                  <w:vAlign w:val="center"/>
                </w:tcPr>
                <w:p w14:paraId="69427B5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88</w:t>
                  </w:r>
                </w:p>
              </w:tc>
              <w:tc>
                <w:tcPr>
                  <w:tcW w:w="1250" w:type="dxa"/>
                  <w:vAlign w:val="center"/>
                </w:tcPr>
                <w:p w14:paraId="7E3B950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160</w:t>
                  </w:r>
                </w:p>
              </w:tc>
              <w:tc>
                <w:tcPr>
                  <w:tcW w:w="1486" w:type="dxa"/>
                  <w:vAlign w:val="center"/>
                </w:tcPr>
                <w:p w14:paraId="7B102B7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55</w:t>
                  </w:r>
                </w:p>
              </w:tc>
              <w:tc>
                <w:tcPr>
                  <w:tcW w:w="1127" w:type="dxa"/>
                  <w:vAlign w:val="center"/>
                </w:tcPr>
                <w:p w14:paraId="5D9988D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jc w:val="center"/>
                    <w:textAlignment w:val="auto"/>
                    <w:rPr>
                      <w:color w:val="auto"/>
                      <w:sz w:val="21"/>
                      <w:szCs w:val="21"/>
                    </w:rPr>
                  </w:pPr>
                  <w:r>
                    <w:rPr>
                      <w:color w:val="auto"/>
                      <w:spacing w:val="5"/>
                      <w:sz w:val="21"/>
                      <w:szCs w:val="21"/>
                    </w:rPr>
                    <w:t>达标</w:t>
                  </w:r>
                </w:p>
              </w:tc>
            </w:tr>
          </w:tbl>
          <w:p w14:paraId="6CDB2962">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rFonts w:hint="default" w:ascii="Times New Roman" w:hAnsi="Times New Roman" w:cs="Times New Roman"/>
                <w:color w:val="auto"/>
                <w:spacing w:val="1"/>
                <w:sz w:val="24"/>
                <w:szCs w:val="24"/>
              </w:rPr>
            </w:pPr>
            <w:r>
              <w:rPr>
                <w:color w:val="auto"/>
                <w:spacing w:val="-1"/>
                <w:sz w:val="24"/>
                <w:szCs w:val="24"/>
              </w:rPr>
              <w:t>根据上表评价结果可知，</w:t>
            </w:r>
            <w:r>
              <w:rPr>
                <w:rFonts w:ascii="Times New Roman" w:hAnsi="Times New Roman" w:eastAsia="Times New Roman" w:cs="Times New Roman"/>
                <w:color w:val="auto"/>
                <w:spacing w:val="-1"/>
                <w:sz w:val="24"/>
                <w:szCs w:val="24"/>
              </w:rPr>
              <w:t>2024</w:t>
            </w:r>
            <w:r>
              <w:rPr>
                <w:color w:val="auto"/>
                <w:spacing w:val="-1"/>
                <w:sz w:val="24"/>
                <w:szCs w:val="24"/>
              </w:rPr>
              <w:t>年奇台县</w:t>
            </w:r>
            <w:r>
              <w:rPr>
                <w:rFonts w:ascii="Times New Roman" w:hAnsi="Times New Roman" w:eastAsia="Times New Roman" w:cs="Times New Roman"/>
                <w:color w:val="auto"/>
                <w:spacing w:val="-1"/>
                <w:sz w:val="24"/>
                <w:szCs w:val="24"/>
              </w:rPr>
              <w:t>PM</w:t>
            </w:r>
            <w:r>
              <w:rPr>
                <w:rFonts w:ascii="Times New Roman" w:hAnsi="Times New Roman" w:eastAsia="Times New Roman" w:cs="Times New Roman"/>
                <w:color w:val="auto"/>
                <w:spacing w:val="-1"/>
                <w:position w:val="-1"/>
                <w:sz w:val="24"/>
                <w:szCs w:val="24"/>
                <w:vertAlign w:val="subscript"/>
              </w:rPr>
              <w:t>10</w:t>
            </w:r>
            <w:r>
              <w:rPr>
                <w:color w:val="auto"/>
                <w:spacing w:val="-1"/>
                <w:sz w:val="24"/>
                <w:szCs w:val="24"/>
              </w:rPr>
              <w:t>、</w:t>
            </w:r>
            <w:r>
              <w:rPr>
                <w:rFonts w:ascii="Times New Roman" w:hAnsi="Times New Roman" w:eastAsia="Times New Roman" w:cs="Times New Roman"/>
                <w:color w:val="auto"/>
                <w:spacing w:val="-1"/>
                <w:sz w:val="24"/>
                <w:szCs w:val="24"/>
              </w:rPr>
              <w:t>P</w:t>
            </w:r>
            <w:r>
              <w:rPr>
                <w:rFonts w:ascii="Times New Roman" w:hAnsi="Times New Roman" w:eastAsia="Times New Roman" w:cs="Times New Roman"/>
                <w:color w:val="auto"/>
                <w:spacing w:val="-2"/>
                <w:sz w:val="24"/>
                <w:szCs w:val="24"/>
              </w:rPr>
              <w:t>M</w:t>
            </w:r>
            <w:r>
              <w:rPr>
                <w:rFonts w:ascii="Times New Roman" w:hAnsi="Times New Roman" w:eastAsia="Times New Roman" w:cs="Times New Roman"/>
                <w:color w:val="auto"/>
                <w:spacing w:val="-2"/>
                <w:position w:val="-1"/>
                <w:sz w:val="24"/>
                <w:szCs w:val="24"/>
                <w:vertAlign w:val="subscript"/>
              </w:rPr>
              <w:t>2.5</w:t>
            </w:r>
            <w:r>
              <w:rPr>
                <w:color w:val="auto"/>
                <w:spacing w:val="-2"/>
                <w:sz w:val="24"/>
                <w:szCs w:val="24"/>
              </w:rPr>
              <w:t>、</w:t>
            </w:r>
            <w:r>
              <w:rPr>
                <w:rFonts w:ascii="Times New Roman" w:hAnsi="Times New Roman" w:eastAsia="Times New Roman" w:cs="Times New Roman"/>
                <w:color w:val="auto"/>
                <w:spacing w:val="-2"/>
                <w:sz w:val="24"/>
                <w:szCs w:val="24"/>
              </w:rPr>
              <w:t>NO</w:t>
            </w:r>
            <w:r>
              <w:rPr>
                <w:rFonts w:ascii="Times New Roman" w:hAnsi="Times New Roman" w:eastAsia="Times New Roman" w:cs="Times New Roman"/>
                <w:color w:val="auto"/>
                <w:spacing w:val="-2"/>
                <w:position w:val="-1"/>
                <w:sz w:val="24"/>
                <w:szCs w:val="24"/>
                <w:vertAlign w:val="subscript"/>
              </w:rPr>
              <w:t>2</w:t>
            </w:r>
            <w:r>
              <w:rPr>
                <w:color w:val="auto"/>
                <w:spacing w:val="-2"/>
                <w:sz w:val="24"/>
                <w:szCs w:val="24"/>
              </w:rPr>
              <w:t>、</w:t>
            </w:r>
            <w:r>
              <w:rPr>
                <w:rFonts w:ascii="Times New Roman" w:hAnsi="Times New Roman" w:eastAsia="Times New Roman" w:cs="Times New Roman"/>
                <w:color w:val="auto"/>
                <w:spacing w:val="-2"/>
                <w:sz w:val="24"/>
                <w:szCs w:val="24"/>
              </w:rPr>
              <w:t>O</w:t>
            </w:r>
            <w:r>
              <w:rPr>
                <w:rFonts w:ascii="Times New Roman" w:hAnsi="Times New Roman" w:eastAsia="Times New Roman" w:cs="Times New Roman"/>
                <w:color w:val="auto"/>
                <w:spacing w:val="-2"/>
                <w:position w:val="-1"/>
                <w:sz w:val="24"/>
                <w:szCs w:val="24"/>
                <w:vertAlign w:val="subscript"/>
              </w:rPr>
              <w:t>3</w:t>
            </w:r>
            <w:r>
              <w:rPr>
                <w:color w:val="auto"/>
                <w:spacing w:val="-2"/>
                <w:sz w:val="24"/>
                <w:szCs w:val="24"/>
              </w:rPr>
              <w:t>、</w:t>
            </w:r>
            <w:r>
              <w:rPr>
                <w:rFonts w:ascii="Times New Roman" w:hAnsi="Times New Roman" w:eastAsia="Times New Roman" w:cs="Times New Roman"/>
                <w:color w:val="auto"/>
                <w:spacing w:val="-2"/>
                <w:sz w:val="24"/>
                <w:szCs w:val="24"/>
              </w:rPr>
              <w:t>CO</w:t>
            </w:r>
            <w:r>
              <w:rPr>
                <w:color w:val="auto"/>
                <w:spacing w:val="-2"/>
                <w:sz w:val="24"/>
                <w:szCs w:val="24"/>
              </w:rPr>
              <w:t>、</w:t>
            </w:r>
            <w:r>
              <w:rPr>
                <w:rFonts w:ascii="Times New Roman" w:hAnsi="Times New Roman" w:eastAsia="Times New Roman" w:cs="Times New Roman"/>
                <w:color w:val="auto"/>
                <w:sz w:val="24"/>
                <w:szCs w:val="24"/>
              </w:rPr>
              <w:t>SO</w:t>
            </w:r>
            <w:r>
              <w:rPr>
                <w:rFonts w:ascii="Times New Roman" w:hAnsi="Times New Roman" w:eastAsia="Times New Roman" w:cs="Times New Roman"/>
                <w:color w:val="auto"/>
                <w:position w:val="-1"/>
                <w:sz w:val="24"/>
                <w:szCs w:val="24"/>
                <w:vertAlign w:val="subscript"/>
              </w:rPr>
              <w:t>2</w:t>
            </w:r>
            <w:r>
              <w:rPr>
                <w:color w:val="auto"/>
                <w:sz w:val="24"/>
                <w:szCs w:val="24"/>
              </w:rPr>
              <w:t>指标均</w:t>
            </w:r>
            <w:r>
              <w:rPr>
                <w:rFonts w:hint="eastAsia"/>
                <w:color w:val="auto"/>
                <w:spacing w:val="-1"/>
                <w:sz w:val="24"/>
                <w:szCs w:val="24"/>
                <w:lang w:val="en-US" w:eastAsia="zh-CN"/>
              </w:rPr>
              <w:t>符合</w:t>
            </w:r>
            <w:r>
              <w:rPr>
                <w:rFonts w:hint="default" w:ascii="Times New Roman" w:hAnsi="Times New Roman" w:cs="Times New Roman"/>
                <w:b w:val="0"/>
                <w:bCs w:val="0"/>
                <w:color w:val="auto"/>
                <w:spacing w:val="-3"/>
                <w:sz w:val="24"/>
                <w:szCs w:val="24"/>
              </w:rPr>
              <w:t>《环境空气质量标准》（GB3095-20</w:t>
            </w:r>
            <w:r>
              <w:rPr>
                <w:rFonts w:hint="default" w:ascii="Times New Roman" w:hAnsi="Times New Roman" w:cs="Times New Roman"/>
                <w:b w:val="0"/>
                <w:bCs w:val="0"/>
                <w:color w:val="auto"/>
                <w:spacing w:val="-3"/>
                <w:sz w:val="24"/>
                <w:szCs w:val="24"/>
                <w:lang w:val="en-US" w:eastAsia="zh-CN"/>
              </w:rPr>
              <w:t>26</w:t>
            </w:r>
            <w:r>
              <w:rPr>
                <w:rFonts w:hint="default" w:ascii="Times New Roman" w:hAnsi="Times New Roman" w:cs="Times New Roman"/>
                <w:b w:val="0"/>
                <w:bCs w:val="0"/>
                <w:color w:val="auto"/>
                <w:spacing w:val="-3"/>
                <w:sz w:val="24"/>
                <w:szCs w:val="24"/>
              </w:rPr>
              <w:t>）</w:t>
            </w:r>
            <w:r>
              <w:rPr>
                <w:rFonts w:hint="eastAsia" w:ascii="Times New Roman" w:hAnsi="Times New Roman" w:cs="Times New Roman"/>
                <w:b w:val="0"/>
                <w:bCs w:val="0"/>
                <w:color w:val="auto"/>
                <w:spacing w:val="-3"/>
                <w:sz w:val="24"/>
                <w:szCs w:val="24"/>
                <w:lang w:val="en-US" w:eastAsia="zh-CN"/>
              </w:rPr>
              <w:t>表1过渡阶段二级浓度限值</w:t>
            </w:r>
            <w:r>
              <w:rPr>
                <w:color w:val="auto"/>
                <w:spacing w:val="-1"/>
                <w:sz w:val="24"/>
                <w:szCs w:val="24"/>
              </w:rPr>
              <w:t>。根据《环</w:t>
            </w:r>
            <w:r>
              <w:rPr>
                <w:color w:val="auto"/>
                <w:spacing w:val="2"/>
                <w:sz w:val="24"/>
                <w:szCs w:val="24"/>
              </w:rPr>
              <w:t>境影响评价技术导则</w:t>
            </w:r>
            <w:r>
              <w:rPr>
                <w:rFonts w:hint="eastAsia"/>
                <w:color w:val="auto"/>
                <w:spacing w:val="2"/>
                <w:sz w:val="24"/>
                <w:szCs w:val="24"/>
                <w:lang w:val="en-US" w:eastAsia="zh-CN"/>
              </w:rPr>
              <w:t xml:space="preserve"> </w:t>
            </w:r>
            <w:r>
              <w:rPr>
                <w:color w:val="auto"/>
                <w:spacing w:val="2"/>
                <w:sz w:val="24"/>
                <w:szCs w:val="24"/>
              </w:rPr>
              <w:t>大气环境》（</w:t>
            </w:r>
            <w:r>
              <w:rPr>
                <w:rFonts w:ascii="Times New Roman" w:hAnsi="Times New Roman" w:eastAsia="Times New Roman" w:cs="Times New Roman"/>
                <w:color w:val="auto"/>
                <w:sz w:val="24"/>
                <w:szCs w:val="24"/>
              </w:rPr>
              <w:t>HJ</w:t>
            </w:r>
            <w:r>
              <w:rPr>
                <w:rFonts w:ascii="Times New Roman" w:hAnsi="Times New Roman" w:eastAsia="Times New Roman" w:cs="Times New Roman"/>
                <w:color w:val="auto"/>
                <w:spacing w:val="2"/>
                <w:sz w:val="24"/>
                <w:szCs w:val="24"/>
              </w:rPr>
              <w:t>2</w:t>
            </w:r>
            <w:r>
              <w:rPr>
                <w:rFonts w:hint="default" w:ascii="Times New Roman" w:hAnsi="Times New Roman" w:cs="Times New Roman"/>
                <w:color w:val="auto"/>
                <w:spacing w:val="1"/>
                <w:sz w:val="24"/>
                <w:szCs w:val="24"/>
              </w:rPr>
              <w:t>.2-2018），判定该区域环境空气质量达标区域。</w:t>
            </w:r>
          </w:p>
          <w:p w14:paraId="3FA8612B">
            <w:pPr>
              <w:pStyle w:val="65"/>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firstLine="420" w:firstLineChars="0"/>
              <w:textAlignment w:val="auto"/>
              <w:rPr>
                <w:b/>
                <w:bCs/>
                <w:color w:val="auto"/>
                <w:spacing w:val="-4"/>
                <w:sz w:val="24"/>
                <w:szCs w:val="24"/>
              </w:rPr>
            </w:pPr>
            <w:r>
              <w:rPr>
                <w:b/>
                <w:bCs/>
                <w:color w:val="auto"/>
                <w:spacing w:val="-4"/>
                <w:sz w:val="24"/>
                <w:szCs w:val="24"/>
              </w:rPr>
              <w:t>地表水环境现状</w:t>
            </w:r>
          </w:p>
          <w:p w14:paraId="51487E2C">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rFonts w:hint="default" w:ascii="Times New Roman" w:hAnsi="Times New Roman" w:cs="Times New Roman"/>
                <w:color w:val="auto"/>
                <w:spacing w:val="1"/>
                <w:sz w:val="24"/>
                <w:szCs w:val="24"/>
                <w:lang w:val="en-US" w:eastAsia="zh-CN"/>
              </w:rPr>
            </w:pPr>
            <w:r>
              <w:rPr>
                <w:rFonts w:hint="eastAsia" w:ascii="Times New Roman" w:hAnsi="Times New Roman" w:cs="Times New Roman"/>
                <w:color w:val="auto"/>
                <w:spacing w:val="1"/>
                <w:sz w:val="24"/>
                <w:szCs w:val="24"/>
              </w:rPr>
              <w:t>吉布库</w:t>
            </w:r>
            <w:r>
              <w:rPr>
                <w:rFonts w:hint="eastAsia" w:ascii="Times New Roman" w:hAnsi="Times New Roman" w:cs="Times New Roman"/>
                <w:color w:val="auto"/>
                <w:spacing w:val="1"/>
                <w:sz w:val="24"/>
                <w:szCs w:val="24"/>
                <w:lang w:val="en-US" w:eastAsia="zh-CN"/>
              </w:rPr>
              <w:t>河为季节性河流，水源来自碧流河水库，根据奇台县奇兴水务投资管理有限责任公司提供的水质检测报告（新疆昌源水务科学研究院有限公司库尔勒分公司，报告编号:CYKEL250604CYB01），</w:t>
            </w:r>
            <w:r>
              <w:rPr>
                <w:rFonts w:hint="eastAsia" w:ascii="Times New Roman" w:hAnsi="Times New Roman" w:cs="Times New Roman"/>
                <w:color w:val="auto"/>
                <w:spacing w:val="1"/>
                <w:sz w:val="24"/>
                <w:szCs w:val="24"/>
              </w:rPr>
              <w:t>吉布库</w:t>
            </w:r>
            <w:r>
              <w:rPr>
                <w:rFonts w:hint="eastAsia" w:ascii="Times New Roman" w:hAnsi="Times New Roman" w:cs="Times New Roman"/>
                <w:color w:val="auto"/>
                <w:spacing w:val="1"/>
                <w:sz w:val="24"/>
                <w:szCs w:val="24"/>
                <w:lang w:val="en-US" w:eastAsia="zh-CN"/>
              </w:rPr>
              <w:t>河水质满足《地表水环境质量标准》（</w:t>
            </w:r>
            <w:r>
              <w:rPr>
                <w:rFonts w:hint="default" w:ascii="Times New Roman" w:hAnsi="Times New Roman" w:cs="Times New Roman"/>
                <w:color w:val="auto"/>
                <w:spacing w:val="1"/>
                <w:sz w:val="24"/>
                <w:szCs w:val="24"/>
              </w:rPr>
              <w:t>GB3838-2002</w:t>
            </w:r>
            <w:r>
              <w:rPr>
                <w:rFonts w:hint="eastAsia" w:ascii="Times New Roman" w:hAnsi="Times New Roman" w:cs="Times New Roman"/>
                <w:color w:val="auto"/>
                <w:spacing w:val="1"/>
                <w:sz w:val="24"/>
                <w:szCs w:val="24"/>
                <w:lang w:val="en-US" w:eastAsia="zh-CN"/>
              </w:rPr>
              <w:t>）</w:t>
            </w:r>
            <w:r>
              <w:rPr>
                <w:rFonts w:hint="default" w:ascii="Times New Roman" w:hAnsi="Times New Roman" w:cs="Times New Roman"/>
                <w:color w:val="auto"/>
                <w:spacing w:val="1"/>
                <w:sz w:val="24"/>
                <w:szCs w:val="24"/>
                <w:lang w:val="en-US" w:eastAsia="zh-CN"/>
              </w:rPr>
              <w:t>Ⅲ</w:t>
            </w:r>
            <w:r>
              <w:rPr>
                <w:rFonts w:hint="eastAsia" w:ascii="Times New Roman" w:hAnsi="Times New Roman" w:cs="Times New Roman"/>
                <w:color w:val="auto"/>
                <w:spacing w:val="1"/>
                <w:sz w:val="24"/>
                <w:szCs w:val="24"/>
                <w:lang w:val="en-US" w:eastAsia="zh-CN"/>
              </w:rPr>
              <w:t>类标准。</w:t>
            </w:r>
          </w:p>
          <w:p w14:paraId="26668264">
            <w:pPr>
              <w:pStyle w:val="65"/>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firstLine="420" w:firstLineChars="0"/>
              <w:textAlignment w:val="auto"/>
              <w:rPr>
                <w:b/>
                <w:bCs/>
                <w:color w:val="auto"/>
                <w:spacing w:val="-4"/>
                <w:sz w:val="24"/>
                <w:szCs w:val="24"/>
              </w:rPr>
            </w:pPr>
            <w:r>
              <w:rPr>
                <w:b/>
                <w:bCs/>
                <w:color w:val="auto"/>
                <w:spacing w:val="-4"/>
                <w:sz w:val="24"/>
                <w:szCs w:val="24"/>
              </w:rPr>
              <w:t>地下水环境现状</w:t>
            </w:r>
          </w:p>
          <w:p w14:paraId="73EBFB8B">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ascii="Times New Roman" w:hAnsi="Times New Roman" w:eastAsia="Times New Roman" w:cs="Times New Roman"/>
                <w:color w:val="auto"/>
                <w:sz w:val="24"/>
                <w:szCs w:val="24"/>
              </w:rPr>
            </w:pPr>
            <w:r>
              <w:rPr>
                <w:rFonts w:ascii="Times New Roman" w:hAnsi="Times New Roman" w:eastAsia="Times New Roman" w:cs="Times New Roman"/>
                <w:color w:val="auto"/>
                <w:sz w:val="24"/>
                <w:szCs w:val="24"/>
              </w:rPr>
              <w:t>根据《环境影响评价技术导则 地下水环境》（HJ610-2016）“附录A地下水环境影响评价行业分类表”，本项目属于“A水利、4、防洪除涝工程”，为Ⅳ类地下水环境影响评价项目类别。故不用做地下水现状调查及评价。</w:t>
            </w:r>
          </w:p>
          <w:p w14:paraId="2157F03C">
            <w:pPr>
              <w:pStyle w:val="65"/>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firstLine="420" w:firstLineChars="0"/>
              <w:textAlignment w:val="auto"/>
              <w:rPr>
                <w:b/>
                <w:bCs/>
                <w:color w:val="auto"/>
                <w:spacing w:val="-4"/>
                <w:sz w:val="24"/>
                <w:szCs w:val="24"/>
              </w:rPr>
            </w:pPr>
            <w:r>
              <w:rPr>
                <w:b/>
                <w:bCs/>
                <w:color w:val="auto"/>
                <w:spacing w:val="-4"/>
                <w:sz w:val="24"/>
                <w:szCs w:val="24"/>
              </w:rPr>
              <w:t>声环境现状</w:t>
            </w:r>
          </w:p>
          <w:p w14:paraId="3A67080B">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rFonts w:ascii="Times New Roman" w:hAnsi="Times New Roman" w:eastAsia="Times New Roman" w:cs="Times New Roman"/>
                <w:color w:val="auto"/>
                <w:sz w:val="24"/>
                <w:szCs w:val="24"/>
              </w:rPr>
            </w:pPr>
            <w:r>
              <w:rPr>
                <w:rFonts w:hint="eastAsia" w:ascii="Times New Roman" w:hAnsi="Times New Roman" w:eastAsia="Times New Roman" w:cs="Times New Roman"/>
                <w:color w:val="auto"/>
                <w:sz w:val="24"/>
                <w:szCs w:val="24"/>
                <w:lang w:val="en-US" w:eastAsia="zh-CN"/>
              </w:rPr>
              <w:t>项目</w:t>
            </w:r>
            <w:r>
              <w:rPr>
                <w:rFonts w:ascii="Times New Roman" w:hAnsi="Times New Roman" w:eastAsia="Times New Roman" w:cs="Times New Roman"/>
                <w:color w:val="auto"/>
                <w:sz w:val="24"/>
                <w:szCs w:val="24"/>
              </w:rPr>
              <w:t>50m范围内分布有</w:t>
            </w:r>
            <w:r>
              <w:rPr>
                <w:rFonts w:hint="eastAsia" w:ascii="Times New Roman" w:hAnsi="Times New Roman" w:eastAsia="Times New Roman" w:cs="Times New Roman"/>
                <w:color w:val="auto"/>
                <w:sz w:val="24"/>
                <w:szCs w:val="24"/>
                <w:lang w:val="en-US" w:eastAsia="zh-CN"/>
              </w:rPr>
              <w:t>奇台县城</w:t>
            </w:r>
            <w:r>
              <w:rPr>
                <w:rFonts w:ascii="Times New Roman" w:hAnsi="Times New Roman" w:eastAsia="Times New Roman" w:cs="Times New Roman"/>
                <w:color w:val="auto"/>
                <w:sz w:val="24"/>
                <w:szCs w:val="24"/>
              </w:rPr>
              <w:t>居民，其为集中的居民分布区，属于环境敏感点，因此，本次项目选取了2处距离项目最近的区域进行现状监测。本次声环境质量现状评价委托</w:t>
            </w:r>
            <w:r>
              <w:rPr>
                <w:rFonts w:hint="eastAsia" w:ascii="Times New Roman" w:hAnsi="Times New Roman" w:eastAsia="宋体" w:cs="Times New Roman"/>
                <w:color w:val="auto"/>
                <w:sz w:val="24"/>
                <w:szCs w:val="24"/>
                <w:lang w:eastAsia="zh-CN"/>
              </w:rPr>
              <w:t>新疆合普联科检测技术研究院</w:t>
            </w:r>
            <w:r>
              <w:rPr>
                <w:rFonts w:hint="eastAsia" w:ascii="Times New Roman" w:hAnsi="Times New Roman" w:cs="Times New Roman"/>
                <w:color w:val="auto"/>
                <w:sz w:val="24"/>
                <w:szCs w:val="24"/>
                <w:lang w:eastAsia="zh-CN"/>
              </w:rPr>
              <w:t>（</w:t>
            </w:r>
            <w:r>
              <w:rPr>
                <w:rFonts w:hint="eastAsia" w:ascii="Times New Roman" w:hAnsi="Times New Roman" w:eastAsia="宋体" w:cs="Times New Roman"/>
                <w:color w:val="auto"/>
                <w:sz w:val="24"/>
                <w:szCs w:val="24"/>
                <w:lang w:eastAsia="zh-CN"/>
              </w:rPr>
              <w:t>有限公司)</w:t>
            </w:r>
            <w:r>
              <w:rPr>
                <w:rFonts w:ascii="Times New Roman" w:hAnsi="Times New Roman" w:eastAsia="Times New Roman" w:cs="Times New Roman"/>
                <w:color w:val="auto"/>
                <w:sz w:val="24"/>
                <w:szCs w:val="24"/>
              </w:rPr>
              <w:t>于202</w:t>
            </w:r>
            <w:r>
              <w:rPr>
                <w:rFonts w:hint="eastAsia" w:ascii="Times New Roman" w:hAnsi="Times New Roman" w:eastAsia="宋体" w:cs="Times New Roman"/>
                <w:color w:val="auto"/>
                <w:sz w:val="24"/>
                <w:szCs w:val="24"/>
                <w:lang w:val="en-US" w:eastAsia="zh-CN"/>
              </w:rPr>
              <w:t>6</w:t>
            </w:r>
            <w:r>
              <w:rPr>
                <w:rFonts w:ascii="Times New Roman" w:hAnsi="Times New Roman" w:eastAsia="Times New Roman" w:cs="Times New Roman"/>
                <w:color w:val="auto"/>
                <w:sz w:val="24"/>
                <w:szCs w:val="24"/>
              </w:rPr>
              <w:t>年</w:t>
            </w:r>
            <w:r>
              <w:rPr>
                <w:rFonts w:hint="eastAsia" w:ascii="Times New Roman" w:hAnsi="Times New Roman" w:eastAsia="宋体" w:cs="Times New Roman"/>
                <w:color w:val="auto"/>
                <w:sz w:val="24"/>
                <w:szCs w:val="24"/>
                <w:lang w:val="en-US" w:eastAsia="zh-CN"/>
              </w:rPr>
              <w:t>5</w:t>
            </w:r>
            <w:r>
              <w:rPr>
                <w:rFonts w:ascii="Times New Roman" w:hAnsi="Times New Roman" w:eastAsia="Times New Roman" w:cs="Times New Roman"/>
                <w:color w:val="auto"/>
                <w:sz w:val="24"/>
                <w:szCs w:val="24"/>
              </w:rPr>
              <w:t>月</w:t>
            </w:r>
            <w:r>
              <w:rPr>
                <w:rFonts w:hint="eastAsia" w:ascii="Times New Roman" w:hAnsi="Times New Roman" w:eastAsia="宋体" w:cs="Times New Roman"/>
                <w:color w:val="auto"/>
                <w:sz w:val="24"/>
                <w:szCs w:val="24"/>
                <w:lang w:val="en-US" w:eastAsia="zh-CN"/>
              </w:rPr>
              <w:t>2</w:t>
            </w:r>
            <w:r>
              <w:rPr>
                <w:rFonts w:ascii="Times New Roman" w:hAnsi="Times New Roman" w:eastAsia="Times New Roman" w:cs="Times New Roman"/>
                <w:color w:val="auto"/>
                <w:sz w:val="24"/>
                <w:szCs w:val="24"/>
              </w:rPr>
              <w:t>日对本项目周边50m范围内的</w:t>
            </w:r>
            <w:r>
              <w:rPr>
                <w:rFonts w:hint="eastAsia" w:ascii="Times New Roman" w:hAnsi="Times New Roman" w:eastAsia="宋体" w:cs="Times New Roman"/>
                <w:color w:val="auto"/>
                <w:sz w:val="24"/>
                <w:szCs w:val="24"/>
                <w:lang w:val="en-US" w:eastAsia="zh-CN"/>
              </w:rPr>
              <w:t>代表性</w:t>
            </w:r>
            <w:r>
              <w:rPr>
                <w:rFonts w:ascii="Times New Roman" w:hAnsi="Times New Roman" w:eastAsia="Times New Roman" w:cs="Times New Roman"/>
                <w:color w:val="auto"/>
                <w:sz w:val="24"/>
                <w:szCs w:val="24"/>
              </w:rPr>
              <w:t>声环境保护目标进行了噪声实测，共设置了2个环境噪声监测点，监测结果见表</w:t>
            </w:r>
            <w:r>
              <w:rPr>
                <w:rFonts w:hint="eastAsia" w:ascii="Times New Roman" w:hAnsi="Times New Roman" w:eastAsia="宋体" w:cs="Times New Roman"/>
                <w:color w:val="auto"/>
                <w:sz w:val="24"/>
                <w:szCs w:val="24"/>
                <w:lang w:val="en-US" w:eastAsia="zh-CN"/>
              </w:rPr>
              <w:t>3-5</w:t>
            </w:r>
            <w:r>
              <w:rPr>
                <w:rFonts w:ascii="Times New Roman" w:hAnsi="Times New Roman" w:eastAsia="Times New Roman" w:cs="Times New Roman"/>
                <w:color w:val="auto"/>
                <w:sz w:val="24"/>
                <w:szCs w:val="24"/>
              </w:rPr>
              <w:t>，监测布点见</w:t>
            </w:r>
            <w:r>
              <w:rPr>
                <w:rFonts w:hint="eastAsia" w:ascii="Times New Roman" w:hAnsi="Times New Roman" w:eastAsia="宋体" w:cs="Times New Roman"/>
                <w:color w:val="auto"/>
                <w:sz w:val="24"/>
                <w:szCs w:val="24"/>
                <w:lang w:val="en-US" w:eastAsia="zh-CN"/>
              </w:rPr>
              <w:t>附件检测报告</w:t>
            </w:r>
            <w:r>
              <w:rPr>
                <w:rFonts w:ascii="Times New Roman" w:hAnsi="Times New Roman" w:eastAsia="Times New Roman" w:cs="Times New Roman"/>
                <w:color w:val="auto"/>
                <w:sz w:val="24"/>
                <w:szCs w:val="24"/>
              </w:rPr>
              <w:t>。</w:t>
            </w:r>
          </w:p>
          <w:p w14:paraId="0FA2166A">
            <w:pPr>
              <w:pStyle w:val="65"/>
              <w:keepNext w:val="0"/>
              <w:keepLines w:val="0"/>
              <w:pageBreakBefore w:val="0"/>
              <w:widowControl w:val="0"/>
              <w:numPr>
                <w:ilvl w:val="0"/>
                <w:numId w:val="25"/>
              </w:numPr>
              <w:kinsoku/>
              <w:wordWrap/>
              <w:overflowPunct/>
              <w:topLinePunct w:val="0"/>
              <w:autoSpaceDE/>
              <w:autoSpaceDN/>
              <w:bidi w:val="0"/>
              <w:adjustRightInd w:val="0"/>
              <w:snapToGrid w:val="0"/>
              <w:spacing w:line="240" w:lineRule="auto"/>
              <w:ind w:left="0" w:leftChars="0" w:right="0" w:firstLine="0" w:firstLineChars="0"/>
              <w:jc w:val="center"/>
              <w:textAlignment w:val="auto"/>
              <w:rPr>
                <w:color w:val="auto"/>
              </w:rPr>
            </w:pPr>
            <w:r>
              <w:rPr>
                <w:rFonts w:hint="eastAsia"/>
                <w:b/>
                <w:bCs/>
                <w:color w:val="auto"/>
                <w:spacing w:val="5"/>
                <w:sz w:val="24"/>
                <w:szCs w:val="24"/>
                <w:lang w:val="en-US" w:eastAsia="zh-CN"/>
              </w:rPr>
              <w:t>声环境质量现状监测结果统计表  单位：dB（A）</w:t>
            </w:r>
          </w:p>
          <w:tbl>
            <w:tblPr>
              <w:tblStyle w:val="54"/>
              <w:tblW w:w="80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35"/>
              <w:gridCol w:w="2376"/>
              <w:gridCol w:w="2006"/>
              <w:gridCol w:w="2021"/>
            </w:tblGrid>
            <w:tr w14:paraId="20AB2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06" w:hRule="atLeast"/>
                <w:jc w:val="center"/>
              </w:trPr>
              <w:tc>
                <w:tcPr>
                  <w:tcW w:w="1635" w:type="dxa"/>
                  <w:vMerge w:val="restart"/>
                  <w:tcBorders>
                    <w:bottom w:val="nil"/>
                  </w:tcBorders>
                  <w:vAlign w:val="center"/>
                </w:tcPr>
                <w:p w14:paraId="7CB3062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6"/>
                      <w:sz w:val="21"/>
                      <w:szCs w:val="21"/>
                    </w:rPr>
                    <w:t>监测因子</w:t>
                  </w:r>
                </w:p>
              </w:tc>
              <w:tc>
                <w:tcPr>
                  <w:tcW w:w="2376" w:type="dxa"/>
                  <w:vMerge w:val="restart"/>
                  <w:tcBorders>
                    <w:bottom w:val="nil"/>
                  </w:tcBorders>
                  <w:vAlign w:val="center"/>
                </w:tcPr>
                <w:p w14:paraId="027B8E6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6"/>
                      <w:sz w:val="21"/>
                      <w:szCs w:val="21"/>
                    </w:rPr>
                    <w:t>监测点位</w:t>
                  </w:r>
                </w:p>
              </w:tc>
              <w:tc>
                <w:tcPr>
                  <w:tcW w:w="4027" w:type="dxa"/>
                  <w:gridSpan w:val="2"/>
                  <w:vAlign w:val="center"/>
                </w:tcPr>
                <w:p w14:paraId="26BC5F5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202</w:t>
                  </w:r>
                  <w:r>
                    <w:rPr>
                      <w:rFonts w:hint="eastAsia" w:ascii="Times New Roman" w:hAnsi="Times New Roman" w:eastAsia="宋体" w:cs="Times New Roman"/>
                      <w:color w:val="auto"/>
                      <w:sz w:val="21"/>
                      <w:szCs w:val="21"/>
                      <w:lang w:val="en-US" w:eastAsia="zh-CN"/>
                    </w:rPr>
                    <w:t>6</w:t>
                  </w:r>
                  <w:r>
                    <w:rPr>
                      <w:rFonts w:ascii="Times New Roman" w:hAnsi="Times New Roman" w:eastAsia="Times New Roman" w:cs="Times New Roman"/>
                      <w:color w:val="auto"/>
                      <w:sz w:val="21"/>
                      <w:szCs w:val="21"/>
                    </w:rPr>
                    <w:t>年</w:t>
                  </w:r>
                  <w:r>
                    <w:rPr>
                      <w:rFonts w:hint="eastAsia" w:ascii="Times New Roman" w:hAnsi="Times New Roman" w:eastAsia="宋体" w:cs="Times New Roman"/>
                      <w:color w:val="auto"/>
                      <w:sz w:val="21"/>
                      <w:szCs w:val="21"/>
                      <w:lang w:val="en-US" w:eastAsia="zh-CN"/>
                    </w:rPr>
                    <w:t>5</w:t>
                  </w:r>
                  <w:r>
                    <w:rPr>
                      <w:rFonts w:ascii="Times New Roman" w:hAnsi="Times New Roman" w:eastAsia="Times New Roman" w:cs="Times New Roman"/>
                      <w:color w:val="auto"/>
                      <w:sz w:val="21"/>
                      <w:szCs w:val="21"/>
                    </w:rPr>
                    <w:t>月</w:t>
                  </w:r>
                  <w:r>
                    <w:rPr>
                      <w:rFonts w:hint="eastAsia" w:ascii="Times New Roman" w:hAnsi="Times New Roman" w:eastAsia="宋体" w:cs="Times New Roman"/>
                      <w:color w:val="auto"/>
                      <w:sz w:val="21"/>
                      <w:szCs w:val="21"/>
                      <w:lang w:val="en-US" w:eastAsia="zh-CN"/>
                    </w:rPr>
                    <w:t>2</w:t>
                  </w:r>
                  <w:r>
                    <w:rPr>
                      <w:rFonts w:ascii="Times New Roman" w:hAnsi="Times New Roman" w:eastAsia="Times New Roman" w:cs="Times New Roman"/>
                      <w:color w:val="auto"/>
                      <w:sz w:val="21"/>
                      <w:szCs w:val="21"/>
                    </w:rPr>
                    <w:t>日</w:t>
                  </w:r>
                </w:p>
              </w:tc>
            </w:tr>
            <w:tr w14:paraId="308990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jc w:val="center"/>
              </w:trPr>
              <w:tc>
                <w:tcPr>
                  <w:tcW w:w="1635" w:type="dxa"/>
                  <w:vMerge w:val="continue"/>
                  <w:tcBorders>
                    <w:top w:val="nil"/>
                  </w:tcBorders>
                  <w:vAlign w:val="center"/>
                </w:tcPr>
                <w:p w14:paraId="4EF3467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Arial"/>
                      <w:color w:val="auto"/>
                      <w:sz w:val="21"/>
                      <w:szCs w:val="21"/>
                    </w:rPr>
                  </w:pPr>
                </w:p>
              </w:tc>
              <w:tc>
                <w:tcPr>
                  <w:tcW w:w="2376" w:type="dxa"/>
                  <w:vMerge w:val="continue"/>
                  <w:tcBorders>
                    <w:top w:val="nil"/>
                  </w:tcBorders>
                  <w:vAlign w:val="center"/>
                </w:tcPr>
                <w:p w14:paraId="3F2BBAA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Arial"/>
                      <w:color w:val="auto"/>
                      <w:sz w:val="21"/>
                      <w:szCs w:val="21"/>
                    </w:rPr>
                  </w:pPr>
                </w:p>
              </w:tc>
              <w:tc>
                <w:tcPr>
                  <w:tcW w:w="2006" w:type="dxa"/>
                  <w:vAlign w:val="center"/>
                </w:tcPr>
                <w:p w14:paraId="212328E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4"/>
                      <w:sz w:val="21"/>
                      <w:szCs w:val="21"/>
                    </w:rPr>
                    <w:t>昼间</w:t>
                  </w:r>
                </w:p>
              </w:tc>
              <w:tc>
                <w:tcPr>
                  <w:tcW w:w="2021" w:type="dxa"/>
                  <w:vAlign w:val="center"/>
                </w:tcPr>
                <w:p w14:paraId="1698241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2"/>
                      <w:sz w:val="21"/>
                      <w:szCs w:val="21"/>
                    </w:rPr>
                    <w:t>夜间</w:t>
                  </w:r>
                </w:p>
              </w:tc>
            </w:tr>
            <w:tr w14:paraId="1A722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jc w:val="center"/>
              </w:trPr>
              <w:tc>
                <w:tcPr>
                  <w:tcW w:w="1635" w:type="dxa"/>
                  <w:vMerge w:val="restart"/>
                  <w:tcBorders>
                    <w:bottom w:val="nil"/>
                  </w:tcBorders>
                  <w:vAlign w:val="center"/>
                </w:tcPr>
                <w:p w14:paraId="1D2283A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1"/>
                      <w:sz w:val="21"/>
                      <w:szCs w:val="21"/>
                    </w:rPr>
                    <w:t>噪声</w:t>
                  </w:r>
                </w:p>
              </w:tc>
              <w:tc>
                <w:tcPr>
                  <w:tcW w:w="2376" w:type="dxa"/>
                  <w:vAlign w:val="center"/>
                </w:tcPr>
                <w:p w14:paraId="07DB34E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hint="eastAsia" w:ascii="Times New Roman" w:hAnsi="Times New Roman" w:eastAsia="Times New Roman" w:cs="Times New Roman"/>
                      <w:color w:val="auto"/>
                      <w:sz w:val="21"/>
                      <w:szCs w:val="21"/>
                    </w:rPr>
                    <w:t>西湾村三队监测点</w:t>
                  </w:r>
                </w:p>
              </w:tc>
              <w:tc>
                <w:tcPr>
                  <w:tcW w:w="2006" w:type="dxa"/>
                  <w:vAlign w:val="center"/>
                </w:tcPr>
                <w:p w14:paraId="528F9D6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pacing w:val="3"/>
                      <w:sz w:val="21"/>
                      <w:szCs w:val="21"/>
                      <w:lang w:val="en-US" w:eastAsia="zh-CN"/>
                    </w:rPr>
                    <w:t>51</w:t>
                  </w:r>
                </w:p>
              </w:tc>
              <w:tc>
                <w:tcPr>
                  <w:tcW w:w="2021" w:type="dxa"/>
                  <w:vAlign w:val="center"/>
                </w:tcPr>
                <w:p w14:paraId="2263814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3"/>
                      <w:sz w:val="21"/>
                      <w:szCs w:val="21"/>
                    </w:rPr>
                    <w:t>40</w:t>
                  </w:r>
                </w:p>
              </w:tc>
            </w:tr>
            <w:tr w14:paraId="64487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jc w:val="center"/>
              </w:trPr>
              <w:tc>
                <w:tcPr>
                  <w:tcW w:w="1635" w:type="dxa"/>
                  <w:vMerge w:val="continue"/>
                  <w:tcBorders>
                    <w:top w:val="nil"/>
                  </w:tcBorders>
                  <w:vAlign w:val="center"/>
                </w:tcPr>
                <w:p w14:paraId="4F6DC46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Arial"/>
                      <w:color w:val="auto"/>
                      <w:sz w:val="21"/>
                      <w:szCs w:val="21"/>
                    </w:rPr>
                  </w:pPr>
                </w:p>
              </w:tc>
              <w:tc>
                <w:tcPr>
                  <w:tcW w:w="2376" w:type="dxa"/>
                  <w:vAlign w:val="center"/>
                </w:tcPr>
                <w:p w14:paraId="18D97D3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hint="eastAsia" w:ascii="Times New Roman" w:hAnsi="Times New Roman" w:eastAsia="Times New Roman" w:cs="Times New Roman"/>
                      <w:color w:val="auto"/>
                      <w:sz w:val="21"/>
                      <w:szCs w:val="21"/>
                    </w:rPr>
                    <w:t>奇台福州中学监测点</w:t>
                  </w:r>
                </w:p>
              </w:tc>
              <w:tc>
                <w:tcPr>
                  <w:tcW w:w="2006" w:type="dxa"/>
                  <w:vAlign w:val="center"/>
                </w:tcPr>
                <w:p w14:paraId="7BB8331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pacing w:val="3"/>
                      <w:sz w:val="21"/>
                      <w:szCs w:val="21"/>
                      <w:lang w:val="en-US" w:eastAsia="zh-CN"/>
                    </w:rPr>
                    <w:t>52</w:t>
                  </w:r>
                </w:p>
              </w:tc>
              <w:tc>
                <w:tcPr>
                  <w:tcW w:w="2021" w:type="dxa"/>
                  <w:vAlign w:val="center"/>
                </w:tcPr>
                <w:p w14:paraId="74AFC9A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pacing w:val="3"/>
                      <w:sz w:val="21"/>
                      <w:szCs w:val="21"/>
                      <w:lang w:val="en-US" w:eastAsia="zh-CN"/>
                    </w:rPr>
                    <w:t>39</w:t>
                  </w:r>
                </w:p>
              </w:tc>
            </w:tr>
            <w:tr w14:paraId="4AF5F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jc w:val="center"/>
              </w:trPr>
              <w:tc>
                <w:tcPr>
                  <w:tcW w:w="4011" w:type="dxa"/>
                  <w:gridSpan w:val="2"/>
                  <w:vAlign w:val="center"/>
                </w:tcPr>
                <w:p w14:paraId="1D96B9C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6"/>
                      <w:sz w:val="21"/>
                      <w:szCs w:val="21"/>
                    </w:rPr>
                    <w:t>标准值</w:t>
                  </w:r>
                </w:p>
              </w:tc>
              <w:tc>
                <w:tcPr>
                  <w:tcW w:w="2006" w:type="dxa"/>
                  <w:vAlign w:val="center"/>
                </w:tcPr>
                <w:p w14:paraId="36CECED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55</w:t>
                  </w:r>
                </w:p>
              </w:tc>
              <w:tc>
                <w:tcPr>
                  <w:tcW w:w="2021" w:type="dxa"/>
                  <w:vAlign w:val="center"/>
                </w:tcPr>
                <w:p w14:paraId="4FCD2EF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3"/>
                      <w:sz w:val="21"/>
                      <w:szCs w:val="21"/>
                    </w:rPr>
                    <w:t>45</w:t>
                  </w:r>
                </w:p>
              </w:tc>
            </w:tr>
            <w:tr w14:paraId="451B5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jc w:val="center"/>
              </w:trPr>
              <w:tc>
                <w:tcPr>
                  <w:tcW w:w="4011" w:type="dxa"/>
                  <w:gridSpan w:val="2"/>
                  <w:vAlign w:val="center"/>
                </w:tcPr>
                <w:p w14:paraId="30320FC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5"/>
                      <w:sz w:val="21"/>
                      <w:szCs w:val="21"/>
                    </w:rPr>
                    <w:t>评价</w:t>
                  </w:r>
                </w:p>
              </w:tc>
              <w:tc>
                <w:tcPr>
                  <w:tcW w:w="2006" w:type="dxa"/>
                  <w:vAlign w:val="center"/>
                </w:tcPr>
                <w:p w14:paraId="341158F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5"/>
                      <w:sz w:val="21"/>
                      <w:szCs w:val="21"/>
                    </w:rPr>
                    <w:t>达标</w:t>
                  </w:r>
                </w:p>
              </w:tc>
              <w:tc>
                <w:tcPr>
                  <w:tcW w:w="2021" w:type="dxa"/>
                  <w:vAlign w:val="center"/>
                </w:tcPr>
                <w:p w14:paraId="291A92C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5"/>
                      <w:sz w:val="21"/>
                      <w:szCs w:val="21"/>
                    </w:rPr>
                    <w:t>达标</w:t>
                  </w:r>
                </w:p>
              </w:tc>
            </w:tr>
            <w:tr w14:paraId="445F60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jc w:val="center"/>
              </w:trPr>
              <w:tc>
                <w:tcPr>
                  <w:tcW w:w="8038" w:type="dxa"/>
                  <w:gridSpan w:val="4"/>
                  <w:vAlign w:val="center"/>
                </w:tcPr>
                <w:p w14:paraId="32F9C45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7"/>
                      <w:sz w:val="21"/>
                      <w:szCs w:val="21"/>
                    </w:rPr>
                    <w:t>执行标准：《声环境质量标准》（</w:t>
                  </w:r>
                  <w:r>
                    <w:rPr>
                      <w:rFonts w:ascii="Times New Roman" w:hAnsi="Times New Roman" w:eastAsia="Times New Roman" w:cs="Times New Roman"/>
                      <w:color w:val="auto"/>
                      <w:sz w:val="21"/>
                      <w:szCs w:val="21"/>
                    </w:rPr>
                    <w:t>GB</w:t>
                  </w:r>
                  <w:r>
                    <w:rPr>
                      <w:rFonts w:ascii="Times New Roman" w:hAnsi="Times New Roman" w:eastAsia="Times New Roman" w:cs="Times New Roman"/>
                      <w:color w:val="auto"/>
                      <w:spacing w:val="7"/>
                      <w:sz w:val="21"/>
                      <w:szCs w:val="21"/>
                    </w:rPr>
                    <w:t>3096-2008</w:t>
                  </w:r>
                  <w:r>
                    <w:rPr>
                      <w:color w:val="auto"/>
                      <w:spacing w:val="7"/>
                      <w:sz w:val="21"/>
                      <w:szCs w:val="21"/>
                    </w:rPr>
                    <w:t>）中的</w:t>
                  </w:r>
                  <w:r>
                    <w:rPr>
                      <w:rFonts w:ascii="Times New Roman" w:hAnsi="Times New Roman" w:eastAsia="Times New Roman" w:cs="Times New Roman"/>
                      <w:color w:val="auto"/>
                      <w:spacing w:val="7"/>
                      <w:sz w:val="21"/>
                      <w:szCs w:val="21"/>
                    </w:rPr>
                    <w:t>1</w:t>
                  </w:r>
                  <w:r>
                    <w:rPr>
                      <w:color w:val="auto"/>
                      <w:spacing w:val="7"/>
                      <w:sz w:val="21"/>
                      <w:szCs w:val="21"/>
                    </w:rPr>
                    <w:t>类标准</w:t>
                  </w:r>
                </w:p>
              </w:tc>
            </w:tr>
          </w:tbl>
          <w:p w14:paraId="5ED92A00">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64" w:firstLineChars="200"/>
              <w:textAlignment w:val="auto"/>
              <w:rPr>
                <w:color w:val="auto"/>
                <w:spacing w:val="-2"/>
                <w:sz w:val="24"/>
                <w:szCs w:val="24"/>
              </w:rPr>
            </w:pPr>
            <w:r>
              <w:rPr>
                <w:color w:val="auto"/>
                <w:spacing w:val="-4"/>
                <w:sz w:val="24"/>
                <w:szCs w:val="24"/>
              </w:rPr>
              <w:t>根据监测结果可知：居民区昼夜间声环境质量现状监测值符合《声环境质</w:t>
            </w:r>
            <w:r>
              <w:rPr>
                <w:color w:val="auto"/>
                <w:spacing w:val="-1"/>
                <w:sz w:val="24"/>
                <w:szCs w:val="24"/>
              </w:rPr>
              <w:t>量标准》（</w:t>
            </w:r>
            <w:r>
              <w:rPr>
                <w:rFonts w:ascii="Times New Roman" w:hAnsi="Times New Roman" w:eastAsia="Times New Roman" w:cs="Times New Roman"/>
                <w:color w:val="auto"/>
                <w:spacing w:val="-1"/>
                <w:sz w:val="24"/>
                <w:szCs w:val="24"/>
              </w:rPr>
              <w:t>GB3096-2008</w:t>
            </w:r>
            <w:r>
              <w:rPr>
                <w:color w:val="auto"/>
                <w:spacing w:val="-1"/>
                <w:sz w:val="24"/>
                <w:szCs w:val="24"/>
              </w:rPr>
              <w:t>）中的</w:t>
            </w:r>
            <w:r>
              <w:rPr>
                <w:rFonts w:ascii="Times New Roman" w:hAnsi="Times New Roman" w:eastAsia="Times New Roman" w:cs="Times New Roman"/>
                <w:color w:val="auto"/>
                <w:spacing w:val="-2"/>
                <w:sz w:val="24"/>
                <w:szCs w:val="24"/>
              </w:rPr>
              <w:t>1</w:t>
            </w:r>
            <w:r>
              <w:rPr>
                <w:color w:val="auto"/>
                <w:spacing w:val="-2"/>
                <w:sz w:val="24"/>
                <w:szCs w:val="24"/>
              </w:rPr>
              <w:t>类标准限值要求。</w:t>
            </w:r>
          </w:p>
          <w:p w14:paraId="03A3E8CC">
            <w:pPr>
              <w:pStyle w:val="65"/>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right="0" w:firstLine="420" w:firstLineChars="0"/>
              <w:textAlignment w:val="auto"/>
              <w:rPr>
                <w:b/>
                <w:bCs/>
                <w:color w:val="auto"/>
                <w:spacing w:val="-4"/>
                <w:sz w:val="24"/>
                <w:szCs w:val="24"/>
              </w:rPr>
            </w:pPr>
            <w:r>
              <w:rPr>
                <w:b/>
                <w:bCs/>
                <w:color w:val="auto"/>
                <w:spacing w:val="-4"/>
                <w:sz w:val="24"/>
                <w:szCs w:val="24"/>
              </w:rPr>
              <w:t>土壤现状</w:t>
            </w:r>
          </w:p>
          <w:p w14:paraId="0791DE9C">
            <w:pPr>
              <w:pStyle w:val="72"/>
              <w:pageBreakBefore w:val="0"/>
              <w:widowControl w:val="0"/>
              <w:kinsoku/>
              <w:wordWrap/>
              <w:overflowPunct w:val="0"/>
              <w:topLinePunct w:val="0"/>
              <w:autoSpaceDE/>
              <w:autoSpaceDN/>
              <w:bidi w:val="0"/>
              <w:snapToGrid/>
              <w:spacing w:line="360" w:lineRule="auto"/>
              <w:ind w:firstLine="480" w:firstLineChars="200"/>
              <w:textAlignment w:val="auto"/>
              <w:outlineLvl w:val="9"/>
              <w:rPr>
                <w:rFonts w:hint="default" w:ascii="Times New Roman" w:hAnsi="Times New Roman" w:cs="Times New Roman"/>
                <w:b w:val="0"/>
                <w:bCs w:val="0"/>
                <w:color w:val="auto"/>
                <w:sz w:val="24"/>
              </w:rPr>
            </w:pPr>
            <w:r>
              <w:rPr>
                <w:rFonts w:hint="default" w:ascii="Times New Roman" w:hAnsi="Times New Roman" w:cs="Times New Roman"/>
                <w:b w:val="0"/>
                <w:bCs w:val="0"/>
                <w:color w:val="auto"/>
                <w:sz w:val="24"/>
                <w:lang w:val="en-US" w:eastAsia="zh-CN"/>
              </w:rPr>
              <w:t>根据《环境影响评价技术导则土壤环境（试行）》（HJ964-2018）附录A土壤环境影响评价行业分类表，本项目行业类别为“水利，其他”，土壤环境影响评价项目类别属于Ⅲ类项目，项目所在地干燥度小于2.5，地下水位平均埋深大于3m，土壤pH值7.98~8.19，因此，根据《环境影响评价技术导则土壤环境（试行）》（HJ964-2018）的生态影响型敏感程度分级表，可知项目土壤环境敏感程度为不敏感。且项目的实施可减少沿渠水土流失，有效控制地下水位及土壤盐碱化程度。</w:t>
            </w:r>
          </w:p>
          <w:p w14:paraId="28C38E0D">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color w:val="auto"/>
                <w:spacing w:val="-6"/>
                <w:lang w:val="en-US" w:eastAsia="zh-CN"/>
              </w:rPr>
            </w:pPr>
            <w:r>
              <w:rPr>
                <w:rFonts w:hint="default" w:ascii="Times New Roman" w:hAnsi="Times New Roman" w:cs="Times New Roman"/>
                <w:b w:val="0"/>
                <w:bCs w:val="0"/>
                <w:color w:val="auto"/>
                <w:sz w:val="24"/>
                <w:lang w:val="en-US" w:eastAsia="zh-CN"/>
              </w:rPr>
              <w:t>根据生态</w:t>
            </w:r>
            <w:r>
              <w:rPr>
                <w:rFonts w:hint="eastAsia" w:cs="Times New Roman"/>
                <w:b w:val="0"/>
                <w:bCs w:val="0"/>
                <w:color w:val="auto"/>
                <w:sz w:val="24"/>
                <w:lang w:val="en-US" w:eastAsia="zh-CN"/>
              </w:rPr>
              <w:t>影响</w:t>
            </w:r>
            <w:r>
              <w:rPr>
                <w:rFonts w:hint="default" w:ascii="Times New Roman" w:hAnsi="Times New Roman" w:cs="Times New Roman"/>
                <w:b w:val="0"/>
                <w:bCs w:val="0"/>
                <w:color w:val="auto"/>
                <w:sz w:val="24"/>
                <w:lang w:val="en-US" w:eastAsia="zh-CN"/>
              </w:rPr>
              <w:t>评价工作等级划分表，可不开展土壤环境影响评价工作。因此，本工程不开展土壤环境质量现状调查。</w:t>
            </w:r>
          </w:p>
        </w:tc>
      </w:tr>
      <w:tr w14:paraId="07A847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394" w:type="pct"/>
            <w:noWrap w:val="0"/>
            <w:vAlign w:val="center"/>
          </w:tcPr>
          <w:p w14:paraId="75A576CC">
            <w:pPr>
              <w:adjustRightInd w:val="0"/>
              <w:snapToGrid w:val="0"/>
              <w:spacing w:line="240" w:lineRule="auto"/>
              <w:jc w:val="center"/>
              <w:rPr>
                <w:rFonts w:hint="eastAsia" w:ascii="宋体" w:hAnsi="宋体" w:cs="宋体"/>
                <w:color w:val="auto"/>
                <w:kern w:val="0"/>
                <w:sz w:val="21"/>
                <w:szCs w:val="21"/>
              </w:rPr>
            </w:pPr>
            <w:r>
              <w:rPr>
                <w:color w:val="auto"/>
                <w:spacing w:val="-6"/>
                <w:sz w:val="24"/>
                <w:szCs w:val="32"/>
              </w:rPr>
              <w:t>与项目有关的原有环境污染和生态破坏问题</w:t>
            </w:r>
          </w:p>
        </w:tc>
        <w:tc>
          <w:tcPr>
            <w:tcW w:w="4605" w:type="pct"/>
            <w:noWrap w:val="0"/>
            <w:vAlign w:val="center"/>
          </w:tcPr>
          <w:p w14:paraId="089ECB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color w:val="auto"/>
                <w:kern w:val="0"/>
                <w:sz w:val="21"/>
                <w:szCs w:val="21"/>
                <w:lang w:val="en-US" w:eastAsia="zh-CN"/>
              </w:rPr>
            </w:pPr>
            <w:r>
              <w:rPr>
                <w:rFonts w:ascii="宋体" w:hAnsi="宋体" w:eastAsia="宋体" w:cs="宋体"/>
                <w:color w:val="auto"/>
                <w:kern w:val="2"/>
                <w:sz w:val="24"/>
                <w:szCs w:val="24"/>
                <w:lang w:val="en-US" w:eastAsia="en-US" w:bidi="ar-SA"/>
              </w:rPr>
              <w:t>本项目为</w:t>
            </w:r>
            <w:r>
              <w:rPr>
                <w:rFonts w:hint="eastAsia" w:ascii="宋体" w:hAnsi="宋体" w:cs="宋体"/>
                <w:color w:val="auto"/>
                <w:kern w:val="2"/>
                <w:sz w:val="24"/>
                <w:szCs w:val="24"/>
                <w:lang w:val="en-US" w:eastAsia="zh-CN" w:bidi="ar-SA"/>
              </w:rPr>
              <w:t>新建护坡，改建1座交通桥</w:t>
            </w:r>
            <w:r>
              <w:rPr>
                <w:rFonts w:ascii="宋体" w:hAnsi="宋体" w:eastAsia="宋体" w:cs="宋体"/>
                <w:color w:val="auto"/>
                <w:kern w:val="2"/>
                <w:sz w:val="24"/>
                <w:szCs w:val="24"/>
                <w:lang w:val="en-US" w:eastAsia="en-US" w:bidi="ar-SA"/>
              </w:rPr>
              <w:t>项目，主要存在一些生态破坏问题</w:t>
            </w:r>
            <w:r>
              <w:rPr>
                <w:rFonts w:hint="eastAsia" w:ascii="宋体" w:hAnsi="宋体" w:eastAsia="宋体" w:cs="宋体"/>
                <w:color w:val="auto"/>
                <w:kern w:val="2"/>
                <w:sz w:val="24"/>
                <w:szCs w:val="24"/>
                <w:lang w:val="en-US" w:eastAsia="zh-CN" w:bidi="ar-SA"/>
              </w:rPr>
              <w:t>，每年洪水期洪水四处漫溢，淹没耕地及草场，洪水对河岸淘刷严重，造成河岸坍塌，岸边树木、庄稼被冲走，水土流失严重，耕地退化，造成吉布库河两岸灌区生态系统环境日趋恶化，对两岸居民生命财产安全均造成一定的威胁。</w:t>
            </w:r>
            <w:r>
              <w:rPr>
                <w:rFonts w:hint="eastAsia" w:ascii="宋体" w:hAnsi="宋体" w:cs="宋体"/>
                <w:color w:val="auto"/>
                <w:kern w:val="2"/>
                <w:sz w:val="24"/>
                <w:szCs w:val="24"/>
                <w:lang w:val="en-US" w:eastAsia="zh-CN" w:bidi="ar-SA"/>
              </w:rPr>
              <w:t>本项目完成后，可解决以上环境问题。</w:t>
            </w:r>
          </w:p>
        </w:tc>
      </w:tr>
      <w:tr w14:paraId="20CC96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394" w:type="pct"/>
            <w:noWrap w:val="0"/>
            <w:tcMar>
              <w:left w:w="28" w:type="dxa"/>
              <w:right w:w="28" w:type="dxa"/>
            </w:tcMar>
            <w:vAlign w:val="center"/>
          </w:tcPr>
          <w:p w14:paraId="2F2254A9">
            <w:pPr>
              <w:adjustRightInd w:val="0"/>
              <w:snapToGrid w:val="0"/>
              <w:jc w:val="center"/>
              <w:rPr>
                <w:rFonts w:ascii="宋体" w:hAnsi="宋体" w:cs="宋体"/>
                <w:color w:val="auto"/>
                <w:kern w:val="0"/>
                <w:sz w:val="21"/>
                <w:szCs w:val="21"/>
              </w:rPr>
            </w:pPr>
            <w:r>
              <w:rPr>
                <w:color w:val="auto"/>
                <w:spacing w:val="-6"/>
              </w:rPr>
              <w:t>生态</w:t>
            </w:r>
            <w:r>
              <w:rPr>
                <w:color w:val="auto"/>
                <w:spacing w:val="-5"/>
              </w:rPr>
              <w:t>环境保护目标</w:t>
            </w:r>
          </w:p>
        </w:tc>
        <w:tc>
          <w:tcPr>
            <w:tcW w:w="4605" w:type="pct"/>
            <w:noWrap w:val="0"/>
            <w:vAlign w:val="center"/>
          </w:tcPr>
          <w:p w14:paraId="1E30B4F4">
            <w:pPr>
              <w:pStyle w:val="65"/>
              <w:spacing w:before="45" w:line="357" w:lineRule="auto"/>
              <w:ind w:left="109" w:right="102" w:firstLine="479"/>
              <w:rPr>
                <w:rFonts w:ascii="宋体" w:hAnsi="宋体" w:eastAsia="宋体" w:cs="宋体"/>
                <w:color w:val="auto"/>
                <w:kern w:val="2"/>
                <w:sz w:val="24"/>
                <w:szCs w:val="24"/>
                <w:lang w:val="en-US" w:eastAsia="en-US" w:bidi="ar-SA"/>
              </w:rPr>
            </w:pPr>
            <w:r>
              <w:rPr>
                <w:rFonts w:ascii="宋体" w:hAnsi="宋体" w:eastAsia="宋体" w:cs="宋体"/>
                <w:color w:val="auto"/>
                <w:kern w:val="2"/>
                <w:sz w:val="24"/>
                <w:szCs w:val="24"/>
                <w:lang w:val="en-US" w:eastAsia="en-US" w:bidi="ar-SA"/>
              </w:rPr>
              <w:t>根据对建设项目所在地周边环境现状的踏勘，项目影响范围内生态环境保护目标见表</w:t>
            </w:r>
            <w:r>
              <w:rPr>
                <w:rFonts w:hint="default" w:ascii="Times New Roman" w:hAnsi="Times New Roman" w:cs="Times New Roman"/>
                <w:color w:val="auto"/>
                <w:kern w:val="2"/>
                <w:sz w:val="24"/>
                <w:szCs w:val="24"/>
                <w:lang w:val="en-US" w:eastAsia="zh-CN" w:bidi="ar-SA"/>
              </w:rPr>
              <w:t>3-</w:t>
            </w:r>
            <w:r>
              <w:rPr>
                <w:rFonts w:hint="eastAsia" w:ascii="Times New Roman" w:hAnsi="Times New Roman" w:cs="Times New Roman"/>
                <w:color w:val="auto"/>
                <w:kern w:val="2"/>
                <w:sz w:val="24"/>
                <w:szCs w:val="24"/>
                <w:lang w:val="en-US" w:eastAsia="zh-CN" w:bidi="ar-SA"/>
              </w:rPr>
              <w:t>6</w:t>
            </w:r>
            <w:r>
              <w:rPr>
                <w:rFonts w:ascii="宋体" w:hAnsi="宋体" w:eastAsia="宋体" w:cs="宋体"/>
                <w:color w:val="auto"/>
                <w:kern w:val="2"/>
                <w:sz w:val="24"/>
                <w:szCs w:val="24"/>
                <w:lang w:val="en-US" w:eastAsia="en-US" w:bidi="ar-SA"/>
              </w:rPr>
              <w:t>。</w:t>
            </w:r>
          </w:p>
          <w:p w14:paraId="332CFB87">
            <w:pPr>
              <w:pStyle w:val="65"/>
              <w:keepNext w:val="0"/>
              <w:keepLines w:val="0"/>
              <w:pageBreakBefore w:val="0"/>
              <w:widowControl w:val="0"/>
              <w:numPr>
                <w:ilvl w:val="0"/>
                <w:numId w:val="25"/>
              </w:numPr>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b/>
                <w:bCs/>
                <w:color w:val="auto"/>
                <w:spacing w:val="5"/>
                <w:sz w:val="24"/>
                <w:szCs w:val="24"/>
                <w:lang w:val="en-US" w:eastAsia="zh-CN"/>
              </w:rPr>
            </w:pPr>
            <w:r>
              <w:rPr>
                <w:rFonts w:hint="eastAsia"/>
                <w:b/>
                <w:bCs/>
                <w:color w:val="auto"/>
                <w:spacing w:val="5"/>
                <w:sz w:val="24"/>
                <w:szCs w:val="24"/>
                <w:lang w:val="en-US" w:eastAsia="zh-CN"/>
              </w:rPr>
              <w:t>环境保护目标及执行标准</w:t>
            </w:r>
          </w:p>
          <w:tbl>
            <w:tblPr>
              <w:tblStyle w:val="28"/>
              <w:tblW w:w="7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1740"/>
              <w:gridCol w:w="1110"/>
              <w:gridCol w:w="1230"/>
              <w:gridCol w:w="825"/>
              <w:gridCol w:w="2239"/>
            </w:tblGrid>
            <w:tr w14:paraId="3FA8B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Align w:val="center"/>
                </w:tcPr>
                <w:p w14:paraId="2291217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b/>
                      <w:bCs/>
                      <w:color w:val="auto"/>
                      <w:spacing w:val="5"/>
                      <w:sz w:val="21"/>
                      <w:szCs w:val="21"/>
                      <w:vertAlign w:val="baseline"/>
                    </w:rPr>
                  </w:pPr>
                  <w:r>
                    <w:rPr>
                      <w:b/>
                      <w:bCs/>
                      <w:color w:val="auto"/>
                      <w:spacing w:val="3"/>
                      <w:sz w:val="21"/>
                      <w:szCs w:val="21"/>
                    </w:rPr>
                    <w:t>环境要素</w:t>
                  </w:r>
                </w:p>
              </w:tc>
              <w:tc>
                <w:tcPr>
                  <w:tcW w:w="1740" w:type="dxa"/>
                  <w:vAlign w:val="center"/>
                </w:tcPr>
                <w:p w14:paraId="66B59DB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b/>
                      <w:bCs/>
                      <w:color w:val="auto"/>
                      <w:spacing w:val="5"/>
                      <w:sz w:val="21"/>
                      <w:szCs w:val="21"/>
                      <w:vertAlign w:val="baseline"/>
                    </w:rPr>
                  </w:pPr>
                  <w:r>
                    <w:rPr>
                      <w:b/>
                      <w:bCs/>
                      <w:color w:val="auto"/>
                      <w:spacing w:val="6"/>
                      <w:sz w:val="21"/>
                      <w:szCs w:val="21"/>
                    </w:rPr>
                    <w:t>保护目标</w:t>
                  </w:r>
                </w:p>
              </w:tc>
              <w:tc>
                <w:tcPr>
                  <w:tcW w:w="1110" w:type="dxa"/>
                  <w:vAlign w:val="center"/>
                </w:tcPr>
                <w:p w14:paraId="051BD98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hanging="105" w:firstLineChars="0"/>
                    <w:jc w:val="center"/>
                    <w:textAlignment w:val="auto"/>
                    <w:rPr>
                      <w:b/>
                      <w:bCs/>
                      <w:color w:val="auto"/>
                      <w:spacing w:val="5"/>
                      <w:sz w:val="21"/>
                      <w:szCs w:val="21"/>
                      <w:vertAlign w:val="baseline"/>
                    </w:rPr>
                  </w:pPr>
                  <w:r>
                    <w:rPr>
                      <w:b/>
                      <w:bCs/>
                      <w:color w:val="auto"/>
                      <w:spacing w:val="5"/>
                      <w:sz w:val="21"/>
                      <w:szCs w:val="21"/>
                    </w:rPr>
                    <w:t>敏感点</w:t>
                  </w:r>
                  <w:r>
                    <w:rPr>
                      <w:b/>
                      <w:bCs/>
                      <w:color w:val="auto"/>
                      <w:spacing w:val="3"/>
                      <w:sz w:val="21"/>
                      <w:szCs w:val="21"/>
                    </w:rPr>
                    <w:t>方位</w:t>
                  </w:r>
                </w:p>
              </w:tc>
              <w:tc>
                <w:tcPr>
                  <w:tcW w:w="1230" w:type="dxa"/>
                  <w:vAlign w:val="center"/>
                </w:tcPr>
                <w:p w14:paraId="22DDA66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eastAsia="宋体"/>
                      <w:b/>
                      <w:bCs/>
                      <w:color w:val="auto"/>
                      <w:spacing w:val="5"/>
                      <w:sz w:val="21"/>
                      <w:szCs w:val="21"/>
                      <w:vertAlign w:val="baseline"/>
                      <w:lang w:eastAsia="zh-CN"/>
                    </w:rPr>
                  </w:pPr>
                  <w:r>
                    <w:rPr>
                      <w:b/>
                      <w:bCs/>
                      <w:color w:val="auto"/>
                      <w:spacing w:val="3"/>
                      <w:sz w:val="21"/>
                      <w:szCs w:val="21"/>
                    </w:rPr>
                    <w:t>涉及户数</w:t>
                  </w:r>
                  <w:r>
                    <w:rPr>
                      <w:rFonts w:hint="eastAsia"/>
                      <w:b/>
                      <w:bCs/>
                      <w:color w:val="auto"/>
                      <w:spacing w:val="3"/>
                      <w:sz w:val="21"/>
                      <w:szCs w:val="21"/>
                      <w:lang w:eastAsia="zh-CN"/>
                    </w:rPr>
                    <w:t>（</w:t>
                  </w:r>
                  <w:r>
                    <w:rPr>
                      <w:rFonts w:hint="eastAsia"/>
                      <w:b/>
                      <w:bCs/>
                      <w:color w:val="auto"/>
                      <w:spacing w:val="3"/>
                      <w:sz w:val="21"/>
                      <w:szCs w:val="21"/>
                      <w:lang w:val="en-US" w:eastAsia="zh-CN"/>
                    </w:rPr>
                    <w:t>人数</w:t>
                  </w:r>
                  <w:r>
                    <w:rPr>
                      <w:rFonts w:hint="eastAsia"/>
                      <w:b/>
                      <w:bCs/>
                      <w:color w:val="auto"/>
                      <w:spacing w:val="3"/>
                      <w:sz w:val="21"/>
                      <w:szCs w:val="21"/>
                      <w:lang w:eastAsia="zh-CN"/>
                    </w:rPr>
                    <w:t>）</w:t>
                  </w:r>
                </w:p>
              </w:tc>
              <w:tc>
                <w:tcPr>
                  <w:tcW w:w="825" w:type="dxa"/>
                  <w:vAlign w:val="center"/>
                </w:tcPr>
                <w:p w14:paraId="2511148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b/>
                      <w:bCs/>
                      <w:color w:val="auto"/>
                      <w:spacing w:val="5"/>
                      <w:sz w:val="21"/>
                      <w:szCs w:val="21"/>
                      <w:vertAlign w:val="baseline"/>
                    </w:rPr>
                  </w:pPr>
                  <w:r>
                    <w:rPr>
                      <w:b/>
                      <w:bCs/>
                      <w:color w:val="auto"/>
                      <w:spacing w:val="3"/>
                      <w:sz w:val="21"/>
                      <w:szCs w:val="21"/>
                    </w:rPr>
                    <w:t>相对</w:t>
                  </w:r>
                  <w:r>
                    <w:rPr>
                      <w:b/>
                      <w:bCs/>
                      <w:color w:val="auto"/>
                      <w:spacing w:val="4"/>
                      <w:sz w:val="21"/>
                      <w:szCs w:val="21"/>
                    </w:rPr>
                    <w:t>距离</w:t>
                  </w:r>
                </w:p>
              </w:tc>
              <w:tc>
                <w:tcPr>
                  <w:tcW w:w="2239" w:type="dxa"/>
                  <w:vAlign w:val="center"/>
                </w:tcPr>
                <w:p w14:paraId="03640D4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b/>
                      <w:bCs/>
                      <w:color w:val="auto"/>
                      <w:spacing w:val="5"/>
                      <w:sz w:val="21"/>
                      <w:szCs w:val="21"/>
                      <w:vertAlign w:val="baseline"/>
                    </w:rPr>
                  </w:pPr>
                  <w:r>
                    <w:rPr>
                      <w:b/>
                      <w:bCs/>
                      <w:color w:val="auto"/>
                      <w:spacing w:val="6"/>
                      <w:sz w:val="21"/>
                      <w:szCs w:val="21"/>
                    </w:rPr>
                    <w:t>保护标准</w:t>
                  </w:r>
                </w:p>
              </w:tc>
            </w:tr>
            <w:tr w14:paraId="0ED53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837" w:type="dxa"/>
                  <w:vMerge w:val="restart"/>
                  <w:vAlign w:val="center"/>
                </w:tcPr>
                <w:p w14:paraId="5030118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环境空气</w:t>
                  </w:r>
                </w:p>
              </w:tc>
              <w:tc>
                <w:tcPr>
                  <w:tcW w:w="1740" w:type="dxa"/>
                  <w:vAlign w:val="center"/>
                </w:tcPr>
                <w:p w14:paraId="7A017A8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西湾村</w:t>
                  </w:r>
                </w:p>
              </w:tc>
              <w:tc>
                <w:tcPr>
                  <w:tcW w:w="1110" w:type="dxa"/>
                  <w:vAlign w:val="center"/>
                </w:tcPr>
                <w:p w14:paraId="22158B2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项目东侧</w:t>
                  </w:r>
                </w:p>
              </w:tc>
              <w:tc>
                <w:tcPr>
                  <w:tcW w:w="1230" w:type="dxa"/>
                  <w:vAlign w:val="center"/>
                </w:tcPr>
                <w:p w14:paraId="345A8DF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约50户</w:t>
                  </w:r>
                </w:p>
              </w:tc>
              <w:tc>
                <w:tcPr>
                  <w:tcW w:w="825" w:type="dxa"/>
                  <w:vAlign w:val="center"/>
                </w:tcPr>
                <w:p w14:paraId="41373A3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73米</w:t>
                  </w:r>
                </w:p>
              </w:tc>
              <w:tc>
                <w:tcPr>
                  <w:tcW w:w="2239" w:type="dxa"/>
                  <w:vMerge w:val="restart"/>
                  <w:vAlign w:val="center"/>
                </w:tcPr>
                <w:p w14:paraId="30ABA7B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bCs/>
                      <w:color w:val="auto"/>
                      <w:spacing w:val="5"/>
                      <w:sz w:val="21"/>
                      <w:szCs w:val="21"/>
                      <w:vertAlign w:val="baseline"/>
                      <w:lang w:val="en-US" w:eastAsia="zh-CN"/>
                    </w:rPr>
                  </w:pPr>
                  <w:r>
                    <w:rPr>
                      <w:color w:val="auto"/>
                      <w:spacing w:val="-3"/>
                      <w:sz w:val="21"/>
                      <w:szCs w:val="21"/>
                    </w:rPr>
                    <w:t>《环境空气质量标准》（</w:t>
                  </w:r>
                  <w:r>
                    <w:rPr>
                      <w:rFonts w:hint="default" w:ascii="Times New Roman" w:hAnsi="Times New Roman" w:cs="Times New Roman"/>
                      <w:color w:val="auto"/>
                      <w:spacing w:val="-3"/>
                      <w:sz w:val="21"/>
                      <w:szCs w:val="21"/>
                    </w:rPr>
                    <w:t>GB3095-20</w:t>
                  </w:r>
                  <w:r>
                    <w:rPr>
                      <w:rFonts w:hint="default" w:ascii="Times New Roman" w:hAnsi="Times New Roman" w:cs="Times New Roman"/>
                      <w:color w:val="auto"/>
                      <w:spacing w:val="-3"/>
                      <w:sz w:val="21"/>
                      <w:szCs w:val="21"/>
                      <w:lang w:val="en-US" w:eastAsia="zh-CN"/>
                    </w:rPr>
                    <w:t>26</w:t>
                  </w:r>
                  <w:r>
                    <w:rPr>
                      <w:color w:val="auto"/>
                      <w:spacing w:val="-3"/>
                      <w:sz w:val="21"/>
                      <w:szCs w:val="21"/>
                    </w:rPr>
                    <w:t>）</w:t>
                  </w:r>
                  <w:r>
                    <w:rPr>
                      <w:rFonts w:hint="eastAsia"/>
                      <w:color w:val="auto"/>
                      <w:spacing w:val="-3"/>
                      <w:sz w:val="21"/>
                      <w:szCs w:val="21"/>
                      <w:lang w:val="en-US" w:eastAsia="zh-CN"/>
                    </w:rPr>
                    <w:t>表</w:t>
                  </w:r>
                  <w:r>
                    <w:rPr>
                      <w:rFonts w:hint="eastAsia" w:ascii="Times New Roman" w:hAnsi="Times New Roman" w:eastAsia="Times New Roman" w:cs="Times New Roman"/>
                      <w:color w:val="auto"/>
                      <w:spacing w:val="-3"/>
                      <w:sz w:val="21"/>
                      <w:szCs w:val="21"/>
                      <w:lang w:val="en-US" w:eastAsia="zh-CN"/>
                    </w:rPr>
                    <w:t>1</w:t>
                  </w:r>
                  <w:r>
                    <w:rPr>
                      <w:rFonts w:hint="eastAsia"/>
                      <w:color w:val="auto"/>
                      <w:spacing w:val="-3"/>
                      <w:sz w:val="21"/>
                      <w:szCs w:val="21"/>
                      <w:lang w:val="en-US" w:eastAsia="zh-CN"/>
                    </w:rPr>
                    <w:t>过渡阶段二级浓度限值</w:t>
                  </w:r>
                </w:p>
              </w:tc>
            </w:tr>
            <w:tr w14:paraId="34D8E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tcPr>
                <w:p w14:paraId="16685DDA">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vAlign w:val="center"/>
                </w:tcPr>
                <w:p w14:paraId="5A042D0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pacing w:val="5"/>
                      <w:sz w:val="20"/>
                      <w:szCs w:val="20"/>
                      <w:vertAlign w:val="baseline"/>
                    </w:rPr>
                  </w:pPr>
                  <w:r>
                    <w:rPr>
                      <w:rFonts w:hint="eastAsia"/>
                      <w:color w:val="auto"/>
                      <w:spacing w:val="6"/>
                      <w:sz w:val="21"/>
                      <w:szCs w:val="21"/>
                      <w:lang w:val="en-US" w:eastAsia="zh-CN"/>
                    </w:rPr>
                    <w:t>西湾三村</w:t>
                  </w:r>
                </w:p>
              </w:tc>
              <w:tc>
                <w:tcPr>
                  <w:tcW w:w="1110" w:type="dxa"/>
                  <w:vAlign w:val="center"/>
                </w:tcPr>
                <w:p w14:paraId="56FD149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pacing w:val="5"/>
                      <w:sz w:val="20"/>
                      <w:szCs w:val="20"/>
                      <w:vertAlign w:val="baseline"/>
                    </w:rPr>
                  </w:pPr>
                  <w:r>
                    <w:rPr>
                      <w:rFonts w:hint="eastAsia"/>
                      <w:color w:val="auto"/>
                      <w:spacing w:val="6"/>
                      <w:sz w:val="21"/>
                      <w:szCs w:val="21"/>
                      <w:lang w:val="en-US" w:eastAsia="zh-CN"/>
                    </w:rPr>
                    <w:t>项目西侧</w:t>
                  </w:r>
                </w:p>
              </w:tc>
              <w:tc>
                <w:tcPr>
                  <w:tcW w:w="1230" w:type="dxa"/>
                  <w:vAlign w:val="center"/>
                </w:tcPr>
                <w:p w14:paraId="19FB2C0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约86户</w:t>
                  </w:r>
                </w:p>
              </w:tc>
              <w:tc>
                <w:tcPr>
                  <w:tcW w:w="825" w:type="dxa"/>
                  <w:vAlign w:val="center"/>
                </w:tcPr>
                <w:p w14:paraId="553E382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23米</w:t>
                  </w:r>
                </w:p>
              </w:tc>
              <w:tc>
                <w:tcPr>
                  <w:tcW w:w="2239" w:type="dxa"/>
                  <w:vMerge w:val="continue"/>
                </w:tcPr>
                <w:p w14:paraId="63D0162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p>
              </w:tc>
            </w:tr>
            <w:tr w14:paraId="0E02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837" w:type="dxa"/>
                  <w:vMerge w:val="continue"/>
                </w:tcPr>
                <w:p w14:paraId="77653E48">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66B549C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兰亭小镇</w:t>
                  </w:r>
                </w:p>
              </w:tc>
              <w:tc>
                <w:tcPr>
                  <w:tcW w:w="1110" w:type="dxa"/>
                  <w:vAlign w:val="center"/>
                </w:tcPr>
                <w:p w14:paraId="180C019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项目东侧</w:t>
                  </w:r>
                </w:p>
              </w:tc>
              <w:tc>
                <w:tcPr>
                  <w:tcW w:w="1230" w:type="dxa"/>
                  <w:vAlign w:val="center"/>
                </w:tcPr>
                <w:p w14:paraId="2B70867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约1200户</w:t>
                  </w:r>
                </w:p>
              </w:tc>
              <w:tc>
                <w:tcPr>
                  <w:tcW w:w="825" w:type="dxa"/>
                  <w:vAlign w:val="center"/>
                </w:tcPr>
                <w:p w14:paraId="3E07060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61米</w:t>
                  </w:r>
                </w:p>
              </w:tc>
              <w:tc>
                <w:tcPr>
                  <w:tcW w:w="2239" w:type="dxa"/>
                  <w:vMerge w:val="continue"/>
                </w:tcPr>
                <w:p w14:paraId="3E7DF1B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074C5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tcPr>
                <w:p w14:paraId="5453B828">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7672890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圣水名城</w:t>
                  </w:r>
                </w:p>
              </w:tc>
              <w:tc>
                <w:tcPr>
                  <w:tcW w:w="1110" w:type="dxa"/>
                  <w:vAlign w:val="center"/>
                </w:tcPr>
                <w:p w14:paraId="3AB871A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项目东侧</w:t>
                  </w:r>
                </w:p>
              </w:tc>
              <w:tc>
                <w:tcPr>
                  <w:tcW w:w="1230" w:type="dxa"/>
                  <w:vAlign w:val="center"/>
                </w:tcPr>
                <w:p w14:paraId="3BAC6A3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pacing w:val="5"/>
                      <w:sz w:val="20"/>
                      <w:szCs w:val="20"/>
                      <w:vertAlign w:val="baseline"/>
                    </w:rPr>
                  </w:pPr>
                  <w:r>
                    <w:rPr>
                      <w:rFonts w:hint="eastAsia"/>
                      <w:color w:val="auto"/>
                      <w:spacing w:val="6"/>
                      <w:sz w:val="21"/>
                      <w:szCs w:val="21"/>
                      <w:lang w:val="en-US" w:eastAsia="zh-CN"/>
                    </w:rPr>
                    <w:t>约1850户</w:t>
                  </w:r>
                </w:p>
              </w:tc>
              <w:tc>
                <w:tcPr>
                  <w:tcW w:w="825" w:type="dxa"/>
                  <w:vAlign w:val="center"/>
                </w:tcPr>
                <w:p w14:paraId="5FE5BDA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pacing w:val="5"/>
                      <w:sz w:val="20"/>
                      <w:szCs w:val="20"/>
                      <w:vertAlign w:val="baseline"/>
                    </w:rPr>
                  </w:pPr>
                  <w:r>
                    <w:rPr>
                      <w:rFonts w:hint="eastAsia"/>
                      <w:color w:val="auto"/>
                      <w:spacing w:val="6"/>
                      <w:sz w:val="21"/>
                      <w:szCs w:val="21"/>
                      <w:lang w:val="en-US" w:eastAsia="zh-CN"/>
                    </w:rPr>
                    <w:t>58米</w:t>
                  </w:r>
                </w:p>
              </w:tc>
              <w:tc>
                <w:tcPr>
                  <w:tcW w:w="2239" w:type="dxa"/>
                  <w:vMerge w:val="continue"/>
                </w:tcPr>
                <w:p w14:paraId="22FA98CE">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0844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tcPr>
                <w:p w14:paraId="0DB6C65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3F4E462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奇台县第五中学</w:t>
                  </w:r>
                </w:p>
              </w:tc>
              <w:tc>
                <w:tcPr>
                  <w:tcW w:w="1110" w:type="dxa"/>
                  <w:vAlign w:val="center"/>
                </w:tcPr>
                <w:p w14:paraId="11D1D3D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项目西侧</w:t>
                  </w:r>
                </w:p>
              </w:tc>
              <w:tc>
                <w:tcPr>
                  <w:tcW w:w="1230" w:type="dxa"/>
                  <w:vAlign w:val="center"/>
                </w:tcPr>
                <w:p w14:paraId="1BEC327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约1800人</w:t>
                  </w:r>
                </w:p>
              </w:tc>
              <w:tc>
                <w:tcPr>
                  <w:tcW w:w="825" w:type="dxa"/>
                  <w:vAlign w:val="center"/>
                </w:tcPr>
                <w:p w14:paraId="6E84895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256米</w:t>
                  </w:r>
                </w:p>
              </w:tc>
              <w:tc>
                <w:tcPr>
                  <w:tcW w:w="2239" w:type="dxa"/>
                  <w:vMerge w:val="continue"/>
                </w:tcPr>
                <w:p w14:paraId="664F6C81">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4819A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tcPr>
                <w:p w14:paraId="0DE61425">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647EDA7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金奇润和小区</w:t>
                  </w:r>
                </w:p>
              </w:tc>
              <w:tc>
                <w:tcPr>
                  <w:tcW w:w="1110" w:type="dxa"/>
                </w:tcPr>
                <w:p w14:paraId="7EFF151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项目西侧</w:t>
                  </w:r>
                </w:p>
              </w:tc>
              <w:tc>
                <w:tcPr>
                  <w:tcW w:w="1230" w:type="dxa"/>
                </w:tcPr>
                <w:p w14:paraId="69A9DFEC">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color w:val="auto"/>
                      <w:spacing w:val="6"/>
                      <w:sz w:val="21"/>
                      <w:szCs w:val="21"/>
                      <w:lang w:val="en-US" w:eastAsia="zh-CN"/>
                    </w:rPr>
                  </w:pPr>
                  <w:r>
                    <w:rPr>
                      <w:rFonts w:hint="eastAsia"/>
                      <w:color w:val="auto"/>
                      <w:spacing w:val="6"/>
                      <w:sz w:val="21"/>
                      <w:szCs w:val="21"/>
                      <w:lang w:val="en-US" w:eastAsia="zh-CN"/>
                    </w:rPr>
                    <w:t>约1950户</w:t>
                  </w:r>
                </w:p>
              </w:tc>
              <w:tc>
                <w:tcPr>
                  <w:tcW w:w="825" w:type="dxa"/>
                  <w:vAlign w:val="center"/>
                </w:tcPr>
                <w:p w14:paraId="08B3424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25米</w:t>
                  </w:r>
                </w:p>
              </w:tc>
              <w:tc>
                <w:tcPr>
                  <w:tcW w:w="2239" w:type="dxa"/>
                  <w:vMerge w:val="continue"/>
                </w:tcPr>
                <w:p w14:paraId="1795A138">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3D401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tcPr>
                <w:p w14:paraId="3299F9F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0D23D34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锦绣家园</w:t>
                  </w:r>
                </w:p>
              </w:tc>
              <w:tc>
                <w:tcPr>
                  <w:tcW w:w="1110" w:type="dxa"/>
                </w:tcPr>
                <w:p w14:paraId="31BE7444">
                  <w:pPr>
                    <w:bidi w:val="0"/>
                    <w:jc w:val="center"/>
                    <w:rPr>
                      <w:rFonts w:hint="eastAsia" w:ascii="Times New Roman" w:hAnsi="Times New Roman" w:eastAsia="宋体" w:cs="Times New Roman"/>
                      <w:color w:val="auto"/>
                      <w:kern w:val="2"/>
                      <w:sz w:val="21"/>
                      <w:szCs w:val="24"/>
                      <w:lang w:val="en-US" w:eastAsia="zh-CN" w:bidi="ar-SA"/>
                    </w:rPr>
                  </w:pPr>
                  <w:r>
                    <w:rPr>
                      <w:rFonts w:hint="eastAsia"/>
                      <w:color w:val="auto"/>
                      <w:spacing w:val="6"/>
                      <w:sz w:val="21"/>
                      <w:szCs w:val="21"/>
                      <w:lang w:val="en-US" w:eastAsia="zh-CN"/>
                    </w:rPr>
                    <w:t>项目东侧</w:t>
                  </w:r>
                </w:p>
              </w:tc>
              <w:tc>
                <w:tcPr>
                  <w:tcW w:w="1230" w:type="dxa"/>
                  <w:vAlign w:val="top"/>
                </w:tcPr>
                <w:p w14:paraId="7CA8F87E">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color w:val="auto"/>
                      <w:spacing w:val="6"/>
                      <w:sz w:val="21"/>
                      <w:szCs w:val="21"/>
                      <w:lang w:val="en-US" w:eastAsia="zh-CN"/>
                    </w:rPr>
                  </w:pPr>
                  <w:r>
                    <w:rPr>
                      <w:rFonts w:hint="eastAsia"/>
                      <w:color w:val="auto"/>
                      <w:spacing w:val="6"/>
                      <w:sz w:val="21"/>
                      <w:szCs w:val="21"/>
                      <w:lang w:val="en-US" w:eastAsia="zh-CN"/>
                    </w:rPr>
                    <w:t>约315户</w:t>
                  </w:r>
                </w:p>
              </w:tc>
              <w:tc>
                <w:tcPr>
                  <w:tcW w:w="825" w:type="dxa"/>
                  <w:vAlign w:val="center"/>
                </w:tcPr>
                <w:p w14:paraId="175A74E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91米</w:t>
                  </w:r>
                </w:p>
              </w:tc>
              <w:tc>
                <w:tcPr>
                  <w:tcW w:w="2239" w:type="dxa"/>
                  <w:vMerge w:val="continue"/>
                </w:tcPr>
                <w:p w14:paraId="1446F10E">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1BE62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tcPr>
                <w:p w14:paraId="0351CFBD">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1D5EF45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圣水华庭</w:t>
                  </w:r>
                </w:p>
              </w:tc>
              <w:tc>
                <w:tcPr>
                  <w:tcW w:w="1110" w:type="dxa"/>
                  <w:vAlign w:val="top"/>
                </w:tcPr>
                <w:p w14:paraId="41A32052">
                  <w:pPr>
                    <w:bidi w:val="0"/>
                    <w:jc w:val="center"/>
                    <w:rPr>
                      <w:rFonts w:hint="eastAsia"/>
                      <w:color w:val="auto"/>
                      <w:spacing w:val="6"/>
                      <w:sz w:val="21"/>
                      <w:szCs w:val="21"/>
                      <w:lang w:val="en-US" w:eastAsia="zh-CN"/>
                    </w:rPr>
                  </w:pPr>
                  <w:r>
                    <w:rPr>
                      <w:rFonts w:hint="eastAsia"/>
                      <w:color w:val="auto"/>
                      <w:spacing w:val="6"/>
                      <w:sz w:val="21"/>
                      <w:szCs w:val="21"/>
                      <w:lang w:val="en-US" w:eastAsia="zh-CN"/>
                    </w:rPr>
                    <w:t>项目东侧</w:t>
                  </w:r>
                </w:p>
              </w:tc>
              <w:tc>
                <w:tcPr>
                  <w:tcW w:w="1230" w:type="dxa"/>
                  <w:vAlign w:val="top"/>
                </w:tcPr>
                <w:p w14:paraId="07761B28">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color w:val="auto"/>
                      <w:spacing w:val="6"/>
                      <w:sz w:val="21"/>
                      <w:szCs w:val="21"/>
                      <w:lang w:val="en-US" w:eastAsia="zh-CN"/>
                    </w:rPr>
                  </w:pPr>
                  <w:r>
                    <w:rPr>
                      <w:rFonts w:hint="eastAsia"/>
                      <w:color w:val="auto"/>
                      <w:spacing w:val="6"/>
                      <w:sz w:val="21"/>
                      <w:szCs w:val="21"/>
                      <w:lang w:val="en-US" w:eastAsia="zh-CN"/>
                    </w:rPr>
                    <w:t>约516户</w:t>
                  </w:r>
                </w:p>
              </w:tc>
              <w:tc>
                <w:tcPr>
                  <w:tcW w:w="825" w:type="dxa"/>
                  <w:vAlign w:val="center"/>
                </w:tcPr>
                <w:p w14:paraId="75252DE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323米</w:t>
                  </w:r>
                </w:p>
              </w:tc>
              <w:tc>
                <w:tcPr>
                  <w:tcW w:w="2239" w:type="dxa"/>
                  <w:vMerge w:val="continue"/>
                </w:tcPr>
                <w:p w14:paraId="47CC3E1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3DEA4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tcPr>
                <w:p w14:paraId="1D3DE23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7784768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奇台县委政法委员会</w:t>
                  </w:r>
                </w:p>
              </w:tc>
              <w:tc>
                <w:tcPr>
                  <w:tcW w:w="1110" w:type="dxa"/>
                  <w:shd w:val="clear" w:color="auto" w:fill="auto"/>
                  <w:vAlign w:val="center"/>
                </w:tcPr>
                <w:p w14:paraId="2F936D23">
                  <w:pPr>
                    <w:bidi w:val="0"/>
                    <w:jc w:val="center"/>
                    <w:rPr>
                      <w:rFonts w:hint="eastAsia" w:ascii="Times New Roman" w:hAnsi="Times New Roman" w:eastAsia="宋体" w:cs="Times New Roman"/>
                      <w:color w:val="auto"/>
                      <w:kern w:val="2"/>
                      <w:sz w:val="21"/>
                      <w:szCs w:val="24"/>
                      <w:lang w:val="en-US" w:eastAsia="zh-CN" w:bidi="ar-SA"/>
                    </w:rPr>
                  </w:pPr>
                  <w:r>
                    <w:rPr>
                      <w:rFonts w:hint="eastAsia"/>
                      <w:color w:val="auto"/>
                      <w:spacing w:val="6"/>
                      <w:sz w:val="21"/>
                      <w:szCs w:val="21"/>
                      <w:lang w:val="en-US" w:eastAsia="zh-CN"/>
                    </w:rPr>
                    <w:t>项目东侧</w:t>
                  </w:r>
                </w:p>
              </w:tc>
              <w:tc>
                <w:tcPr>
                  <w:tcW w:w="1230" w:type="dxa"/>
                  <w:shd w:val="clear" w:color="auto" w:fill="auto"/>
                  <w:vAlign w:val="center"/>
                </w:tcPr>
                <w:p w14:paraId="668457F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spacing w:val="6"/>
                      <w:kern w:val="2"/>
                      <w:sz w:val="21"/>
                      <w:szCs w:val="21"/>
                      <w:lang w:val="en-US" w:eastAsia="zh-CN" w:bidi="ar-SA"/>
                    </w:rPr>
                  </w:pPr>
                  <w:r>
                    <w:rPr>
                      <w:rFonts w:hint="eastAsia"/>
                      <w:color w:val="auto"/>
                      <w:spacing w:val="6"/>
                      <w:sz w:val="21"/>
                      <w:szCs w:val="21"/>
                      <w:lang w:val="en-US" w:eastAsia="zh-CN"/>
                    </w:rPr>
                    <w:t>约300户</w:t>
                  </w:r>
                </w:p>
              </w:tc>
              <w:tc>
                <w:tcPr>
                  <w:tcW w:w="825" w:type="dxa"/>
                  <w:vAlign w:val="center"/>
                </w:tcPr>
                <w:p w14:paraId="20E9C99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32米</w:t>
                  </w:r>
                </w:p>
              </w:tc>
              <w:tc>
                <w:tcPr>
                  <w:tcW w:w="2239" w:type="dxa"/>
                  <w:vMerge w:val="continue"/>
                </w:tcPr>
                <w:p w14:paraId="3C4CEF9E">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70998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tcPr>
                <w:p w14:paraId="155E56FC">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0315BB5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靖宁时代广场</w:t>
                  </w:r>
                </w:p>
              </w:tc>
              <w:tc>
                <w:tcPr>
                  <w:tcW w:w="1110" w:type="dxa"/>
                  <w:shd w:val="clear" w:color="auto" w:fill="auto"/>
                  <w:vAlign w:val="center"/>
                </w:tcPr>
                <w:p w14:paraId="5B5F12CA">
                  <w:pPr>
                    <w:bidi w:val="0"/>
                    <w:jc w:val="center"/>
                    <w:rPr>
                      <w:rFonts w:hint="eastAsia"/>
                      <w:color w:val="auto"/>
                      <w:spacing w:val="6"/>
                      <w:sz w:val="21"/>
                      <w:szCs w:val="21"/>
                      <w:lang w:val="en-US" w:eastAsia="zh-CN"/>
                    </w:rPr>
                  </w:pPr>
                  <w:r>
                    <w:rPr>
                      <w:rFonts w:hint="eastAsia"/>
                      <w:color w:val="auto"/>
                      <w:spacing w:val="6"/>
                      <w:sz w:val="21"/>
                      <w:szCs w:val="21"/>
                      <w:lang w:val="en-US" w:eastAsia="zh-CN"/>
                    </w:rPr>
                    <w:t>项目东侧</w:t>
                  </w:r>
                </w:p>
              </w:tc>
              <w:tc>
                <w:tcPr>
                  <w:tcW w:w="1230" w:type="dxa"/>
                  <w:shd w:val="clear" w:color="auto" w:fill="auto"/>
                  <w:vAlign w:val="center"/>
                </w:tcPr>
                <w:p w14:paraId="60F9AB0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约150户</w:t>
                  </w:r>
                </w:p>
              </w:tc>
              <w:tc>
                <w:tcPr>
                  <w:tcW w:w="825" w:type="dxa"/>
                  <w:vAlign w:val="center"/>
                </w:tcPr>
                <w:p w14:paraId="4DF5FF8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31米</w:t>
                  </w:r>
                </w:p>
              </w:tc>
              <w:tc>
                <w:tcPr>
                  <w:tcW w:w="2239" w:type="dxa"/>
                  <w:vMerge w:val="continue"/>
                </w:tcPr>
                <w:p w14:paraId="448FB22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6B72A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837" w:type="dxa"/>
                  <w:vMerge w:val="continue"/>
                </w:tcPr>
                <w:p w14:paraId="5F5A7D05">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33DAF5C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特变金域名门</w:t>
                  </w:r>
                </w:p>
              </w:tc>
              <w:tc>
                <w:tcPr>
                  <w:tcW w:w="1110" w:type="dxa"/>
                  <w:shd w:val="clear" w:color="auto" w:fill="auto"/>
                  <w:vAlign w:val="center"/>
                </w:tcPr>
                <w:p w14:paraId="6EB1C2D8">
                  <w:pPr>
                    <w:bidi w:val="0"/>
                    <w:jc w:val="center"/>
                    <w:rPr>
                      <w:rFonts w:hint="eastAsia"/>
                      <w:color w:val="auto"/>
                      <w:spacing w:val="6"/>
                      <w:sz w:val="21"/>
                      <w:szCs w:val="21"/>
                      <w:lang w:val="en-US" w:eastAsia="zh-CN"/>
                    </w:rPr>
                  </w:pPr>
                  <w:r>
                    <w:rPr>
                      <w:rFonts w:hint="eastAsia"/>
                      <w:color w:val="auto"/>
                      <w:spacing w:val="6"/>
                      <w:sz w:val="21"/>
                      <w:szCs w:val="21"/>
                      <w:lang w:val="en-US" w:eastAsia="zh-CN"/>
                    </w:rPr>
                    <w:t>项目西侧</w:t>
                  </w:r>
                </w:p>
              </w:tc>
              <w:tc>
                <w:tcPr>
                  <w:tcW w:w="1230" w:type="dxa"/>
                  <w:shd w:val="clear" w:color="auto" w:fill="auto"/>
                  <w:vAlign w:val="center"/>
                </w:tcPr>
                <w:p w14:paraId="20AE3BF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约550户</w:t>
                  </w:r>
                </w:p>
              </w:tc>
              <w:tc>
                <w:tcPr>
                  <w:tcW w:w="825" w:type="dxa"/>
                  <w:vAlign w:val="center"/>
                </w:tcPr>
                <w:p w14:paraId="4AE6804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25米</w:t>
                  </w:r>
                </w:p>
              </w:tc>
              <w:tc>
                <w:tcPr>
                  <w:tcW w:w="2239" w:type="dxa"/>
                  <w:vMerge w:val="continue"/>
                </w:tcPr>
                <w:p w14:paraId="48D91B82">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6BB84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tcPr>
                <w:p w14:paraId="4CC99D5E">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6080B5E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特变金域名门3期</w:t>
                  </w:r>
                </w:p>
              </w:tc>
              <w:tc>
                <w:tcPr>
                  <w:tcW w:w="1110" w:type="dxa"/>
                  <w:shd w:val="clear" w:color="auto" w:fill="auto"/>
                  <w:vAlign w:val="center"/>
                </w:tcPr>
                <w:p w14:paraId="0BB6908B">
                  <w:pPr>
                    <w:bidi w:val="0"/>
                    <w:jc w:val="center"/>
                    <w:rPr>
                      <w:rFonts w:hint="eastAsia"/>
                      <w:color w:val="auto"/>
                      <w:spacing w:val="6"/>
                      <w:sz w:val="21"/>
                      <w:szCs w:val="21"/>
                      <w:lang w:val="en-US" w:eastAsia="zh-CN"/>
                    </w:rPr>
                  </w:pPr>
                  <w:r>
                    <w:rPr>
                      <w:rFonts w:hint="eastAsia"/>
                      <w:color w:val="auto"/>
                      <w:spacing w:val="6"/>
                      <w:sz w:val="21"/>
                      <w:szCs w:val="21"/>
                      <w:lang w:val="en-US" w:eastAsia="zh-CN"/>
                    </w:rPr>
                    <w:t>项目西侧</w:t>
                  </w:r>
                </w:p>
              </w:tc>
              <w:tc>
                <w:tcPr>
                  <w:tcW w:w="1230" w:type="dxa"/>
                  <w:shd w:val="clear" w:color="auto" w:fill="auto"/>
                  <w:vAlign w:val="center"/>
                </w:tcPr>
                <w:p w14:paraId="07F42FD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约460户</w:t>
                  </w:r>
                </w:p>
              </w:tc>
              <w:tc>
                <w:tcPr>
                  <w:tcW w:w="825" w:type="dxa"/>
                  <w:vAlign w:val="center"/>
                </w:tcPr>
                <w:p w14:paraId="20FE2ED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339米</w:t>
                  </w:r>
                </w:p>
              </w:tc>
              <w:tc>
                <w:tcPr>
                  <w:tcW w:w="2239" w:type="dxa"/>
                  <w:vMerge w:val="continue"/>
                </w:tcPr>
                <w:p w14:paraId="47A2C9F8">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28770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tcPr>
                <w:p w14:paraId="7BFD98D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64A7805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公园壹号</w:t>
                  </w:r>
                </w:p>
              </w:tc>
              <w:tc>
                <w:tcPr>
                  <w:tcW w:w="1110" w:type="dxa"/>
                  <w:shd w:val="clear" w:color="auto" w:fill="auto"/>
                  <w:vAlign w:val="center"/>
                </w:tcPr>
                <w:p w14:paraId="6A801505">
                  <w:pPr>
                    <w:bidi w:val="0"/>
                    <w:jc w:val="center"/>
                    <w:rPr>
                      <w:rFonts w:hint="eastAsia"/>
                      <w:color w:val="auto"/>
                      <w:spacing w:val="6"/>
                      <w:sz w:val="21"/>
                      <w:szCs w:val="21"/>
                      <w:lang w:val="en-US" w:eastAsia="zh-CN"/>
                    </w:rPr>
                  </w:pPr>
                  <w:r>
                    <w:rPr>
                      <w:rFonts w:hint="eastAsia"/>
                      <w:color w:val="auto"/>
                      <w:spacing w:val="6"/>
                      <w:sz w:val="21"/>
                      <w:szCs w:val="21"/>
                      <w:lang w:val="en-US" w:eastAsia="zh-CN"/>
                    </w:rPr>
                    <w:t>项目西侧</w:t>
                  </w:r>
                </w:p>
              </w:tc>
              <w:tc>
                <w:tcPr>
                  <w:tcW w:w="1230" w:type="dxa"/>
                  <w:shd w:val="clear" w:color="auto" w:fill="auto"/>
                  <w:vAlign w:val="center"/>
                </w:tcPr>
                <w:p w14:paraId="6EE6BEA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约350户</w:t>
                  </w:r>
                </w:p>
              </w:tc>
              <w:tc>
                <w:tcPr>
                  <w:tcW w:w="825" w:type="dxa"/>
                  <w:vAlign w:val="center"/>
                </w:tcPr>
                <w:p w14:paraId="7E506CC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320米</w:t>
                  </w:r>
                </w:p>
              </w:tc>
              <w:tc>
                <w:tcPr>
                  <w:tcW w:w="2239" w:type="dxa"/>
                  <w:vMerge w:val="continue"/>
                </w:tcPr>
                <w:p w14:paraId="5E4BAA61">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3A254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tcPr>
                <w:p w14:paraId="4F04351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336B69B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奇台福州中学</w:t>
                  </w:r>
                </w:p>
              </w:tc>
              <w:tc>
                <w:tcPr>
                  <w:tcW w:w="1110" w:type="dxa"/>
                  <w:shd w:val="clear" w:color="auto" w:fill="auto"/>
                  <w:vAlign w:val="center"/>
                </w:tcPr>
                <w:p w14:paraId="4661B470">
                  <w:pPr>
                    <w:bidi w:val="0"/>
                    <w:jc w:val="center"/>
                    <w:rPr>
                      <w:rFonts w:hint="eastAsia"/>
                      <w:color w:val="auto"/>
                      <w:spacing w:val="6"/>
                      <w:sz w:val="21"/>
                      <w:szCs w:val="21"/>
                      <w:lang w:val="en-US" w:eastAsia="zh-CN"/>
                    </w:rPr>
                  </w:pPr>
                  <w:r>
                    <w:rPr>
                      <w:rFonts w:hint="eastAsia"/>
                      <w:color w:val="auto"/>
                      <w:spacing w:val="6"/>
                      <w:sz w:val="21"/>
                      <w:szCs w:val="21"/>
                      <w:lang w:val="en-US" w:eastAsia="zh-CN"/>
                    </w:rPr>
                    <w:t>项目西侧</w:t>
                  </w:r>
                </w:p>
              </w:tc>
              <w:tc>
                <w:tcPr>
                  <w:tcW w:w="1230" w:type="dxa"/>
                  <w:shd w:val="clear" w:color="auto" w:fill="auto"/>
                  <w:vAlign w:val="center"/>
                </w:tcPr>
                <w:p w14:paraId="38988B6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约2100人</w:t>
                  </w:r>
                </w:p>
              </w:tc>
              <w:tc>
                <w:tcPr>
                  <w:tcW w:w="825" w:type="dxa"/>
                  <w:vAlign w:val="center"/>
                </w:tcPr>
                <w:p w14:paraId="294C372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16米</w:t>
                  </w:r>
                </w:p>
              </w:tc>
              <w:tc>
                <w:tcPr>
                  <w:tcW w:w="2239" w:type="dxa"/>
                  <w:vMerge w:val="continue"/>
                </w:tcPr>
                <w:p w14:paraId="617CE500">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28EE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tcPr>
                <w:p w14:paraId="6935CAF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c>
                <w:tcPr>
                  <w:tcW w:w="1740" w:type="dxa"/>
                </w:tcPr>
                <w:p w14:paraId="3EE6A9C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pacing w:val="6"/>
                      <w:sz w:val="21"/>
                      <w:szCs w:val="21"/>
                      <w:lang w:val="en-US" w:eastAsia="zh-CN"/>
                    </w:rPr>
                  </w:pPr>
                  <w:r>
                    <w:rPr>
                      <w:rFonts w:hint="eastAsia"/>
                      <w:color w:val="auto"/>
                      <w:spacing w:val="6"/>
                      <w:sz w:val="21"/>
                      <w:szCs w:val="21"/>
                      <w:lang w:val="en-US" w:eastAsia="zh-CN"/>
                    </w:rPr>
                    <w:t>奇台公路管理所</w:t>
                  </w:r>
                </w:p>
              </w:tc>
              <w:tc>
                <w:tcPr>
                  <w:tcW w:w="1110" w:type="dxa"/>
                  <w:shd w:val="clear" w:color="auto" w:fill="auto"/>
                  <w:vAlign w:val="center"/>
                </w:tcPr>
                <w:p w14:paraId="715FFEC2">
                  <w:pPr>
                    <w:bidi w:val="0"/>
                    <w:jc w:val="center"/>
                    <w:rPr>
                      <w:rFonts w:hint="eastAsia"/>
                      <w:color w:val="auto"/>
                      <w:spacing w:val="6"/>
                      <w:sz w:val="21"/>
                      <w:szCs w:val="21"/>
                      <w:lang w:val="en-US" w:eastAsia="zh-CN"/>
                    </w:rPr>
                  </w:pPr>
                  <w:r>
                    <w:rPr>
                      <w:rFonts w:hint="eastAsia"/>
                      <w:color w:val="auto"/>
                      <w:spacing w:val="6"/>
                      <w:sz w:val="21"/>
                      <w:szCs w:val="21"/>
                      <w:lang w:val="en-US" w:eastAsia="zh-CN"/>
                    </w:rPr>
                    <w:t>项目西侧</w:t>
                  </w:r>
                </w:p>
              </w:tc>
              <w:tc>
                <w:tcPr>
                  <w:tcW w:w="1230" w:type="dxa"/>
                  <w:shd w:val="clear" w:color="auto" w:fill="auto"/>
                  <w:vAlign w:val="center"/>
                </w:tcPr>
                <w:p w14:paraId="005BC40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约25人</w:t>
                  </w:r>
                </w:p>
              </w:tc>
              <w:tc>
                <w:tcPr>
                  <w:tcW w:w="825" w:type="dxa"/>
                  <w:vAlign w:val="center"/>
                </w:tcPr>
                <w:p w14:paraId="04CB8CF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150米</w:t>
                  </w:r>
                </w:p>
              </w:tc>
              <w:tc>
                <w:tcPr>
                  <w:tcW w:w="2239" w:type="dxa"/>
                  <w:vMerge w:val="continue"/>
                </w:tcPr>
                <w:p w14:paraId="0AEAA7FB">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63A81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7" w:type="dxa"/>
                  <w:vMerge w:val="restart"/>
                  <w:vAlign w:val="center"/>
                </w:tcPr>
                <w:p w14:paraId="1914823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pacing w:val="5"/>
                      <w:sz w:val="20"/>
                      <w:szCs w:val="20"/>
                      <w:vertAlign w:val="baseline"/>
                    </w:rPr>
                  </w:pPr>
                  <w:r>
                    <w:rPr>
                      <w:rFonts w:hint="eastAsia"/>
                      <w:color w:val="auto"/>
                      <w:spacing w:val="6"/>
                      <w:sz w:val="21"/>
                      <w:szCs w:val="21"/>
                      <w:lang w:val="en-US" w:eastAsia="zh-CN"/>
                    </w:rPr>
                    <w:t>声环境</w:t>
                  </w:r>
                </w:p>
              </w:tc>
              <w:tc>
                <w:tcPr>
                  <w:tcW w:w="1740" w:type="dxa"/>
                  <w:vAlign w:val="center"/>
                </w:tcPr>
                <w:p w14:paraId="62344BD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西湾三村</w:t>
                  </w:r>
                </w:p>
              </w:tc>
              <w:tc>
                <w:tcPr>
                  <w:tcW w:w="1110" w:type="dxa"/>
                  <w:shd w:val="clear" w:color="auto" w:fill="auto"/>
                  <w:vAlign w:val="center"/>
                </w:tcPr>
                <w:p w14:paraId="5E085B4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项目西侧</w:t>
                  </w:r>
                </w:p>
              </w:tc>
              <w:tc>
                <w:tcPr>
                  <w:tcW w:w="1230" w:type="dxa"/>
                  <w:shd w:val="clear" w:color="auto" w:fill="auto"/>
                  <w:vAlign w:val="center"/>
                </w:tcPr>
                <w:p w14:paraId="1E0F7A7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约86户</w:t>
                  </w:r>
                </w:p>
              </w:tc>
              <w:tc>
                <w:tcPr>
                  <w:tcW w:w="825" w:type="dxa"/>
                  <w:vAlign w:val="center"/>
                </w:tcPr>
                <w:p w14:paraId="598D65C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23米</w:t>
                  </w:r>
                </w:p>
              </w:tc>
              <w:tc>
                <w:tcPr>
                  <w:tcW w:w="2239" w:type="dxa"/>
                  <w:vMerge w:val="restart"/>
                </w:tcPr>
                <w:p w14:paraId="7CEDE7D3">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b/>
                      <w:bCs/>
                      <w:color w:val="auto"/>
                      <w:spacing w:val="5"/>
                      <w:sz w:val="20"/>
                      <w:szCs w:val="20"/>
                      <w:vertAlign w:val="baseline"/>
                    </w:rPr>
                  </w:pPr>
                  <w:r>
                    <w:rPr>
                      <w:rFonts w:ascii="Times New Roman" w:hAnsi="Times New Roman" w:eastAsia="Times New Roman" w:cs="Times New Roman"/>
                      <w:color w:val="auto"/>
                      <w:spacing w:val="-10"/>
                      <w:kern w:val="2"/>
                      <w:sz w:val="21"/>
                      <w:szCs w:val="21"/>
                      <w:lang w:val="en-US" w:eastAsia="zh-CN" w:bidi="ar-SA"/>
                    </w:rPr>
                    <w:t>《声环境质量标准》（GB3096-2008）</w:t>
                  </w:r>
                  <w:r>
                    <w:rPr>
                      <w:rFonts w:hint="eastAsia" w:ascii="Times New Roman" w:hAnsi="Times New Roman" w:eastAsia="Times New Roman" w:cs="Times New Roman"/>
                      <w:color w:val="auto"/>
                      <w:spacing w:val="-10"/>
                      <w:kern w:val="2"/>
                      <w:sz w:val="21"/>
                      <w:szCs w:val="21"/>
                      <w:lang w:val="en-US" w:eastAsia="zh-CN" w:bidi="ar-SA"/>
                    </w:rPr>
                    <w:t>1</w:t>
                  </w:r>
                  <w:r>
                    <w:rPr>
                      <w:rFonts w:ascii="Times New Roman" w:hAnsi="Times New Roman" w:eastAsia="Times New Roman" w:cs="Times New Roman"/>
                      <w:color w:val="auto"/>
                      <w:spacing w:val="-10"/>
                      <w:kern w:val="2"/>
                      <w:sz w:val="21"/>
                      <w:szCs w:val="21"/>
                      <w:lang w:val="en-US" w:eastAsia="zh-CN" w:bidi="ar-SA"/>
                    </w:rPr>
                    <w:t>类标准</w:t>
                  </w:r>
                </w:p>
              </w:tc>
            </w:tr>
            <w:tr w14:paraId="1F8AB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Merge w:val="continue"/>
                  <w:vAlign w:val="center"/>
                </w:tcPr>
                <w:p w14:paraId="2F583DC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pacing w:val="5"/>
                      <w:sz w:val="20"/>
                      <w:szCs w:val="20"/>
                      <w:vertAlign w:val="baseline"/>
                    </w:rPr>
                  </w:pPr>
                </w:p>
              </w:tc>
              <w:tc>
                <w:tcPr>
                  <w:tcW w:w="1740" w:type="dxa"/>
                  <w:vAlign w:val="center"/>
                </w:tcPr>
                <w:p w14:paraId="58E05F1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奇台福州中学</w:t>
                  </w:r>
                </w:p>
              </w:tc>
              <w:tc>
                <w:tcPr>
                  <w:tcW w:w="1110" w:type="dxa"/>
                  <w:shd w:val="clear" w:color="auto" w:fill="auto"/>
                  <w:vAlign w:val="center"/>
                </w:tcPr>
                <w:p w14:paraId="1C24E499">
                  <w:pPr>
                    <w:bidi w:val="0"/>
                    <w:jc w:val="center"/>
                    <w:rPr>
                      <w:rFonts w:hint="eastAsia"/>
                      <w:color w:val="auto"/>
                      <w:spacing w:val="6"/>
                      <w:sz w:val="21"/>
                      <w:szCs w:val="21"/>
                      <w:lang w:val="en-US" w:eastAsia="zh-CN"/>
                    </w:rPr>
                  </w:pPr>
                  <w:r>
                    <w:rPr>
                      <w:rFonts w:hint="eastAsia"/>
                      <w:color w:val="auto"/>
                      <w:spacing w:val="6"/>
                      <w:sz w:val="21"/>
                      <w:szCs w:val="21"/>
                      <w:lang w:val="en-US" w:eastAsia="zh-CN"/>
                    </w:rPr>
                    <w:t>项目西侧</w:t>
                  </w:r>
                </w:p>
              </w:tc>
              <w:tc>
                <w:tcPr>
                  <w:tcW w:w="1230" w:type="dxa"/>
                  <w:shd w:val="clear" w:color="auto" w:fill="auto"/>
                  <w:vAlign w:val="center"/>
                </w:tcPr>
                <w:p w14:paraId="1F6944E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约2100人</w:t>
                  </w:r>
                </w:p>
              </w:tc>
              <w:tc>
                <w:tcPr>
                  <w:tcW w:w="825" w:type="dxa"/>
                  <w:vAlign w:val="center"/>
                </w:tcPr>
                <w:p w14:paraId="64E607A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pacing w:val="6"/>
                      <w:sz w:val="21"/>
                      <w:szCs w:val="21"/>
                      <w:lang w:val="en-US" w:eastAsia="zh-CN"/>
                    </w:rPr>
                  </w:pPr>
                  <w:r>
                    <w:rPr>
                      <w:rFonts w:hint="eastAsia"/>
                      <w:color w:val="auto"/>
                      <w:spacing w:val="6"/>
                      <w:sz w:val="21"/>
                      <w:szCs w:val="21"/>
                      <w:lang w:val="en-US" w:eastAsia="zh-CN"/>
                    </w:rPr>
                    <w:t>16米</w:t>
                  </w:r>
                </w:p>
              </w:tc>
              <w:tc>
                <w:tcPr>
                  <w:tcW w:w="2239" w:type="dxa"/>
                  <w:vMerge w:val="continue"/>
                </w:tcPr>
                <w:p w14:paraId="4EEC1B02">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b/>
                      <w:bCs/>
                      <w:color w:val="auto"/>
                      <w:spacing w:val="5"/>
                      <w:sz w:val="20"/>
                      <w:szCs w:val="20"/>
                      <w:vertAlign w:val="baseline"/>
                    </w:rPr>
                  </w:pPr>
                </w:p>
              </w:tc>
            </w:tr>
            <w:tr w14:paraId="0C848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vAlign w:val="center"/>
                </w:tcPr>
                <w:p w14:paraId="58DEA6B0">
                  <w:pPr>
                    <w:bidi w:val="0"/>
                    <w:jc w:val="center"/>
                    <w:rPr>
                      <w:rFonts w:hint="eastAsia"/>
                      <w:color w:val="auto"/>
                      <w:spacing w:val="6"/>
                      <w:sz w:val="21"/>
                      <w:szCs w:val="21"/>
                      <w:lang w:val="en-US" w:eastAsia="zh-CN"/>
                    </w:rPr>
                  </w:pPr>
                  <w:r>
                    <w:rPr>
                      <w:rFonts w:hint="eastAsia"/>
                      <w:color w:val="auto"/>
                      <w:spacing w:val="6"/>
                      <w:sz w:val="21"/>
                      <w:szCs w:val="21"/>
                      <w:lang w:val="en-US" w:eastAsia="zh-CN"/>
                    </w:rPr>
                    <w:t>地表水</w:t>
                  </w:r>
                </w:p>
              </w:tc>
              <w:tc>
                <w:tcPr>
                  <w:tcW w:w="1740" w:type="dxa"/>
                  <w:vAlign w:val="center"/>
                </w:tcPr>
                <w:p w14:paraId="7A778B7F">
                  <w:pPr>
                    <w:bidi w:val="0"/>
                    <w:jc w:val="center"/>
                    <w:rPr>
                      <w:rFonts w:hint="eastAsia"/>
                      <w:color w:val="auto"/>
                      <w:spacing w:val="6"/>
                      <w:sz w:val="21"/>
                      <w:szCs w:val="21"/>
                      <w:lang w:val="en-US" w:eastAsia="zh-CN"/>
                    </w:rPr>
                  </w:pPr>
                  <w:r>
                    <w:rPr>
                      <w:rFonts w:hint="eastAsia"/>
                      <w:color w:val="auto"/>
                      <w:spacing w:val="6"/>
                      <w:sz w:val="21"/>
                      <w:szCs w:val="21"/>
                      <w:lang w:val="en-US" w:eastAsia="zh-CN"/>
                    </w:rPr>
                    <w:t>吉布库河</w:t>
                  </w:r>
                </w:p>
              </w:tc>
              <w:tc>
                <w:tcPr>
                  <w:tcW w:w="1110" w:type="dxa"/>
                  <w:shd w:val="clear" w:color="auto" w:fill="auto"/>
                  <w:vAlign w:val="center"/>
                </w:tcPr>
                <w:p w14:paraId="208C804B">
                  <w:pPr>
                    <w:bidi w:val="0"/>
                    <w:jc w:val="center"/>
                    <w:rPr>
                      <w:rFonts w:hint="eastAsia"/>
                      <w:color w:val="auto"/>
                      <w:spacing w:val="6"/>
                      <w:sz w:val="21"/>
                      <w:szCs w:val="21"/>
                      <w:lang w:val="en-US" w:eastAsia="zh-CN"/>
                    </w:rPr>
                  </w:pPr>
                  <w:r>
                    <w:rPr>
                      <w:rFonts w:hint="eastAsia"/>
                      <w:color w:val="auto"/>
                      <w:spacing w:val="6"/>
                      <w:sz w:val="21"/>
                      <w:szCs w:val="21"/>
                      <w:lang w:val="en-US" w:eastAsia="zh-CN"/>
                    </w:rPr>
                    <w:t>项目区</w:t>
                  </w:r>
                </w:p>
              </w:tc>
              <w:tc>
                <w:tcPr>
                  <w:tcW w:w="1230" w:type="dxa"/>
                  <w:shd w:val="clear" w:color="auto" w:fill="auto"/>
                  <w:vAlign w:val="center"/>
                </w:tcPr>
                <w:p w14:paraId="5C10F218">
                  <w:pPr>
                    <w:bidi w:val="0"/>
                    <w:jc w:val="center"/>
                    <w:rPr>
                      <w:rFonts w:hint="eastAsia"/>
                      <w:color w:val="auto"/>
                      <w:spacing w:val="6"/>
                      <w:sz w:val="21"/>
                      <w:szCs w:val="21"/>
                      <w:lang w:val="en-US" w:eastAsia="zh-CN"/>
                    </w:rPr>
                  </w:pPr>
                </w:p>
              </w:tc>
              <w:tc>
                <w:tcPr>
                  <w:tcW w:w="825" w:type="dxa"/>
                  <w:vAlign w:val="center"/>
                </w:tcPr>
                <w:p w14:paraId="42E7AC5B">
                  <w:pPr>
                    <w:bidi w:val="0"/>
                    <w:jc w:val="center"/>
                    <w:rPr>
                      <w:rFonts w:hint="eastAsia"/>
                      <w:color w:val="auto"/>
                      <w:spacing w:val="6"/>
                      <w:sz w:val="21"/>
                      <w:szCs w:val="21"/>
                      <w:lang w:val="en-US" w:eastAsia="zh-CN"/>
                    </w:rPr>
                  </w:pPr>
                  <w:r>
                    <w:rPr>
                      <w:rFonts w:hint="eastAsia"/>
                      <w:color w:val="auto"/>
                      <w:spacing w:val="6"/>
                      <w:sz w:val="21"/>
                      <w:szCs w:val="21"/>
                      <w:lang w:val="en-US" w:eastAsia="zh-CN"/>
                    </w:rPr>
                    <w:t>/</w:t>
                  </w:r>
                </w:p>
              </w:tc>
              <w:tc>
                <w:tcPr>
                  <w:tcW w:w="2239" w:type="dxa"/>
                  <w:vAlign w:val="center"/>
                </w:tcPr>
                <w:p w14:paraId="3CF3389E">
                  <w:pPr>
                    <w:bidi w:val="0"/>
                    <w:jc w:val="center"/>
                    <w:rPr>
                      <w:rFonts w:hint="eastAsia"/>
                      <w:color w:val="auto"/>
                      <w:spacing w:val="6"/>
                      <w:sz w:val="21"/>
                      <w:szCs w:val="21"/>
                      <w:lang w:val="en-US" w:eastAsia="zh-CN"/>
                    </w:rPr>
                  </w:pPr>
                  <w:r>
                    <w:rPr>
                      <w:rFonts w:hint="eastAsia"/>
                      <w:color w:val="auto"/>
                      <w:spacing w:val="6"/>
                      <w:sz w:val="21"/>
                      <w:szCs w:val="21"/>
                      <w:lang w:val="en-US" w:eastAsia="zh-CN"/>
                    </w:rPr>
                    <w:t>《地表水环境质量标准》（GB3838-2002）Ⅲ类标准</w:t>
                  </w:r>
                </w:p>
              </w:tc>
            </w:tr>
          </w:tbl>
          <w:p w14:paraId="3EAC55A0">
            <w:pPr>
              <w:widowControl w:val="0"/>
              <w:adjustRightInd w:val="0"/>
              <w:snapToGrid w:val="0"/>
              <w:spacing w:line="360" w:lineRule="auto"/>
              <w:jc w:val="both"/>
              <w:rPr>
                <w:b/>
                <w:bCs/>
                <w:color w:val="auto"/>
                <w:spacing w:val="5"/>
                <w:sz w:val="20"/>
                <w:szCs w:val="20"/>
              </w:rPr>
            </w:pPr>
          </w:p>
        </w:tc>
      </w:tr>
      <w:tr w14:paraId="6DF345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4" w:type="pct"/>
            <w:noWrap w:val="0"/>
            <w:vAlign w:val="center"/>
          </w:tcPr>
          <w:p w14:paraId="4FAB15E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rPr>
            </w:pPr>
            <w:r>
              <w:rPr>
                <w:color w:val="auto"/>
                <w:spacing w:val="-5"/>
                <w:sz w:val="24"/>
                <w:szCs w:val="24"/>
              </w:rPr>
              <w:t>评价</w:t>
            </w:r>
            <w:r>
              <w:rPr>
                <w:color w:val="auto"/>
                <w:spacing w:val="-6"/>
                <w:sz w:val="24"/>
                <w:szCs w:val="24"/>
              </w:rPr>
              <w:t>标准</w:t>
            </w:r>
          </w:p>
        </w:tc>
        <w:tc>
          <w:tcPr>
            <w:tcW w:w="4605" w:type="pct"/>
            <w:noWrap w:val="0"/>
            <w:vAlign w:val="center"/>
          </w:tcPr>
          <w:p w14:paraId="25D209D4">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jc w:val="both"/>
              <w:textAlignment w:val="auto"/>
              <w:rPr>
                <w:color w:val="auto"/>
                <w:sz w:val="24"/>
                <w:szCs w:val="24"/>
              </w:rPr>
            </w:pPr>
            <w:r>
              <w:rPr>
                <w:color w:val="auto"/>
                <w:spacing w:val="-2"/>
                <w:sz w:val="24"/>
                <w:szCs w:val="24"/>
              </w:rPr>
              <w:t>一、环境质量标准</w:t>
            </w:r>
          </w:p>
          <w:p w14:paraId="0DD10043">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auto"/>
              <w:rPr>
                <w:color w:val="auto"/>
                <w:spacing w:val="-3"/>
                <w:sz w:val="24"/>
                <w:szCs w:val="24"/>
              </w:rPr>
            </w:pPr>
            <w:r>
              <w:rPr>
                <w:rFonts w:hint="eastAsia"/>
                <w:color w:val="auto"/>
                <w:spacing w:val="-3"/>
                <w:sz w:val="24"/>
                <w:szCs w:val="24"/>
                <w:lang w:eastAsia="zh-CN"/>
              </w:rPr>
              <w:t>1.</w:t>
            </w:r>
            <w:r>
              <w:rPr>
                <w:rFonts w:hint="eastAsia"/>
                <w:color w:val="auto"/>
                <w:spacing w:val="-3"/>
                <w:sz w:val="24"/>
                <w:szCs w:val="24"/>
                <w:lang w:val="en-US" w:eastAsia="zh-CN"/>
              </w:rPr>
              <w:t>基本污染物</w:t>
            </w:r>
            <w:r>
              <w:rPr>
                <w:color w:val="auto"/>
                <w:spacing w:val="-3"/>
                <w:sz w:val="24"/>
                <w:szCs w:val="24"/>
              </w:rPr>
              <w:t>执行《环境空气质量标准》（</w:t>
            </w:r>
            <w:r>
              <w:rPr>
                <w:rFonts w:hint="default" w:ascii="Times New Roman" w:hAnsi="Times New Roman" w:cs="Times New Roman"/>
                <w:color w:val="auto"/>
                <w:spacing w:val="-3"/>
                <w:sz w:val="24"/>
                <w:szCs w:val="24"/>
              </w:rPr>
              <w:t>GB3095-20</w:t>
            </w:r>
            <w:r>
              <w:rPr>
                <w:rFonts w:hint="default" w:ascii="Times New Roman" w:hAnsi="Times New Roman" w:cs="Times New Roman"/>
                <w:color w:val="auto"/>
                <w:spacing w:val="-3"/>
                <w:sz w:val="24"/>
                <w:szCs w:val="24"/>
                <w:lang w:val="en-US" w:eastAsia="zh-CN"/>
              </w:rPr>
              <w:t>26</w:t>
            </w:r>
            <w:r>
              <w:rPr>
                <w:color w:val="auto"/>
                <w:spacing w:val="-3"/>
                <w:sz w:val="24"/>
                <w:szCs w:val="24"/>
              </w:rPr>
              <w:t>）</w:t>
            </w:r>
            <w:r>
              <w:rPr>
                <w:rFonts w:hint="eastAsia"/>
                <w:color w:val="auto"/>
                <w:spacing w:val="-3"/>
                <w:sz w:val="24"/>
                <w:szCs w:val="24"/>
                <w:lang w:val="en-US" w:eastAsia="zh-CN"/>
              </w:rPr>
              <w:t>表</w:t>
            </w:r>
            <w:r>
              <w:rPr>
                <w:rFonts w:hint="eastAsia" w:ascii="Times New Roman" w:hAnsi="Times New Roman" w:eastAsia="Times New Roman" w:cs="Times New Roman"/>
                <w:color w:val="auto"/>
                <w:spacing w:val="-3"/>
                <w:sz w:val="24"/>
                <w:szCs w:val="24"/>
                <w:lang w:val="en-US" w:eastAsia="zh-CN"/>
              </w:rPr>
              <w:t>1</w:t>
            </w:r>
            <w:r>
              <w:rPr>
                <w:rFonts w:hint="eastAsia"/>
                <w:color w:val="auto"/>
                <w:spacing w:val="-3"/>
                <w:sz w:val="24"/>
                <w:szCs w:val="24"/>
                <w:lang w:val="en-US" w:eastAsia="zh-CN"/>
              </w:rPr>
              <w:t>过渡阶段二级浓度限值，其他污染物执行表</w:t>
            </w:r>
            <w:r>
              <w:rPr>
                <w:rFonts w:hint="eastAsia" w:ascii="Times New Roman" w:hAnsi="Times New Roman" w:cs="Times New Roman"/>
                <w:color w:val="auto"/>
                <w:spacing w:val="-3"/>
                <w:sz w:val="24"/>
                <w:szCs w:val="24"/>
                <w:lang w:val="en-US" w:eastAsia="zh-CN"/>
              </w:rPr>
              <w:t>2</w:t>
            </w:r>
            <w:r>
              <w:rPr>
                <w:rFonts w:hint="eastAsia"/>
                <w:color w:val="auto"/>
                <w:spacing w:val="-3"/>
                <w:sz w:val="24"/>
                <w:szCs w:val="24"/>
                <w:lang w:val="en-US" w:eastAsia="zh-CN"/>
              </w:rPr>
              <w:t>二级浓度限值</w:t>
            </w:r>
            <w:r>
              <w:rPr>
                <w:color w:val="auto"/>
                <w:spacing w:val="-3"/>
                <w:sz w:val="24"/>
                <w:szCs w:val="24"/>
              </w:rPr>
              <w:t>。</w:t>
            </w:r>
          </w:p>
          <w:p w14:paraId="587AA8D9">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auto"/>
              <w:rPr>
                <w:color w:val="auto"/>
                <w:sz w:val="24"/>
                <w:szCs w:val="24"/>
              </w:rPr>
            </w:pPr>
            <w:r>
              <w:rPr>
                <w:rFonts w:hint="eastAsia" w:ascii="Times New Roman" w:hAnsi="Times New Roman" w:eastAsia="宋体" w:cs="Times New Roman"/>
                <w:color w:val="auto"/>
                <w:spacing w:val="-3"/>
                <w:sz w:val="24"/>
                <w:szCs w:val="24"/>
                <w:lang w:eastAsia="zh-CN"/>
              </w:rPr>
              <w:t>2.</w:t>
            </w:r>
            <w:r>
              <w:rPr>
                <w:rFonts w:hint="eastAsia"/>
                <w:color w:val="auto"/>
                <w:spacing w:val="6"/>
                <w:sz w:val="24"/>
                <w:szCs w:val="24"/>
                <w:lang w:val="en-US" w:eastAsia="zh-CN"/>
              </w:rPr>
              <w:t>吉布库河项目区水质</w:t>
            </w:r>
            <w:r>
              <w:rPr>
                <w:color w:val="auto"/>
                <w:spacing w:val="-3"/>
                <w:sz w:val="24"/>
                <w:szCs w:val="24"/>
              </w:rPr>
              <w:t>执行《地表水环境质量标准》（</w:t>
            </w:r>
            <w:r>
              <w:rPr>
                <w:rFonts w:ascii="Times New Roman" w:hAnsi="Times New Roman" w:eastAsia="Times New Roman" w:cs="Times New Roman"/>
                <w:color w:val="auto"/>
                <w:spacing w:val="-3"/>
                <w:sz w:val="24"/>
                <w:szCs w:val="24"/>
              </w:rPr>
              <w:t>GB3838-2002</w:t>
            </w:r>
            <w:r>
              <w:rPr>
                <w:color w:val="auto"/>
                <w:spacing w:val="-3"/>
                <w:sz w:val="24"/>
                <w:szCs w:val="24"/>
              </w:rPr>
              <w:t>）中的</w:t>
            </w:r>
            <w:r>
              <w:rPr>
                <w:rFonts w:ascii="Times New Roman" w:hAnsi="Times New Roman" w:eastAsia="Times New Roman" w:cs="Times New Roman"/>
                <w:color w:val="auto"/>
                <w:spacing w:val="-3"/>
                <w:sz w:val="24"/>
                <w:szCs w:val="24"/>
              </w:rPr>
              <w:t>Ⅲ</w:t>
            </w:r>
            <w:r>
              <w:rPr>
                <w:color w:val="auto"/>
                <w:spacing w:val="-3"/>
                <w:sz w:val="24"/>
                <w:szCs w:val="24"/>
              </w:rPr>
              <w:t>类标准。</w:t>
            </w:r>
          </w:p>
          <w:p w14:paraId="050C95B5">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auto"/>
              <w:rPr>
                <w:color w:val="auto"/>
                <w:sz w:val="24"/>
                <w:szCs w:val="24"/>
              </w:rPr>
            </w:pPr>
            <w:r>
              <w:rPr>
                <w:rFonts w:hint="eastAsia" w:ascii="Times New Roman" w:hAnsi="Times New Roman" w:eastAsia="宋体" w:cs="Times New Roman"/>
                <w:color w:val="auto"/>
                <w:spacing w:val="-2"/>
                <w:sz w:val="24"/>
                <w:szCs w:val="24"/>
                <w:lang w:eastAsia="zh-CN"/>
              </w:rPr>
              <w:t>3.</w:t>
            </w:r>
            <w:r>
              <w:rPr>
                <w:rFonts w:hint="eastAsia"/>
                <w:color w:val="auto"/>
                <w:spacing w:val="6"/>
                <w:sz w:val="24"/>
                <w:szCs w:val="24"/>
                <w:lang w:val="en-US" w:eastAsia="zh-CN"/>
              </w:rPr>
              <w:t>吉布库河项目区</w:t>
            </w:r>
            <w:r>
              <w:rPr>
                <w:color w:val="auto"/>
                <w:spacing w:val="-2"/>
                <w:sz w:val="24"/>
                <w:szCs w:val="24"/>
              </w:rPr>
              <w:t>声环境质量执行《声环境质量标准》（</w:t>
            </w:r>
            <w:r>
              <w:rPr>
                <w:rFonts w:ascii="Times New Roman" w:hAnsi="Times New Roman" w:eastAsia="Times New Roman" w:cs="Times New Roman"/>
                <w:color w:val="auto"/>
                <w:spacing w:val="-2"/>
                <w:sz w:val="24"/>
                <w:szCs w:val="24"/>
              </w:rPr>
              <w:t>GB3096-2008</w:t>
            </w:r>
            <w:r>
              <w:rPr>
                <w:color w:val="auto"/>
                <w:spacing w:val="-2"/>
                <w:sz w:val="24"/>
                <w:szCs w:val="24"/>
              </w:rPr>
              <w:t>）</w:t>
            </w:r>
            <w:r>
              <w:rPr>
                <w:rFonts w:hint="eastAsia" w:ascii="Times New Roman" w:hAnsi="Times New Roman" w:cs="Times New Roman"/>
                <w:color w:val="auto"/>
                <w:spacing w:val="-2"/>
                <w:sz w:val="24"/>
                <w:szCs w:val="24"/>
                <w:lang w:val="en-US" w:eastAsia="zh-CN"/>
              </w:rPr>
              <w:t>1</w:t>
            </w:r>
            <w:r>
              <w:rPr>
                <w:color w:val="auto"/>
                <w:spacing w:val="-2"/>
                <w:sz w:val="24"/>
                <w:szCs w:val="24"/>
              </w:rPr>
              <w:t>类标准。</w:t>
            </w:r>
          </w:p>
          <w:p w14:paraId="19EBC5A3">
            <w:pPr>
              <w:pStyle w:val="65"/>
              <w:keepNext w:val="0"/>
              <w:keepLines w:val="0"/>
              <w:pageBreakBefore w:val="0"/>
              <w:widowControl w:val="0"/>
              <w:numPr>
                <w:ilvl w:val="0"/>
                <w:numId w:val="25"/>
              </w:numPr>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b/>
                <w:bCs/>
                <w:color w:val="auto"/>
                <w:spacing w:val="5"/>
                <w:sz w:val="24"/>
                <w:szCs w:val="24"/>
                <w:lang w:val="en-US" w:eastAsia="en-US"/>
              </w:rPr>
            </w:pPr>
            <w:r>
              <w:rPr>
                <w:rFonts w:hint="eastAsia" w:cs="Times New Roman"/>
                <w:color w:val="auto"/>
                <w:spacing w:val="-7"/>
                <w:sz w:val="24"/>
                <w:szCs w:val="24"/>
                <w:lang w:eastAsia="zh-CN"/>
              </w:rPr>
              <w:t>、</w:t>
            </w:r>
            <w:r>
              <w:rPr>
                <w:rFonts w:hint="eastAsia"/>
                <w:b/>
                <w:bCs/>
                <w:color w:val="auto"/>
                <w:spacing w:val="5"/>
                <w:sz w:val="24"/>
                <w:szCs w:val="24"/>
                <w:lang w:val="en-US" w:eastAsia="en-US"/>
              </w:rPr>
              <w:t>环境质量标准一览表</w:t>
            </w:r>
          </w:p>
          <w:tbl>
            <w:tblPr>
              <w:tblStyle w:val="28"/>
              <w:tblW w:w="7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3"/>
              <w:gridCol w:w="1815"/>
              <w:gridCol w:w="1433"/>
              <w:gridCol w:w="442"/>
              <w:gridCol w:w="992"/>
              <w:gridCol w:w="1996"/>
            </w:tblGrid>
            <w:tr w14:paraId="47E8D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Align w:val="center"/>
                </w:tcPr>
                <w:p w14:paraId="4693E56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5"/>
                      <w:sz w:val="21"/>
                      <w:szCs w:val="21"/>
                      <w:vertAlign w:val="baseline"/>
                    </w:rPr>
                  </w:pPr>
                  <w:r>
                    <w:rPr>
                      <w:b/>
                      <w:bCs/>
                      <w:color w:val="auto"/>
                      <w:spacing w:val="3"/>
                      <w:sz w:val="21"/>
                      <w:szCs w:val="21"/>
                    </w:rPr>
                    <w:t>类别</w:t>
                  </w:r>
                </w:p>
              </w:tc>
              <w:tc>
                <w:tcPr>
                  <w:tcW w:w="1815" w:type="dxa"/>
                  <w:vAlign w:val="center"/>
                </w:tcPr>
                <w:p w14:paraId="6BDDA6B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bCs/>
                      <w:color w:val="auto"/>
                      <w:spacing w:val="5"/>
                      <w:sz w:val="21"/>
                      <w:szCs w:val="21"/>
                      <w:vertAlign w:val="baseline"/>
                    </w:rPr>
                  </w:pPr>
                  <w:r>
                    <w:rPr>
                      <w:b/>
                      <w:bCs/>
                      <w:color w:val="auto"/>
                      <w:spacing w:val="2"/>
                      <w:sz w:val="21"/>
                      <w:szCs w:val="21"/>
                    </w:rPr>
                    <w:t>项目</w:t>
                  </w:r>
                </w:p>
              </w:tc>
              <w:tc>
                <w:tcPr>
                  <w:tcW w:w="2867" w:type="dxa"/>
                  <w:gridSpan w:val="3"/>
                  <w:vAlign w:val="center"/>
                </w:tcPr>
                <w:p w14:paraId="65B7DE0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5"/>
                      <w:sz w:val="21"/>
                      <w:szCs w:val="21"/>
                      <w:vertAlign w:val="baseline"/>
                    </w:rPr>
                  </w:pPr>
                  <w:r>
                    <w:rPr>
                      <w:b/>
                      <w:bCs/>
                      <w:color w:val="auto"/>
                      <w:spacing w:val="5"/>
                      <w:sz w:val="21"/>
                      <w:szCs w:val="21"/>
                    </w:rPr>
                    <w:t>标准值</w:t>
                  </w:r>
                </w:p>
              </w:tc>
              <w:tc>
                <w:tcPr>
                  <w:tcW w:w="1996" w:type="dxa"/>
                  <w:vAlign w:val="center"/>
                </w:tcPr>
                <w:p w14:paraId="3F1D6A9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5"/>
                      <w:sz w:val="21"/>
                      <w:szCs w:val="21"/>
                      <w:vertAlign w:val="baseline"/>
                    </w:rPr>
                  </w:pPr>
                  <w:r>
                    <w:rPr>
                      <w:b/>
                      <w:bCs/>
                      <w:color w:val="auto"/>
                      <w:spacing w:val="6"/>
                      <w:sz w:val="21"/>
                      <w:szCs w:val="21"/>
                    </w:rPr>
                    <w:t>标准来源</w:t>
                  </w:r>
                </w:p>
              </w:tc>
            </w:tr>
            <w:tr w14:paraId="7D091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restart"/>
                  <w:vAlign w:val="center"/>
                </w:tcPr>
                <w:p w14:paraId="5336CAF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r>
                    <w:rPr>
                      <w:b w:val="0"/>
                      <w:bCs w:val="0"/>
                      <w:color w:val="auto"/>
                      <w:spacing w:val="4"/>
                      <w:sz w:val="21"/>
                      <w:szCs w:val="21"/>
                    </w:rPr>
                    <w:t>环境</w:t>
                  </w:r>
                  <w:r>
                    <w:rPr>
                      <w:b w:val="0"/>
                      <w:bCs w:val="0"/>
                      <w:color w:val="auto"/>
                      <w:spacing w:val="1"/>
                      <w:sz w:val="21"/>
                      <w:szCs w:val="21"/>
                    </w:rPr>
                    <w:t>空气</w:t>
                  </w:r>
                </w:p>
              </w:tc>
              <w:tc>
                <w:tcPr>
                  <w:tcW w:w="1815" w:type="dxa"/>
                  <w:vMerge w:val="restart"/>
                  <w:vAlign w:val="center"/>
                </w:tcPr>
                <w:p w14:paraId="23D1D5D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2"/>
                      <w:sz w:val="21"/>
                      <w:szCs w:val="21"/>
                    </w:rPr>
                  </w:pPr>
                  <w:r>
                    <w:rPr>
                      <w:rFonts w:ascii="Times New Roman" w:hAnsi="Times New Roman" w:eastAsia="Times New Roman" w:cs="Times New Roman"/>
                      <w:b w:val="0"/>
                      <w:bCs w:val="0"/>
                      <w:color w:val="auto"/>
                      <w:sz w:val="21"/>
                      <w:szCs w:val="21"/>
                    </w:rPr>
                    <w:t>SO</w:t>
                  </w:r>
                  <w:r>
                    <w:rPr>
                      <w:rFonts w:hint="eastAsia" w:ascii="Times New Roman" w:hAnsi="Times New Roman" w:eastAsia="宋体" w:cs="Times New Roman"/>
                      <w:b w:val="0"/>
                      <w:bCs w:val="0"/>
                      <w:color w:val="auto"/>
                      <w:sz w:val="21"/>
                      <w:szCs w:val="21"/>
                      <w:vertAlign w:val="subscript"/>
                      <w:lang w:val="en-US" w:eastAsia="zh-CN"/>
                    </w:rPr>
                    <w:t>2</w:t>
                  </w:r>
                  <w:r>
                    <w:rPr>
                      <w:b w:val="0"/>
                      <w:bCs w:val="0"/>
                      <w:color w:val="auto"/>
                      <w:spacing w:val="3"/>
                      <w:sz w:val="21"/>
                      <w:szCs w:val="21"/>
                    </w:rPr>
                    <w:t>(</w:t>
                  </w:r>
                  <w:r>
                    <w:rPr>
                      <w:rFonts w:ascii="Times New Roman" w:hAnsi="Times New Roman" w:eastAsia="Times New Roman" w:cs="Times New Roman"/>
                      <w:b w:val="0"/>
                      <w:bCs w:val="0"/>
                      <w:color w:val="auto"/>
                      <w:spacing w:val="3"/>
                      <w:sz w:val="21"/>
                      <w:szCs w:val="21"/>
                    </w:rPr>
                    <w:t>μg/m</w:t>
                  </w:r>
                  <w:r>
                    <w:rPr>
                      <w:rFonts w:hint="eastAsia" w:ascii="Times New Roman" w:hAnsi="Times New Roman" w:eastAsia="宋体" w:cs="Times New Roman"/>
                      <w:b w:val="0"/>
                      <w:bCs w:val="0"/>
                      <w:color w:val="auto"/>
                      <w:spacing w:val="3"/>
                      <w:sz w:val="21"/>
                      <w:szCs w:val="21"/>
                      <w:vertAlign w:val="superscript"/>
                      <w:lang w:val="en-US" w:eastAsia="zh-CN"/>
                    </w:rPr>
                    <w:t>3</w:t>
                  </w:r>
                  <w:r>
                    <w:rPr>
                      <w:rFonts w:hint="eastAsia" w:ascii="Times New Roman" w:hAnsi="Times New Roman" w:cs="Times New Roman"/>
                      <w:b w:val="0"/>
                      <w:bCs w:val="0"/>
                      <w:color w:val="auto"/>
                      <w:spacing w:val="3"/>
                      <w:sz w:val="21"/>
                      <w:szCs w:val="21"/>
                      <w:vertAlign w:val="superscript"/>
                      <w:lang w:val="en-US" w:eastAsia="zh-CN"/>
                    </w:rPr>
                    <w:t>)</w:t>
                  </w:r>
                </w:p>
              </w:tc>
              <w:tc>
                <w:tcPr>
                  <w:tcW w:w="1875" w:type="dxa"/>
                  <w:gridSpan w:val="2"/>
                  <w:shd w:val="clear" w:color="auto" w:fill="auto"/>
                  <w:vAlign w:val="center"/>
                </w:tcPr>
                <w:p w14:paraId="16ADBBB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宋体" w:hAnsi="宋体" w:eastAsia="宋体" w:cs="宋体"/>
                      <w:b w:val="0"/>
                      <w:bCs w:val="0"/>
                      <w:color w:val="auto"/>
                      <w:spacing w:val="5"/>
                      <w:kern w:val="2"/>
                      <w:sz w:val="21"/>
                      <w:szCs w:val="21"/>
                      <w:lang w:val="en-US" w:eastAsia="zh-CN" w:bidi="ar-SA"/>
                    </w:rPr>
                  </w:pPr>
                  <w:r>
                    <w:rPr>
                      <w:rFonts w:hint="eastAsia" w:ascii="Times New Roman" w:hAnsi="Times New Roman" w:eastAsia="宋体" w:cs="Times New Roman"/>
                      <w:b w:val="0"/>
                      <w:bCs w:val="0"/>
                      <w:color w:val="auto"/>
                      <w:spacing w:val="4"/>
                      <w:sz w:val="21"/>
                      <w:szCs w:val="21"/>
                      <w:lang w:val="en-US" w:eastAsia="zh-CN"/>
                    </w:rPr>
                    <w:t>年平均</w:t>
                  </w:r>
                </w:p>
              </w:tc>
              <w:tc>
                <w:tcPr>
                  <w:tcW w:w="992" w:type="dxa"/>
                  <w:vAlign w:val="center"/>
                </w:tcPr>
                <w:p w14:paraId="7D64708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60</w:t>
                  </w:r>
                </w:p>
              </w:tc>
              <w:tc>
                <w:tcPr>
                  <w:tcW w:w="1996" w:type="dxa"/>
                  <w:vMerge w:val="restart"/>
                  <w:vAlign w:val="center"/>
                </w:tcPr>
                <w:p w14:paraId="168318F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r>
                    <w:rPr>
                      <w:rFonts w:hint="default" w:ascii="Times New Roman" w:hAnsi="Times New Roman" w:cs="Times New Roman"/>
                      <w:b w:val="0"/>
                      <w:bCs w:val="0"/>
                      <w:color w:val="auto"/>
                      <w:spacing w:val="-3"/>
                      <w:sz w:val="21"/>
                      <w:szCs w:val="21"/>
                    </w:rPr>
                    <w:t>《环境空气质量标准》（GB3095-20</w:t>
                  </w:r>
                  <w:r>
                    <w:rPr>
                      <w:rFonts w:hint="default" w:ascii="Times New Roman" w:hAnsi="Times New Roman" w:cs="Times New Roman"/>
                      <w:b w:val="0"/>
                      <w:bCs w:val="0"/>
                      <w:color w:val="auto"/>
                      <w:spacing w:val="-3"/>
                      <w:sz w:val="21"/>
                      <w:szCs w:val="21"/>
                      <w:lang w:val="en-US" w:eastAsia="zh-CN"/>
                    </w:rPr>
                    <w:t>26</w:t>
                  </w:r>
                  <w:r>
                    <w:rPr>
                      <w:rFonts w:hint="default" w:ascii="Times New Roman" w:hAnsi="Times New Roman" w:cs="Times New Roman"/>
                      <w:b w:val="0"/>
                      <w:bCs w:val="0"/>
                      <w:color w:val="auto"/>
                      <w:spacing w:val="-3"/>
                      <w:sz w:val="21"/>
                      <w:szCs w:val="21"/>
                    </w:rPr>
                    <w:t>）</w:t>
                  </w:r>
                  <w:r>
                    <w:rPr>
                      <w:rFonts w:hint="eastAsia" w:ascii="Times New Roman" w:hAnsi="Times New Roman" w:cs="Times New Roman"/>
                      <w:b w:val="0"/>
                      <w:bCs w:val="0"/>
                      <w:color w:val="auto"/>
                      <w:spacing w:val="-3"/>
                      <w:sz w:val="21"/>
                      <w:szCs w:val="21"/>
                      <w:lang w:val="en-US" w:eastAsia="zh-CN"/>
                    </w:rPr>
                    <w:t>表1过渡阶段二级浓度限值</w:t>
                  </w:r>
                </w:p>
              </w:tc>
            </w:tr>
            <w:tr w14:paraId="209B0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64FB8F9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continue"/>
                  <w:vAlign w:val="center"/>
                </w:tcPr>
                <w:p w14:paraId="187D578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2"/>
                      <w:sz w:val="21"/>
                      <w:szCs w:val="21"/>
                    </w:rPr>
                  </w:pPr>
                </w:p>
              </w:tc>
              <w:tc>
                <w:tcPr>
                  <w:tcW w:w="1875" w:type="dxa"/>
                  <w:gridSpan w:val="2"/>
                  <w:shd w:val="clear" w:color="auto" w:fill="auto"/>
                  <w:vAlign w:val="center"/>
                </w:tcPr>
                <w:p w14:paraId="213FB16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ascii="宋体" w:hAnsi="宋体" w:eastAsia="宋体" w:cs="宋体"/>
                      <w:b w:val="0"/>
                      <w:bCs w:val="0"/>
                      <w:color w:val="auto"/>
                      <w:spacing w:val="5"/>
                      <w:kern w:val="2"/>
                      <w:sz w:val="21"/>
                      <w:szCs w:val="21"/>
                      <w:lang w:val="en-US" w:eastAsia="en-US" w:bidi="ar-SA"/>
                    </w:rPr>
                  </w:pPr>
                  <w:r>
                    <w:rPr>
                      <w:rFonts w:hint="eastAsia" w:ascii="Times New Roman" w:hAnsi="Times New Roman" w:eastAsia="宋体" w:cs="Times New Roman"/>
                      <w:b w:val="0"/>
                      <w:bCs w:val="0"/>
                      <w:color w:val="auto"/>
                      <w:spacing w:val="4"/>
                      <w:sz w:val="21"/>
                      <w:szCs w:val="21"/>
                      <w:lang w:val="en-US" w:eastAsia="zh-CN"/>
                    </w:rPr>
                    <w:t>日</w:t>
                  </w:r>
                  <w:r>
                    <w:rPr>
                      <w:b w:val="0"/>
                      <w:bCs w:val="0"/>
                      <w:color w:val="auto"/>
                      <w:spacing w:val="4"/>
                      <w:sz w:val="21"/>
                      <w:szCs w:val="21"/>
                    </w:rPr>
                    <w:t>平均</w:t>
                  </w:r>
                </w:p>
              </w:tc>
              <w:tc>
                <w:tcPr>
                  <w:tcW w:w="992" w:type="dxa"/>
                  <w:vAlign w:val="center"/>
                </w:tcPr>
                <w:p w14:paraId="7035EE6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150</w:t>
                  </w:r>
                </w:p>
              </w:tc>
              <w:tc>
                <w:tcPr>
                  <w:tcW w:w="1996" w:type="dxa"/>
                  <w:vMerge w:val="continue"/>
                  <w:vAlign w:val="center"/>
                </w:tcPr>
                <w:p w14:paraId="57BAB66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5AE2F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2BFBA78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continue"/>
                  <w:vAlign w:val="center"/>
                </w:tcPr>
                <w:p w14:paraId="79B9A19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eastAsia="宋体"/>
                      <w:b w:val="0"/>
                      <w:bCs w:val="0"/>
                      <w:color w:val="auto"/>
                      <w:spacing w:val="2"/>
                      <w:sz w:val="21"/>
                      <w:szCs w:val="21"/>
                      <w:lang w:val="en-US" w:eastAsia="zh-CN"/>
                    </w:rPr>
                  </w:pPr>
                </w:p>
              </w:tc>
              <w:tc>
                <w:tcPr>
                  <w:tcW w:w="1875" w:type="dxa"/>
                  <w:gridSpan w:val="2"/>
                  <w:vAlign w:val="center"/>
                </w:tcPr>
                <w:p w14:paraId="40EE0F6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5"/>
                      <w:sz w:val="21"/>
                      <w:szCs w:val="21"/>
                    </w:rPr>
                  </w:pPr>
                  <w:r>
                    <w:rPr>
                      <w:rFonts w:ascii="Times New Roman" w:hAnsi="Times New Roman" w:eastAsia="Times New Roman" w:cs="Times New Roman"/>
                      <w:b w:val="0"/>
                      <w:bCs w:val="0"/>
                      <w:color w:val="auto"/>
                      <w:sz w:val="21"/>
                      <w:szCs w:val="21"/>
                    </w:rPr>
                    <w:t>1</w:t>
                  </w:r>
                  <w:r>
                    <w:rPr>
                      <w:b w:val="0"/>
                      <w:bCs w:val="0"/>
                      <w:color w:val="auto"/>
                      <w:sz w:val="21"/>
                      <w:szCs w:val="21"/>
                    </w:rPr>
                    <w:t>小时平均</w:t>
                  </w:r>
                </w:p>
              </w:tc>
              <w:tc>
                <w:tcPr>
                  <w:tcW w:w="992" w:type="dxa"/>
                  <w:vAlign w:val="center"/>
                </w:tcPr>
                <w:p w14:paraId="7F0FA70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500</w:t>
                  </w:r>
                </w:p>
              </w:tc>
              <w:tc>
                <w:tcPr>
                  <w:tcW w:w="1996" w:type="dxa"/>
                  <w:vMerge w:val="continue"/>
                  <w:vAlign w:val="center"/>
                </w:tcPr>
                <w:p w14:paraId="1F5A800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7E06E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1303" w:type="dxa"/>
                  <w:vMerge w:val="continue"/>
                  <w:vAlign w:val="center"/>
                </w:tcPr>
                <w:p w14:paraId="7F5D83E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restart"/>
                  <w:vAlign w:val="center"/>
                </w:tcPr>
                <w:p w14:paraId="753E705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eastAsia="宋体"/>
                      <w:b w:val="0"/>
                      <w:bCs w:val="0"/>
                      <w:color w:val="auto"/>
                      <w:spacing w:val="2"/>
                      <w:sz w:val="21"/>
                      <w:szCs w:val="21"/>
                      <w:lang w:eastAsia="zh-CN"/>
                    </w:rPr>
                  </w:pPr>
                  <w:r>
                    <w:rPr>
                      <w:rFonts w:hint="default" w:ascii="Times New Roman" w:hAnsi="Times New Roman" w:cs="Times New Roman"/>
                      <w:b w:val="0"/>
                      <w:bCs w:val="0"/>
                      <w:color w:val="auto"/>
                      <w:spacing w:val="4"/>
                      <w:sz w:val="21"/>
                      <w:szCs w:val="21"/>
                    </w:rPr>
                    <w:t>NO</w:t>
                  </w:r>
                  <w:r>
                    <w:rPr>
                      <w:rFonts w:hint="default" w:ascii="Times New Roman" w:hAnsi="Times New Roman" w:cs="Times New Roman"/>
                      <w:b w:val="0"/>
                      <w:bCs w:val="0"/>
                      <w:color w:val="auto"/>
                      <w:spacing w:val="4"/>
                      <w:sz w:val="21"/>
                      <w:szCs w:val="21"/>
                      <w:vertAlign w:val="subscript"/>
                    </w:rPr>
                    <w:t>2</w:t>
                  </w:r>
                  <w:r>
                    <w:rPr>
                      <w:b w:val="0"/>
                      <w:bCs w:val="0"/>
                      <w:color w:val="auto"/>
                      <w:spacing w:val="3"/>
                      <w:sz w:val="21"/>
                      <w:szCs w:val="21"/>
                    </w:rPr>
                    <w:t>(</w:t>
                  </w:r>
                  <w:r>
                    <w:rPr>
                      <w:rFonts w:ascii="Times New Roman" w:hAnsi="Times New Roman" w:eastAsia="Times New Roman" w:cs="Times New Roman"/>
                      <w:b w:val="0"/>
                      <w:bCs w:val="0"/>
                      <w:color w:val="auto"/>
                      <w:spacing w:val="3"/>
                      <w:sz w:val="21"/>
                      <w:szCs w:val="21"/>
                    </w:rPr>
                    <w:t>μg/m</w:t>
                  </w:r>
                  <w:r>
                    <w:rPr>
                      <w:rFonts w:hint="eastAsia" w:ascii="Times New Roman" w:hAnsi="Times New Roman" w:eastAsia="宋体" w:cs="Times New Roman"/>
                      <w:b w:val="0"/>
                      <w:bCs w:val="0"/>
                      <w:color w:val="auto"/>
                      <w:spacing w:val="3"/>
                      <w:sz w:val="21"/>
                      <w:szCs w:val="21"/>
                      <w:vertAlign w:val="superscript"/>
                      <w:lang w:val="en-US" w:eastAsia="zh-CN"/>
                    </w:rPr>
                    <w:t>3</w:t>
                  </w:r>
                  <w:r>
                    <w:rPr>
                      <w:b w:val="0"/>
                      <w:bCs w:val="0"/>
                      <w:color w:val="auto"/>
                      <w:spacing w:val="3"/>
                      <w:position w:val="1"/>
                      <w:sz w:val="21"/>
                      <w:szCs w:val="21"/>
                    </w:rPr>
                    <w:t>）</w:t>
                  </w:r>
                </w:p>
              </w:tc>
              <w:tc>
                <w:tcPr>
                  <w:tcW w:w="1875" w:type="dxa"/>
                  <w:gridSpan w:val="2"/>
                  <w:vAlign w:val="center"/>
                </w:tcPr>
                <w:p w14:paraId="425C88C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5"/>
                      <w:sz w:val="21"/>
                      <w:szCs w:val="21"/>
                    </w:rPr>
                  </w:pPr>
                  <w:r>
                    <w:rPr>
                      <w:rFonts w:hint="eastAsia" w:ascii="Times New Roman" w:hAnsi="Times New Roman" w:eastAsia="宋体" w:cs="Times New Roman"/>
                      <w:b w:val="0"/>
                      <w:bCs w:val="0"/>
                      <w:color w:val="auto"/>
                      <w:spacing w:val="4"/>
                      <w:sz w:val="21"/>
                      <w:szCs w:val="21"/>
                      <w:lang w:val="en-US" w:eastAsia="zh-CN"/>
                    </w:rPr>
                    <w:t>年平均</w:t>
                  </w:r>
                </w:p>
              </w:tc>
              <w:tc>
                <w:tcPr>
                  <w:tcW w:w="992" w:type="dxa"/>
                  <w:vAlign w:val="center"/>
                </w:tcPr>
                <w:p w14:paraId="0C9AA3A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40</w:t>
                  </w:r>
                </w:p>
              </w:tc>
              <w:tc>
                <w:tcPr>
                  <w:tcW w:w="1996" w:type="dxa"/>
                  <w:vMerge w:val="continue"/>
                  <w:vAlign w:val="center"/>
                </w:tcPr>
                <w:p w14:paraId="6A021F6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6CADB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1303" w:type="dxa"/>
                  <w:vMerge w:val="continue"/>
                  <w:vAlign w:val="center"/>
                </w:tcPr>
                <w:p w14:paraId="69F8A8E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continue"/>
                  <w:vAlign w:val="center"/>
                </w:tcPr>
                <w:p w14:paraId="42D2B1F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eastAsia="宋体"/>
                      <w:b w:val="0"/>
                      <w:bCs w:val="0"/>
                      <w:color w:val="auto"/>
                      <w:spacing w:val="2"/>
                      <w:sz w:val="21"/>
                      <w:szCs w:val="21"/>
                      <w:lang w:eastAsia="zh-CN"/>
                    </w:rPr>
                  </w:pPr>
                </w:p>
              </w:tc>
              <w:tc>
                <w:tcPr>
                  <w:tcW w:w="1875" w:type="dxa"/>
                  <w:gridSpan w:val="2"/>
                  <w:vAlign w:val="center"/>
                </w:tcPr>
                <w:p w14:paraId="5F96DBF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5"/>
                      <w:sz w:val="21"/>
                      <w:szCs w:val="21"/>
                    </w:rPr>
                  </w:pPr>
                  <w:r>
                    <w:rPr>
                      <w:rFonts w:hint="eastAsia" w:ascii="Times New Roman" w:hAnsi="Times New Roman" w:eastAsia="宋体" w:cs="Times New Roman"/>
                      <w:b w:val="0"/>
                      <w:bCs w:val="0"/>
                      <w:color w:val="auto"/>
                      <w:spacing w:val="4"/>
                      <w:sz w:val="21"/>
                      <w:szCs w:val="21"/>
                      <w:lang w:val="en-US" w:eastAsia="zh-CN"/>
                    </w:rPr>
                    <w:t>日</w:t>
                  </w:r>
                  <w:r>
                    <w:rPr>
                      <w:b w:val="0"/>
                      <w:bCs w:val="0"/>
                      <w:color w:val="auto"/>
                      <w:spacing w:val="4"/>
                      <w:sz w:val="21"/>
                      <w:szCs w:val="21"/>
                    </w:rPr>
                    <w:t>平均</w:t>
                  </w:r>
                </w:p>
              </w:tc>
              <w:tc>
                <w:tcPr>
                  <w:tcW w:w="992" w:type="dxa"/>
                  <w:vAlign w:val="center"/>
                </w:tcPr>
                <w:p w14:paraId="538B6D8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80</w:t>
                  </w:r>
                </w:p>
              </w:tc>
              <w:tc>
                <w:tcPr>
                  <w:tcW w:w="1996" w:type="dxa"/>
                  <w:vMerge w:val="continue"/>
                  <w:vAlign w:val="center"/>
                </w:tcPr>
                <w:p w14:paraId="76D7229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3F00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1303" w:type="dxa"/>
                  <w:vMerge w:val="continue"/>
                  <w:vAlign w:val="center"/>
                </w:tcPr>
                <w:p w14:paraId="4D14794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continue"/>
                  <w:vAlign w:val="center"/>
                </w:tcPr>
                <w:p w14:paraId="62A4B3E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eastAsia="宋体"/>
                      <w:b w:val="0"/>
                      <w:bCs w:val="0"/>
                      <w:color w:val="auto"/>
                      <w:spacing w:val="2"/>
                      <w:sz w:val="21"/>
                      <w:szCs w:val="21"/>
                      <w:lang w:eastAsia="zh-CN"/>
                    </w:rPr>
                  </w:pPr>
                </w:p>
              </w:tc>
              <w:tc>
                <w:tcPr>
                  <w:tcW w:w="1875" w:type="dxa"/>
                  <w:gridSpan w:val="2"/>
                  <w:vAlign w:val="center"/>
                </w:tcPr>
                <w:p w14:paraId="0D7793C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5"/>
                      <w:sz w:val="21"/>
                      <w:szCs w:val="21"/>
                    </w:rPr>
                  </w:pPr>
                  <w:r>
                    <w:rPr>
                      <w:rFonts w:ascii="Times New Roman" w:hAnsi="Times New Roman" w:eastAsia="Times New Roman" w:cs="Times New Roman"/>
                      <w:b w:val="0"/>
                      <w:bCs w:val="0"/>
                      <w:color w:val="auto"/>
                      <w:sz w:val="21"/>
                      <w:szCs w:val="21"/>
                    </w:rPr>
                    <w:t>1</w:t>
                  </w:r>
                  <w:r>
                    <w:rPr>
                      <w:b w:val="0"/>
                      <w:bCs w:val="0"/>
                      <w:color w:val="auto"/>
                      <w:sz w:val="21"/>
                      <w:szCs w:val="21"/>
                    </w:rPr>
                    <w:t>小时平均</w:t>
                  </w:r>
                </w:p>
              </w:tc>
              <w:tc>
                <w:tcPr>
                  <w:tcW w:w="992" w:type="dxa"/>
                  <w:vAlign w:val="center"/>
                </w:tcPr>
                <w:p w14:paraId="29F0963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200</w:t>
                  </w:r>
                </w:p>
              </w:tc>
              <w:tc>
                <w:tcPr>
                  <w:tcW w:w="1996" w:type="dxa"/>
                  <w:vMerge w:val="continue"/>
                  <w:vAlign w:val="center"/>
                </w:tcPr>
                <w:p w14:paraId="0AB09DF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3FC5B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1303" w:type="dxa"/>
                  <w:vMerge w:val="continue"/>
                  <w:vAlign w:val="center"/>
                </w:tcPr>
                <w:p w14:paraId="5274F09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restart"/>
                  <w:shd w:val="clear" w:color="auto" w:fill="auto"/>
                  <w:vAlign w:val="center"/>
                </w:tcPr>
                <w:p w14:paraId="553228E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eastAsia" w:ascii="Times New Roman" w:hAnsi="Times New Roman" w:cs="Times New Roman"/>
                      <w:b w:val="0"/>
                      <w:bCs w:val="0"/>
                      <w:color w:val="auto"/>
                      <w:spacing w:val="4"/>
                      <w:sz w:val="21"/>
                      <w:szCs w:val="21"/>
                      <w:lang w:val="en-US" w:eastAsia="zh-CN"/>
                    </w:rPr>
                  </w:pPr>
                  <w:r>
                    <w:rPr>
                      <w:rFonts w:hint="default" w:ascii="Times New Roman" w:hAnsi="Times New Roman" w:cs="Times New Roman"/>
                      <w:b w:val="0"/>
                      <w:bCs w:val="0"/>
                      <w:color w:val="auto"/>
                      <w:spacing w:val="4"/>
                      <w:sz w:val="21"/>
                      <w:szCs w:val="21"/>
                    </w:rPr>
                    <w:t>CO</w:t>
                  </w:r>
                  <w:r>
                    <w:rPr>
                      <w:b w:val="0"/>
                      <w:bCs w:val="0"/>
                      <w:color w:val="auto"/>
                      <w:spacing w:val="3"/>
                      <w:sz w:val="21"/>
                      <w:szCs w:val="21"/>
                    </w:rPr>
                    <w:t>(</w:t>
                  </w:r>
                  <w:r>
                    <w:rPr>
                      <w:rFonts w:hint="eastAsia" w:ascii="Times New Roman" w:hAnsi="Times New Roman" w:eastAsia="宋体" w:cs="Times New Roman"/>
                      <w:b w:val="0"/>
                      <w:bCs w:val="0"/>
                      <w:color w:val="auto"/>
                      <w:spacing w:val="3"/>
                      <w:sz w:val="21"/>
                      <w:szCs w:val="21"/>
                      <w:lang w:val="en-US" w:eastAsia="zh-CN"/>
                    </w:rPr>
                    <w:t>m</w:t>
                  </w:r>
                  <w:r>
                    <w:rPr>
                      <w:rFonts w:ascii="Times New Roman" w:hAnsi="Times New Roman" w:eastAsia="Times New Roman" w:cs="Times New Roman"/>
                      <w:b w:val="0"/>
                      <w:bCs w:val="0"/>
                      <w:color w:val="auto"/>
                      <w:spacing w:val="3"/>
                      <w:sz w:val="21"/>
                      <w:szCs w:val="21"/>
                    </w:rPr>
                    <w:t>g/m</w:t>
                  </w:r>
                  <w:r>
                    <w:rPr>
                      <w:rFonts w:hint="eastAsia" w:ascii="Times New Roman" w:hAnsi="Times New Roman" w:eastAsia="宋体" w:cs="Times New Roman"/>
                      <w:b w:val="0"/>
                      <w:bCs w:val="0"/>
                      <w:color w:val="auto"/>
                      <w:spacing w:val="3"/>
                      <w:sz w:val="21"/>
                      <w:szCs w:val="21"/>
                      <w:vertAlign w:val="superscript"/>
                      <w:lang w:val="en-US" w:eastAsia="zh-CN"/>
                    </w:rPr>
                    <w:t>3</w:t>
                  </w:r>
                  <w:r>
                    <w:rPr>
                      <w:b w:val="0"/>
                      <w:bCs w:val="0"/>
                      <w:color w:val="auto"/>
                      <w:spacing w:val="3"/>
                      <w:position w:val="1"/>
                      <w:sz w:val="21"/>
                      <w:szCs w:val="21"/>
                    </w:rPr>
                    <w:t>）</w:t>
                  </w:r>
                </w:p>
              </w:tc>
              <w:tc>
                <w:tcPr>
                  <w:tcW w:w="1875" w:type="dxa"/>
                  <w:gridSpan w:val="2"/>
                  <w:shd w:val="clear" w:color="auto" w:fill="auto"/>
                  <w:vAlign w:val="top"/>
                </w:tcPr>
                <w:p w14:paraId="6919813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spacing w:val="4"/>
                      <w:kern w:val="2"/>
                      <w:sz w:val="21"/>
                      <w:szCs w:val="21"/>
                      <w:lang w:val="en-US" w:eastAsia="en-US" w:bidi="ar-SA"/>
                    </w:rPr>
                  </w:pPr>
                  <w:r>
                    <w:rPr>
                      <w:rFonts w:hint="eastAsia" w:ascii="Times New Roman" w:hAnsi="Times New Roman" w:eastAsia="宋体" w:cs="Times New Roman"/>
                      <w:b w:val="0"/>
                      <w:bCs w:val="0"/>
                      <w:color w:val="auto"/>
                      <w:spacing w:val="4"/>
                      <w:sz w:val="21"/>
                      <w:szCs w:val="21"/>
                      <w:lang w:val="en-US" w:eastAsia="zh-CN"/>
                    </w:rPr>
                    <w:t>日</w:t>
                  </w:r>
                  <w:r>
                    <w:rPr>
                      <w:rFonts w:hint="default" w:ascii="Times New Roman" w:hAnsi="Times New Roman" w:cs="Times New Roman"/>
                      <w:b w:val="0"/>
                      <w:bCs w:val="0"/>
                      <w:color w:val="auto"/>
                      <w:spacing w:val="4"/>
                      <w:sz w:val="21"/>
                      <w:szCs w:val="21"/>
                    </w:rPr>
                    <w:t>平均</w:t>
                  </w:r>
                </w:p>
              </w:tc>
              <w:tc>
                <w:tcPr>
                  <w:tcW w:w="992" w:type="dxa"/>
                  <w:vAlign w:val="center"/>
                </w:tcPr>
                <w:p w14:paraId="40C32A4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4</w:t>
                  </w:r>
                </w:p>
              </w:tc>
              <w:tc>
                <w:tcPr>
                  <w:tcW w:w="1996" w:type="dxa"/>
                  <w:vMerge w:val="continue"/>
                  <w:vAlign w:val="center"/>
                </w:tcPr>
                <w:p w14:paraId="1EAFE0F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0864D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1303" w:type="dxa"/>
                  <w:vMerge w:val="continue"/>
                  <w:vAlign w:val="center"/>
                </w:tcPr>
                <w:p w14:paraId="170ED40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continue"/>
                  <w:shd w:val="clear" w:color="auto" w:fill="auto"/>
                  <w:vAlign w:val="center"/>
                </w:tcPr>
                <w:p w14:paraId="36E9379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ascii="Times New Roman" w:hAnsi="Times New Roman" w:eastAsia="Times New Roman" w:cs="Times New Roman"/>
                      <w:b w:val="0"/>
                      <w:bCs w:val="0"/>
                      <w:color w:val="auto"/>
                      <w:sz w:val="21"/>
                      <w:szCs w:val="21"/>
                    </w:rPr>
                  </w:pPr>
                </w:p>
              </w:tc>
              <w:tc>
                <w:tcPr>
                  <w:tcW w:w="1875" w:type="dxa"/>
                  <w:gridSpan w:val="2"/>
                  <w:shd w:val="clear" w:color="auto" w:fill="auto"/>
                  <w:vAlign w:val="top"/>
                </w:tcPr>
                <w:p w14:paraId="2433C76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spacing w:val="4"/>
                      <w:kern w:val="2"/>
                      <w:sz w:val="21"/>
                      <w:szCs w:val="21"/>
                      <w:lang w:val="en-US" w:eastAsia="en-US" w:bidi="ar-SA"/>
                    </w:rPr>
                  </w:pPr>
                  <w:r>
                    <w:rPr>
                      <w:rFonts w:hint="default" w:ascii="Times New Roman" w:hAnsi="Times New Roman" w:cs="Times New Roman"/>
                      <w:b w:val="0"/>
                      <w:bCs w:val="0"/>
                      <w:color w:val="auto"/>
                      <w:spacing w:val="4"/>
                      <w:sz w:val="21"/>
                      <w:szCs w:val="21"/>
                    </w:rPr>
                    <w:t>1小时平均</w:t>
                  </w:r>
                </w:p>
              </w:tc>
              <w:tc>
                <w:tcPr>
                  <w:tcW w:w="992" w:type="dxa"/>
                  <w:vAlign w:val="center"/>
                </w:tcPr>
                <w:p w14:paraId="040A3BE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10</w:t>
                  </w:r>
                </w:p>
              </w:tc>
              <w:tc>
                <w:tcPr>
                  <w:tcW w:w="1996" w:type="dxa"/>
                  <w:vMerge w:val="continue"/>
                  <w:vAlign w:val="center"/>
                </w:tcPr>
                <w:p w14:paraId="6731945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6DB9F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39E70D0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restart"/>
                  <w:shd w:val="clear" w:color="auto" w:fill="auto"/>
                  <w:vAlign w:val="center"/>
                </w:tcPr>
                <w:p w14:paraId="6A83F7D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b w:val="0"/>
                      <w:bCs w:val="0"/>
                      <w:color w:val="auto"/>
                      <w:spacing w:val="4"/>
                      <w:sz w:val="21"/>
                      <w:szCs w:val="21"/>
                      <w:vertAlign w:val="subscript"/>
                    </w:rPr>
                  </w:pPr>
                  <w:r>
                    <w:rPr>
                      <w:rFonts w:hint="default" w:ascii="Times New Roman" w:hAnsi="Times New Roman" w:cs="Times New Roman"/>
                      <w:b w:val="0"/>
                      <w:bCs w:val="0"/>
                      <w:color w:val="auto"/>
                      <w:spacing w:val="4"/>
                      <w:sz w:val="21"/>
                      <w:szCs w:val="21"/>
                    </w:rPr>
                    <w:t>O</w:t>
                  </w:r>
                  <w:r>
                    <w:rPr>
                      <w:rFonts w:hint="default" w:ascii="Times New Roman" w:hAnsi="Times New Roman" w:cs="Times New Roman"/>
                      <w:b w:val="0"/>
                      <w:bCs w:val="0"/>
                      <w:color w:val="auto"/>
                      <w:spacing w:val="4"/>
                      <w:sz w:val="21"/>
                      <w:szCs w:val="21"/>
                      <w:vertAlign w:val="subscript"/>
                    </w:rPr>
                    <w:t>3</w:t>
                  </w:r>
                  <w:r>
                    <w:rPr>
                      <w:b w:val="0"/>
                      <w:bCs w:val="0"/>
                      <w:color w:val="auto"/>
                      <w:spacing w:val="3"/>
                      <w:sz w:val="21"/>
                      <w:szCs w:val="21"/>
                    </w:rPr>
                    <w:t>(</w:t>
                  </w:r>
                  <w:r>
                    <w:rPr>
                      <w:rFonts w:ascii="Times New Roman" w:hAnsi="Times New Roman" w:eastAsia="Times New Roman" w:cs="Times New Roman"/>
                      <w:b w:val="0"/>
                      <w:bCs w:val="0"/>
                      <w:color w:val="auto"/>
                      <w:spacing w:val="3"/>
                      <w:sz w:val="21"/>
                      <w:szCs w:val="21"/>
                    </w:rPr>
                    <w:t>μg/m</w:t>
                  </w:r>
                  <w:r>
                    <w:rPr>
                      <w:rFonts w:hint="eastAsia" w:ascii="Times New Roman" w:hAnsi="Times New Roman" w:eastAsia="宋体" w:cs="Times New Roman"/>
                      <w:b w:val="0"/>
                      <w:bCs w:val="0"/>
                      <w:color w:val="auto"/>
                      <w:spacing w:val="3"/>
                      <w:sz w:val="21"/>
                      <w:szCs w:val="21"/>
                      <w:vertAlign w:val="superscript"/>
                      <w:lang w:val="en-US" w:eastAsia="zh-CN"/>
                    </w:rPr>
                    <w:t>3</w:t>
                  </w:r>
                  <w:r>
                    <w:rPr>
                      <w:b w:val="0"/>
                      <w:bCs w:val="0"/>
                      <w:color w:val="auto"/>
                      <w:spacing w:val="3"/>
                      <w:position w:val="1"/>
                      <w:sz w:val="21"/>
                      <w:szCs w:val="21"/>
                    </w:rPr>
                    <w:t>）</w:t>
                  </w:r>
                </w:p>
              </w:tc>
              <w:tc>
                <w:tcPr>
                  <w:tcW w:w="1875" w:type="dxa"/>
                  <w:gridSpan w:val="2"/>
                  <w:shd w:val="clear" w:color="auto" w:fill="auto"/>
                  <w:vAlign w:val="top"/>
                </w:tcPr>
                <w:p w14:paraId="541CE18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Times New Roman" w:cs="Times New Roman"/>
                      <w:b w:val="0"/>
                      <w:bCs w:val="0"/>
                      <w:color w:val="auto"/>
                      <w:kern w:val="2"/>
                      <w:sz w:val="21"/>
                      <w:szCs w:val="21"/>
                      <w:lang w:val="en-US" w:eastAsia="en-US" w:bidi="ar-SA"/>
                    </w:rPr>
                  </w:pPr>
                  <w:r>
                    <w:rPr>
                      <w:rFonts w:ascii="Times New Roman" w:hAnsi="Times New Roman" w:eastAsia="Times New Roman" w:cs="Times New Roman"/>
                      <w:b w:val="0"/>
                      <w:bCs w:val="0"/>
                      <w:color w:val="auto"/>
                      <w:sz w:val="21"/>
                      <w:szCs w:val="21"/>
                    </w:rPr>
                    <w:t>日最大8</w:t>
                  </w:r>
                  <w:r>
                    <w:rPr>
                      <w:b w:val="0"/>
                      <w:bCs w:val="0"/>
                      <w:color w:val="auto"/>
                      <w:sz w:val="21"/>
                      <w:szCs w:val="21"/>
                    </w:rPr>
                    <w:t>小时</w:t>
                  </w:r>
                  <w:r>
                    <w:rPr>
                      <w:rFonts w:ascii="Times New Roman" w:hAnsi="Times New Roman" w:eastAsia="Times New Roman" w:cs="Times New Roman"/>
                      <w:b w:val="0"/>
                      <w:bCs w:val="0"/>
                      <w:color w:val="auto"/>
                      <w:sz w:val="21"/>
                      <w:szCs w:val="21"/>
                    </w:rPr>
                    <w:t>平均</w:t>
                  </w:r>
                </w:p>
              </w:tc>
              <w:tc>
                <w:tcPr>
                  <w:tcW w:w="992" w:type="dxa"/>
                  <w:shd w:val="clear" w:color="auto" w:fill="auto"/>
                  <w:vAlign w:val="center"/>
                </w:tcPr>
                <w:p w14:paraId="44F64E0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160</w:t>
                  </w:r>
                </w:p>
              </w:tc>
              <w:tc>
                <w:tcPr>
                  <w:tcW w:w="1996" w:type="dxa"/>
                  <w:vMerge w:val="continue"/>
                  <w:vAlign w:val="center"/>
                </w:tcPr>
                <w:p w14:paraId="1EBD20F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31745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2D26454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continue"/>
                  <w:vAlign w:val="center"/>
                </w:tcPr>
                <w:p w14:paraId="172EFB0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b w:val="0"/>
                      <w:bCs w:val="0"/>
                      <w:color w:val="auto"/>
                      <w:spacing w:val="4"/>
                      <w:sz w:val="21"/>
                      <w:szCs w:val="21"/>
                    </w:rPr>
                  </w:pPr>
                </w:p>
              </w:tc>
              <w:tc>
                <w:tcPr>
                  <w:tcW w:w="1875" w:type="dxa"/>
                  <w:gridSpan w:val="2"/>
                  <w:shd w:val="clear" w:color="auto" w:fill="auto"/>
                  <w:vAlign w:val="top"/>
                </w:tcPr>
                <w:p w14:paraId="0D01FA8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Times New Roman" w:cs="Times New Roman"/>
                      <w:b w:val="0"/>
                      <w:bCs w:val="0"/>
                      <w:color w:val="auto"/>
                      <w:kern w:val="2"/>
                      <w:sz w:val="21"/>
                      <w:szCs w:val="21"/>
                      <w:lang w:val="en-US" w:eastAsia="en-US" w:bidi="ar-SA"/>
                    </w:rPr>
                  </w:pPr>
                  <w:r>
                    <w:rPr>
                      <w:rFonts w:ascii="Times New Roman" w:hAnsi="Times New Roman" w:eastAsia="Times New Roman" w:cs="Times New Roman"/>
                      <w:b w:val="0"/>
                      <w:bCs w:val="0"/>
                      <w:color w:val="auto"/>
                      <w:sz w:val="21"/>
                      <w:szCs w:val="21"/>
                    </w:rPr>
                    <w:t>1</w:t>
                  </w:r>
                  <w:r>
                    <w:rPr>
                      <w:b w:val="0"/>
                      <w:bCs w:val="0"/>
                      <w:color w:val="auto"/>
                      <w:sz w:val="21"/>
                      <w:szCs w:val="21"/>
                    </w:rPr>
                    <w:t>小时</w:t>
                  </w:r>
                  <w:r>
                    <w:rPr>
                      <w:rFonts w:ascii="Times New Roman" w:hAnsi="Times New Roman" w:eastAsia="Times New Roman" w:cs="Times New Roman"/>
                      <w:b w:val="0"/>
                      <w:bCs w:val="0"/>
                      <w:color w:val="auto"/>
                      <w:sz w:val="21"/>
                      <w:szCs w:val="21"/>
                    </w:rPr>
                    <w:t>平均</w:t>
                  </w:r>
                </w:p>
              </w:tc>
              <w:tc>
                <w:tcPr>
                  <w:tcW w:w="992" w:type="dxa"/>
                  <w:shd w:val="clear" w:color="auto" w:fill="auto"/>
                  <w:vAlign w:val="center"/>
                </w:tcPr>
                <w:p w14:paraId="38148F6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200</w:t>
                  </w:r>
                </w:p>
              </w:tc>
              <w:tc>
                <w:tcPr>
                  <w:tcW w:w="1996" w:type="dxa"/>
                  <w:vMerge w:val="continue"/>
                  <w:vAlign w:val="center"/>
                </w:tcPr>
                <w:p w14:paraId="3D0060C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02B8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0EE7A3C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restart"/>
                  <w:vAlign w:val="center"/>
                </w:tcPr>
                <w:p w14:paraId="59A4A3C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ascii="Times New Roman" w:hAnsi="Times New Roman" w:eastAsia="Times New Roman" w:cs="Times New Roman"/>
                      <w:b w:val="0"/>
                      <w:bCs w:val="0"/>
                      <w:color w:val="auto"/>
                      <w:spacing w:val="3"/>
                      <w:position w:val="-1"/>
                      <w:sz w:val="21"/>
                      <w:szCs w:val="21"/>
                      <w:vertAlign w:val="subscript"/>
                    </w:rPr>
                  </w:pPr>
                  <w:r>
                    <w:rPr>
                      <w:rFonts w:ascii="Times New Roman" w:hAnsi="Times New Roman" w:eastAsia="Times New Roman" w:cs="Times New Roman"/>
                      <w:b w:val="0"/>
                      <w:bCs w:val="0"/>
                      <w:color w:val="auto"/>
                      <w:sz w:val="21"/>
                      <w:szCs w:val="21"/>
                    </w:rPr>
                    <w:t>PM</w:t>
                  </w:r>
                  <w:r>
                    <w:rPr>
                      <w:rFonts w:ascii="Times New Roman" w:hAnsi="Times New Roman" w:eastAsia="Times New Roman" w:cs="Times New Roman"/>
                      <w:b w:val="0"/>
                      <w:bCs w:val="0"/>
                      <w:color w:val="auto"/>
                      <w:spacing w:val="3"/>
                      <w:position w:val="-1"/>
                      <w:sz w:val="21"/>
                      <w:szCs w:val="21"/>
                      <w:vertAlign w:val="subscript"/>
                    </w:rPr>
                    <w:t>10</w:t>
                  </w:r>
                  <w:r>
                    <w:rPr>
                      <w:b w:val="0"/>
                      <w:bCs w:val="0"/>
                      <w:color w:val="auto"/>
                      <w:spacing w:val="3"/>
                      <w:sz w:val="21"/>
                      <w:szCs w:val="21"/>
                    </w:rPr>
                    <w:t>(</w:t>
                  </w:r>
                  <w:r>
                    <w:rPr>
                      <w:rFonts w:ascii="Times New Roman" w:hAnsi="Times New Roman" w:eastAsia="Times New Roman" w:cs="Times New Roman"/>
                      <w:b w:val="0"/>
                      <w:bCs w:val="0"/>
                      <w:color w:val="auto"/>
                      <w:spacing w:val="3"/>
                      <w:sz w:val="21"/>
                      <w:szCs w:val="21"/>
                    </w:rPr>
                    <w:t>μg/m</w:t>
                  </w:r>
                  <w:r>
                    <w:rPr>
                      <w:rFonts w:hint="eastAsia" w:ascii="Times New Roman" w:hAnsi="Times New Roman" w:eastAsia="宋体" w:cs="Times New Roman"/>
                      <w:b w:val="0"/>
                      <w:bCs w:val="0"/>
                      <w:color w:val="auto"/>
                      <w:spacing w:val="3"/>
                      <w:sz w:val="21"/>
                      <w:szCs w:val="21"/>
                      <w:vertAlign w:val="superscript"/>
                      <w:lang w:val="en-US" w:eastAsia="zh-CN"/>
                    </w:rPr>
                    <w:t>3</w:t>
                  </w:r>
                  <w:r>
                    <w:rPr>
                      <w:b w:val="0"/>
                      <w:bCs w:val="0"/>
                      <w:color w:val="auto"/>
                      <w:spacing w:val="3"/>
                      <w:position w:val="1"/>
                      <w:sz w:val="21"/>
                      <w:szCs w:val="21"/>
                    </w:rPr>
                    <w:t>）</w:t>
                  </w:r>
                </w:p>
              </w:tc>
              <w:tc>
                <w:tcPr>
                  <w:tcW w:w="1875" w:type="dxa"/>
                  <w:gridSpan w:val="2"/>
                  <w:vAlign w:val="top"/>
                </w:tcPr>
                <w:p w14:paraId="73706F9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ascii="Times New Roman" w:hAnsi="Times New Roman" w:eastAsia="Times New Roman" w:cs="Times New Roman"/>
                      <w:b w:val="0"/>
                      <w:bCs w:val="0"/>
                      <w:color w:val="auto"/>
                      <w:sz w:val="21"/>
                      <w:szCs w:val="21"/>
                    </w:rPr>
                  </w:pPr>
                  <w:r>
                    <w:rPr>
                      <w:rFonts w:hint="eastAsia" w:ascii="Times New Roman" w:hAnsi="Times New Roman" w:cs="Times New Roman"/>
                      <w:b w:val="0"/>
                      <w:bCs w:val="0"/>
                      <w:color w:val="auto"/>
                      <w:spacing w:val="4"/>
                      <w:sz w:val="21"/>
                      <w:szCs w:val="21"/>
                      <w:lang w:val="en-US" w:eastAsia="zh-CN"/>
                    </w:rPr>
                    <w:t>年</w:t>
                  </w:r>
                  <w:r>
                    <w:rPr>
                      <w:b w:val="0"/>
                      <w:bCs w:val="0"/>
                      <w:color w:val="auto"/>
                      <w:spacing w:val="4"/>
                      <w:sz w:val="21"/>
                      <w:szCs w:val="21"/>
                    </w:rPr>
                    <w:t>平均</w:t>
                  </w:r>
                </w:p>
              </w:tc>
              <w:tc>
                <w:tcPr>
                  <w:tcW w:w="992" w:type="dxa"/>
                  <w:vAlign w:val="center"/>
                </w:tcPr>
                <w:p w14:paraId="5AC7B0C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60</w:t>
                  </w:r>
                </w:p>
              </w:tc>
              <w:tc>
                <w:tcPr>
                  <w:tcW w:w="1996" w:type="dxa"/>
                  <w:vMerge w:val="continue"/>
                  <w:vAlign w:val="center"/>
                </w:tcPr>
                <w:p w14:paraId="740009E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5EAA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3" w:type="dxa"/>
                  <w:vMerge w:val="continue"/>
                  <w:vAlign w:val="center"/>
                </w:tcPr>
                <w:p w14:paraId="1503C35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continue"/>
                  <w:vAlign w:val="center"/>
                </w:tcPr>
                <w:p w14:paraId="05F6194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2"/>
                      <w:sz w:val="21"/>
                      <w:szCs w:val="21"/>
                    </w:rPr>
                  </w:pPr>
                </w:p>
              </w:tc>
              <w:tc>
                <w:tcPr>
                  <w:tcW w:w="1875" w:type="dxa"/>
                  <w:gridSpan w:val="2"/>
                  <w:vAlign w:val="top"/>
                </w:tcPr>
                <w:p w14:paraId="5DCE391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ascii="Times New Roman" w:hAnsi="Times New Roman" w:eastAsia="Times New Roman" w:cs="Times New Roman"/>
                      <w:b w:val="0"/>
                      <w:bCs w:val="0"/>
                      <w:color w:val="auto"/>
                      <w:sz w:val="21"/>
                      <w:szCs w:val="21"/>
                    </w:rPr>
                  </w:pPr>
                  <w:r>
                    <w:rPr>
                      <w:rFonts w:hint="eastAsia" w:ascii="Times New Roman" w:hAnsi="Times New Roman" w:eastAsia="宋体" w:cs="Times New Roman"/>
                      <w:b w:val="0"/>
                      <w:bCs w:val="0"/>
                      <w:color w:val="auto"/>
                      <w:spacing w:val="4"/>
                      <w:sz w:val="21"/>
                      <w:szCs w:val="21"/>
                      <w:lang w:val="en-US" w:eastAsia="zh-CN"/>
                    </w:rPr>
                    <w:t>日</w:t>
                  </w:r>
                  <w:r>
                    <w:rPr>
                      <w:b w:val="0"/>
                      <w:bCs w:val="0"/>
                      <w:color w:val="auto"/>
                      <w:spacing w:val="4"/>
                      <w:sz w:val="21"/>
                      <w:szCs w:val="21"/>
                    </w:rPr>
                    <w:t>平均</w:t>
                  </w:r>
                </w:p>
              </w:tc>
              <w:tc>
                <w:tcPr>
                  <w:tcW w:w="992" w:type="dxa"/>
                  <w:vAlign w:val="center"/>
                </w:tcPr>
                <w:p w14:paraId="55F8C57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120</w:t>
                  </w:r>
                </w:p>
              </w:tc>
              <w:tc>
                <w:tcPr>
                  <w:tcW w:w="1996" w:type="dxa"/>
                  <w:vMerge w:val="continue"/>
                  <w:vAlign w:val="center"/>
                </w:tcPr>
                <w:p w14:paraId="2612AE5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227D2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0D2B1A7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restart"/>
                  <w:vAlign w:val="center"/>
                </w:tcPr>
                <w:p w14:paraId="196B579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ascii="Times New Roman" w:hAnsi="Times New Roman" w:eastAsia="Times New Roman" w:cs="Times New Roman"/>
                      <w:b w:val="0"/>
                      <w:bCs w:val="0"/>
                      <w:color w:val="auto"/>
                      <w:spacing w:val="3"/>
                      <w:position w:val="-1"/>
                      <w:sz w:val="21"/>
                      <w:szCs w:val="21"/>
                      <w:vertAlign w:val="subscript"/>
                    </w:rPr>
                  </w:pPr>
                  <w:r>
                    <w:rPr>
                      <w:rFonts w:ascii="Times New Roman" w:hAnsi="Times New Roman" w:eastAsia="Times New Roman" w:cs="Times New Roman"/>
                      <w:b w:val="0"/>
                      <w:bCs w:val="0"/>
                      <w:color w:val="auto"/>
                      <w:sz w:val="21"/>
                      <w:szCs w:val="21"/>
                    </w:rPr>
                    <w:t>PM</w:t>
                  </w:r>
                  <w:r>
                    <w:rPr>
                      <w:rFonts w:ascii="Times New Roman" w:hAnsi="Times New Roman" w:eastAsia="Times New Roman" w:cs="Times New Roman"/>
                      <w:b w:val="0"/>
                      <w:bCs w:val="0"/>
                      <w:color w:val="auto"/>
                      <w:spacing w:val="3"/>
                      <w:position w:val="-1"/>
                      <w:sz w:val="21"/>
                      <w:szCs w:val="21"/>
                      <w:vertAlign w:val="subscript"/>
                    </w:rPr>
                    <w:t>2.5</w:t>
                  </w:r>
                  <w:r>
                    <w:rPr>
                      <w:b w:val="0"/>
                      <w:bCs w:val="0"/>
                      <w:color w:val="auto"/>
                      <w:spacing w:val="3"/>
                      <w:sz w:val="21"/>
                      <w:szCs w:val="21"/>
                    </w:rPr>
                    <w:t>(</w:t>
                  </w:r>
                  <w:r>
                    <w:rPr>
                      <w:rFonts w:ascii="Times New Roman" w:hAnsi="Times New Roman" w:eastAsia="Times New Roman" w:cs="Times New Roman"/>
                      <w:b w:val="0"/>
                      <w:bCs w:val="0"/>
                      <w:color w:val="auto"/>
                      <w:spacing w:val="3"/>
                      <w:sz w:val="21"/>
                      <w:szCs w:val="21"/>
                    </w:rPr>
                    <w:t>μg/m</w:t>
                  </w:r>
                  <w:r>
                    <w:rPr>
                      <w:rFonts w:hint="eastAsia" w:ascii="Times New Roman" w:hAnsi="Times New Roman" w:eastAsia="宋体" w:cs="Times New Roman"/>
                      <w:b w:val="0"/>
                      <w:bCs w:val="0"/>
                      <w:color w:val="auto"/>
                      <w:spacing w:val="3"/>
                      <w:sz w:val="21"/>
                      <w:szCs w:val="21"/>
                      <w:vertAlign w:val="superscript"/>
                      <w:lang w:val="en-US" w:eastAsia="zh-CN"/>
                    </w:rPr>
                    <w:t>3</w:t>
                  </w:r>
                  <w:r>
                    <w:rPr>
                      <w:b w:val="0"/>
                      <w:bCs w:val="0"/>
                      <w:color w:val="auto"/>
                      <w:spacing w:val="3"/>
                      <w:position w:val="1"/>
                      <w:sz w:val="21"/>
                      <w:szCs w:val="21"/>
                    </w:rPr>
                    <w:t>）</w:t>
                  </w:r>
                </w:p>
              </w:tc>
              <w:tc>
                <w:tcPr>
                  <w:tcW w:w="1875" w:type="dxa"/>
                  <w:gridSpan w:val="2"/>
                  <w:vAlign w:val="top"/>
                </w:tcPr>
                <w:p w14:paraId="358A3F4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b w:val="0"/>
                      <w:bCs w:val="0"/>
                      <w:color w:val="auto"/>
                      <w:sz w:val="21"/>
                      <w:szCs w:val="21"/>
                    </w:rPr>
                  </w:pPr>
                  <w:r>
                    <w:rPr>
                      <w:rFonts w:hint="eastAsia" w:ascii="Times New Roman" w:hAnsi="Times New Roman" w:cs="Times New Roman"/>
                      <w:b w:val="0"/>
                      <w:bCs w:val="0"/>
                      <w:color w:val="auto"/>
                      <w:spacing w:val="4"/>
                      <w:sz w:val="21"/>
                      <w:szCs w:val="21"/>
                      <w:lang w:val="en-US" w:eastAsia="zh-CN"/>
                    </w:rPr>
                    <w:t>年</w:t>
                  </w:r>
                  <w:r>
                    <w:rPr>
                      <w:b w:val="0"/>
                      <w:bCs w:val="0"/>
                      <w:color w:val="auto"/>
                      <w:spacing w:val="4"/>
                      <w:sz w:val="21"/>
                      <w:szCs w:val="21"/>
                    </w:rPr>
                    <w:t>平均</w:t>
                  </w:r>
                </w:p>
              </w:tc>
              <w:tc>
                <w:tcPr>
                  <w:tcW w:w="992" w:type="dxa"/>
                  <w:vAlign w:val="center"/>
                </w:tcPr>
                <w:p w14:paraId="24B2F22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30</w:t>
                  </w:r>
                </w:p>
              </w:tc>
              <w:tc>
                <w:tcPr>
                  <w:tcW w:w="1996" w:type="dxa"/>
                  <w:vMerge w:val="continue"/>
                  <w:vAlign w:val="center"/>
                </w:tcPr>
                <w:p w14:paraId="2142264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39987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3" w:type="dxa"/>
                  <w:vMerge w:val="continue"/>
                  <w:vAlign w:val="center"/>
                </w:tcPr>
                <w:p w14:paraId="3855DF2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continue"/>
                  <w:vAlign w:val="center"/>
                </w:tcPr>
                <w:p w14:paraId="1FC258F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2"/>
                      <w:sz w:val="21"/>
                      <w:szCs w:val="21"/>
                    </w:rPr>
                  </w:pPr>
                </w:p>
              </w:tc>
              <w:tc>
                <w:tcPr>
                  <w:tcW w:w="1875" w:type="dxa"/>
                  <w:gridSpan w:val="2"/>
                  <w:vAlign w:val="top"/>
                </w:tcPr>
                <w:p w14:paraId="7DC4D97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b w:val="0"/>
                      <w:bCs w:val="0"/>
                      <w:color w:val="auto"/>
                      <w:sz w:val="21"/>
                      <w:szCs w:val="21"/>
                    </w:rPr>
                  </w:pPr>
                  <w:r>
                    <w:rPr>
                      <w:rFonts w:hint="eastAsia" w:ascii="Times New Roman" w:hAnsi="Times New Roman" w:eastAsia="宋体" w:cs="Times New Roman"/>
                      <w:b w:val="0"/>
                      <w:bCs w:val="0"/>
                      <w:color w:val="auto"/>
                      <w:spacing w:val="4"/>
                      <w:sz w:val="21"/>
                      <w:szCs w:val="21"/>
                      <w:lang w:val="en-US" w:eastAsia="zh-CN"/>
                    </w:rPr>
                    <w:t>日</w:t>
                  </w:r>
                  <w:r>
                    <w:rPr>
                      <w:b w:val="0"/>
                      <w:bCs w:val="0"/>
                      <w:color w:val="auto"/>
                      <w:spacing w:val="4"/>
                      <w:sz w:val="21"/>
                      <w:szCs w:val="21"/>
                    </w:rPr>
                    <w:t>平均</w:t>
                  </w:r>
                </w:p>
              </w:tc>
              <w:tc>
                <w:tcPr>
                  <w:tcW w:w="992" w:type="dxa"/>
                  <w:vAlign w:val="center"/>
                </w:tcPr>
                <w:p w14:paraId="74B7010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60</w:t>
                  </w:r>
                </w:p>
              </w:tc>
              <w:tc>
                <w:tcPr>
                  <w:tcW w:w="1996" w:type="dxa"/>
                  <w:vMerge w:val="continue"/>
                  <w:vAlign w:val="center"/>
                </w:tcPr>
                <w:p w14:paraId="0219FBB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4ADFC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3853E0C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restart"/>
                  <w:vAlign w:val="center"/>
                </w:tcPr>
                <w:p w14:paraId="20394F4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b w:val="0"/>
                      <w:bCs w:val="0"/>
                      <w:color w:val="auto"/>
                      <w:spacing w:val="4"/>
                      <w:sz w:val="21"/>
                      <w:szCs w:val="21"/>
                    </w:rPr>
                  </w:pPr>
                  <w:r>
                    <w:rPr>
                      <w:rFonts w:hint="default" w:ascii="Times New Roman" w:hAnsi="Times New Roman" w:cs="Times New Roman"/>
                      <w:b w:val="0"/>
                      <w:bCs w:val="0"/>
                      <w:color w:val="auto"/>
                      <w:spacing w:val="4"/>
                      <w:sz w:val="21"/>
                      <w:szCs w:val="21"/>
                    </w:rPr>
                    <w:t>TSP</w:t>
                  </w:r>
                  <w:r>
                    <w:rPr>
                      <w:b w:val="0"/>
                      <w:bCs w:val="0"/>
                      <w:color w:val="auto"/>
                      <w:spacing w:val="3"/>
                      <w:sz w:val="21"/>
                      <w:szCs w:val="21"/>
                    </w:rPr>
                    <w:t>(</w:t>
                  </w:r>
                  <w:r>
                    <w:rPr>
                      <w:rFonts w:ascii="Times New Roman" w:hAnsi="Times New Roman" w:eastAsia="Times New Roman" w:cs="Times New Roman"/>
                      <w:b w:val="0"/>
                      <w:bCs w:val="0"/>
                      <w:color w:val="auto"/>
                      <w:spacing w:val="3"/>
                      <w:sz w:val="21"/>
                      <w:szCs w:val="21"/>
                    </w:rPr>
                    <w:t>μg/m</w:t>
                  </w:r>
                  <w:r>
                    <w:rPr>
                      <w:rFonts w:hint="eastAsia" w:ascii="Times New Roman" w:hAnsi="Times New Roman" w:eastAsia="宋体" w:cs="Times New Roman"/>
                      <w:b w:val="0"/>
                      <w:bCs w:val="0"/>
                      <w:color w:val="auto"/>
                      <w:spacing w:val="3"/>
                      <w:sz w:val="21"/>
                      <w:szCs w:val="21"/>
                      <w:vertAlign w:val="superscript"/>
                      <w:lang w:val="en-US" w:eastAsia="zh-CN"/>
                    </w:rPr>
                    <w:t>3</w:t>
                  </w:r>
                  <w:r>
                    <w:rPr>
                      <w:b w:val="0"/>
                      <w:bCs w:val="0"/>
                      <w:color w:val="auto"/>
                      <w:spacing w:val="3"/>
                      <w:position w:val="1"/>
                      <w:sz w:val="21"/>
                      <w:szCs w:val="21"/>
                    </w:rPr>
                    <w:t>）</w:t>
                  </w:r>
                </w:p>
              </w:tc>
              <w:tc>
                <w:tcPr>
                  <w:tcW w:w="1875" w:type="dxa"/>
                  <w:gridSpan w:val="2"/>
                  <w:vAlign w:val="top"/>
                </w:tcPr>
                <w:p w14:paraId="0447AC9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b w:val="0"/>
                      <w:bCs w:val="0"/>
                      <w:color w:val="auto"/>
                      <w:spacing w:val="4"/>
                      <w:sz w:val="21"/>
                      <w:szCs w:val="21"/>
                    </w:rPr>
                  </w:pPr>
                  <w:r>
                    <w:rPr>
                      <w:rFonts w:hint="eastAsia" w:ascii="Times New Roman" w:hAnsi="Times New Roman" w:cs="Times New Roman"/>
                      <w:b w:val="0"/>
                      <w:bCs w:val="0"/>
                      <w:color w:val="auto"/>
                      <w:spacing w:val="4"/>
                      <w:sz w:val="21"/>
                      <w:szCs w:val="21"/>
                      <w:lang w:val="en-US" w:eastAsia="zh-CN"/>
                    </w:rPr>
                    <w:t>年</w:t>
                  </w:r>
                  <w:r>
                    <w:rPr>
                      <w:b w:val="0"/>
                      <w:bCs w:val="0"/>
                      <w:color w:val="auto"/>
                      <w:spacing w:val="4"/>
                      <w:sz w:val="21"/>
                      <w:szCs w:val="21"/>
                    </w:rPr>
                    <w:t>平均</w:t>
                  </w:r>
                </w:p>
              </w:tc>
              <w:tc>
                <w:tcPr>
                  <w:tcW w:w="992" w:type="dxa"/>
                  <w:vAlign w:val="top"/>
                </w:tcPr>
                <w:p w14:paraId="7416A3F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200</w:t>
                  </w:r>
                </w:p>
              </w:tc>
              <w:tc>
                <w:tcPr>
                  <w:tcW w:w="1996" w:type="dxa"/>
                  <w:vMerge w:val="restart"/>
                  <w:vAlign w:val="center"/>
                </w:tcPr>
                <w:p w14:paraId="07A001F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r>
                    <w:rPr>
                      <w:rFonts w:hint="default" w:ascii="Times New Roman" w:hAnsi="Times New Roman" w:cs="Times New Roman"/>
                      <w:b w:val="0"/>
                      <w:bCs w:val="0"/>
                      <w:color w:val="auto"/>
                      <w:spacing w:val="-3"/>
                      <w:sz w:val="21"/>
                      <w:szCs w:val="21"/>
                    </w:rPr>
                    <w:t>《环境空气质量标准》（GB3095-20</w:t>
                  </w:r>
                  <w:r>
                    <w:rPr>
                      <w:rFonts w:hint="default" w:ascii="Times New Roman" w:hAnsi="Times New Roman" w:cs="Times New Roman"/>
                      <w:b w:val="0"/>
                      <w:bCs w:val="0"/>
                      <w:color w:val="auto"/>
                      <w:spacing w:val="-3"/>
                      <w:sz w:val="21"/>
                      <w:szCs w:val="21"/>
                      <w:lang w:val="en-US" w:eastAsia="zh-CN"/>
                    </w:rPr>
                    <w:t>26</w:t>
                  </w:r>
                  <w:r>
                    <w:rPr>
                      <w:rFonts w:hint="default" w:ascii="Times New Roman" w:hAnsi="Times New Roman" w:cs="Times New Roman"/>
                      <w:b w:val="0"/>
                      <w:bCs w:val="0"/>
                      <w:color w:val="auto"/>
                      <w:spacing w:val="-3"/>
                      <w:sz w:val="21"/>
                      <w:szCs w:val="21"/>
                    </w:rPr>
                    <w:t>）</w:t>
                  </w:r>
                  <w:r>
                    <w:rPr>
                      <w:rFonts w:hint="eastAsia" w:ascii="Times New Roman" w:hAnsi="Times New Roman" w:cs="Times New Roman"/>
                      <w:b w:val="0"/>
                      <w:bCs w:val="0"/>
                      <w:color w:val="auto"/>
                      <w:spacing w:val="-3"/>
                      <w:sz w:val="21"/>
                      <w:szCs w:val="21"/>
                      <w:lang w:val="en-US" w:eastAsia="zh-CN"/>
                    </w:rPr>
                    <w:t>表2二级浓度限值</w:t>
                  </w:r>
                </w:p>
              </w:tc>
            </w:tr>
            <w:tr w14:paraId="06B76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27E10A4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b w:val="0"/>
                      <w:bCs w:val="0"/>
                      <w:color w:val="auto"/>
                      <w:spacing w:val="3"/>
                      <w:sz w:val="21"/>
                      <w:szCs w:val="21"/>
                    </w:rPr>
                  </w:pPr>
                </w:p>
              </w:tc>
              <w:tc>
                <w:tcPr>
                  <w:tcW w:w="1815" w:type="dxa"/>
                  <w:vMerge w:val="continue"/>
                  <w:vAlign w:val="top"/>
                </w:tcPr>
                <w:p w14:paraId="1C45CA8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b w:val="0"/>
                      <w:bCs w:val="0"/>
                      <w:color w:val="auto"/>
                      <w:spacing w:val="4"/>
                      <w:sz w:val="21"/>
                      <w:szCs w:val="21"/>
                    </w:rPr>
                  </w:pPr>
                </w:p>
              </w:tc>
              <w:tc>
                <w:tcPr>
                  <w:tcW w:w="1875" w:type="dxa"/>
                  <w:gridSpan w:val="2"/>
                  <w:vAlign w:val="center"/>
                </w:tcPr>
                <w:p w14:paraId="3CEA29B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cs="Times New Roman"/>
                      <w:b w:val="0"/>
                      <w:bCs w:val="0"/>
                      <w:color w:val="auto"/>
                      <w:spacing w:val="4"/>
                      <w:sz w:val="21"/>
                      <w:szCs w:val="21"/>
                    </w:rPr>
                  </w:pPr>
                  <w:r>
                    <w:rPr>
                      <w:rFonts w:hint="eastAsia" w:ascii="Times New Roman" w:hAnsi="Times New Roman" w:eastAsia="宋体" w:cs="Times New Roman"/>
                      <w:b w:val="0"/>
                      <w:bCs w:val="0"/>
                      <w:color w:val="auto"/>
                      <w:spacing w:val="4"/>
                      <w:sz w:val="21"/>
                      <w:szCs w:val="21"/>
                      <w:lang w:val="en-US" w:eastAsia="zh-CN"/>
                    </w:rPr>
                    <w:t>日</w:t>
                  </w:r>
                  <w:r>
                    <w:rPr>
                      <w:b w:val="0"/>
                      <w:bCs w:val="0"/>
                      <w:color w:val="auto"/>
                      <w:spacing w:val="4"/>
                      <w:sz w:val="21"/>
                      <w:szCs w:val="21"/>
                    </w:rPr>
                    <w:t>平均</w:t>
                  </w:r>
                </w:p>
              </w:tc>
              <w:tc>
                <w:tcPr>
                  <w:tcW w:w="992" w:type="dxa"/>
                  <w:vAlign w:val="center"/>
                </w:tcPr>
                <w:p w14:paraId="74A73EA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2"/>
                      <w:sz w:val="21"/>
                      <w:szCs w:val="21"/>
                      <w:lang w:val="en-US" w:eastAsia="zh-CN" w:bidi="ar-SA"/>
                    </w:rPr>
                    <w:t>300</w:t>
                  </w:r>
                </w:p>
              </w:tc>
              <w:tc>
                <w:tcPr>
                  <w:tcW w:w="1996" w:type="dxa"/>
                  <w:vMerge w:val="continue"/>
                  <w:vAlign w:val="center"/>
                </w:tcPr>
                <w:p w14:paraId="31710FD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val="0"/>
                      <w:bCs w:val="0"/>
                      <w:color w:val="auto"/>
                      <w:spacing w:val="6"/>
                      <w:sz w:val="21"/>
                      <w:szCs w:val="21"/>
                    </w:rPr>
                  </w:pPr>
                </w:p>
              </w:tc>
            </w:tr>
            <w:tr w14:paraId="21F4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restart"/>
                  <w:vAlign w:val="center"/>
                </w:tcPr>
                <w:p w14:paraId="7A3BC5F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r>
                    <w:rPr>
                      <w:rFonts w:hint="default" w:ascii="Times New Roman" w:hAnsi="Times New Roman" w:cs="Times New Roman"/>
                      <w:b w:val="0"/>
                      <w:bCs w:val="0"/>
                      <w:color w:val="auto"/>
                      <w:spacing w:val="4"/>
                      <w:sz w:val="21"/>
                      <w:szCs w:val="21"/>
                    </w:rPr>
                    <w:t>地表水</w:t>
                  </w:r>
                </w:p>
              </w:tc>
              <w:tc>
                <w:tcPr>
                  <w:tcW w:w="1815" w:type="dxa"/>
                  <w:vAlign w:val="center"/>
                </w:tcPr>
                <w:p w14:paraId="7F0D450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pH值(无量纲)</w:t>
                  </w:r>
                </w:p>
              </w:tc>
              <w:tc>
                <w:tcPr>
                  <w:tcW w:w="2867" w:type="dxa"/>
                  <w:gridSpan w:val="3"/>
                  <w:vAlign w:val="center"/>
                </w:tcPr>
                <w:p w14:paraId="4C08772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eastAsia="宋体"/>
                      <w:b/>
                      <w:bCs/>
                      <w:color w:val="auto"/>
                      <w:spacing w:val="5"/>
                      <w:sz w:val="21"/>
                      <w:szCs w:val="21"/>
                      <w:lang w:val="en-US" w:eastAsia="zh-CN"/>
                    </w:rPr>
                  </w:pPr>
                  <w:r>
                    <w:rPr>
                      <w:rFonts w:hint="eastAsia" w:ascii="Times New Roman" w:hAnsi="Times New Roman" w:cs="Times New Roman"/>
                      <w:b w:val="0"/>
                      <w:bCs w:val="0"/>
                      <w:color w:val="auto"/>
                      <w:spacing w:val="-3"/>
                      <w:sz w:val="21"/>
                      <w:szCs w:val="21"/>
                      <w:lang w:val="en-US" w:eastAsia="zh-CN"/>
                    </w:rPr>
                    <w:t>6-9</w:t>
                  </w:r>
                </w:p>
              </w:tc>
              <w:tc>
                <w:tcPr>
                  <w:tcW w:w="1996" w:type="dxa"/>
                  <w:vMerge w:val="restart"/>
                  <w:vAlign w:val="center"/>
                </w:tcPr>
                <w:p w14:paraId="3B7B678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r>
                    <w:rPr>
                      <w:rFonts w:hint="default" w:ascii="Times New Roman" w:hAnsi="Times New Roman" w:cs="Times New Roman"/>
                      <w:b w:val="0"/>
                      <w:bCs w:val="0"/>
                      <w:color w:val="auto"/>
                      <w:spacing w:val="-3"/>
                      <w:sz w:val="21"/>
                      <w:szCs w:val="21"/>
                    </w:rPr>
                    <w:t>《地表水环境质量标准》（GB3838-2002）中的Ⅲ类标准</w:t>
                  </w:r>
                </w:p>
              </w:tc>
            </w:tr>
            <w:tr w14:paraId="4C859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104AD50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03E7A20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溶解氧</w:t>
                  </w:r>
                  <w:r>
                    <w:rPr>
                      <w:rFonts w:hint="eastAsia" w:ascii="宋体" w:hAnsi="宋体" w:eastAsia="宋体" w:cs="宋体"/>
                      <w:b w:val="0"/>
                      <w:bCs w:val="0"/>
                      <w:color w:val="auto"/>
                      <w:spacing w:val="-3"/>
                      <w:sz w:val="21"/>
                      <w:szCs w:val="21"/>
                    </w:rPr>
                    <w:t>≧</w:t>
                  </w:r>
                </w:p>
              </w:tc>
              <w:tc>
                <w:tcPr>
                  <w:tcW w:w="2867" w:type="dxa"/>
                  <w:gridSpan w:val="3"/>
                  <w:vAlign w:val="center"/>
                </w:tcPr>
                <w:p w14:paraId="6D56DDF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5</w:t>
                  </w:r>
                </w:p>
              </w:tc>
              <w:tc>
                <w:tcPr>
                  <w:tcW w:w="1996" w:type="dxa"/>
                  <w:vMerge w:val="continue"/>
                  <w:vAlign w:val="center"/>
                </w:tcPr>
                <w:p w14:paraId="4F333F7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042D0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3FD4DD6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3869DCD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高锰酸盐指数</w:t>
                  </w:r>
                  <w:r>
                    <w:rPr>
                      <w:rFonts w:hint="eastAsia" w:ascii="宋体" w:hAnsi="宋体" w:eastAsia="宋体" w:cs="宋体"/>
                      <w:b w:val="0"/>
                      <w:bCs w:val="0"/>
                      <w:color w:val="auto"/>
                      <w:spacing w:val="-3"/>
                      <w:sz w:val="21"/>
                      <w:szCs w:val="21"/>
                    </w:rPr>
                    <w:t>≦</w:t>
                  </w:r>
                </w:p>
              </w:tc>
              <w:tc>
                <w:tcPr>
                  <w:tcW w:w="2867" w:type="dxa"/>
                  <w:gridSpan w:val="3"/>
                  <w:vAlign w:val="center"/>
                </w:tcPr>
                <w:p w14:paraId="509382C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6</w:t>
                  </w:r>
                </w:p>
              </w:tc>
              <w:tc>
                <w:tcPr>
                  <w:tcW w:w="1996" w:type="dxa"/>
                  <w:vMerge w:val="continue"/>
                  <w:vAlign w:val="center"/>
                </w:tcPr>
                <w:p w14:paraId="7C2FB39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30A7E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29F685B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21A4A3C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化学需氧量</w:t>
                  </w:r>
                  <w:r>
                    <w:rPr>
                      <w:rFonts w:hint="eastAsia" w:ascii="宋体" w:hAnsi="宋体" w:eastAsia="宋体" w:cs="宋体"/>
                      <w:b w:val="0"/>
                      <w:bCs w:val="0"/>
                      <w:color w:val="auto"/>
                      <w:spacing w:val="-3"/>
                      <w:sz w:val="21"/>
                      <w:szCs w:val="21"/>
                    </w:rPr>
                    <w:t>≦</w:t>
                  </w:r>
                </w:p>
              </w:tc>
              <w:tc>
                <w:tcPr>
                  <w:tcW w:w="2867" w:type="dxa"/>
                  <w:gridSpan w:val="3"/>
                  <w:vAlign w:val="center"/>
                </w:tcPr>
                <w:p w14:paraId="7D11EA1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20</w:t>
                  </w:r>
                </w:p>
              </w:tc>
              <w:tc>
                <w:tcPr>
                  <w:tcW w:w="1996" w:type="dxa"/>
                  <w:vMerge w:val="continue"/>
                  <w:vAlign w:val="center"/>
                </w:tcPr>
                <w:p w14:paraId="5AEEBE7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361A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1AB25BC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7F345DD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五日生化需氧量</w:t>
                  </w:r>
                  <w:r>
                    <w:rPr>
                      <w:rFonts w:hint="eastAsia" w:ascii="宋体" w:hAnsi="宋体" w:eastAsia="宋体" w:cs="宋体"/>
                      <w:b w:val="0"/>
                      <w:bCs w:val="0"/>
                      <w:color w:val="auto"/>
                      <w:spacing w:val="-3"/>
                      <w:sz w:val="21"/>
                      <w:szCs w:val="21"/>
                    </w:rPr>
                    <w:t>≦</w:t>
                  </w:r>
                </w:p>
              </w:tc>
              <w:tc>
                <w:tcPr>
                  <w:tcW w:w="2867" w:type="dxa"/>
                  <w:gridSpan w:val="3"/>
                  <w:vAlign w:val="center"/>
                </w:tcPr>
                <w:p w14:paraId="3E4390F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4</w:t>
                  </w:r>
                </w:p>
              </w:tc>
              <w:tc>
                <w:tcPr>
                  <w:tcW w:w="1996" w:type="dxa"/>
                  <w:vMerge w:val="continue"/>
                  <w:vAlign w:val="center"/>
                </w:tcPr>
                <w:p w14:paraId="6B48191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7A2A9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446739B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573E846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氨氮</w:t>
                  </w:r>
                  <w:r>
                    <w:rPr>
                      <w:rFonts w:hint="eastAsia" w:ascii="宋体" w:hAnsi="宋体" w:eastAsia="宋体" w:cs="宋体"/>
                      <w:b w:val="0"/>
                      <w:bCs w:val="0"/>
                      <w:color w:val="auto"/>
                      <w:spacing w:val="-3"/>
                      <w:sz w:val="21"/>
                      <w:szCs w:val="21"/>
                    </w:rPr>
                    <w:t>≦</w:t>
                  </w:r>
                </w:p>
              </w:tc>
              <w:tc>
                <w:tcPr>
                  <w:tcW w:w="2867" w:type="dxa"/>
                  <w:gridSpan w:val="3"/>
                  <w:vAlign w:val="center"/>
                </w:tcPr>
                <w:p w14:paraId="5F8DE5A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1.0</w:t>
                  </w:r>
                </w:p>
              </w:tc>
              <w:tc>
                <w:tcPr>
                  <w:tcW w:w="1996" w:type="dxa"/>
                  <w:vMerge w:val="continue"/>
                  <w:vAlign w:val="center"/>
                </w:tcPr>
                <w:p w14:paraId="34BC317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41AE2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5678BA2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6BC105F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总磷(以P计)</w:t>
                  </w:r>
                  <w:r>
                    <w:rPr>
                      <w:rFonts w:hint="eastAsia" w:ascii="宋体" w:hAnsi="宋体" w:eastAsia="宋体" w:cs="宋体"/>
                      <w:b w:val="0"/>
                      <w:bCs w:val="0"/>
                      <w:color w:val="auto"/>
                      <w:spacing w:val="-3"/>
                      <w:sz w:val="21"/>
                      <w:szCs w:val="21"/>
                    </w:rPr>
                    <w:t>≦</w:t>
                  </w:r>
                </w:p>
              </w:tc>
              <w:tc>
                <w:tcPr>
                  <w:tcW w:w="2867" w:type="dxa"/>
                  <w:gridSpan w:val="3"/>
                  <w:vAlign w:val="center"/>
                </w:tcPr>
                <w:p w14:paraId="18A3BCC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0.2</w:t>
                  </w:r>
                </w:p>
              </w:tc>
              <w:tc>
                <w:tcPr>
                  <w:tcW w:w="1996" w:type="dxa"/>
                  <w:vMerge w:val="continue"/>
                  <w:vAlign w:val="center"/>
                </w:tcPr>
                <w:p w14:paraId="16F09A2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2C65A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4F12127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7B7F1C9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铜</w:t>
                  </w:r>
                  <w:r>
                    <w:rPr>
                      <w:rFonts w:hint="eastAsia" w:ascii="宋体" w:hAnsi="宋体" w:eastAsia="宋体" w:cs="宋体"/>
                      <w:b w:val="0"/>
                      <w:bCs w:val="0"/>
                      <w:color w:val="auto"/>
                      <w:spacing w:val="-3"/>
                      <w:sz w:val="21"/>
                      <w:szCs w:val="21"/>
                    </w:rPr>
                    <w:t>≦</w:t>
                  </w:r>
                </w:p>
              </w:tc>
              <w:tc>
                <w:tcPr>
                  <w:tcW w:w="2867" w:type="dxa"/>
                  <w:gridSpan w:val="3"/>
                  <w:vAlign w:val="center"/>
                </w:tcPr>
                <w:p w14:paraId="3060B06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1.0</w:t>
                  </w:r>
                </w:p>
              </w:tc>
              <w:tc>
                <w:tcPr>
                  <w:tcW w:w="1996" w:type="dxa"/>
                  <w:vMerge w:val="continue"/>
                  <w:vAlign w:val="center"/>
                </w:tcPr>
                <w:p w14:paraId="07AAA4D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292CD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0E00BD4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6AF1CD6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锌</w:t>
                  </w:r>
                  <w:r>
                    <w:rPr>
                      <w:rFonts w:hint="eastAsia" w:ascii="宋体" w:hAnsi="宋体" w:eastAsia="宋体" w:cs="宋体"/>
                      <w:b w:val="0"/>
                      <w:bCs w:val="0"/>
                      <w:color w:val="auto"/>
                      <w:spacing w:val="-3"/>
                      <w:sz w:val="21"/>
                      <w:szCs w:val="21"/>
                    </w:rPr>
                    <w:t>≦</w:t>
                  </w:r>
                </w:p>
              </w:tc>
              <w:tc>
                <w:tcPr>
                  <w:tcW w:w="2867" w:type="dxa"/>
                  <w:gridSpan w:val="3"/>
                  <w:vAlign w:val="center"/>
                </w:tcPr>
                <w:p w14:paraId="33BF2A1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1.0</w:t>
                  </w:r>
                </w:p>
              </w:tc>
              <w:tc>
                <w:tcPr>
                  <w:tcW w:w="1996" w:type="dxa"/>
                  <w:vMerge w:val="continue"/>
                  <w:vAlign w:val="center"/>
                </w:tcPr>
                <w:p w14:paraId="36421E5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15CF4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786E08F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522B713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氟化物</w:t>
                  </w:r>
                  <w:r>
                    <w:rPr>
                      <w:rFonts w:hint="eastAsia" w:ascii="宋体" w:hAnsi="宋体" w:eastAsia="宋体" w:cs="宋体"/>
                      <w:b w:val="0"/>
                      <w:bCs w:val="0"/>
                      <w:color w:val="auto"/>
                      <w:spacing w:val="-3"/>
                      <w:sz w:val="21"/>
                      <w:szCs w:val="21"/>
                    </w:rPr>
                    <w:t>≦</w:t>
                  </w:r>
                </w:p>
              </w:tc>
              <w:tc>
                <w:tcPr>
                  <w:tcW w:w="2867" w:type="dxa"/>
                  <w:gridSpan w:val="3"/>
                  <w:vAlign w:val="center"/>
                </w:tcPr>
                <w:p w14:paraId="58322C9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1.0</w:t>
                  </w:r>
                </w:p>
              </w:tc>
              <w:tc>
                <w:tcPr>
                  <w:tcW w:w="1996" w:type="dxa"/>
                  <w:vMerge w:val="continue"/>
                  <w:vAlign w:val="center"/>
                </w:tcPr>
                <w:p w14:paraId="45273E6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5AE18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434EC1B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61B03D3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val="0"/>
                      <w:bCs w:val="0"/>
                      <w:color w:val="auto"/>
                      <w:spacing w:val="-3"/>
                      <w:sz w:val="21"/>
                      <w:szCs w:val="21"/>
                      <w:lang w:eastAsia="zh-CN"/>
                    </w:rPr>
                  </w:pPr>
                  <w:r>
                    <w:rPr>
                      <w:rFonts w:hint="eastAsia" w:ascii="Times New Roman" w:hAnsi="Times New Roman" w:cs="Times New Roman"/>
                      <w:b w:val="0"/>
                      <w:bCs w:val="0"/>
                      <w:color w:val="auto"/>
                      <w:spacing w:val="-3"/>
                      <w:sz w:val="21"/>
                      <w:szCs w:val="21"/>
                      <w:lang w:val="en-US" w:eastAsia="zh-CN"/>
                    </w:rPr>
                    <w:t>硒</w:t>
                  </w:r>
                  <w:r>
                    <w:rPr>
                      <w:rFonts w:hint="eastAsia" w:ascii="宋体" w:hAnsi="宋体" w:eastAsia="宋体" w:cs="宋体"/>
                      <w:b w:val="0"/>
                      <w:bCs w:val="0"/>
                      <w:color w:val="auto"/>
                      <w:spacing w:val="-3"/>
                      <w:sz w:val="21"/>
                      <w:szCs w:val="21"/>
                    </w:rPr>
                    <w:t>≦</w:t>
                  </w:r>
                </w:p>
              </w:tc>
              <w:tc>
                <w:tcPr>
                  <w:tcW w:w="2867" w:type="dxa"/>
                  <w:gridSpan w:val="3"/>
                  <w:vAlign w:val="center"/>
                </w:tcPr>
                <w:p w14:paraId="73F75A5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0.01</w:t>
                  </w:r>
                </w:p>
              </w:tc>
              <w:tc>
                <w:tcPr>
                  <w:tcW w:w="1996" w:type="dxa"/>
                  <w:vMerge w:val="continue"/>
                  <w:vAlign w:val="center"/>
                </w:tcPr>
                <w:p w14:paraId="185C30D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061AD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1845E02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50E387E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砷</w:t>
                  </w:r>
                  <w:r>
                    <w:rPr>
                      <w:rFonts w:hint="eastAsia" w:ascii="宋体" w:hAnsi="宋体" w:eastAsia="宋体" w:cs="宋体"/>
                      <w:b w:val="0"/>
                      <w:bCs w:val="0"/>
                      <w:color w:val="auto"/>
                      <w:spacing w:val="-3"/>
                      <w:sz w:val="21"/>
                      <w:szCs w:val="21"/>
                    </w:rPr>
                    <w:t>≦</w:t>
                  </w:r>
                </w:p>
              </w:tc>
              <w:tc>
                <w:tcPr>
                  <w:tcW w:w="2867" w:type="dxa"/>
                  <w:gridSpan w:val="3"/>
                  <w:vAlign w:val="center"/>
                </w:tcPr>
                <w:p w14:paraId="09E9705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0.05</w:t>
                  </w:r>
                </w:p>
              </w:tc>
              <w:tc>
                <w:tcPr>
                  <w:tcW w:w="1996" w:type="dxa"/>
                  <w:vMerge w:val="continue"/>
                  <w:vAlign w:val="center"/>
                </w:tcPr>
                <w:p w14:paraId="5834E35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792EE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3" w:type="dxa"/>
                  <w:vMerge w:val="continue"/>
                  <w:vAlign w:val="center"/>
                </w:tcPr>
                <w:p w14:paraId="6158C83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0B2A36F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汞</w:t>
                  </w:r>
                  <w:r>
                    <w:rPr>
                      <w:rFonts w:hint="eastAsia" w:ascii="宋体" w:hAnsi="宋体" w:eastAsia="宋体" w:cs="宋体"/>
                      <w:b w:val="0"/>
                      <w:bCs w:val="0"/>
                      <w:color w:val="auto"/>
                      <w:spacing w:val="-3"/>
                      <w:sz w:val="21"/>
                      <w:szCs w:val="21"/>
                    </w:rPr>
                    <w:t>≦</w:t>
                  </w:r>
                </w:p>
              </w:tc>
              <w:tc>
                <w:tcPr>
                  <w:tcW w:w="2867" w:type="dxa"/>
                  <w:gridSpan w:val="3"/>
                  <w:vAlign w:val="center"/>
                </w:tcPr>
                <w:p w14:paraId="15A4944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0.0001</w:t>
                  </w:r>
                </w:p>
              </w:tc>
              <w:tc>
                <w:tcPr>
                  <w:tcW w:w="1996" w:type="dxa"/>
                  <w:vMerge w:val="continue"/>
                  <w:vAlign w:val="center"/>
                </w:tcPr>
                <w:p w14:paraId="2DFFE22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0410F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263F4B7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2213CD5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镉</w:t>
                  </w:r>
                  <w:r>
                    <w:rPr>
                      <w:rFonts w:hint="eastAsia" w:ascii="宋体" w:hAnsi="宋体" w:eastAsia="宋体" w:cs="宋体"/>
                      <w:b w:val="0"/>
                      <w:bCs w:val="0"/>
                      <w:color w:val="auto"/>
                      <w:spacing w:val="-3"/>
                      <w:sz w:val="21"/>
                      <w:szCs w:val="21"/>
                    </w:rPr>
                    <w:t>≦</w:t>
                  </w:r>
                </w:p>
              </w:tc>
              <w:tc>
                <w:tcPr>
                  <w:tcW w:w="2867" w:type="dxa"/>
                  <w:gridSpan w:val="3"/>
                  <w:vAlign w:val="center"/>
                </w:tcPr>
                <w:p w14:paraId="4E2532D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0.005</w:t>
                  </w:r>
                </w:p>
              </w:tc>
              <w:tc>
                <w:tcPr>
                  <w:tcW w:w="1996" w:type="dxa"/>
                  <w:vMerge w:val="continue"/>
                  <w:vAlign w:val="center"/>
                </w:tcPr>
                <w:p w14:paraId="4CE3B21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56E6D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70DB76D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2D8EF41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铬(六价)</w:t>
                  </w:r>
                  <w:r>
                    <w:rPr>
                      <w:rFonts w:hint="eastAsia" w:ascii="宋体" w:hAnsi="宋体" w:eastAsia="宋体" w:cs="宋体"/>
                      <w:b w:val="0"/>
                      <w:bCs w:val="0"/>
                      <w:color w:val="auto"/>
                      <w:spacing w:val="-3"/>
                      <w:sz w:val="21"/>
                      <w:szCs w:val="21"/>
                    </w:rPr>
                    <w:t>≦</w:t>
                  </w:r>
                </w:p>
              </w:tc>
              <w:tc>
                <w:tcPr>
                  <w:tcW w:w="2867" w:type="dxa"/>
                  <w:gridSpan w:val="3"/>
                  <w:vAlign w:val="center"/>
                </w:tcPr>
                <w:p w14:paraId="207B2D1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0.05</w:t>
                  </w:r>
                </w:p>
              </w:tc>
              <w:tc>
                <w:tcPr>
                  <w:tcW w:w="1996" w:type="dxa"/>
                  <w:vMerge w:val="continue"/>
                  <w:vAlign w:val="center"/>
                </w:tcPr>
                <w:p w14:paraId="6E11BB3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65DB8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3B29092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392AA75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铅</w:t>
                  </w:r>
                  <w:r>
                    <w:rPr>
                      <w:rFonts w:hint="eastAsia" w:ascii="宋体" w:hAnsi="宋体" w:eastAsia="宋体" w:cs="宋体"/>
                      <w:b w:val="0"/>
                      <w:bCs w:val="0"/>
                      <w:color w:val="auto"/>
                      <w:spacing w:val="-3"/>
                      <w:sz w:val="21"/>
                      <w:szCs w:val="21"/>
                    </w:rPr>
                    <w:t>≦</w:t>
                  </w:r>
                </w:p>
              </w:tc>
              <w:tc>
                <w:tcPr>
                  <w:tcW w:w="2867" w:type="dxa"/>
                  <w:gridSpan w:val="3"/>
                  <w:vAlign w:val="center"/>
                </w:tcPr>
                <w:p w14:paraId="3EE3AB3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0.05</w:t>
                  </w:r>
                </w:p>
              </w:tc>
              <w:tc>
                <w:tcPr>
                  <w:tcW w:w="1996" w:type="dxa"/>
                  <w:vMerge w:val="continue"/>
                  <w:vAlign w:val="center"/>
                </w:tcPr>
                <w:p w14:paraId="7CD44E8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74D39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19A6A03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524B3C9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氰化物</w:t>
                  </w:r>
                  <w:r>
                    <w:rPr>
                      <w:rFonts w:hint="eastAsia" w:ascii="宋体" w:hAnsi="宋体" w:eastAsia="宋体" w:cs="宋体"/>
                      <w:b w:val="0"/>
                      <w:bCs w:val="0"/>
                      <w:color w:val="auto"/>
                      <w:spacing w:val="-3"/>
                      <w:sz w:val="21"/>
                      <w:szCs w:val="21"/>
                    </w:rPr>
                    <w:t>≦</w:t>
                  </w:r>
                </w:p>
              </w:tc>
              <w:tc>
                <w:tcPr>
                  <w:tcW w:w="2867" w:type="dxa"/>
                  <w:gridSpan w:val="3"/>
                  <w:vAlign w:val="center"/>
                </w:tcPr>
                <w:p w14:paraId="6AC544C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0.2</w:t>
                  </w:r>
                </w:p>
              </w:tc>
              <w:tc>
                <w:tcPr>
                  <w:tcW w:w="1996" w:type="dxa"/>
                  <w:vMerge w:val="continue"/>
                  <w:vAlign w:val="center"/>
                </w:tcPr>
                <w:p w14:paraId="5170BA4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328EF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345A24D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07A8604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挥发酚</w:t>
                  </w:r>
                  <w:r>
                    <w:rPr>
                      <w:rFonts w:hint="eastAsia" w:ascii="宋体" w:hAnsi="宋体" w:eastAsia="宋体" w:cs="宋体"/>
                      <w:b w:val="0"/>
                      <w:bCs w:val="0"/>
                      <w:color w:val="auto"/>
                      <w:spacing w:val="-3"/>
                      <w:sz w:val="21"/>
                      <w:szCs w:val="21"/>
                    </w:rPr>
                    <w:t>≦</w:t>
                  </w:r>
                </w:p>
              </w:tc>
              <w:tc>
                <w:tcPr>
                  <w:tcW w:w="2867" w:type="dxa"/>
                  <w:gridSpan w:val="3"/>
                  <w:vAlign w:val="center"/>
                </w:tcPr>
                <w:p w14:paraId="4668F97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0.005</w:t>
                  </w:r>
                </w:p>
              </w:tc>
              <w:tc>
                <w:tcPr>
                  <w:tcW w:w="1996" w:type="dxa"/>
                  <w:vMerge w:val="continue"/>
                  <w:vAlign w:val="center"/>
                </w:tcPr>
                <w:p w14:paraId="3452EC6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0A2F1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1305F2E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54A8EE3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石油类</w:t>
                  </w:r>
                  <w:r>
                    <w:rPr>
                      <w:rFonts w:hint="eastAsia" w:ascii="宋体" w:hAnsi="宋体" w:eastAsia="宋体" w:cs="宋体"/>
                      <w:b w:val="0"/>
                      <w:bCs w:val="0"/>
                      <w:color w:val="auto"/>
                      <w:spacing w:val="-3"/>
                      <w:sz w:val="21"/>
                      <w:szCs w:val="21"/>
                    </w:rPr>
                    <w:t>≦</w:t>
                  </w:r>
                </w:p>
              </w:tc>
              <w:tc>
                <w:tcPr>
                  <w:tcW w:w="2867" w:type="dxa"/>
                  <w:gridSpan w:val="3"/>
                  <w:vAlign w:val="center"/>
                </w:tcPr>
                <w:p w14:paraId="3CDB5DA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0.05</w:t>
                  </w:r>
                </w:p>
              </w:tc>
              <w:tc>
                <w:tcPr>
                  <w:tcW w:w="1996" w:type="dxa"/>
                  <w:vMerge w:val="continue"/>
                  <w:vAlign w:val="center"/>
                </w:tcPr>
                <w:p w14:paraId="390D221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5DB0F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73FCA0B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3A2303C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阴离子表面活性剂</w:t>
                  </w:r>
                  <w:r>
                    <w:rPr>
                      <w:rFonts w:hint="eastAsia" w:ascii="宋体" w:hAnsi="宋体" w:eastAsia="宋体" w:cs="宋体"/>
                      <w:b w:val="0"/>
                      <w:bCs w:val="0"/>
                      <w:color w:val="auto"/>
                      <w:spacing w:val="-3"/>
                      <w:sz w:val="21"/>
                      <w:szCs w:val="21"/>
                    </w:rPr>
                    <w:t>≦</w:t>
                  </w:r>
                </w:p>
              </w:tc>
              <w:tc>
                <w:tcPr>
                  <w:tcW w:w="2867" w:type="dxa"/>
                  <w:gridSpan w:val="3"/>
                  <w:vAlign w:val="center"/>
                </w:tcPr>
                <w:p w14:paraId="66CF6BA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0.2</w:t>
                  </w:r>
                </w:p>
              </w:tc>
              <w:tc>
                <w:tcPr>
                  <w:tcW w:w="1996" w:type="dxa"/>
                  <w:vMerge w:val="continue"/>
                  <w:vAlign w:val="center"/>
                </w:tcPr>
                <w:p w14:paraId="3D044F8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224CD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67E6157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0EC8D5B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硫化物</w:t>
                  </w:r>
                  <w:r>
                    <w:rPr>
                      <w:rFonts w:hint="eastAsia" w:ascii="宋体" w:hAnsi="宋体" w:eastAsia="宋体" w:cs="宋体"/>
                      <w:b w:val="0"/>
                      <w:bCs w:val="0"/>
                      <w:color w:val="auto"/>
                      <w:spacing w:val="-3"/>
                      <w:sz w:val="21"/>
                      <w:szCs w:val="21"/>
                    </w:rPr>
                    <w:t>≦</w:t>
                  </w:r>
                </w:p>
              </w:tc>
              <w:tc>
                <w:tcPr>
                  <w:tcW w:w="2867" w:type="dxa"/>
                  <w:gridSpan w:val="3"/>
                  <w:vAlign w:val="center"/>
                </w:tcPr>
                <w:p w14:paraId="25D5F30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0.2</w:t>
                  </w:r>
                </w:p>
              </w:tc>
              <w:tc>
                <w:tcPr>
                  <w:tcW w:w="1996" w:type="dxa"/>
                  <w:vMerge w:val="continue"/>
                  <w:vAlign w:val="center"/>
                </w:tcPr>
                <w:p w14:paraId="77921B0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51F31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3ECEDFA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Align w:val="center"/>
                </w:tcPr>
                <w:p w14:paraId="5398F76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粪大肠菌群(个L)</w:t>
                  </w:r>
                  <w:r>
                    <w:rPr>
                      <w:rFonts w:hint="eastAsia" w:ascii="宋体" w:hAnsi="宋体" w:eastAsia="宋体" w:cs="宋体"/>
                      <w:b w:val="0"/>
                      <w:bCs w:val="0"/>
                      <w:color w:val="auto"/>
                      <w:spacing w:val="-3"/>
                      <w:sz w:val="21"/>
                      <w:szCs w:val="21"/>
                    </w:rPr>
                    <w:t>≦</w:t>
                  </w:r>
                </w:p>
              </w:tc>
              <w:tc>
                <w:tcPr>
                  <w:tcW w:w="2867" w:type="dxa"/>
                  <w:gridSpan w:val="3"/>
                  <w:vAlign w:val="center"/>
                </w:tcPr>
                <w:p w14:paraId="5927A29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10000</w:t>
                  </w:r>
                </w:p>
              </w:tc>
              <w:tc>
                <w:tcPr>
                  <w:tcW w:w="1996" w:type="dxa"/>
                  <w:vMerge w:val="continue"/>
                  <w:vAlign w:val="center"/>
                </w:tcPr>
                <w:p w14:paraId="11A275E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r w14:paraId="05697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restart"/>
                  <w:vAlign w:val="center"/>
                </w:tcPr>
                <w:p w14:paraId="41FD7C9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声环境</w:t>
                  </w:r>
                </w:p>
              </w:tc>
              <w:tc>
                <w:tcPr>
                  <w:tcW w:w="1815" w:type="dxa"/>
                  <w:vMerge w:val="restart"/>
                  <w:vAlign w:val="center"/>
                </w:tcPr>
                <w:p w14:paraId="3B56DCE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r>
                    <w:rPr>
                      <w:rFonts w:hint="eastAsia" w:ascii="Times New Roman" w:hAnsi="Times New Roman" w:cs="Times New Roman"/>
                      <w:b w:val="0"/>
                      <w:bCs w:val="0"/>
                      <w:color w:val="auto"/>
                      <w:spacing w:val="-3"/>
                      <w:sz w:val="21"/>
                      <w:szCs w:val="21"/>
                    </w:rPr>
                    <w:t>连续等效A声级</w:t>
                  </w:r>
                </w:p>
              </w:tc>
              <w:tc>
                <w:tcPr>
                  <w:tcW w:w="1433" w:type="dxa"/>
                  <w:vAlign w:val="center"/>
                </w:tcPr>
                <w:p w14:paraId="01AABE9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昼间</w:t>
                  </w:r>
                </w:p>
              </w:tc>
              <w:tc>
                <w:tcPr>
                  <w:tcW w:w="1434" w:type="dxa"/>
                  <w:gridSpan w:val="2"/>
                  <w:vAlign w:val="center"/>
                </w:tcPr>
                <w:p w14:paraId="108199B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≤55dB（A）</w:t>
                  </w:r>
                </w:p>
              </w:tc>
              <w:tc>
                <w:tcPr>
                  <w:tcW w:w="1996" w:type="dxa"/>
                  <w:vMerge w:val="restart"/>
                  <w:vAlign w:val="center"/>
                </w:tcPr>
                <w:p w14:paraId="79973B74">
                  <w:pPr>
                    <w:pStyle w:val="65"/>
                    <w:keepNext w:val="0"/>
                    <w:keepLines w:val="0"/>
                    <w:pageBreakBefore w:val="0"/>
                    <w:widowControl w:val="0"/>
                    <w:kinsoku/>
                    <w:wordWrap/>
                    <w:overflowPunct/>
                    <w:topLinePunct w:val="0"/>
                    <w:autoSpaceDE/>
                    <w:autoSpaceDN/>
                    <w:bidi w:val="0"/>
                    <w:adjustRightInd w:val="0"/>
                    <w:snapToGrid w:val="0"/>
                    <w:spacing w:line="240" w:lineRule="auto"/>
                    <w:textAlignment w:val="auto"/>
                    <w:rPr>
                      <w:b/>
                      <w:bCs/>
                      <w:color w:val="auto"/>
                      <w:spacing w:val="6"/>
                      <w:sz w:val="21"/>
                      <w:szCs w:val="21"/>
                    </w:rPr>
                  </w:pPr>
                  <w:r>
                    <w:rPr>
                      <w:rFonts w:hint="default" w:ascii="Times New Roman" w:hAnsi="Times New Roman" w:cs="Times New Roman"/>
                      <w:b w:val="0"/>
                      <w:bCs w:val="0"/>
                      <w:color w:val="auto"/>
                      <w:spacing w:val="-3"/>
                      <w:sz w:val="21"/>
                      <w:szCs w:val="21"/>
                    </w:rPr>
                    <w:t>《声环境质量标准》（GB3096-2008）中</w:t>
                  </w:r>
                  <w:r>
                    <w:rPr>
                      <w:rFonts w:hint="eastAsia" w:ascii="Times New Roman" w:hAnsi="Times New Roman" w:cs="Times New Roman"/>
                      <w:b w:val="0"/>
                      <w:bCs w:val="0"/>
                      <w:color w:val="auto"/>
                      <w:spacing w:val="-3"/>
                      <w:sz w:val="21"/>
                      <w:szCs w:val="21"/>
                      <w:lang w:val="en-US" w:eastAsia="zh-CN"/>
                    </w:rPr>
                    <w:t>1</w:t>
                  </w:r>
                  <w:r>
                    <w:rPr>
                      <w:rFonts w:hint="default" w:ascii="Times New Roman" w:hAnsi="Times New Roman" w:cs="Times New Roman"/>
                      <w:b w:val="0"/>
                      <w:bCs w:val="0"/>
                      <w:color w:val="auto"/>
                      <w:spacing w:val="-3"/>
                      <w:sz w:val="21"/>
                      <w:szCs w:val="21"/>
                    </w:rPr>
                    <w:t>类标准</w:t>
                  </w:r>
                </w:p>
              </w:tc>
            </w:tr>
            <w:tr w14:paraId="7E20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3" w:type="dxa"/>
                  <w:vMerge w:val="continue"/>
                  <w:vAlign w:val="center"/>
                </w:tcPr>
                <w:p w14:paraId="23EBFC44">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color w:val="auto"/>
                      <w:spacing w:val="6"/>
                      <w:sz w:val="20"/>
                      <w:szCs w:val="20"/>
                    </w:rPr>
                  </w:pPr>
                </w:p>
              </w:tc>
              <w:tc>
                <w:tcPr>
                  <w:tcW w:w="1815" w:type="dxa"/>
                  <w:vMerge w:val="continue"/>
                  <w:vAlign w:val="center"/>
                </w:tcPr>
                <w:p w14:paraId="57D7629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rPr>
                  </w:pPr>
                </w:p>
              </w:tc>
              <w:tc>
                <w:tcPr>
                  <w:tcW w:w="1433" w:type="dxa"/>
                  <w:vAlign w:val="center"/>
                </w:tcPr>
                <w:p w14:paraId="602407F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夜间</w:t>
                  </w:r>
                </w:p>
              </w:tc>
              <w:tc>
                <w:tcPr>
                  <w:tcW w:w="1434" w:type="dxa"/>
                  <w:gridSpan w:val="2"/>
                  <w:vAlign w:val="center"/>
                </w:tcPr>
                <w:p w14:paraId="7F96766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cs="Times New Roman"/>
                      <w:b w:val="0"/>
                      <w:bCs w:val="0"/>
                      <w:color w:val="auto"/>
                      <w:spacing w:val="-3"/>
                      <w:sz w:val="21"/>
                      <w:szCs w:val="21"/>
                      <w:lang w:val="en-US" w:eastAsia="zh-CN"/>
                    </w:rPr>
                  </w:pPr>
                  <w:r>
                    <w:rPr>
                      <w:rFonts w:hint="eastAsia" w:ascii="Times New Roman" w:hAnsi="Times New Roman" w:cs="Times New Roman"/>
                      <w:b w:val="0"/>
                      <w:bCs w:val="0"/>
                      <w:color w:val="auto"/>
                      <w:spacing w:val="-3"/>
                      <w:sz w:val="21"/>
                      <w:szCs w:val="21"/>
                      <w:lang w:val="en-US" w:eastAsia="zh-CN"/>
                    </w:rPr>
                    <w:t>≤45dB（A）</w:t>
                  </w:r>
                </w:p>
              </w:tc>
              <w:tc>
                <w:tcPr>
                  <w:tcW w:w="1996" w:type="dxa"/>
                  <w:vMerge w:val="continue"/>
                  <w:vAlign w:val="center"/>
                </w:tcPr>
                <w:p w14:paraId="2B6CE94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b/>
                      <w:bCs/>
                      <w:color w:val="auto"/>
                      <w:spacing w:val="6"/>
                      <w:sz w:val="21"/>
                      <w:szCs w:val="21"/>
                    </w:rPr>
                  </w:pPr>
                </w:p>
              </w:tc>
            </w:tr>
          </w:tbl>
          <w:p w14:paraId="6417C763">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auto"/>
              <w:rPr>
                <w:rFonts w:ascii="Times New Roman" w:hAnsi="Times New Roman" w:eastAsia="Times New Roman" w:cs="Times New Roman"/>
                <w:color w:val="auto"/>
                <w:spacing w:val="-2"/>
                <w:sz w:val="24"/>
                <w:szCs w:val="24"/>
              </w:rPr>
            </w:pPr>
            <w:r>
              <w:rPr>
                <w:rFonts w:ascii="Times New Roman" w:hAnsi="Times New Roman" w:eastAsia="Times New Roman" w:cs="Times New Roman"/>
                <w:color w:val="auto"/>
                <w:spacing w:val="-2"/>
                <w:sz w:val="24"/>
                <w:szCs w:val="24"/>
              </w:rPr>
              <w:t>二、污染物排放标准</w:t>
            </w:r>
          </w:p>
          <w:p w14:paraId="28784795">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auto"/>
              <w:rPr>
                <w:rFonts w:ascii="Times New Roman" w:hAnsi="Times New Roman" w:eastAsia="Times New Roman" w:cs="Times New Roman"/>
                <w:color w:val="auto"/>
                <w:spacing w:val="-2"/>
                <w:sz w:val="24"/>
                <w:szCs w:val="24"/>
              </w:rPr>
            </w:pPr>
            <w:r>
              <w:rPr>
                <w:rFonts w:hint="eastAsia" w:ascii="Times New Roman" w:hAnsi="Times New Roman" w:eastAsia="宋体" w:cs="Times New Roman"/>
                <w:color w:val="auto"/>
                <w:spacing w:val="-2"/>
                <w:sz w:val="24"/>
                <w:szCs w:val="24"/>
                <w:lang w:eastAsia="zh-CN"/>
              </w:rPr>
              <w:t>1.</w:t>
            </w:r>
            <w:r>
              <w:rPr>
                <w:rFonts w:ascii="Times New Roman" w:hAnsi="Times New Roman" w:eastAsia="Times New Roman" w:cs="Times New Roman"/>
                <w:color w:val="auto"/>
                <w:spacing w:val="-2"/>
                <w:sz w:val="24"/>
                <w:szCs w:val="24"/>
              </w:rPr>
              <w:t>废气</w:t>
            </w:r>
          </w:p>
          <w:p w14:paraId="0A1A334B">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auto"/>
              <w:rPr>
                <w:rFonts w:ascii="Times New Roman" w:hAnsi="Times New Roman" w:eastAsia="Times New Roman" w:cs="Times New Roman"/>
                <w:color w:val="auto"/>
                <w:spacing w:val="-2"/>
                <w:sz w:val="24"/>
                <w:szCs w:val="24"/>
              </w:rPr>
            </w:pPr>
            <w:r>
              <w:rPr>
                <w:rFonts w:ascii="Times New Roman" w:hAnsi="Times New Roman" w:eastAsia="Times New Roman" w:cs="Times New Roman"/>
                <w:color w:val="auto"/>
                <w:spacing w:val="-2"/>
                <w:sz w:val="24"/>
                <w:szCs w:val="24"/>
              </w:rPr>
              <w:t>施工期：执行《大气污染物综合排放标准》（GB16297—1996）二级标准。</w:t>
            </w:r>
          </w:p>
          <w:p w14:paraId="7B26B1F6">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auto"/>
              <w:rPr>
                <w:rFonts w:hint="eastAsia" w:ascii="Times New Roman" w:hAnsi="Times New Roman" w:eastAsia="宋体" w:cs="Times New Roman"/>
                <w:color w:val="auto"/>
                <w:spacing w:val="-2"/>
                <w:sz w:val="24"/>
                <w:szCs w:val="24"/>
                <w:lang w:val="en-US" w:eastAsia="zh-CN"/>
              </w:rPr>
            </w:pPr>
            <w:r>
              <w:rPr>
                <w:rFonts w:hint="eastAsia" w:ascii="Times New Roman" w:hAnsi="Times New Roman" w:eastAsia="宋体" w:cs="Times New Roman"/>
                <w:color w:val="auto"/>
                <w:spacing w:val="-2"/>
                <w:sz w:val="24"/>
                <w:szCs w:val="24"/>
                <w:lang w:val="en-US" w:eastAsia="zh-CN"/>
              </w:rPr>
              <w:t>2.废水</w:t>
            </w:r>
          </w:p>
          <w:p w14:paraId="5FF98CA8">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auto"/>
              <w:rPr>
                <w:rFonts w:hint="default" w:ascii="Times New Roman" w:hAnsi="Times New Roman" w:eastAsia="宋体" w:cs="Times New Roman"/>
                <w:color w:val="auto"/>
                <w:spacing w:val="-2"/>
                <w:sz w:val="24"/>
                <w:szCs w:val="24"/>
                <w:lang w:val="en-US" w:eastAsia="zh-CN"/>
              </w:rPr>
            </w:pPr>
            <w:r>
              <w:rPr>
                <w:rFonts w:hint="eastAsia" w:ascii="Times New Roman" w:hAnsi="Times New Roman" w:eastAsia="宋体" w:cs="Times New Roman"/>
                <w:color w:val="auto"/>
                <w:spacing w:val="-2"/>
                <w:sz w:val="24"/>
                <w:szCs w:val="24"/>
                <w:lang w:val="en-US" w:eastAsia="zh-CN"/>
              </w:rPr>
              <w:t>施工期废水执行施工期间废水执行《污水综合排放标准》(GB8978-1996)三级标准。</w:t>
            </w:r>
          </w:p>
          <w:p w14:paraId="5AA9D2EE">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auto"/>
              <w:rPr>
                <w:rFonts w:ascii="Times New Roman" w:hAnsi="Times New Roman" w:eastAsia="Times New Roman" w:cs="Times New Roman"/>
                <w:color w:val="auto"/>
                <w:spacing w:val="-2"/>
                <w:sz w:val="24"/>
                <w:szCs w:val="24"/>
              </w:rPr>
            </w:pPr>
            <w:r>
              <w:rPr>
                <w:rFonts w:hint="eastAsia" w:ascii="Times New Roman" w:hAnsi="Times New Roman" w:cs="Times New Roman"/>
                <w:color w:val="auto"/>
                <w:spacing w:val="-2"/>
                <w:sz w:val="24"/>
                <w:szCs w:val="24"/>
                <w:lang w:val="en-US" w:eastAsia="zh-CN"/>
              </w:rPr>
              <w:t>3</w:t>
            </w:r>
            <w:r>
              <w:rPr>
                <w:rFonts w:hint="eastAsia" w:ascii="Times New Roman" w:hAnsi="Times New Roman" w:eastAsia="宋体" w:cs="Times New Roman"/>
                <w:color w:val="auto"/>
                <w:spacing w:val="-2"/>
                <w:sz w:val="24"/>
                <w:szCs w:val="24"/>
                <w:lang w:eastAsia="zh-CN"/>
              </w:rPr>
              <w:t>.</w:t>
            </w:r>
            <w:r>
              <w:rPr>
                <w:rFonts w:ascii="Times New Roman" w:hAnsi="Times New Roman" w:eastAsia="Times New Roman" w:cs="Times New Roman"/>
                <w:color w:val="auto"/>
                <w:spacing w:val="-2"/>
                <w:sz w:val="24"/>
                <w:szCs w:val="24"/>
              </w:rPr>
              <w:t>噪声</w:t>
            </w:r>
          </w:p>
          <w:p w14:paraId="4C1F70DC">
            <w:pPr>
              <w:pStyle w:val="73"/>
              <w:keepNext w:val="0"/>
              <w:keepLines w:val="0"/>
              <w:pageBreakBefore w:val="0"/>
              <w:widowControl w:val="0"/>
              <w:kinsoku/>
              <w:wordWrap/>
              <w:overflowPunct/>
              <w:topLinePunct w:val="0"/>
              <w:autoSpaceDE/>
              <w:autoSpaceDN/>
              <w:bidi w:val="0"/>
              <w:adjustRightInd w:val="0"/>
              <w:snapToGrid w:val="0"/>
              <w:spacing w:before="0" w:line="360" w:lineRule="auto"/>
              <w:ind w:firstLine="472" w:firstLineChars="200"/>
              <w:textAlignment w:val="auto"/>
              <w:rPr>
                <w:rFonts w:hint="eastAsia" w:ascii="Times New Roman" w:hAnsi="Times New Roman" w:eastAsia="宋体" w:cs="Times New Roman"/>
                <w:color w:val="auto"/>
                <w:szCs w:val="24"/>
                <w:lang w:eastAsia="zh-CN"/>
              </w:rPr>
            </w:pPr>
            <w:r>
              <w:rPr>
                <w:rFonts w:ascii="Times New Roman" w:hAnsi="Times New Roman" w:eastAsia="Times New Roman" w:cs="Times New Roman"/>
                <w:color w:val="auto"/>
                <w:spacing w:val="-2"/>
                <w:sz w:val="24"/>
                <w:szCs w:val="24"/>
              </w:rPr>
              <w:t>施工期噪声执行《</w:t>
            </w:r>
            <w:r>
              <w:rPr>
                <w:rFonts w:hint="eastAsia" w:ascii="Times New Roman" w:hAnsi="Times New Roman" w:eastAsia="Times New Roman" w:cs="Times New Roman"/>
                <w:color w:val="auto"/>
                <w:spacing w:val="-2"/>
                <w:sz w:val="24"/>
                <w:szCs w:val="24"/>
              </w:rPr>
              <w:t>建筑施工噪声排放标准</w:t>
            </w:r>
            <w:r>
              <w:rPr>
                <w:rFonts w:ascii="Times New Roman" w:hAnsi="Times New Roman" w:eastAsia="Times New Roman" w:cs="Times New Roman"/>
                <w:color w:val="auto"/>
                <w:spacing w:val="-2"/>
                <w:sz w:val="24"/>
                <w:szCs w:val="24"/>
              </w:rPr>
              <w:t>》（GB12523-20</w:t>
            </w:r>
            <w:r>
              <w:rPr>
                <w:rFonts w:hint="eastAsia" w:ascii="Times New Roman" w:eastAsia="宋体" w:cs="Times New Roman"/>
                <w:color w:val="auto"/>
                <w:spacing w:val="-2"/>
                <w:sz w:val="24"/>
                <w:szCs w:val="24"/>
                <w:lang w:val="en-US" w:eastAsia="zh-CN"/>
              </w:rPr>
              <w:t>25</w:t>
            </w:r>
            <w:r>
              <w:rPr>
                <w:rFonts w:ascii="Times New Roman" w:hAnsi="Times New Roman" w:eastAsia="Times New Roman" w:cs="Times New Roman"/>
                <w:color w:val="auto"/>
                <w:spacing w:val="-2"/>
                <w:sz w:val="24"/>
                <w:szCs w:val="24"/>
              </w:rPr>
              <w:t>）要求。</w:t>
            </w:r>
          </w:p>
          <w:p w14:paraId="3DD24EE7">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auto"/>
              <w:rPr>
                <w:rFonts w:ascii="Times New Roman" w:hAnsi="Times New Roman" w:eastAsia="Times New Roman" w:cs="Times New Roman"/>
                <w:color w:val="auto"/>
                <w:spacing w:val="-2"/>
                <w:sz w:val="24"/>
                <w:szCs w:val="24"/>
              </w:rPr>
            </w:pPr>
            <w:r>
              <w:rPr>
                <w:rFonts w:hint="eastAsia" w:ascii="Times New Roman" w:hAnsi="Times New Roman" w:cs="Times New Roman"/>
                <w:color w:val="auto"/>
                <w:spacing w:val="-2"/>
                <w:sz w:val="24"/>
                <w:szCs w:val="24"/>
                <w:lang w:val="en-US" w:eastAsia="zh-CN"/>
              </w:rPr>
              <w:t>4.</w:t>
            </w:r>
            <w:r>
              <w:rPr>
                <w:rFonts w:ascii="Times New Roman" w:hAnsi="Times New Roman" w:eastAsia="Times New Roman" w:cs="Times New Roman"/>
                <w:color w:val="auto"/>
                <w:spacing w:val="-2"/>
                <w:sz w:val="24"/>
                <w:szCs w:val="24"/>
              </w:rPr>
              <w:t>固废</w:t>
            </w:r>
          </w:p>
          <w:p w14:paraId="7A211B59">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auto"/>
              <w:rPr>
                <w:rFonts w:hint="eastAsia" w:ascii="Times New Roman" w:hAnsi="Times New Roman" w:eastAsia="Times New Roman" w:cs="Times New Roman"/>
                <w:color w:val="auto"/>
                <w:spacing w:val="-2"/>
                <w:sz w:val="24"/>
                <w:szCs w:val="24"/>
                <w:lang w:val="en-US" w:eastAsia="zh-CN"/>
              </w:rPr>
            </w:pPr>
            <w:r>
              <w:rPr>
                <w:rFonts w:hint="eastAsia" w:ascii="Times New Roman" w:hAnsi="Times New Roman" w:eastAsia="Times New Roman" w:cs="Times New Roman"/>
                <w:color w:val="auto"/>
                <w:spacing w:val="-2"/>
                <w:sz w:val="24"/>
                <w:szCs w:val="24"/>
                <w:lang w:val="en-US" w:eastAsia="zh-CN"/>
              </w:rPr>
              <w:t>建筑垃圾及弃土拉运至相关政府部门指定建筑垃圾填埋场及弃渣场，</w:t>
            </w:r>
            <w:r>
              <w:rPr>
                <w:rFonts w:ascii="Times New Roman" w:hAnsi="Times New Roman" w:eastAsia="Times New Roman" w:cs="Times New Roman"/>
                <w:color w:val="auto"/>
                <w:spacing w:val="-2"/>
                <w:sz w:val="24"/>
                <w:szCs w:val="24"/>
              </w:rPr>
              <w:t>执行</w:t>
            </w:r>
            <w:r>
              <w:rPr>
                <w:rFonts w:hint="eastAsia" w:ascii="Times New Roman" w:hAnsi="Times New Roman" w:eastAsia="宋体" w:cs="Times New Roman"/>
                <w:color w:val="auto"/>
                <w:spacing w:val="-2"/>
                <w:sz w:val="24"/>
                <w:szCs w:val="24"/>
                <w:lang w:eastAsia="zh-CN"/>
              </w:rPr>
              <w:t>《一般工业固体废物贮存和填埋污染控制标准》（GB18599-2020）</w:t>
            </w:r>
            <w:r>
              <w:rPr>
                <w:rFonts w:hint="eastAsia" w:ascii="Times New Roman" w:hAnsi="Times New Roman" w:eastAsia="宋体" w:cs="Times New Roman"/>
                <w:color w:val="auto"/>
                <w:spacing w:val="-2"/>
                <w:sz w:val="24"/>
                <w:szCs w:val="24"/>
                <w:lang w:val="en-US" w:eastAsia="zh-CN"/>
              </w:rPr>
              <w:t>相关规定</w:t>
            </w:r>
            <w:r>
              <w:rPr>
                <w:rFonts w:ascii="Times New Roman" w:hAnsi="Times New Roman" w:eastAsia="Times New Roman" w:cs="Times New Roman"/>
                <w:color w:val="auto"/>
                <w:spacing w:val="-2"/>
                <w:sz w:val="24"/>
                <w:szCs w:val="24"/>
              </w:rPr>
              <w:t>。具体污染物排放标准见下表</w:t>
            </w:r>
            <w:r>
              <w:rPr>
                <w:rFonts w:hint="eastAsia" w:ascii="Times New Roman" w:hAnsi="Times New Roman" w:eastAsia="宋体" w:cs="Times New Roman"/>
                <w:color w:val="auto"/>
                <w:spacing w:val="-2"/>
                <w:sz w:val="24"/>
                <w:szCs w:val="24"/>
                <w:lang w:val="en-US" w:eastAsia="zh-CN"/>
              </w:rPr>
              <w:t>3-</w:t>
            </w:r>
            <w:r>
              <w:rPr>
                <w:rFonts w:hint="eastAsia" w:ascii="Times New Roman" w:hAnsi="Times New Roman" w:cs="Times New Roman"/>
                <w:color w:val="auto"/>
                <w:spacing w:val="-2"/>
                <w:sz w:val="24"/>
                <w:szCs w:val="24"/>
                <w:lang w:val="en-US" w:eastAsia="zh-CN"/>
              </w:rPr>
              <w:t>9</w:t>
            </w:r>
            <w:r>
              <w:rPr>
                <w:rFonts w:ascii="Times New Roman" w:hAnsi="Times New Roman" w:eastAsia="Times New Roman" w:cs="Times New Roman"/>
                <w:color w:val="auto"/>
                <w:spacing w:val="-2"/>
                <w:sz w:val="24"/>
                <w:szCs w:val="24"/>
              </w:rPr>
              <w:t>。</w:t>
            </w:r>
          </w:p>
          <w:p w14:paraId="539D5B96">
            <w:pPr>
              <w:pStyle w:val="65"/>
              <w:keepNext w:val="0"/>
              <w:keepLines w:val="0"/>
              <w:pageBreakBefore w:val="0"/>
              <w:widowControl w:val="0"/>
              <w:numPr>
                <w:ilvl w:val="0"/>
                <w:numId w:val="25"/>
              </w:numPr>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b/>
                <w:bCs/>
                <w:color w:val="auto"/>
                <w:spacing w:val="5"/>
                <w:sz w:val="24"/>
                <w:szCs w:val="24"/>
                <w:lang w:val="en-US" w:eastAsia="en-US"/>
              </w:rPr>
            </w:pPr>
            <w:r>
              <w:rPr>
                <w:rFonts w:hint="eastAsia"/>
                <w:b/>
                <w:bCs/>
                <w:color w:val="auto"/>
                <w:spacing w:val="5"/>
                <w:sz w:val="24"/>
                <w:szCs w:val="24"/>
                <w:lang w:val="en-US" w:eastAsia="zh-CN"/>
              </w:rPr>
              <w:t xml:space="preserve"> </w:t>
            </w:r>
            <w:r>
              <w:rPr>
                <w:rFonts w:hint="eastAsia"/>
                <w:b/>
                <w:bCs/>
                <w:color w:val="auto"/>
                <w:spacing w:val="5"/>
                <w:sz w:val="24"/>
                <w:szCs w:val="24"/>
                <w:lang w:val="en-US" w:eastAsia="en-US"/>
              </w:rPr>
              <w:t>污染物排放标准一览表</w:t>
            </w:r>
          </w:p>
          <w:tbl>
            <w:tblPr>
              <w:tblStyle w:val="54"/>
              <w:tblW w:w="7859"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
              <w:gridCol w:w="440"/>
              <w:gridCol w:w="1139"/>
              <w:gridCol w:w="1239"/>
              <w:gridCol w:w="1253"/>
              <w:gridCol w:w="3088"/>
            </w:tblGrid>
            <w:tr w14:paraId="753A2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trPr>
              <w:tc>
                <w:tcPr>
                  <w:tcW w:w="700" w:type="dxa"/>
                  <w:vAlign w:val="center"/>
                </w:tcPr>
                <w:p w14:paraId="6E0D47A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3"/>
                      <w:sz w:val="21"/>
                      <w:szCs w:val="21"/>
                    </w:rPr>
                    <w:t>类别</w:t>
                  </w:r>
                </w:p>
              </w:tc>
              <w:tc>
                <w:tcPr>
                  <w:tcW w:w="1579" w:type="dxa"/>
                  <w:gridSpan w:val="2"/>
                  <w:vAlign w:val="center"/>
                </w:tcPr>
                <w:p w14:paraId="5ED26B7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13"/>
                      <w:sz w:val="21"/>
                      <w:szCs w:val="21"/>
                    </w:rPr>
                    <w:t>污染物名称</w:t>
                  </w:r>
                </w:p>
              </w:tc>
              <w:tc>
                <w:tcPr>
                  <w:tcW w:w="2492" w:type="dxa"/>
                  <w:gridSpan w:val="2"/>
                  <w:vAlign w:val="center"/>
                </w:tcPr>
                <w:p w14:paraId="2FDEDC5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5"/>
                      <w:sz w:val="21"/>
                      <w:szCs w:val="21"/>
                    </w:rPr>
                    <w:t>标准值</w:t>
                  </w:r>
                </w:p>
              </w:tc>
              <w:tc>
                <w:tcPr>
                  <w:tcW w:w="3088" w:type="dxa"/>
                  <w:vAlign w:val="center"/>
                </w:tcPr>
                <w:p w14:paraId="3448406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6"/>
                      <w:sz w:val="21"/>
                      <w:szCs w:val="21"/>
                    </w:rPr>
                    <w:t>执行标准</w:t>
                  </w:r>
                </w:p>
              </w:tc>
            </w:tr>
            <w:tr w14:paraId="217B3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trPr>
              <w:tc>
                <w:tcPr>
                  <w:tcW w:w="700" w:type="dxa"/>
                  <w:vAlign w:val="center"/>
                </w:tcPr>
                <w:p w14:paraId="79DE85C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5"/>
                      <w:sz w:val="21"/>
                      <w:szCs w:val="21"/>
                    </w:rPr>
                    <w:t>废气</w:t>
                  </w:r>
                </w:p>
              </w:tc>
              <w:tc>
                <w:tcPr>
                  <w:tcW w:w="1579" w:type="dxa"/>
                  <w:gridSpan w:val="2"/>
                  <w:vAlign w:val="center"/>
                </w:tcPr>
                <w:p w14:paraId="4AD5094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6"/>
                      <w:sz w:val="21"/>
                      <w:szCs w:val="21"/>
                    </w:rPr>
                    <w:t>颗粒物</w:t>
                  </w:r>
                </w:p>
              </w:tc>
              <w:tc>
                <w:tcPr>
                  <w:tcW w:w="2492" w:type="dxa"/>
                  <w:gridSpan w:val="2"/>
                  <w:vAlign w:val="center"/>
                </w:tcPr>
                <w:p w14:paraId="3B4600C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Times New Roman" w:hAnsi="Times New Roman" w:eastAsia="宋体" w:cs="Times New Roman"/>
                      <w:color w:val="auto"/>
                      <w:sz w:val="21"/>
                      <w:szCs w:val="21"/>
                      <w:lang w:val="en-US" w:eastAsia="zh-CN"/>
                    </w:rPr>
                  </w:pPr>
                  <w:r>
                    <w:rPr>
                      <w:color w:val="auto"/>
                      <w:spacing w:val="8"/>
                      <w:sz w:val="21"/>
                      <w:szCs w:val="21"/>
                    </w:rPr>
                    <w:t>周界外浓度最高点</w:t>
                  </w:r>
                  <w:r>
                    <w:rPr>
                      <w:rFonts w:ascii="Times New Roman" w:hAnsi="Times New Roman" w:eastAsia="Times New Roman" w:cs="Times New Roman"/>
                      <w:color w:val="auto"/>
                      <w:spacing w:val="2"/>
                      <w:sz w:val="21"/>
                      <w:szCs w:val="21"/>
                    </w:rPr>
                    <w:t>1.0</w:t>
                  </w:r>
                  <w:r>
                    <w:rPr>
                      <w:rFonts w:ascii="Times New Roman" w:hAnsi="Times New Roman" w:eastAsia="Times New Roman" w:cs="Times New Roman"/>
                      <w:color w:val="auto"/>
                      <w:sz w:val="21"/>
                      <w:szCs w:val="21"/>
                    </w:rPr>
                    <w:t>mg</w:t>
                  </w:r>
                  <w:r>
                    <w:rPr>
                      <w:rFonts w:ascii="Times New Roman" w:hAnsi="Times New Roman" w:eastAsia="Times New Roman" w:cs="Times New Roman"/>
                      <w:color w:val="auto"/>
                      <w:spacing w:val="2"/>
                      <w:sz w:val="21"/>
                      <w:szCs w:val="21"/>
                    </w:rPr>
                    <w:t>/m</w:t>
                  </w:r>
                  <w:r>
                    <w:rPr>
                      <w:rFonts w:hint="eastAsia" w:ascii="Times New Roman" w:hAnsi="Times New Roman" w:eastAsia="宋体" w:cs="Times New Roman"/>
                      <w:color w:val="auto"/>
                      <w:spacing w:val="2"/>
                      <w:sz w:val="21"/>
                      <w:szCs w:val="21"/>
                      <w:vertAlign w:val="superscript"/>
                      <w:lang w:val="en-US" w:eastAsia="zh-CN"/>
                    </w:rPr>
                    <w:t>3</w:t>
                  </w:r>
                </w:p>
              </w:tc>
              <w:tc>
                <w:tcPr>
                  <w:tcW w:w="3088" w:type="dxa"/>
                  <w:vAlign w:val="center"/>
                </w:tcPr>
                <w:p w14:paraId="3B53947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4"/>
                    <w:jc w:val="both"/>
                    <w:textAlignment w:val="auto"/>
                    <w:rPr>
                      <w:color w:val="auto"/>
                      <w:sz w:val="21"/>
                      <w:szCs w:val="21"/>
                    </w:rPr>
                  </w:pPr>
                  <w:r>
                    <w:rPr>
                      <w:color w:val="auto"/>
                      <w:spacing w:val="23"/>
                      <w:sz w:val="21"/>
                      <w:szCs w:val="21"/>
                    </w:rPr>
                    <w:t>《大气污染物综合排放标准》</w:t>
                  </w:r>
                  <w:r>
                    <w:rPr>
                      <w:color w:val="auto"/>
                      <w:spacing w:val="1"/>
                      <w:sz w:val="21"/>
                      <w:szCs w:val="21"/>
                    </w:rPr>
                    <w:t>（</w:t>
                  </w:r>
                  <w:r>
                    <w:rPr>
                      <w:rFonts w:ascii="Times New Roman" w:hAnsi="Times New Roman" w:eastAsia="Times New Roman" w:cs="Times New Roman"/>
                      <w:color w:val="auto"/>
                      <w:sz w:val="21"/>
                      <w:szCs w:val="21"/>
                    </w:rPr>
                    <w:t>GB</w:t>
                  </w:r>
                  <w:r>
                    <w:rPr>
                      <w:rFonts w:ascii="Times New Roman" w:hAnsi="Times New Roman" w:eastAsia="Times New Roman" w:cs="Times New Roman"/>
                      <w:color w:val="auto"/>
                      <w:spacing w:val="1"/>
                      <w:sz w:val="21"/>
                      <w:szCs w:val="21"/>
                    </w:rPr>
                    <w:t>16297-1996</w:t>
                  </w:r>
                  <w:r>
                    <w:rPr>
                      <w:color w:val="auto"/>
                      <w:spacing w:val="1"/>
                      <w:sz w:val="21"/>
                      <w:szCs w:val="21"/>
                    </w:rPr>
                    <w:t>）表</w:t>
                  </w:r>
                  <w:r>
                    <w:rPr>
                      <w:rFonts w:ascii="Times New Roman" w:hAnsi="Times New Roman" w:eastAsia="Times New Roman" w:cs="Times New Roman"/>
                      <w:color w:val="auto"/>
                      <w:spacing w:val="1"/>
                      <w:sz w:val="21"/>
                      <w:szCs w:val="21"/>
                    </w:rPr>
                    <w:t>2</w:t>
                  </w:r>
                  <w:r>
                    <w:rPr>
                      <w:color w:val="auto"/>
                      <w:spacing w:val="1"/>
                      <w:sz w:val="21"/>
                      <w:szCs w:val="21"/>
                    </w:rPr>
                    <w:t>组织排放</w:t>
                  </w:r>
                  <w:r>
                    <w:rPr>
                      <w:color w:val="auto"/>
                      <w:spacing w:val="8"/>
                      <w:sz w:val="21"/>
                      <w:szCs w:val="21"/>
                    </w:rPr>
                    <w:t>监控浓度限值</w:t>
                  </w:r>
                </w:p>
              </w:tc>
            </w:tr>
            <w:tr w14:paraId="35E4B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700" w:type="dxa"/>
                  <w:vMerge w:val="restart"/>
                  <w:tcBorders>
                    <w:bottom w:val="nil"/>
                  </w:tcBorders>
                  <w:vAlign w:val="center"/>
                </w:tcPr>
                <w:p w14:paraId="6086A6C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1"/>
                      <w:sz w:val="21"/>
                      <w:szCs w:val="21"/>
                    </w:rPr>
                    <w:t>噪声</w:t>
                  </w:r>
                </w:p>
              </w:tc>
              <w:tc>
                <w:tcPr>
                  <w:tcW w:w="440" w:type="dxa"/>
                  <w:vMerge w:val="restart"/>
                  <w:tcBorders>
                    <w:bottom w:val="nil"/>
                  </w:tcBorders>
                  <w:vAlign w:val="center"/>
                </w:tcPr>
                <w:p w14:paraId="1DED034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8"/>
                      <w:sz w:val="21"/>
                      <w:szCs w:val="21"/>
                    </w:rPr>
                    <w:t>施工</w:t>
                  </w:r>
                </w:p>
              </w:tc>
              <w:tc>
                <w:tcPr>
                  <w:tcW w:w="1139" w:type="dxa"/>
                  <w:vMerge w:val="restart"/>
                  <w:tcBorders>
                    <w:bottom w:val="nil"/>
                  </w:tcBorders>
                  <w:vAlign w:val="center"/>
                </w:tcPr>
                <w:p w14:paraId="3347E8F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104"/>
                    <w:jc w:val="right"/>
                    <w:textAlignment w:val="auto"/>
                    <w:rPr>
                      <w:color w:val="auto"/>
                      <w:sz w:val="21"/>
                      <w:szCs w:val="21"/>
                    </w:rPr>
                  </w:pPr>
                  <w:r>
                    <w:rPr>
                      <w:color w:val="auto"/>
                      <w:spacing w:val="-4"/>
                      <w:sz w:val="21"/>
                      <w:szCs w:val="21"/>
                    </w:rPr>
                    <w:t>等效</w:t>
                  </w:r>
                  <w:r>
                    <w:rPr>
                      <w:rFonts w:ascii="Times New Roman" w:hAnsi="Times New Roman" w:eastAsia="Times New Roman" w:cs="Times New Roman"/>
                      <w:color w:val="auto"/>
                      <w:spacing w:val="-1"/>
                      <w:sz w:val="21"/>
                      <w:szCs w:val="21"/>
                    </w:rPr>
                    <w:t>A</w:t>
                  </w:r>
                  <w:r>
                    <w:rPr>
                      <w:color w:val="auto"/>
                      <w:spacing w:val="-1"/>
                      <w:sz w:val="21"/>
                      <w:szCs w:val="21"/>
                    </w:rPr>
                    <w:t>声级</w:t>
                  </w:r>
                </w:p>
              </w:tc>
              <w:tc>
                <w:tcPr>
                  <w:tcW w:w="1239" w:type="dxa"/>
                  <w:vAlign w:val="center"/>
                </w:tcPr>
                <w:p w14:paraId="762757C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5"/>
                      <w:sz w:val="21"/>
                      <w:szCs w:val="21"/>
                    </w:rPr>
                    <w:t>昼间</w:t>
                  </w:r>
                </w:p>
              </w:tc>
              <w:tc>
                <w:tcPr>
                  <w:tcW w:w="1253" w:type="dxa"/>
                  <w:vAlign w:val="center"/>
                </w:tcPr>
                <w:p w14:paraId="61F8623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right"/>
                    <w:textAlignment w:val="auto"/>
                    <w:rPr>
                      <w:color w:val="auto"/>
                      <w:sz w:val="21"/>
                      <w:szCs w:val="21"/>
                    </w:rPr>
                  </w:pPr>
                  <w:r>
                    <w:rPr>
                      <w:rFonts w:ascii="Times New Roman" w:hAnsi="Times New Roman" w:eastAsia="Times New Roman" w:cs="Times New Roman"/>
                      <w:color w:val="auto"/>
                      <w:spacing w:val="6"/>
                      <w:sz w:val="21"/>
                      <w:szCs w:val="21"/>
                    </w:rPr>
                    <w:t>70</w:t>
                  </w:r>
                  <w:r>
                    <w:rPr>
                      <w:rFonts w:ascii="Times New Roman" w:hAnsi="Times New Roman" w:eastAsia="Times New Roman" w:cs="Times New Roman"/>
                      <w:color w:val="auto"/>
                      <w:sz w:val="21"/>
                      <w:szCs w:val="21"/>
                    </w:rPr>
                    <w:t>dB</w:t>
                  </w:r>
                  <w:r>
                    <w:rPr>
                      <w:color w:val="auto"/>
                      <w:spacing w:val="6"/>
                      <w:sz w:val="21"/>
                      <w:szCs w:val="21"/>
                    </w:rPr>
                    <w:t>（</w:t>
                  </w:r>
                  <w:r>
                    <w:rPr>
                      <w:rFonts w:ascii="Times New Roman" w:hAnsi="Times New Roman" w:eastAsia="Times New Roman" w:cs="Times New Roman"/>
                      <w:color w:val="auto"/>
                      <w:spacing w:val="6"/>
                      <w:sz w:val="21"/>
                      <w:szCs w:val="21"/>
                    </w:rPr>
                    <w:t>A</w:t>
                  </w:r>
                  <w:r>
                    <w:rPr>
                      <w:rFonts w:hint="eastAsia" w:ascii="Times New Roman" w:hAnsi="Times New Roman" w:eastAsia="宋体" w:cs="Times New Roman"/>
                      <w:color w:val="auto"/>
                      <w:spacing w:val="6"/>
                      <w:sz w:val="21"/>
                      <w:szCs w:val="21"/>
                      <w:lang w:eastAsia="zh-CN"/>
                    </w:rPr>
                    <w:t>)</w:t>
                  </w:r>
                </w:p>
              </w:tc>
              <w:tc>
                <w:tcPr>
                  <w:tcW w:w="3088" w:type="dxa"/>
                  <w:vMerge w:val="restart"/>
                  <w:tcBorders>
                    <w:bottom w:val="nil"/>
                  </w:tcBorders>
                  <w:vAlign w:val="center"/>
                </w:tcPr>
                <w:p w14:paraId="1159128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color w:val="auto"/>
                      <w:sz w:val="21"/>
                      <w:szCs w:val="21"/>
                    </w:rPr>
                  </w:pPr>
                  <w:r>
                    <w:rPr>
                      <w:rFonts w:ascii="Times New Roman" w:hAnsi="Times New Roman" w:eastAsia="Times New Roman" w:cs="Times New Roman"/>
                      <w:color w:val="auto"/>
                      <w:spacing w:val="-2"/>
                      <w:sz w:val="21"/>
                      <w:szCs w:val="21"/>
                    </w:rPr>
                    <w:t>《</w:t>
                  </w:r>
                  <w:r>
                    <w:rPr>
                      <w:rFonts w:hint="eastAsia" w:ascii="Times New Roman" w:hAnsi="Times New Roman" w:eastAsia="Times New Roman" w:cs="Times New Roman"/>
                      <w:color w:val="auto"/>
                      <w:spacing w:val="-2"/>
                      <w:sz w:val="21"/>
                      <w:szCs w:val="21"/>
                    </w:rPr>
                    <w:t>建筑施工噪声排放标准</w:t>
                  </w:r>
                  <w:r>
                    <w:rPr>
                      <w:rFonts w:ascii="Times New Roman" w:hAnsi="Times New Roman" w:eastAsia="Times New Roman" w:cs="Times New Roman"/>
                      <w:color w:val="auto"/>
                      <w:spacing w:val="-2"/>
                      <w:sz w:val="21"/>
                      <w:szCs w:val="21"/>
                    </w:rPr>
                    <w:t>》（GB12523-20</w:t>
                  </w:r>
                  <w:r>
                    <w:rPr>
                      <w:rFonts w:hint="eastAsia" w:ascii="Times New Roman" w:eastAsia="宋体" w:cs="Times New Roman"/>
                      <w:color w:val="auto"/>
                      <w:spacing w:val="-2"/>
                      <w:sz w:val="21"/>
                      <w:szCs w:val="21"/>
                      <w:lang w:val="en-US" w:eastAsia="zh-CN"/>
                    </w:rPr>
                    <w:t>25</w:t>
                  </w:r>
                  <w:r>
                    <w:rPr>
                      <w:rFonts w:ascii="Times New Roman" w:hAnsi="Times New Roman" w:eastAsia="Times New Roman" w:cs="Times New Roman"/>
                      <w:color w:val="auto"/>
                      <w:spacing w:val="-2"/>
                      <w:sz w:val="21"/>
                      <w:szCs w:val="21"/>
                    </w:rPr>
                    <w:t>）</w:t>
                  </w:r>
                  <w:r>
                    <w:rPr>
                      <w:color w:val="auto"/>
                      <w:spacing w:val="4"/>
                      <w:sz w:val="21"/>
                      <w:szCs w:val="21"/>
                    </w:rPr>
                    <w:t>限</w:t>
                  </w:r>
                  <w:r>
                    <w:rPr>
                      <w:color w:val="auto"/>
                      <w:spacing w:val="6"/>
                      <w:sz w:val="21"/>
                      <w:szCs w:val="21"/>
                    </w:rPr>
                    <w:t>值要求</w:t>
                  </w:r>
                </w:p>
              </w:tc>
            </w:tr>
            <w:tr w14:paraId="61118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700" w:type="dxa"/>
                  <w:vMerge w:val="continue"/>
                  <w:tcBorders>
                    <w:top w:val="nil"/>
                  </w:tcBorders>
                  <w:vAlign w:val="center"/>
                </w:tcPr>
                <w:p w14:paraId="4DFE20C2">
                  <w:pPr>
                    <w:keepNext w:val="0"/>
                    <w:keepLines w:val="0"/>
                    <w:pageBreakBefore w:val="0"/>
                    <w:widowControl w:val="0"/>
                    <w:kinsoku/>
                    <w:wordWrap/>
                    <w:overflowPunct/>
                    <w:topLinePunct w:val="0"/>
                    <w:autoSpaceDE/>
                    <w:autoSpaceDN/>
                    <w:bidi w:val="0"/>
                    <w:adjustRightInd w:val="0"/>
                    <w:snapToGrid w:val="0"/>
                    <w:spacing w:line="240" w:lineRule="auto"/>
                    <w:ind w:left="0" w:right="0"/>
                    <w:jc w:val="right"/>
                    <w:textAlignment w:val="auto"/>
                    <w:rPr>
                      <w:rFonts w:ascii="Arial"/>
                      <w:color w:val="auto"/>
                      <w:sz w:val="21"/>
                      <w:szCs w:val="21"/>
                    </w:rPr>
                  </w:pPr>
                </w:p>
              </w:tc>
              <w:tc>
                <w:tcPr>
                  <w:tcW w:w="440" w:type="dxa"/>
                  <w:vMerge w:val="continue"/>
                  <w:tcBorders>
                    <w:top w:val="nil"/>
                  </w:tcBorders>
                  <w:textDirection w:val="tbRlV"/>
                  <w:vAlign w:val="center"/>
                </w:tcPr>
                <w:p w14:paraId="29510AA4">
                  <w:pPr>
                    <w:keepNext w:val="0"/>
                    <w:keepLines w:val="0"/>
                    <w:pageBreakBefore w:val="0"/>
                    <w:widowControl w:val="0"/>
                    <w:kinsoku/>
                    <w:wordWrap/>
                    <w:overflowPunct/>
                    <w:topLinePunct w:val="0"/>
                    <w:autoSpaceDE/>
                    <w:autoSpaceDN/>
                    <w:bidi w:val="0"/>
                    <w:adjustRightInd w:val="0"/>
                    <w:snapToGrid w:val="0"/>
                    <w:spacing w:line="240" w:lineRule="auto"/>
                    <w:ind w:left="0" w:right="0"/>
                    <w:jc w:val="right"/>
                    <w:textAlignment w:val="auto"/>
                    <w:rPr>
                      <w:rFonts w:ascii="Arial"/>
                      <w:color w:val="auto"/>
                      <w:sz w:val="21"/>
                      <w:szCs w:val="21"/>
                    </w:rPr>
                  </w:pPr>
                </w:p>
              </w:tc>
              <w:tc>
                <w:tcPr>
                  <w:tcW w:w="1139" w:type="dxa"/>
                  <w:vMerge w:val="continue"/>
                  <w:tcBorders>
                    <w:top w:val="nil"/>
                  </w:tcBorders>
                  <w:vAlign w:val="center"/>
                </w:tcPr>
                <w:p w14:paraId="4C8D2D9B">
                  <w:pPr>
                    <w:keepNext w:val="0"/>
                    <w:keepLines w:val="0"/>
                    <w:pageBreakBefore w:val="0"/>
                    <w:widowControl w:val="0"/>
                    <w:kinsoku/>
                    <w:wordWrap/>
                    <w:overflowPunct/>
                    <w:topLinePunct w:val="0"/>
                    <w:autoSpaceDE/>
                    <w:autoSpaceDN/>
                    <w:bidi w:val="0"/>
                    <w:adjustRightInd w:val="0"/>
                    <w:snapToGrid w:val="0"/>
                    <w:spacing w:line="240" w:lineRule="auto"/>
                    <w:ind w:left="0" w:right="0"/>
                    <w:jc w:val="right"/>
                    <w:textAlignment w:val="auto"/>
                    <w:rPr>
                      <w:rFonts w:ascii="Arial"/>
                      <w:color w:val="auto"/>
                      <w:sz w:val="21"/>
                      <w:szCs w:val="21"/>
                    </w:rPr>
                  </w:pPr>
                </w:p>
              </w:tc>
              <w:tc>
                <w:tcPr>
                  <w:tcW w:w="1239" w:type="dxa"/>
                  <w:vAlign w:val="center"/>
                </w:tcPr>
                <w:p w14:paraId="51ACF8B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3"/>
                      <w:sz w:val="21"/>
                      <w:szCs w:val="21"/>
                    </w:rPr>
                    <w:t>夜间</w:t>
                  </w:r>
                </w:p>
              </w:tc>
              <w:tc>
                <w:tcPr>
                  <w:tcW w:w="1253" w:type="dxa"/>
                  <w:vAlign w:val="center"/>
                </w:tcPr>
                <w:p w14:paraId="6750460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right"/>
                    <w:textAlignment w:val="auto"/>
                    <w:rPr>
                      <w:color w:val="auto"/>
                      <w:sz w:val="21"/>
                      <w:szCs w:val="21"/>
                    </w:rPr>
                  </w:pPr>
                  <w:r>
                    <w:rPr>
                      <w:rFonts w:ascii="Times New Roman" w:hAnsi="Times New Roman" w:eastAsia="Times New Roman" w:cs="Times New Roman"/>
                      <w:color w:val="auto"/>
                      <w:spacing w:val="5"/>
                      <w:sz w:val="21"/>
                      <w:szCs w:val="21"/>
                    </w:rPr>
                    <w:t>55</w:t>
                  </w:r>
                  <w:r>
                    <w:rPr>
                      <w:rFonts w:ascii="Times New Roman" w:hAnsi="Times New Roman" w:eastAsia="Times New Roman" w:cs="Times New Roman"/>
                      <w:color w:val="auto"/>
                      <w:sz w:val="21"/>
                      <w:szCs w:val="21"/>
                    </w:rPr>
                    <w:t>dB</w:t>
                  </w:r>
                  <w:r>
                    <w:rPr>
                      <w:color w:val="auto"/>
                      <w:spacing w:val="5"/>
                      <w:sz w:val="21"/>
                      <w:szCs w:val="21"/>
                    </w:rPr>
                    <w:t>（</w:t>
                  </w:r>
                  <w:r>
                    <w:rPr>
                      <w:rFonts w:ascii="Times New Roman" w:hAnsi="Times New Roman" w:eastAsia="Times New Roman" w:cs="Times New Roman"/>
                      <w:color w:val="auto"/>
                      <w:spacing w:val="5"/>
                      <w:sz w:val="21"/>
                      <w:szCs w:val="21"/>
                    </w:rPr>
                    <w:t>A</w:t>
                  </w:r>
                  <w:r>
                    <w:rPr>
                      <w:color w:val="auto"/>
                      <w:spacing w:val="5"/>
                      <w:sz w:val="21"/>
                      <w:szCs w:val="21"/>
                    </w:rPr>
                    <w:t>）</w:t>
                  </w:r>
                </w:p>
              </w:tc>
              <w:tc>
                <w:tcPr>
                  <w:tcW w:w="3088" w:type="dxa"/>
                  <w:vMerge w:val="continue"/>
                  <w:tcBorders>
                    <w:top w:val="nil"/>
                  </w:tcBorders>
                  <w:vAlign w:val="center"/>
                </w:tcPr>
                <w:p w14:paraId="15F044F9">
                  <w:pPr>
                    <w:keepNext w:val="0"/>
                    <w:keepLines w:val="0"/>
                    <w:pageBreakBefore w:val="0"/>
                    <w:widowControl w:val="0"/>
                    <w:kinsoku/>
                    <w:wordWrap/>
                    <w:overflowPunct/>
                    <w:topLinePunct w:val="0"/>
                    <w:autoSpaceDE/>
                    <w:autoSpaceDN/>
                    <w:bidi w:val="0"/>
                    <w:adjustRightInd w:val="0"/>
                    <w:snapToGrid w:val="0"/>
                    <w:spacing w:line="240" w:lineRule="auto"/>
                    <w:ind w:left="0" w:right="0"/>
                    <w:jc w:val="right"/>
                    <w:textAlignment w:val="auto"/>
                    <w:rPr>
                      <w:rFonts w:ascii="Arial"/>
                      <w:color w:val="auto"/>
                      <w:sz w:val="21"/>
                      <w:szCs w:val="21"/>
                    </w:rPr>
                  </w:pPr>
                </w:p>
              </w:tc>
            </w:tr>
          </w:tbl>
          <w:p w14:paraId="26047039">
            <w:pPr>
              <w:keepNext w:val="0"/>
              <w:keepLines w:val="0"/>
              <w:pageBreakBefore w:val="0"/>
              <w:widowControl w:val="0"/>
              <w:kinsoku/>
              <w:wordWrap/>
              <w:overflowPunct/>
              <w:topLinePunct w:val="0"/>
              <w:autoSpaceDE/>
              <w:autoSpaceDN/>
              <w:bidi w:val="0"/>
              <w:adjustRightInd w:val="0"/>
              <w:snapToGrid w:val="0"/>
              <w:spacing w:line="360" w:lineRule="auto"/>
              <w:ind w:right="0"/>
              <w:jc w:val="both"/>
              <w:textAlignment w:val="auto"/>
              <w:rPr>
                <w:rFonts w:hint="eastAsia" w:eastAsia="宋体"/>
                <w:b/>
                <w:bCs/>
                <w:color w:val="auto"/>
                <w:spacing w:val="5"/>
                <w:sz w:val="20"/>
                <w:szCs w:val="20"/>
                <w:lang w:val="en-US" w:eastAsia="zh-CN"/>
              </w:rPr>
            </w:pPr>
          </w:p>
        </w:tc>
      </w:tr>
      <w:tr w14:paraId="18502E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4" w:type="pct"/>
            <w:noWrap w:val="0"/>
            <w:vAlign w:val="center"/>
          </w:tcPr>
          <w:p w14:paraId="6FC3357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pacing w:val="-5"/>
                <w:sz w:val="24"/>
                <w:szCs w:val="24"/>
              </w:rPr>
            </w:pPr>
            <w:r>
              <w:rPr>
                <w:color w:val="auto"/>
                <w:spacing w:val="-6"/>
                <w:sz w:val="24"/>
                <w:szCs w:val="24"/>
              </w:rPr>
              <w:t>其他</w:t>
            </w:r>
          </w:p>
        </w:tc>
        <w:tc>
          <w:tcPr>
            <w:tcW w:w="4605" w:type="pct"/>
            <w:noWrap w:val="0"/>
            <w:vAlign w:val="center"/>
          </w:tcPr>
          <w:p w14:paraId="2F58B5E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eastAsia="宋体" w:cs="宋体"/>
                <w:color w:val="auto"/>
                <w:kern w:val="2"/>
                <w:sz w:val="24"/>
                <w:szCs w:val="24"/>
                <w:lang w:val="en-US" w:eastAsia="en-US" w:bidi="ar-SA"/>
              </w:rPr>
            </w:pPr>
          </w:p>
          <w:p w14:paraId="41F7F48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eastAsia="宋体" w:cs="宋体"/>
                <w:color w:val="auto"/>
                <w:kern w:val="2"/>
                <w:sz w:val="24"/>
                <w:szCs w:val="24"/>
                <w:lang w:val="en-US" w:eastAsia="en-US" w:bidi="ar-SA"/>
              </w:rPr>
            </w:pPr>
          </w:p>
          <w:p w14:paraId="5EACB45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eastAsia="宋体" w:cs="宋体"/>
                <w:color w:val="auto"/>
                <w:kern w:val="2"/>
                <w:sz w:val="24"/>
                <w:szCs w:val="24"/>
                <w:lang w:val="en-US" w:eastAsia="en-US" w:bidi="ar-SA"/>
              </w:rPr>
            </w:pPr>
          </w:p>
          <w:p w14:paraId="0734666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eastAsia="宋体" w:cs="宋体"/>
                <w:color w:val="auto"/>
                <w:kern w:val="2"/>
                <w:sz w:val="24"/>
                <w:szCs w:val="24"/>
                <w:lang w:val="en-US" w:eastAsia="en-US" w:bidi="ar-SA"/>
              </w:rPr>
            </w:pPr>
          </w:p>
          <w:p w14:paraId="4DC8E42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eastAsia="宋体" w:cs="宋体"/>
                <w:color w:val="auto"/>
                <w:kern w:val="2"/>
                <w:sz w:val="24"/>
                <w:szCs w:val="24"/>
                <w:lang w:val="en-US" w:eastAsia="en-US" w:bidi="ar-SA"/>
              </w:rPr>
            </w:pPr>
            <w:r>
              <w:rPr>
                <w:rFonts w:ascii="宋体" w:hAnsi="宋体" w:eastAsia="宋体" w:cs="宋体"/>
                <w:color w:val="auto"/>
                <w:kern w:val="2"/>
                <w:sz w:val="24"/>
                <w:szCs w:val="24"/>
                <w:lang w:val="en-US" w:eastAsia="en-US" w:bidi="ar-SA"/>
              </w:rPr>
              <w:t>本项目为防洪除涝工程，项目营运期没有有组织排放源，不设总量控制指标。</w:t>
            </w:r>
          </w:p>
          <w:p w14:paraId="6F9128D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宋体" w:hAnsi="宋体" w:eastAsia="宋体" w:cs="宋体"/>
                <w:color w:val="auto"/>
                <w:kern w:val="2"/>
                <w:sz w:val="24"/>
                <w:szCs w:val="24"/>
                <w:lang w:val="en-US" w:eastAsia="en-US" w:bidi="ar-SA"/>
              </w:rPr>
            </w:pPr>
          </w:p>
          <w:p w14:paraId="6B5906C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ascii="宋体" w:hAnsi="宋体" w:eastAsia="宋体" w:cs="宋体"/>
                <w:color w:val="auto"/>
                <w:kern w:val="2"/>
                <w:sz w:val="24"/>
                <w:szCs w:val="24"/>
                <w:lang w:val="en-US" w:eastAsia="en-US" w:bidi="ar-SA"/>
              </w:rPr>
            </w:pPr>
          </w:p>
        </w:tc>
      </w:tr>
    </w:tbl>
    <w:p w14:paraId="6C9275B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outlineLvl w:val="0"/>
        <w:rPr>
          <w:rFonts w:ascii="黑体" w:hAnsi="黑体" w:eastAsia="黑体"/>
          <w:snapToGrid w:val="0"/>
          <w:color w:val="auto"/>
          <w:sz w:val="30"/>
          <w:szCs w:val="30"/>
        </w:rPr>
      </w:pPr>
      <w:r>
        <w:rPr>
          <w:rFonts w:ascii="黑体" w:hAnsi="黑体" w:eastAsia="黑体"/>
          <w:snapToGrid w:val="0"/>
          <w:color w:val="auto"/>
          <w:sz w:val="36"/>
          <w:szCs w:val="36"/>
        </w:rPr>
        <w:br w:type="page"/>
      </w:r>
      <w:bookmarkStart w:id="39" w:name="_Toc11561"/>
      <w:bookmarkStart w:id="40" w:name="_Toc13393"/>
      <w:r>
        <w:rPr>
          <w:rFonts w:ascii="微软雅黑" w:hAnsi="微软雅黑" w:eastAsia="微软雅黑" w:cs="微软雅黑"/>
          <w:spacing w:val="-8"/>
          <w:sz w:val="30"/>
          <w:szCs w:val="30"/>
        </w:rPr>
        <w:t>四、生态环境影响分析</w:t>
      </w:r>
      <w:bookmarkEnd w:id="39"/>
      <w:bookmarkEnd w:id="40"/>
    </w:p>
    <w:tbl>
      <w:tblPr>
        <w:tblStyle w:val="27"/>
        <w:tblW w:w="898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7918"/>
      </w:tblGrid>
      <w:tr w14:paraId="7F854B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3" w:type="dxa"/>
            <w:noWrap w:val="0"/>
            <w:tcMar>
              <w:left w:w="28" w:type="dxa"/>
              <w:right w:w="28" w:type="dxa"/>
            </w:tcMar>
            <w:vAlign w:val="center"/>
          </w:tcPr>
          <w:p w14:paraId="7B2CF67D">
            <w:pPr>
              <w:pStyle w:val="24"/>
              <w:adjustRightInd w:val="0"/>
              <w:snapToGrid w:val="0"/>
              <w:spacing w:before="0" w:beforeAutospacing="0" w:after="0" w:afterAutospacing="0" w:line="240" w:lineRule="auto"/>
              <w:jc w:val="center"/>
              <w:rPr>
                <w:rFonts w:hint="default" w:ascii="Times New Roman" w:hAnsi="Times New Roman" w:eastAsia="宋体" w:cs="Times New Roman"/>
                <w:bCs/>
                <w:color w:val="auto"/>
                <w:spacing w:val="0"/>
                <w:kern w:val="2"/>
                <w:position w:val="0"/>
                <w:sz w:val="24"/>
                <w:szCs w:val="24"/>
                <w:highlight w:val="none"/>
              </w:rPr>
            </w:pPr>
            <w:r>
              <w:rPr>
                <w:color w:val="auto"/>
                <w:spacing w:val="10"/>
              </w:rPr>
              <w:t>施工期生态环境影响</w:t>
            </w:r>
            <w:r>
              <w:rPr>
                <w:color w:val="auto"/>
                <w:spacing w:val="3"/>
              </w:rPr>
              <w:t>分析</w:t>
            </w:r>
          </w:p>
        </w:tc>
        <w:tc>
          <w:tcPr>
            <w:tcW w:w="7918" w:type="dxa"/>
            <w:noWrap w:val="0"/>
            <w:vAlign w:val="center"/>
          </w:tcPr>
          <w:p w14:paraId="3B65A9E6">
            <w:pPr>
              <w:pStyle w:val="65"/>
              <w:numPr>
                <w:ilvl w:val="0"/>
                <w:numId w:val="28"/>
              </w:numPr>
              <w:spacing w:before="40" w:line="360" w:lineRule="auto"/>
              <w:ind w:left="425" w:leftChars="0" w:hanging="425" w:firstLineChars="0"/>
              <w:rPr>
                <w:color w:val="auto"/>
                <w:sz w:val="24"/>
                <w:szCs w:val="24"/>
              </w:rPr>
            </w:pPr>
            <w:r>
              <w:rPr>
                <w:b/>
                <w:bCs/>
                <w:color w:val="auto"/>
                <w:spacing w:val="-3"/>
                <w:sz w:val="24"/>
                <w:szCs w:val="24"/>
              </w:rPr>
              <w:t>工艺流程及产污环节</w:t>
            </w:r>
          </w:p>
          <w:p w14:paraId="5F941EC6">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r>
              <w:rPr>
                <w:color w:val="auto"/>
                <w:sz w:val="24"/>
              </w:rPr>
              <mc:AlternateContent>
                <mc:Choice Requires="wps">
                  <w:drawing>
                    <wp:anchor distT="0" distB="0" distL="114300" distR="114300" simplePos="0" relativeHeight="251668480" behindDoc="0" locked="0" layoutInCell="1" allowOverlap="1">
                      <wp:simplePos x="0" y="0"/>
                      <wp:positionH relativeFrom="column">
                        <wp:posOffset>2639060</wp:posOffset>
                      </wp:positionH>
                      <wp:positionV relativeFrom="paragraph">
                        <wp:posOffset>1155065</wp:posOffset>
                      </wp:positionV>
                      <wp:extent cx="302895" cy="139065"/>
                      <wp:effectExtent l="1905" t="2540" r="0" b="10795"/>
                      <wp:wrapNone/>
                      <wp:docPr id="17" name="直接箭头连接符 17"/>
                      <wp:cNvGraphicFramePr/>
                      <a:graphic xmlns:a="http://schemas.openxmlformats.org/drawingml/2006/main">
                        <a:graphicData uri="http://schemas.microsoft.com/office/word/2010/wordprocessingShape">
                          <wps:wsp>
                            <wps:cNvCnPr>
                              <a:stCxn id="3" idx="3"/>
                            </wps:cNvCnPr>
                            <wps:spPr>
                              <a:xfrm flipV="1">
                                <a:off x="4311650" y="2425065"/>
                                <a:ext cx="302895" cy="139065"/>
                              </a:xfrm>
                              <a:prstGeom prst="straightConnector1">
                                <a:avLst/>
                              </a:prstGeom>
                              <a:ln w="9525">
                                <a:solidFill>
                                  <a:schemeClr val="tx1"/>
                                </a:solidFill>
                                <a:prstDash val="dash"/>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207.8pt;margin-top:90.95pt;height:10.95pt;width:23.85pt;z-index:251668480;mso-width-relative:page;mso-height-relative:page;" filled="f" stroked="t" coordsize="21600,21600" o:gfxdata="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GbXmNzW&#10;AAAACwEAAA8AAAAAAAAAAQAgAAAAIgAAAGRycy9kb3ducmV2LnhtbFBLAQIUABQAAAAIAIdO4kDU&#10;ZakBIgIAAAsEAAAOAAAAAAAAAAEAIAAAACUBAABkcnMvZTJvRG9jLnhtbFBLBQYAAAAABgAGAFkB&#10;AAC5BQAAAAA=&#10;">
                      <v:fill on="f" focussize="0,0"/>
                      <v:stroke color="#000000 [3213]" joinstyle="round" dashstyle="dash" endarrow="block"/>
                      <v:imagedata o:title=""/>
                      <o:lock v:ext="edit" aspectratio="f"/>
                    </v:shape>
                  </w:pict>
                </mc:Fallback>
              </mc:AlternateContent>
            </w:r>
            <w:r>
              <w:rPr>
                <w:color w:val="auto"/>
                <w:spacing w:val="-1"/>
                <w:sz w:val="24"/>
                <w:szCs w:val="24"/>
              </w:rPr>
              <w:t>本项目为河道治理工程，主要污染发生在施工期，施工期项目工艺流程及</w:t>
            </w:r>
            <w:r>
              <w:rPr>
                <w:color w:val="auto"/>
                <w:spacing w:val="-5"/>
                <w:sz w:val="24"/>
                <w:szCs w:val="24"/>
              </w:rPr>
              <w:t>产污节点见图</w:t>
            </w:r>
            <w:r>
              <w:rPr>
                <w:rFonts w:hint="eastAsia" w:ascii="Times New Roman" w:hAnsi="Times New Roman" w:eastAsia="宋体" w:cs="Times New Roman"/>
                <w:color w:val="auto"/>
                <w:spacing w:val="-5"/>
                <w:sz w:val="24"/>
                <w:szCs w:val="24"/>
                <w:lang w:val="en-US" w:eastAsia="zh-CN"/>
              </w:rPr>
              <w:t>4-1</w:t>
            </w:r>
            <w:r>
              <w:rPr>
                <w:color w:val="auto"/>
                <w:spacing w:val="-5"/>
                <w:sz w:val="24"/>
                <w:szCs w:val="24"/>
              </w:rPr>
              <w:t>。</w:t>
            </w:r>
          </w:p>
          <w:p w14:paraId="0193C795">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p>
          <w:p w14:paraId="1ED14DB5">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r>
              <w:rPr>
                <w:color w:val="auto"/>
                <w:sz w:val="24"/>
              </w:rPr>
              <mc:AlternateContent>
                <mc:Choice Requires="wps">
                  <w:drawing>
                    <wp:anchor distT="0" distB="0" distL="114300" distR="114300" simplePos="0" relativeHeight="251669504" behindDoc="0" locked="0" layoutInCell="1" allowOverlap="1">
                      <wp:simplePos x="0" y="0"/>
                      <wp:positionH relativeFrom="column">
                        <wp:posOffset>2903855</wp:posOffset>
                      </wp:positionH>
                      <wp:positionV relativeFrom="paragraph">
                        <wp:posOffset>146685</wp:posOffset>
                      </wp:positionV>
                      <wp:extent cx="1973580" cy="276225"/>
                      <wp:effectExtent l="0" t="0" r="0" b="0"/>
                      <wp:wrapNone/>
                      <wp:docPr id="19" name="矩形 19"/>
                      <wp:cNvGraphicFramePr/>
                      <a:graphic xmlns:a="http://schemas.openxmlformats.org/drawingml/2006/main">
                        <a:graphicData uri="http://schemas.microsoft.com/office/word/2010/wordprocessingShape">
                          <wps:wsp>
                            <wps:cNvSpPr/>
                            <wps:spPr>
                              <a:xfrm>
                                <a:off x="0" y="0"/>
                                <a:ext cx="1973580" cy="276225"/>
                              </a:xfrm>
                              <a:prstGeom prst="rect">
                                <a:avLst/>
                              </a:prstGeom>
                              <a:noFill/>
                              <a:ln w="12700">
                                <a:noFill/>
                              </a:ln>
                            </wps:spPr>
                            <wps:style>
                              <a:lnRef idx="2">
                                <a:schemeClr val="accent1">
                                  <a:lumMod val="75000"/>
                                </a:schemeClr>
                              </a:lnRef>
                              <a:fillRef idx="1">
                                <a:schemeClr val="accent1"/>
                              </a:fillRef>
                              <a:effectRef idx="0">
                                <a:srgbClr val="FFFFFF"/>
                              </a:effectRef>
                              <a:fontRef idx="minor">
                                <a:schemeClr val="lt1"/>
                              </a:fontRef>
                            </wps:style>
                            <wps:txbx>
                              <w:txbxContent>
                                <w:p w14:paraId="50678082">
                                  <w:pPr>
                                    <w:jc w:val="both"/>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扬尘、机械尾气、固废、噪声</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8.65pt;margin-top:11.55pt;height:21.75pt;width:155.4pt;z-index:251669504;v-text-anchor:middle;mso-width-relative:page;mso-height-relative:page;" filled="f" stroked="f" coordsize="21600,21600" o:gfxdata="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lulARtgAAAAJAQAA&#10;DwAAAAAAAAABACAAAAAiAAAAZHJzL2Rvd25yZXYueG1sUEsBAhQAFAAAAAgAh07iQAkMwzFSAgAA&#10;mAQAAA4AAAAAAAAAAQAgAAAAJwEAAGRycy9lMm9Eb2MueG1sUEsFBgAAAAAGAAYAWQEAAOsFAAAA&#10;AA==&#10;">
                      <v:fill on="f" focussize="0,0"/>
                      <v:stroke on="f" weight="1pt"/>
                      <v:imagedata o:title=""/>
                      <o:lock v:ext="edit" aspectratio="f"/>
                      <v:textbox>
                        <w:txbxContent>
                          <w:p w14:paraId="50678082">
                            <w:pPr>
                              <w:jc w:val="both"/>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扬尘、机械尾气、固废、噪声</w:t>
                            </w:r>
                          </w:p>
                        </w:txbxContent>
                      </v:textbox>
                    </v:rect>
                  </w:pict>
                </mc:Fallback>
              </mc:AlternateContent>
            </w:r>
            <w:r>
              <w:rPr>
                <w:color w:val="auto"/>
                <w:sz w:val="24"/>
              </w:rPr>
              <mc:AlternateContent>
                <mc:Choice Requires="wps">
                  <w:drawing>
                    <wp:anchor distT="0" distB="0" distL="114300" distR="114300" simplePos="0" relativeHeight="251659264" behindDoc="0" locked="0" layoutInCell="1" allowOverlap="1">
                      <wp:simplePos x="0" y="0"/>
                      <wp:positionH relativeFrom="column">
                        <wp:posOffset>1884680</wp:posOffset>
                      </wp:positionH>
                      <wp:positionV relativeFrom="paragraph">
                        <wp:posOffset>260985</wp:posOffset>
                      </wp:positionV>
                      <wp:extent cx="754380" cy="287020"/>
                      <wp:effectExtent l="6350" t="6350" r="20320" b="11430"/>
                      <wp:wrapNone/>
                      <wp:docPr id="3" name="矩形 3"/>
                      <wp:cNvGraphicFramePr/>
                      <a:graphic xmlns:a="http://schemas.openxmlformats.org/drawingml/2006/main">
                        <a:graphicData uri="http://schemas.microsoft.com/office/word/2010/wordprocessingShape">
                          <wps:wsp>
                            <wps:cNvSpPr/>
                            <wps:spPr>
                              <a:xfrm>
                                <a:off x="3557270" y="2468880"/>
                                <a:ext cx="754380" cy="287020"/>
                              </a:xfrm>
                              <a:prstGeom prst="rect">
                                <a:avLst/>
                              </a:prstGeom>
                              <a:no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9E63F38">
                                  <w:pPr>
                                    <w:jc w:val="center"/>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土方清废</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48.4pt;margin-top:20.55pt;height:22.6pt;width:59.4pt;z-index:251659264;v-text-anchor:middle;mso-width-relative:page;mso-height-relative:page;" filled="f" stroked="t" coordsize="21600,21600" o:gfxdata="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FVkd8tgAAAAJAQAADwAAAAAAAAABACAAAAAiAAAAZHJzL2Rvd25yZXYueG1s&#10;UEsBAhQAFAAAAAgAh07iQDN8fXpqAgAAygQAAA4AAAAAAAAAAQAgAAAAJwEAAGRycy9lMm9Eb2Mu&#10;eG1sUEsFBgAAAAAGAAYAWQEAAAMGAAAAAA==&#10;">
                      <v:fill on="f" focussize="0,0"/>
                      <v:stroke weight="1pt" color="#000000 [3213]" joinstyle="round"/>
                      <v:imagedata o:title=""/>
                      <o:lock v:ext="edit" aspectratio="f"/>
                      <v:textbox>
                        <w:txbxContent>
                          <w:p w14:paraId="49E63F38">
                            <w:pPr>
                              <w:jc w:val="center"/>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土方清废</w:t>
                            </w:r>
                          </w:p>
                        </w:txbxContent>
                      </v:textbox>
                    </v:rect>
                  </w:pict>
                </mc:Fallback>
              </mc:AlternateContent>
            </w:r>
          </w:p>
          <w:p w14:paraId="5437AE05">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2280920</wp:posOffset>
                      </wp:positionH>
                      <wp:positionV relativeFrom="paragraph">
                        <wp:posOffset>254000</wp:posOffset>
                      </wp:positionV>
                      <wp:extent cx="0" cy="287020"/>
                      <wp:effectExtent l="38100" t="0" r="38100" b="17780"/>
                      <wp:wrapNone/>
                      <wp:docPr id="4" name="直接箭头连接符 4"/>
                      <wp:cNvGraphicFramePr/>
                      <a:graphic xmlns:a="http://schemas.openxmlformats.org/drawingml/2006/main">
                        <a:graphicData uri="http://schemas.microsoft.com/office/word/2010/wordprocessingShape">
                          <wps:wsp>
                            <wps:cNvCnPr/>
                            <wps:spPr>
                              <a:xfrm>
                                <a:off x="3934460" y="2716530"/>
                                <a:ext cx="0" cy="287020"/>
                              </a:xfrm>
                              <a:prstGeom prst="straightConnector1">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79.6pt;margin-top:20pt;height:22.6pt;width:0pt;z-index:251660288;mso-width-relative:page;mso-height-relative:page;" filled="f" stroked="t" coordsize="21600,21600" o:gfxdata="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&#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C6PuXWAAAACQEAAA8AAAAAAAAAAQAgAAAAIgAAAGRy&#10;cy9kb3ducmV2LnhtbFBLAQIUABQAAAAIAIdO4kC2tEg7BwIAANYDAAAOAAAAAAAAAAEAIAAAACUB&#10;AABkcnMvZTJvRG9jLnhtbFBLBQYAAAAABgAGAFkBAACeBQAAAAA=&#10;">
                      <v:fill on="f" focussize="0,0"/>
                      <v:stroke weight="1pt" color="#000000 [3213]" joinstyle="round" endarrow="block"/>
                      <v:imagedata o:title=""/>
                      <o:lock v:ext="edit" aspectratio="f"/>
                    </v:shape>
                  </w:pict>
                </mc:Fallback>
              </mc:AlternateContent>
            </w:r>
          </w:p>
          <w:p w14:paraId="3A090B2B">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r>
              <w:rPr>
                <w:color w:val="auto"/>
                <w:sz w:val="24"/>
              </w:rPr>
              <mc:AlternateContent>
                <mc:Choice Requires="wps">
                  <w:drawing>
                    <wp:anchor distT="0" distB="0" distL="114300" distR="114300" simplePos="0" relativeHeight="251671552" behindDoc="0" locked="0" layoutInCell="1" allowOverlap="1">
                      <wp:simplePos x="0" y="0"/>
                      <wp:positionH relativeFrom="column">
                        <wp:posOffset>2941955</wp:posOffset>
                      </wp:positionH>
                      <wp:positionV relativeFrom="paragraph">
                        <wp:posOffset>108585</wp:posOffset>
                      </wp:positionV>
                      <wp:extent cx="1973580" cy="276225"/>
                      <wp:effectExtent l="0" t="0" r="0" b="0"/>
                      <wp:wrapNone/>
                      <wp:docPr id="21" name="矩形 21"/>
                      <wp:cNvGraphicFramePr/>
                      <a:graphic xmlns:a="http://schemas.openxmlformats.org/drawingml/2006/main">
                        <a:graphicData uri="http://schemas.microsoft.com/office/word/2010/wordprocessingShape">
                          <wps:wsp>
                            <wps:cNvSpPr/>
                            <wps:spPr>
                              <a:xfrm>
                                <a:off x="0" y="0"/>
                                <a:ext cx="1973580" cy="276225"/>
                              </a:xfrm>
                              <a:prstGeom prst="rect">
                                <a:avLst/>
                              </a:prstGeom>
                              <a:noFill/>
                              <a:ln w="12700">
                                <a:noFill/>
                              </a:ln>
                            </wps:spPr>
                            <wps:style>
                              <a:lnRef idx="2">
                                <a:schemeClr val="accent1">
                                  <a:lumMod val="75000"/>
                                </a:schemeClr>
                              </a:lnRef>
                              <a:fillRef idx="1">
                                <a:schemeClr val="accent1"/>
                              </a:fillRef>
                              <a:effectRef idx="0">
                                <a:srgbClr val="FFFFFF"/>
                              </a:effectRef>
                              <a:fontRef idx="minor">
                                <a:schemeClr val="lt1"/>
                              </a:fontRef>
                            </wps:style>
                            <wps:txbx>
                              <w:txbxContent>
                                <w:p w14:paraId="3018D8F3">
                                  <w:pPr>
                                    <w:jc w:val="both"/>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扬尘、机械尾气、固废、噪声</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1.65pt;margin-top:8.55pt;height:21.75pt;width:155.4pt;z-index:251671552;v-text-anchor:middle;mso-width-relative:page;mso-height-relative:page;" filled="f" stroked="f" coordsize="21600,21600" o:gfxdata="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l4Dbq1wAAAAkBAAAP&#10;AAAAAAAAAAEAIAAAACIAAABkcnMvZG93bnJldi54bWxQSwECFAAUAAAACACHTuJASrWP8lICAACY&#10;BAAADgAAAAAAAAABACAAAAAmAQAAZHJzL2Uyb0RvYy54bWxQSwUGAAAAAAYABgBZAQAA6gUAAAAA&#10;">
                      <v:fill on="f" focussize="0,0"/>
                      <v:stroke on="f" weight="1pt"/>
                      <v:imagedata o:title=""/>
                      <o:lock v:ext="edit" aspectratio="f"/>
                      <v:textbox>
                        <w:txbxContent>
                          <w:p w14:paraId="3018D8F3">
                            <w:pPr>
                              <w:jc w:val="both"/>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扬尘、机械尾气、固废、噪声</w:t>
                            </w:r>
                          </w:p>
                        </w:txbxContent>
                      </v:textbox>
                    </v:rect>
                  </w:pict>
                </mc:Fallback>
              </mc:AlternateContent>
            </w:r>
            <w:r>
              <w:rPr>
                <w:color w:val="auto"/>
                <w:sz w:val="24"/>
              </w:rPr>
              <mc:AlternateContent>
                <mc:Choice Requires="wps">
                  <w:drawing>
                    <wp:anchor distT="0" distB="0" distL="114300" distR="114300" simplePos="0" relativeHeight="251670528" behindDoc="0" locked="0" layoutInCell="1" allowOverlap="1">
                      <wp:simplePos x="0" y="0"/>
                      <wp:positionH relativeFrom="column">
                        <wp:posOffset>2667635</wp:posOffset>
                      </wp:positionH>
                      <wp:positionV relativeFrom="paragraph">
                        <wp:posOffset>246380</wp:posOffset>
                      </wp:positionV>
                      <wp:extent cx="302895" cy="139065"/>
                      <wp:effectExtent l="1905" t="2540" r="0" b="10795"/>
                      <wp:wrapNone/>
                      <wp:docPr id="20" name="直接箭头连接符 20"/>
                      <wp:cNvGraphicFramePr/>
                      <a:graphic xmlns:a="http://schemas.openxmlformats.org/drawingml/2006/main">
                        <a:graphicData uri="http://schemas.microsoft.com/office/word/2010/wordprocessingShape">
                          <wps:wsp>
                            <wps:cNvCnPr/>
                            <wps:spPr>
                              <a:xfrm flipV="1">
                                <a:off x="0" y="0"/>
                                <a:ext cx="302895" cy="139065"/>
                              </a:xfrm>
                              <a:prstGeom prst="straightConnector1">
                                <a:avLst/>
                              </a:prstGeom>
                              <a:ln w="9525">
                                <a:solidFill>
                                  <a:schemeClr val="tx1"/>
                                </a:solidFill>
                                <a:prstDash val="dash"/>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210.05pt;margin-top:19.4pt;height:10.95pt;width:23.85pt;z-index:251670528;mso-width-relative:page;mso-height-relative:page;" filled="f" stroked="t" coordsize="21600,21600" o:gfxdata="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igKQrUAAAACQEAAA8AAAAAAAAAAQAgAAAAIgAAAGRycy9k&#10;b3ducmV2LnhtbFBLAQIUABQAAAAIAIdO4kDBn6dvBgIAANkDAAAOAAAAAAAAAAEAIAAAACMBAABk&#10;cnMvZTJvRG9jLnhtbFBLBQYAAAAABgAGAFkBAACbBQAAAAA=&#10;">
                      <v:fill on="f" focussize="0,0"/>
                      <v:stroke color="#000000 [3213]" joinstyle="round" dashstyle="dash" endarrow="block"/>
                      <v:imagedata o:title=""/>
                      <o:lock v:ext="edit" aspectratio="f"/>
                    </v:shape>
                  </w:pict>
                </mc:Fallback>
              </mc:AlternateContent>
            </w: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1894205</wp:posOffset>
                      </wp:positionH>
                      <wp:positionV relativeFrom="paragraph">
                        <wp:posOffset>232410</wp:posOffset>
                      </wp:positionV>
                      <wp:extent cx="754380" cy="287020"/>
                      <wp:effectExtent l="6350" t="6350" r="20320" b="11430"/>
                      <wp:wrapNone/>
                      <wp:docPr id="5" name="矩形 5"/>
                      <wp:cNvGraphicFramePr/>
                      <a:graphic xmlns:a="http://schemas.openxmlformats.org/drawingml/2006/main">
                        <a:graphicData uri="http://schemas.microsoft.com/office/word/2010/wordprocessingShape">
                          <wps:wsp>
                            <wps:cNvSpPr/>
                            <wps:spPr>
                              <a:xfrm>
                                <a:off x="0" y="0"/>
                                <a:ext cx="754380" cy="287020"/>
                              </a:xfrm>
                              <a:prstGeom prst="rect">
                                <a:avLst/>
                              </a:prstGeom>
                              <a:no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13D5D79">
                                  <w:pPr>
                                    <w:rPr>
                                      <w:rFonts w:hint="default"/>
                                      <w:lang w:val="en-US" w:eastAsia="zh-CN"/>
                                    </w:rPr>
                                  </w:pPr>
                                  <w:r>
                                    <w:rPr>
                                      <w:rFonts w:hint="default"/>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土方开挖</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49.15pt;margin-top:18.3pt;height:22.6pt;width:59.4pt;z-index:251661312;v-text-anchor:middle;mso-width-relative:page;mso-height-relative:page;" filled="f" stroked="t" coordsize="21600,21600" o:gfxdata="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2TvKB2QAAAAkBAAAPAAAAAAAAAAEAIAAAACIAAABkcnMvZG93bnJldi54bWxQSwECFAAU&#10;AAAACACHTuJAory0v2ICAAC+BAAADgAAAAAAAAABACAAAAAoAQAAZHJzL2Uyb0RvYy54bWxQSwUG&#10;AAAAAAYABgBZAQAA/AUAAAAA&#10;">
                      <v:fill on="f" focussize="0,0"/>
                      <v:stroke weight="1pt" color="#000000 [3213]" joinstyle="round"/>
                      <v:imagedata o:title=""/>
                      <o:lock v:ext="edit" aspectratio="f"/>
                      <v:textbox>
                        <w:txbxContent>
                          <w:p w14:paraId="513D5D79">
                            <w:pPr>
                              <w:rPr>
                                <w:rFonts w:hint="default"/>
                                <w:lang w:val="en-US" w:eastAsia="zh-CN"/>
                              </w:rPr>
                            </w:pPr>
                            <w:r>
                              <w:rPr>
                                <w:rFonts w:hint="default"/>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土方开挖</w:t>
                            </w:r>
                          </w:p>
                        </w:txbxContent>
                      </v:textbox>
                    </v:rect>
                  </w:pict>
                </mc:Fallback>
              </mc:AlternateContent>
            </w:r>
          </w:p>
          <w:p w14:paraId="3A8C952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r>
              <w:rPr>
                <w:color w:val="auto"/>
                <w:sz w:val="24"/>
              </w:rPr>
              <mc:AlternateContent>
                <mc:Choice Requires="wps">
                  <w:drawing>
                    <wp:anchor distT="0" distB="0" distL="114300" distR="114300" simplePos="0" relativeHeight="251662336" behindDoc="0" locked="0" layoutInCell="1" allowOverlap="1">
                      <wp:simplePos x="0" y="0"/>
                      <wp:positionH relativeFrom="column">
                        <wp:posOffset>2280920</wp:posOffset>
                      </wp:positionH>
                      <wp:positionV relativeFrom="paragraph">
                        <wp:posOffset>222885</wp:posOffset>
                      </wp:positionV>
                      <wp:extent cx="0" cy="277495"/>
                      <wp:effectExtent l="38100" t="0" r="38100" b="8255"/>
                      <wp:wrapNone/>
                      <wp:docPr id="7" name="直接箭头连接符 7"/>
                      <wp:cNvGraphicFramePr/>
                      <a:graphic xmlns:a="http://schemas.openxmlformats.org/drawingml/2006/main">
                        <a:graphicData uri="http://schemas.microsoft.com/office/word/2010/wordprocessingShape">
                          <wps:wsp>
                            <wps:cNvCnPr/>
                            <wps:spPr>
                              <a:xfrm>
                                <a:off x="0" y="0"/>
                                <a:ext cx="0" cy="277495"/>
                              </a:xfrm>
                              <a:prstGeom prst="straightConnector1">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79.6pt;margin-top:17.55pt;height:21.85pt;width:0pt;z-index:251662336;mso-width-relative:page;mso-height-relative:page;" filled="f" stroked="t" coordsize="21600,21600" o:gfxdata="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QOQP1QAAAAkBAAAPAAAAAAAAAAEAIAAAACIAAABkcnMvZG93bnJldi54bWxQSwEC&#10;FAAUAAAACACHTuJAUhhtr/cBAADKAwAADgAAAAAAAAABACAAAAAkAQAAZHJzL2Uyb0RvYy54bWxQ&#10;SwUGAAAAAAYABgBZAQAAjQUAAAAA&#10;">
                      <v:fill on="f" focussize="0,0"/>
                      <v:stroke weight="1pt" color="#000000 [3213]" joinstyle="round" endarrow="block"/>
                      <v:imagedata o:title=""/>
                      <o:lock v:ext="edit" aspectratio="f"/>
                    </v:shape>
                  </w:pict>
                </mc:Fallback>
              </mc:AlternateContent>
            </w:r>
          </w:p>
          <w:p w14:paraId="28316C50">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r>
              <w:rPr>
                <w:color w:val="auto"/>
                <w:sz w:val="24"/>
              </w:rPr>
              <mc:AlternateContent>
                <mc:Choice Requires="wps">
                  <w:drawing>
                    <wp:anchor distT="0" distB="0" distL="114300" distR="114300" simplePos="0" relativeHeight="251673600" behindDoc="0" locked="0" layoutInCell="1" allowOverlap="1">
                      <wp:simplePos x="0" y="0"/>
                      <wp:positionH relativeFrom="column">
                        <wp:posOffset>2980055</wp:posOffset>
                      </wp:positionH>
                      <wp:positionV relativeFrom="paragraph">
                        <wp:posOffset>48895</wp:posOffset>
                      </wp:positionV>
                      <wp:extent cx="1973580" cy="276225"/>
                      <wp:effectExtent l="0" t="0" r="0" b="0"/>
                      <wp:wrapNone/>
                      <wp:docPr id="23" name="矩形 23"/>
                      <wp:cNvGraphicFramePr/>
                      <a:graphic xmlns:a="http://schemas.openxmlformats.org/drawingml/2006/main">
                        <a:graphicData uri="http://schemas.microsoft.com/office/word/2010/wordprocessingShape">
                          <wps:wsp>
                            <wps:cNvSpPr/>
                            <wps:spPr>
                              <a:xfrm>
                                <a:off x="0" y="0"/>
                                <a:ext cx="1973580" cy="276225"/>
                              </a:xfrm>
                              <a:prstGeom prst="rect">
                                <a:avLst/>
                              </a:prstGeom>
                              <a:noFill/>
                              <a:ln w="12700">
                                <a:noFill/>
                              </a:ln>
                            </wps:spPr>
                            <wps:style>
                              <a:lnRef idx="2">
                                <a:schemeClr val="accent1">
                                  <a:lumMod val="75000"/>
                                </a:schemeClr>
                              </a:lnRef>
                              <a:fillRef idx="1">
                                <a:schemeClr val="accent1"/>
                              </a:fillRef>
                              <a:effectRef idx="0">
                                <a:srgbClr val="FFFFFF"/>
                              </a:effectRef>
                              <a:fontRef idx="minor">
                                <a:schemeClr val="lt1"/>
                              </a:fontRef>
                            </wps:style>
                            <wps:txbx>
                              <w:txbxContent>
                                <w:p w14:paraId="5D754A2C">
                                  <w:pPr>
                                    <w:jc w:val="both"/>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扬尘、机械尾气、固废、噪声</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4.65pt;margin-top:3.85pt;height:21.75pt;width:155.4pt;z-index:251673600;v-text-anchor:middle;mso-width-relative:page;mso-height-relative:page;" filled="f" stroked="f" coordsize="21600,21600" o:gfxdata="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T3LAddcAAAAIAQAA&#10;DwAAAAAAAAABACAAAAAiAAAAZHJzL2Rvd25yZXYueG1sUEsBAhQAFAAAAAgAh07iQGNjqdpTAgAA&#10;mAQAAA4AAAAAAAAAAQAgAAAAJgEAAGRycy9lMm9Eb2MueG1sUEsFBgAAAAAGAAYAWQEAAOsFAAAA&#10;AA==&#10;">
                      <v:fill on="f" focussize="0,0"/>
                      <v:stroke on="f" weight="1pt"/>
                      <v:imagedata o:title=""/>
                      <o:lock v:ext="edit" aspectratio="f"/>
                      <v:textbox>
                        <w:txbxContent>
                          <w:p w14:paraId="5D754A2C">
                            <w:pPr>
                              <w:jc w:val="both"/>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扬尘、机械尾气、固废、噪声</w:t>
                            </w:r>
                          </w:p>
                        </w:txbxContent>
                      </v:textbox>
                    </v:rect>
                  </w:pict>
                </mc:Fallback>
              </mc:AlternateContent>
            </w:r>
            <w:r>
              <w:rPr>
                <w:color w:val="auto"/>
                <w:sz w:val="24"/>
              </w:rPr>
              <mc:AlternateContent>
                <mc:Choice Requires="wps">
                  <w:drawing>
                    <wp:anchor distT="0" distB="0" distL="114300" distR="114300" simplePos="0" relativeHeight="251672576" behindDoc="0" locked="0" layoutInCell="1" allowOverlap="1">
                      <wp:simplePos x="0" y="0"/>
                      <wp:positionH relativeFrom="column">
                        <wp:posOffset>2667635</wp:posOffset>
                      </wp:positionH>
                      <wp:positionV relativeFrom="paragraph">
                        <wp:posOffset>205740</wp:posOffset>
                      </wp:positionV>
                      <wp:extent cx="302895" cy="139065"/>
                      <wp:effectExtent l="1905" t="2540" r="0" b="10795"/>
                      <wp:wrapNone/>
                      <wp:docPr id="22" name="直接箭头连接符 22"/>
                      <wp:cNvGraphicFramePr/>
                      <a:graphic xmlns:a="http://schemas.openxmlformats.org/drawingml/2006/main">
                        <a:graphicData uri="http://schemas.microsoft.com/office/word/2010/wordprocessingShape">
                          <wps:wsp>
                            <wps:cNvCnPr/>
                            <wps:spPr>
                              <a:xfrm flipV="1">
                                <a:off x="0" y="0"/>
                                <a:ext cx="302895" cy="139065"/>
                              </a:xfrm>
                              <a:prstGeom prst="straightConnector1">
                                <a:avLst/>
                              </a:prstGeom>
                              <a:ln w="9525">
                                <a:solidFill>
                                  <a:schemeClr val="tx1"/>
                                </a:solidFill>
                                <a:prstDash val="dash"/>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210.05pt;margin-top:16.2pt;height:10.95pt;width:23.85pt;z-index:251672576;mso-width-relative:page;mso-height-relative:page;" filled="f" stroked="t" coordsize="21600,21600" o:gfxdata="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YqHWY1QAAAAkBAAAPAAAAAAAAAAEAIAAAACIAAABkcnMv&#10;ZG93bnJldi54bWxQSwECFAAUAAAACACHTuJAX6ldUwYCAADZAwAADgAAAAAAAAABACAAAAAkAQAA&#10;ZHJzL2Uyb0RvYy54bWxQSwUGAAAAAAYABgBZAQAAnAUAAAAA&#10;">
                      <v:fill on="f" focussize="0,0"/>
                      <v:stroke color="#000000 [3213]" joinstyle="round" dashstyle="dash" endarrow="block"/>
                      <v:imagedata o:title=""/>
                      <o:lock v:ext="edit" aspectratio="f"/>
                    </v:shape>
                  </w:pict>
                </mc:Fallback>
              </mc:AlternateContent>
            </w:r>
            <w:r>
              <w:rPr>
                <w:color w:val="auto"/>
                <w:sz w:val="24"/>
              </w:rPr>
              <mc:AlternateContent>
                <mc:Choice Requires="wps">
                  <w:drawing>
                    <wp:anchor distT="0" distB="0" distL="114300" distR="114300" simplePos="0" relativeHeight="251663360" behindDoc="0" locked="0" layoutInCell="1" allowOverlap="1">
                      <wp:simplePos x="0" y="0"/>
                      <wp:positionH relativeFrom="column">
                        <wp:posOffset>1903730</wp:posOffset>
                      </wp:positionH>
                      <wp:positionV relativeFrom="paragraph">
                        <wp:posOffset>191770</wp:posOffset>
                      </wp:positionV>
                      <wp:extent cx="754380" cy="287020"/>
                      <wp:effectExtent l="6350" t="6350" r="20320" b="11430"/>
                      <wp:wrapNone/>
                      <wp:docPr id="10" name="矩形 10"/>
                      <wp:cNvGraphicFramePr/>
                      <a:graphic xmlns:a="http://schemas.openxmlformats.org/drawingml/2006/main">
                        <a:graphicData uri="http://schemas.microsoft.com/office/word/2010/wordprocessingShape">
                          <wps:wsp>
                            <wps:cNvSpPr/>
                            <wps:spPr>
                              <a:xfrm>
                                <a:off x="0" y="0"/>
                                <a:ext cx="754380" cy="287020"/>
                              </a:xfrm>
                              <a:prstGeom prst="rect">
                                <a:avLst/>
                              </a:prstGeom>
                              <a:no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2D3A3934">
                                  <w:pPr>
                                    <w:rPr>
                                      <w:rFonts w:hint="default"/>
                                      <w:lang w:val="en-US" w:eastAsia="zh-CN"/>
                                    </w:rPr>
                                  </w:pPr>
                                  <w:r>
                                    <w:rPr>
                                      <w:rFonts w:hint="default"/>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护岸填筑</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49.9pt;margin-top:15.1pt;height:22.6pt;width:59.4pt;z-index:251663360;v-text-anchor:middle;mso-width-relative:page;mso-height-relative:page;" filled="f" stroked="t" coordsize="21600,21600" o:gfxdata="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Dfk/GPZAAAACQEAAA8AAAAAAAAAAQAgAAAAIgAAAGRycy9kb3ducmV2LnhtbFBLAQIUABQA&#10;AAAIAIdO4kCIBooOYQIAAMAEAAAOAAAAAAAAAAEAIAAAACgBAABkcnMvZTJvRG9jLnhtbFBLBQYA&#10;AAAABgAGAFkBAAD7BQAAAAA=&#10;">
                      <v:fill on="f" focussize="0,0"/>
                      <v:stroke weight="1pt" color="#000000 [3213]" joinstyle="round"/>
                      <v:imagedata o:title=""/>
                      <o:lock v:ext="edit" aspectratio="f"/>
                      <v:textbox>
                        <w:txbxContent>
                          <w:p w14:paraId="2D3A3934">
                            <w:pPr>
                              <w:rPr>
                                <w:rFonts w:hint="default"/>
                                <w:lang w:val="en-US" w:eastAsia="zh-CN"/>
                              </w:rPr>
                            </w:pPr>
                            <w:r>
                              <w:rPr>
                                <w:rFonts w:hint="default"/>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护岸填筑</w:t>
                            </w:r>
                          </w:p>
                        </w:txbxContent>
                      </v:textbox>
                    </v:rect>
                  </w:pict>
                </mc:Fallback>
              </mc:AlternateContent>
            </w:r>
          </w:p>
          <w:p w14:paraId="4628332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p>
          <w:p w14:paraId="2DBC7D7E">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p>
          <w:p w14:paraId="5AD2618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r>
              <w:rPr>
                <w:color w:val="auto"/>
                <w:sz w:val="24"/>
              </w:rPr>
              <mc:AlternateContent>
                <mc:Choice Requires="wps">
                  <w:drawing>
                    <wp:anchor distT="0" distB="0" distL="114300" distR="114300" simplePos="0" relativeHeight="251664384" behindDoc="0" locked="0" layoutInCell="1" allowOverlap="1">
                      <wp:simplePos x="0" y="0"/>
                      <wp:positionH relativeFrom="column">
                        <wp:posOffset>2280920</wp:posOffset>
                      </wp:positionH>
                      <wp:positionV relativeFrom="paragraph">
                        <wp:posOffset>-410210</wp:posOffset>
                      </wp:positionV>
                      <wp:extent cx="0" cy="887095"/>
                      <wp:effectExtent l="38100" t="0" r="38100" b="8255"/>
                      <wp:wrapNone/>
                      <wp:docPr id="13" name="直接箭头连接符 13"/>
                      <wp:cNvGraphicFramePr/>
                      <a:graphic xmlns:a="http://schemas.openxmlformats.org/drawingml/2006/main">
                        <a:graphicData uri="http://schemas.microsoft.com/office/word/2010/wordprocessingShape">
                          <wps:wsp>
                            <wps:cNvCnPr>
                              <a:stCxn id="10" idx="2"/>
                            </wps:cNvCnPr>
                            <wps:spPr>
                              <a:xfrm>
                                <a:off x="0" y="0"/>
                                <a:ext cx="0" cy="887095"/>
                              </a:xfrm>
                              <a:prstGeom prst="straightConnector1">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79.6pt;margin-top:-32.3pt;height:69.85pt;width:0pt;z-index:251664384;mso-width-relative:page;mso-height-relative:page;" filled="f" stroked="t" coordsize="21600,21600" o:gfxdata="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Jy3N1wAAAAoBAAAPAAAAAAAAAAEAIAAAACIA&#10;AABkcnMvZG93bnJldi54bWxQSwECFAAUAAAACACHTuJAVH4xTwoCAADzAwAADgAAAAAAAAABACAA&#10;AAAmAQAAZHJzL2Uyb0RvYy54bWxQSwUGAAAAAAYABgBZAQAAogUAAAAA&#10;">
                      <v:fill on="f" focussize="0,0"/>
                      <v:stroke weight="1pt" color="#000000 [3213]" joinstyle="round" endarrow="block"/>
                      <v:imagedata o:title=""/>
                      <o:lock v:ext="edit" aspectratio="f"/>
                    </v:shape>
                  </w:pict>
                </mc:Fallback>
              </mc:AlternateContent>
            </w:r>
          </w:p>
          <w:p w14:paraId="37B55A58">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r>
              <w:rPr>
                <w:color w:val="auto"/>
                <w:sz w:val="24"/>
              </w:rPr>
              <mc:AlternateContent>
                <mc:Choice Requires="wps">
                  <w:drawing>
                    <wp:anchor distT="0" distB="0" distL="114300" distR="114300" simplePos="0" relativeHeight="251675648" behindDoc="0" locked="0" layoutInCell="1" allowOverlap="1">
                      <wp:simplePos x="0" y="0"/>
                      <wp:positionH relativeFrom="column">
                        <wp:posOffset>3075305</wp:posOffset>
                      </wp:positionH>
                      <wp:positionV relativeFrom="paragraph">
                        <wp:posOffset>25400</wp:posOffset>
                      </wp:positionV>
                      <wp:extent cx="1973580" cy="276225"/>
                      <wp:effectExtent l="0" t="0" r="0" b="0"/>
                      <wp:wrapNone/>
                      <wp:docPr id="27" name="矩形 27"/>
                      <wp:cNvGraphicFramePr/>
                      <a:graphic xmlns:a="http://schemas.openxmlformats.org/drawingml/2006/main">
                        <a:graphicData uri="http://schemas.microsoft.com/office/word/2010/wordprocessingShape">
                          <wps:wsp>
                            <wps:cNvSpPr/>
                            <wps:spPr>
                              <a:xfrm>
                                <a:off x="0" y="0"/>
                                <a:ext cx="1973580" cy="276225"/>
                              </a:xfrm>
                              <a:prstGeom prst="rect">
                                <a:avLst/>
                              </a:prstGeom>
                              <a:noFill/>
                              <a:ln w="12700">
                                <a:noFill/>
                              </a:ln>
                            </wps:spPr>
                            <wps:style>
                              <a:lnRef idx="2">
                                <a:schemeClr val="accent1">
                                  <a:lumMod val="75000"/>
                                </a:schemeClr>
                              </a:lnRef>
                              <a:fillRef idx="1">
                                <a:schemeClr val="accent1"/>
                              </a:fillRef>
                              <a:effectRef idx="0">
                                <a:srgbClr val="FFFFFF"/>
                              </a:effectRef>
                              <a:fontRef idx="minor">
                                <a:schemeClr val="lt1"/>
                              </a:fontRef>
                            </wps:style>
                            <wps:txbx>
                              <w:txbxContent>
                                <w:p w14:paraId="0D310ECA">
                                  <w:pPr>
                                    <w:jc w:val="both"/>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扬尘、机械尾气、固废、噪声</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2.15pt;margin-top:2pt;height:21.75pt;width:155.4pt;z-index:251675648;v-text-anchor:middle;mso-width-relative:page;mso-height-relative:page;" filled="f" stroked="f" coordsize="21600,21600" o:gfxdata="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9m3st1gAAAAgBAAAP&#10;AAAAAAAAAAEAIAAAACIAAABkcnMvZG93bnJldi54bWxQSwECFAAUAAAACACHTuJAMc/kilMCAACY&#10;BAAADgAAAAAAAAABACAAAAAlAQAAZHJzL2Uyb0RvYy54bWxQSwUGAAAAAAYABgBZAQAA6gUAAAAA&#10;">
                      <v:fill on="f" focussize="0,0"/>
                      <v:stroke on="f" weight="1pt"/>
                      <v:imagedata o:title=""/>
                      <o:lock v:ext="edit" aspectratio="f"/>
                      <v:textbox>
                        <w:txbxContent>
                          <w:p w14:paraId="0D310ECA">
                            <w:pPr>
                              <w:jc w:val="both"/>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扬尘、机械尾气、固废、噪声</w:t>
                            </w:r>
                          </w:p>
                        </w:txbxContent>
                      </v:textbox>
                    </v:rect>
                  </w:pict>
                </mc:Fallback>
              </mc:AlternateContent>
            </w:r>
            <w:r>
              <w:rPr>
                <w:color w:val="auto"/>
                <w:sz w:val="24"/>
              </w:rPr>
              <mc:AlternateContent>
                <mc:Choice Requires="wps">
                  <w:drawing>
                    <wp:anchor distT="0" distB="0" distL="114300" distR="114300" simplePos="0" relativeHeight="251674624" behindDoc="0" locked="0" layoutInCell="1" allowOverlap="1">
                      <wp:simplePos x="0" y="0"/>
                      <wp:positionH relativeFrom="column">
                        <wp:posOffset>2839085</wp:posOffset>
                      </wp:positionH>
                      <wp:positionV relativeFrom="paragraph">
                        <wp:posOffset>163195</wp:posOffset>
                      </wp:positionV>
                      <wp:extent cx="302895" cy="139065"/>
                      <wp:effectExtent l="1905" t="2540" r="0" b="10795"/>
                      <wp:wrapNone/>
                      <wp:docPr id="26" name="直接箭头连接符 26"/>
                      <wp:cNvGraphicFramePr/>
                      <a:graphic xmlns:a="http://schemas.openxmlformats.org/drawingml/2006/main">
                        <a:graphicData uri="http://schemas.microsoft.com/office/word/2010/wordprocessingShape">
                          <wps:wsp>
                            <wps:cNvCnPr/>
                            <wps:spPr>
                              <a:xfrm flipV="1">
                                <a:off x="0" y="0"/>
                                <a:ext cx="302895" cy="139065"/>
                              </a:xfrm>
                              <a:prstGeom prst="straightConnector1">
                                <a:avLst/>
                              </a:prstGeom>
                              <a:ln w="9525">
                                <a:solidFill>
                                  <a:schemeClr val="tx1"/>
                                </a:solidFill>
                                <a:prstDash val="dash"/>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223.55pt;margin-top:12.85pt;height:10.95pt;width:23.85pt;z-index:251674624;mso-width-relative:page;mso-height-relative:page;" filled="f" stroked="t" coordsize="21600,21600" o:gfxdata="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ARXYS1QAAAAkBAAAPAAAAAAAAAAEAIAAAACIAAABkcnMv&#10;ZG93bnJldi54bWxQSwECFAAUAAAACACHTuJAY8SpKgYCAADZAwAADgAAAAAAAAABACAAAAAkAQAA&#10;ZHJzL2Uyb0RvYy54bWxQSwUGAAAAAAYABgBZAQAAnAUAAAAA&#10;">
                      <v:fill on="f" focussize="0,0"/>
                      <v:stroke color="#000000 [3213]" joinstyle="round" dashstyle="dash" endarrow="block"/>
                      <v:imagedata o:title=""/>
                      <o:lock v:ext="edit" aspectratio="f"/>
                    </v:shape>
                  </w:pict>
                </mc:Fallback>
              </mc:AlternateContent>
            </w:r>
            <w:r>
              <w:rPr>
                <w:color w:val="auto"/>
                <w:sz w:val="24"/>
              </w:rPr>
              <mc:AlternateContent>
                <mc:Choice Requires="wps">
                  <w:drawing>
                    <wp:anchor distT="0" distB="0" distL="114300" distR="114300" simplePos="0" relativeHeight="251665408" behindDoc="0" locked="0" layoutInCell="1" allowOverlap="1">
                      <wp:simplePos x="0" y="0"/>
                      <wp:positionH relativeFrom="column">
                        <wp:posOffset>1798955</wp:posOffset>
                      </wp:positionH>
                      <wp:positionV relativeFrom="paragraph">
                        <wp:posOffset>168275</wp:posOffset>
                      </wp:positionV>
                      <wp:extent cx="1002665" cy="287020"/>
                      <wp:effectExtent l="6350" t="6350" r="19685" b="11430"/>
                      <wp:wrapNone/>
                      <wp:docPr id="14" name="矩形 14"/>
                      <wp:cNvGraphicFramePr/>
                      <a:graphic xmlns:a="http://schemas.openxmlformats.org/drawingml/2006/main">
                        <a:graphicData uri="http://schemas.microsoft.com/office/word/2010/wordprocessingShape">
                          <wps:wsp>
                            <wps:cNvSpPr/>
                            <wps:spPr>
                              <a:xfrm>
                                <a:off x="0" y="0"/>
                                <a:ext cx="1002665" cy="287020"/>
                              </a:xfrm>
                              <a:prstGeom prst="rect">
                                <a:avLst/>
                              </a:prstGeom>
                              <a:no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1FF6CF1">
                                  <w:pPr>
                                    <w:rPr>
                                      <w:rFonts w:hint="default"/>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格宾石笼施工</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41.65pt;margin-top:13.25pt;height:22.6pt;width:78.95pt;z-index:251665408;v-text-anchor:middle;mso-width-relative:page;mso-height-relative:page;" filled="f" stroked="t" coordsize="21600,21600" o:gfxdata="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NP9tbnZAAAACQEAAA8AAAAAAAAAAQAgAAAAIgAAAGRycy9kb3ducmV2LnhtbFBLAQIU&#10;ABQAAAAIAIdO4kBSt6C+ZAIAAMEEAAAOAAAAAAAAAAEAIAAAACgBAABkcnMvZTJvRG9jLnhtbFBL&#10;BQYAAAAABgAGAFkBAAD+BQAAAAA=&#10;">
                      <v:fill on="f" focussize="0,0"/>
                      <v:stroke weight="1pt" color="#000000 [3213]" joinstyle="round"/>
                      <v:imagedata o:title=""/>
                      <o:lock v:ext="edit" aspectratio="f"/>
                      <v:textbox>
                        <w:txbxContent>
                          <w:p w14:paraId="11FF6CF1">
                            <w:pPr>
                              <w:rPr>
                                <w:rFonts w:hint="default"/>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格宾石笼施工</w:t>
                            </w:r>
                          </w:p>
                        </w:txbxContent>
                      </v:textbox>
                    </v:rect>
                  </w:pict>
                </mc:Fallback>
              </mc:AlternateContent>
            </w:r>
          </w:p>
          <w:p w14:paraId="6FE0ED9F">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r>
              <w:rPr>
                <w:color w:val="auto"/>
                <w:sz w:val="24"/>
              </w:rPr>
              <mc:AlternateContent>
                <mc:Choice Requires="wps">
                  <w:drawing>
                    <wp:anchor distT="0" distB="0" distL="114300" distR="114300" simplePos="0" relativeHeight="251666432" behindDoc="0" locked="0" layoutInCell="1" allowOverlap="1">
                      <wp:simplePos x="0" y="0"/>
                      <wp:positionH relativeFrom="column">
                        <wp:posOffset>2299970</wp:posOffset>
                      </wp:positionH>
                      <wp:positionV relativeFrom="paragraph">
                        <wp:posOffset>168275</wp:posOffset>
                      </wp:positionV>
                      <wp:extent cx="0" cy="296545"/>
                      <wp:effectExtent l="38100" t="0" r="38100" b="8255"/>
                      <wp:wrapNone/>
                      <wp:docPr id="15" name="直接箭头连接符 15"/>
                      <wp:cNvGraphicFramePr/>
                      <a:graphic xmlns:a="http://schemas.openxmlformats.org/drawingml/2006/main">
                        <a:graphicData uri="http://schemas.microsoft.com/office/word/2010/wordprocessingShape">
                          <wps:wsp>
                            <wps:cNvCnPr/>
                            <wps:spPr>
                              <a:xfrm>
                                <a:off x="0" y="0"/>
                                <a:ext cx="0" cy="296545"/>
                              </a:xfrm>
                              <a:prstGeom prst="straightConnector1">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81.1pt;margin-top:13.25pt;height:23.35pt;width:0pt;z-index:251666432;mso-width-relative:page;mso-height-relative:page;" filled="f" stroked="t" coordsize="21600,21600" o:gfxdata="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ANdNKbVAAAACQEAAA8AAAAAAAAAAQAgAAAAIgAAAGRycy9kb3ducmV2LnhtbFBL&#10;AQIUABQAAAAIAIdO4kDpfcoC+QEAAMwDAAAOAAAAAAAAAAEAIAAAACQBAABkcnMvZTJvRG9jLnht&#10;bFBLBQYAAAAABgAGAFkBAACPBQAAAAA=&#10;">
                      <v:fill on="f" focussize="0,0"/>
                      <v:stroke weight="1pt" color="#000000 [3213]" joinstyle="round" endarrow="block"/>
                      <v:imagedata o:title=""/>
                      <o:lock v:ext="edit" aspectratio="f"/>
                    </v:shape>
                  </w:pict>
                </mc:Fallback>
              </mc:AlternateContent>
            </w:r>
          </w:p>
          <w:p w14:paraId="4728B5A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r>
              <w:rPr>
                <w:color w:val="auto"/>
                <w:sz w:val="24"/>
              </w:rPr>
              <mc:AlternateContent>
                <mc:Choice Requires="wps">
                  <w:drawing>
                    <wp:anchor distT="0" distB="0" distL="114300" distR="114300" simplePos="0" relativeHeight="251677696" behindDoc="0" locked="0" layoutInCell="1" allowOverlap="1">
                      <wp:simplePos x="0" y="0"/>
                      <wp:positionH relativeFrom="column">
                        <wp:posOffset>2961005</wp:posOffset>
                      </wp:positionH>
                      <wp:positionV relativeFrom="paragraph">
                        <wp:posOffset>41910</wp:posOffset>
                      </wp:positionV>
                      <wp:extent cx="1973580" cy="276225"/>
                      <wp:effectExtent l="0" t="0" r="0" b="0"/>
                      <wp:wrapNone/>
                      <wp:docPr id="29" name="矩形 29"/>
                      <wp:cNvGraphicFramePr/>
                      <a:graphic xmlns:a="http://schemas.openxmlformats.org/drawingml/2006/main">
                        <a:graphicData uri="http://schemas.microsoft.com/office/word/2010/wordprocessingShape">
                          <wps:wsp>
                            <wps:cNvSpPr/>
                            <wps:spPr>
                              <a:xfrm>
                                <a:off x="0" y="0"/>
                                <a:ext cx="1973580" cy="276225"/>
                              </a:xfrm>
                              <a:prstGeom prst="rect">
                                <a:avLst/>
                              </a:prstGeom>
                              <a:noFill/>
                              <a:ln w="12700">
                                <a:noFill/>
                              </a:ln>
                            </wps:spPr>
                            <wps:style>
                              <a:lnRef idx="2">
                                <a:schemeClr val="accent1">
                                  <a:lumMod val="75000"/>
                                </a:schemeClr>
                              </a:lnRef>
                              <a:fillRef idx="1">
                                <a:schemeClr val="accent1"/>
                              </a:fillRef>
                              <a:effectRef idx="0">
                                <a:srgbClr val="FFFFFF"/>
                              </a:effectRef>
                              <a:fontRef idx="minor">
                                <a:schemeClr val="lt1"/>
                              </a:fontRef>
                            </wps:style>
                            <wps:txbx>
                              <w:txbxContent>
                                <w:p w14:paraId="40941A1A">
                                  <w:pPr>
                                    <w:jc w:val="both"/>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扬尘、机械尾气、固废、噪声</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3.15pt;margin-top:3.3pt;height:21.75pt;width:155.4pt;z-index:251677696;v-text-anchor:middle;mso-width-relative:page;mso-height-relative:page;" filled="f" stroked="f" coordsize="21600,21600" o:gfxdata="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GV8qotcAAAAIAQAA&#10;DwAAAAAAAAABACAAAAAiAAAAZHJzL2Rvd25yZXYueG1sUEsBAhQAFAAAAAgAh07iQO7tFFJTAgAA&#10;mAQAAA4AAAAAAAAAAQAgAAAAJgEAAGRycy9lMm9Eb2MueG1sUEsFBgAAAAAGAAYAWQEAAOsFAAAA&#10;AA==&#10;">
                      <v:fill on="f" focussize="0,0"/>
                      <v:stroke on="f" weight="1pt"/>
                      <v:imagedata o:title=""/>
                      <o:lock v:ext="edit" aspectratio="f"/>
                      <v:textbox>
                        <w:txbxContent>
                          <w:p w14:paraId="40941A1A">
                            <w:pPr>
                              <w:jc w:val="both"/>
                              <w:rPr>
                                <w:rFonts w:hint="default" w:eastAsia="宋体"/>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扬尘、机械尾气、固废、噪声</w:t>
                            </w:r>
                          </w:p>
                        </w:txbxContent>
                      </v:textbox>
                    </v:rect>
                  </w:pict>
                </mc:Fallback>
              </mc:AlternateContent>
            </w:r>
            <w:r>
              <w:rPr>
                <w:color w:val="auto"/>
                <w:sz w:val="24"/>
              </w:rPr>
              <mc:AlternateContent>
                <mc:Choice Requires="wps">
                  <w:drawing>
                    <wp:anchor distT="0" distB="0" distL="114300" distR="114300" simplePos="0" relativeHeight="251676672" behindDoc="0" locked="0" layoutInCell="1" allowOverlap="1">
                      <wp:simplePos x="0" y="0"/>
                      <wp:positionH relativeFrom="column">
                        <wp:posOffset>2696210</wp:posOffset>
                      </wp:positionH>
                      <wp:positionV relativeFrom="paragraph">
                        <wp:posOffset>179705</wp:posOffset>
                      </wp:positionV>
                      <wp:extent cx="302895" cy="139065"/>
                      <wp:effectExtent l="1905" t="2540" r="0" b="10795"/>
                      <wp:wrapNone/>
                      <wp:docPr id="28" name="直接箭头连接符 28"/>
                      <wp:cNvGraphicFramePr/>
                      <a:graphic xmlns:a="http://schemas.openxmlformats.org/drawingml/2006/main">
                        <a:graphicData uri="http://schemas.microsoft.com/office/word/2010/wordprocessingShape">
                          <wps:wsp>
                            <wps:cNvCnPr/>
                            <wps:spPr>
                              <a:xfrm flipV="1">
                                <a:off x="0" y="0"/>
                                <a:ext cx="302895" cy="139065"/>
                              </a:xfrm>
                              <a:prstGeom prst="straightConnector1">
                                <a:avLst/>
                              </a:prstGeom>
                              <a:ln w="9525">
                                <a:solidFill>
                                  <a:schemeClr val="tx1"/>
                                </a:solidFill>
                                <a:prstDash val="dash"/>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212.3pt;margin-top:14.15pt;height:10.95pt;width:23.85pt;z-index:251676672;mso-width-relative:page;mso-height-relative:page;" filled="f" stroked="t" coordsize="21600,21600" o:gfxdata="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KsRX21QAAAAkBAAAPAAAAAAAAAAEAIAAAACIAAABkcnMv&#10;ZG93bnJldi54bWxQSwECFAAUAAAACACHTuJAuUVPnAYCAADZAwAADgAAAAAAAAABACAAAAAkAQAA&#10;ZHJzL2Uyb0RvYy54bWxQSwUGAAAAAAYABgBZAQAAnAUAAAAA&#10;">
                      <v:fill on="f" focussize="0,0"/>
                      <v:stroke color="#000000 [3213]" joinstyle="round" dashstyle="dash" endarrow="block"/>
                      <v:imagedata o:title=""/>
                      <o:lock v:ext="edit" aspectratio="f"/>
                    </v:shape>
                  </w:pict>
                </mc:Fallback>
              </mc:AlternateContent>
            </w:r>
            <w:r>
              <w:rPr>
                <w:color w:val="auto"/>
                <w:sz w:val="24"/>
              </w:rPr>
              <mc:AlternateContent>
                <mc:Choice Requires="wps">
                  <w:drawing>
                    <wp:anchor distT="0" distB="0" distL="114300" distR="114300" simplePos="0" relativeHeight="251667456" behindDoc="0" locked="0" layoutInCell="1" allowOverlap="1">
                      <wp:simplePos x="0" y="0"/>
                      <wp:positionH relativeFrom="column">
                        <wp:posOffset>1922780</wp:posOffset>
                      </wp:positionH>
                      <wp:positionV relativeFrom="paragraph">
                        <wp:posOffset>175260</wp:posOffset>
                      </wp:positionV>
                      <wp:extent cx="755015" cy="287020"/>
                      <wp:effectExtent l="6350" t="6350" r="19685" b="11430"/>
                      <wp:wrapNone/>
                      <wp:docPr id="16" name="矩形 16"/>
                      <wp:cNvGraphicFramePr/>
                      <a:graphic xmlns:a="http://schemas.openxmlformats.org/drawingml/2006/main">
                        <a:graphicData uri="http://schemas.microsoft.com/office/word/2010/wordprocessingShape">
                          <wps:wsp>
                            <wps:cNvSpPr/>
                            <wps:spPr>
                              <a:xfrm>
                                <a:off x="0" y="0"/>
                                <a:ext cx="755015" cy="287020"/>
                              </a:xfrm>
                              <a:prstGeom prst="rect">
                                <a:avLst/>
                              </a:prstGeom>
                              <a:no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93C2986">
                                  <w:pPr>
                                    <w:rPr>
                                      <w:rFonts w:hint="default"/>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土方回填</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1.4pt;margin-top:13.8pt;height:22.6pt;width:59.45pt;z-index:251667456;v-text-anchor:middle;mso-width-relative:page;mso-height-relative:page;" filled="f" stroked="t" coordsize="21600,21600" o:gfxdata="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b5Q2WdgAAAAJAQAADwAAAAAAAAABACAAAAAiAAAAZHJzL2Rvd25yZXYueG1sUEsBAhQA&#10;FAAAAAgAh07iQJFxuf9kAgAAwAQAAA4AAAAAAAAAAQAgAAAAJwEAAGRycy9lMm9Eb2MueG1sUEsF&#10;BgAAAAAGAAYAWQEAAP0FAAAAAA==&#10;">
                      <v:fill on="f" focussize="0,0"/>
                      <v:stroke weight="1pt" color="#000000 [3213]" joinstyle="round"/>
                      <v:imagedata o:title=""/>
                      <o:lock v:ext="edit" aspectratio="f"/>
                      <v:textbox>
                        <w:txbxContent>
                          <w:p w14:paraId="693C2986">
                            <w:pPr>
                              <w:rPr>
                                <w:rFonts w:hint="default"/>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土方回填</w:t>
                            </w:r>
                          </w:p>
                        </w:txbxContent>
                      </v:textbox>
                    </v:rect>
                  </w:pict>
                </mc:Fallback>
              </mc:AlternateContent>
            </w:r>
          </w:p>
          <w:p w14:paraId="24CD674C">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r>
              <w:rPr>
                <w:color w:val="auto"/>
                <w:sz w:val="24"/>
              </w:rPr>
              <mc:AlternateContent>
                <mc:Choice Requires="wps">
                  <w:drawing>
                    <wp:anchor distT="0" distB="0" distL="114300" distR="114300" simplePos="0" relativeHeight="251678720" behindDoc="0" locked="0" layoutInCell="1" allowOverlap="1">
                      <wp:simplePos x="0" y="0"/>
                      <wp:positionH relativeFrom="column">
                        <wp:posOffset>2299970</wp:posOffset>
                      </wp:positionH>
                      <wp:positionV relativeFrom="paragraph">
                        <wp:posOffset>165735</wp:posOffset>
                      </wp:positionV>
                      <wp:extent cx="0" cy="296545"/>
                      <wp:effectExtent l="38100" t="0" r="38100" b="8255"/>
                      <wp:wrapNone/>
                      <wp:docPr id="30" name="直接箭头连接符 30"/>
                      <wp:cNvGraphicFramePr/>
                      <a:graphic xmlns:a="http://schemas.openxmlformats.org/drawingml/2006/main">
                        <a:graphicData uri="http://schemas.microsoft.com/office/word/2010/wordprocessingShape">
                          <wps:wsp>
                            <wps:cNvCnPr/>
                            <wps:spPr>
                              <a:xfrm>
                                <a:off x="0" y="0"/>
                                <a:ext cx="0" cy="296545"/>
                              </a:xfrm>
                              <a:prstGeom prst="straightConnector1">
                                <a:avLst/>
                              </a:prstGeom>
                              <a:ln w="12700">
                                <a:solidFill>
                                  <a:schemeClr val="tx1"/>
                                </a:solidFill>
                                <a:tailEnd type="triangle"/>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81.1pt;margin-top:13.05pt;height:23.35pt;width:0pt;z-index:251678720;mso-width-relative:page;mso-height-relative:page;" filled="f" stroked="t" coordsize="21600,21600" o:gfxdata="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KYlFobVAAAACQEAAA8AAAAAAAAAAQAgAAAAIgAAAGRycy9kb3ducmV2LnhtbFBL&#10;AQIUABQAAAAIAIdO4kAAq0fW+QEAAMwDAAAOAAAAAAAAAAEAIAAAACQBAABkcnMvZTJvRG9jLnht&#10;bFBLBQYAAAAABgAGAFkBAACPBQAAAAA=&#10;">
                      <v:fill on="f" focussize="0,0"/>
                      <v:stroke weight="1pt" color="#000000 [3213]" joinstyle="round" endarrow="block"/>
                      <v:imagedata o:title=""/>
                      <o:lock v:ext="edit" aspectratio="f"/>
                    </v:shape>
                  </w:pict>
                </mc:Fallback>
              </mc:AlternateContent>
            </w:r>
          </w:p>
          <w:p w14:paraId="17BCCF17">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r>
              <w:rPr>
                <w:color w:val="auto"/>
                <w:sz w:val="24"/>
              </w:rPr>
              <mc:AlternateContent>
                <mc:Choice Requires="wps">
                  <w:drawing>
                    <wp:anchor distT="0" distB="0" distL="114300" distR="114300" simplePos="0" relativeHeight="251679744" behindDoc="0" locked="0" layoutInCell="1" allowOverlap="1">
                      <wp:simplePos x="0" y="0"/>
                      <wp:positionH relativeFrom="column">
                        <wp:posOffset>1894205</wp:posOffset>
                      </wp:positionH>
                      <wp:positionV relativeFrom="paragraph">
                        <wp:posOffset>172720</wp:posOffset>
                      </wp:positionV>
                      <wp:extent cx="755015" cy="287020"/>
                      <wp:effectExtent l="6350" t="6350" r="19685" b="11430"/>
                      <wp:wrapNone/>
                      <wp:docPr id="31" name="矩形 31"/>
                      <wp:cNvGraphicFramePr/>
                      <a:graphic xmlns:a="http://schemas.openxmlformats.org/drawingml/2006/main">
                        <a:graphicData uri="http://schemas.microsoft.com/office/word/2010/wordprocessingShape">
                          <wps:wsp>
                            <wps:cNvSpPr/>
                            <wps:spPr>
                              <a:xfrm>
                                <a:off x="0" y="0"/>
                                <a:ext cx="755015" cy="287020"/>
                              </a:xfrm>
                              <a:prstGeom prst="rect">
                                <a:avLst/>
                              </a:prstGeom>
                              <a:noFill/>
                              <a:ln w="1270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ADB1E9B">
                                  <w:pPr>
                                    <w:rPr>
                                      <w:rFonts w:hint="default"/>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竣工验收</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49.15pt;margin-top:13.6pt;height:22.6pt;width:59.45pt;z-index:251679744;v-text-anchor:middle;mso-width-relative:page;mso-height-relative:page;" filled="f" stroked="t" coordsize="21600,21600" o:gfxdata="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wDOwTXAAAACQEAAA8AAAAAAAAAAQAgAAAAIgAAAGRycy9kb3ducmV2LnhtbFBLAQIUABQA&#10;AAAIAIdO4kAwF0+hYwIAAMAEAAAOAAAAAAAAAAEAIAAAACYBAABkcnMvZTJvRG9jLnhtbFBLBQYA&#10;AAAABgAGAFkBAAD7BQAAAAA=&#10;">
                      <v:fill on="f" focussize="0,0"/>
                      <v:stroke weight="1pt" color="#000000 [3213]" joinstyle="round"/>
                      <v:imagedata o:title=""/>
                      <o:lock v:ext="edit" aspectratio="f"/>
                      <v:textbox>
                        <w:txbxContent>
                          <w:p w14:paraId="1ADB1E9B">
                            <w:pPr>
                              <w:rPr>
                                <w:rFonts w:hint="default"/>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竣工验收</w:t>
                            </w:r>
                          </w:p>
                        </w:txbxContent>
                      </v:textbox>
                    </v:rect>
                  </w:pict>
                </mc:Fallback>
              </mc:AlternateContent>
            </w:r>
          </w:p>
          <w:p w14:paraId="690458A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color w:val="auto"/>
                <w:spacing w:val="-5"/>
                <w:sz w:val="24"/>
                <w:szCs w:val="24"/>
              </w:rPr>
            </w:pPr>
          </w:p>
          <w:p w14:paraId="090FEA90">
            <w:pPr>
              <w:pStyle w:val="65"/>
              <w:keepNext w:val="0"/>
              <w:keepLines w:val="0"/>
              <w:pageBreakBefore w:val="0"/>
              <w:widowControl w:val="0"/>
              <w:numPr>
                <w:ilvl w:val="0"/>
                <w:numId w:val="29"/>
              </w:numPr>
              <w:kinsoku/>
              <w:wordWrap/>
              <w:overflowPunct/>
              <w:topLinePunct w:val="0"/>
              <w:autoSpaceDE/>
              <w:autoSpaceDN/>
              <w:bidi w:val="0"/>
              <w:adjustRightInd w:val="0"/>
              <w:snapToGrid w:val="0"/>
              <w:spacing w:line="240" w:lineRule="auto"/>
              <w:ind w:left="0" w:leftChars="0" w:firstLine="0" w:firstLineChars="0"/>
              <w:jc w:val="center"/>
              <w:textAlignment w:val="auto"/>
              <w:rPr>
                <w:color w:val="auto"/>
                <w:sz w:val="24"/>
                <w:szCs w:val="24"/>
              </w:rPr>
            </w:pPr>
            <w:r>
              <w:rPr>
                <w:b/>
                <w:bCs/>
                <w:color w:val="auto"/>
                <w:spacing w:val="-4"/>
                <w:sz w:val="24"/>
                <w:szCs w:val="24"/>
              </w:rPr>
              <w:t>施工期工艺流程及产物节点图</w:t>
            </w:r>
          </w:p>
          <w:p w14:paraId="7463F108">
            <w:pPr>
              <w:pStyle w:val="65"/>
              <w:numPr>
                <w:ilvl w:val="0"/>
                <w:numId w:val="28"/>
              </w:numPr>
              <w:spacing w:before="40" w:line="360" w:lineRule="auto"/>
              <w:ind w:left="425" w:leftChars="0" w:hanging="425" w:firstLineChars="0"/>
              <w:rPr>
                <w:b/>
                <w:bCs/>
                <w:color w:val="auto"/>
                <w:spacing w:val="-3"/>
                <w:sz w:val="24"/>
                <w:szCs w:val="24"/>
              </w:rPr>
            </w:pPr>
            <w:r>
              <w:rPr>
                <w:b/>
                <w:bCs/>
                <w:color w:val="auto"/>
                <w:spacing w:val="-3"/>
                <w:sz w:val="24"/>
                <w:szCs w:val="24"/>
              </w:rPr>
              <w:t>大气环境影响分析</w:t>
            </w:r>
          </w:p>
          <w:p w14:paraId="6509E6E5">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7"/>
              <w:textAlignment w:val="auto"/>
              <w:rPr>
                <w:color w:val="auto"/>
                <w:spacing w:val="-1"/>
                <w:sz w:val="24"/>
                <w:szCs w:val="24"/>
              </w:rPr>
            </w:pPr>
            <w:r>
              <w:rPr>
                <w:rFonts w:hint="eastAsia"/>
                <w:color w:val="auto"/>
                <w:spacing w:val="-1"/>
                <w:sz w:val="24"/>
                <w:szCs w:val="24"/>
                <w:lang w:val="en-US" w:eastAsia="zh-CN"/>
              </w:rPr>
              <w:t>本</w:t>
            </w:r>
            <w:r>
              <w:rPr>
                <w:color w:val="auto"/>
                <w:spacing w:val="-1"/>
                <w:sz w:val="24"/>
                <w:szCs w:val="24"/>
              </w:rPr>
              <w:t>项目</w:t>
            </w:r>
            <w:r>
              <w:rPr>
                <w:rFonts w:hint="eastAsia"/>
                <w:color w:val="auto"/>
                <w:spacing w:val="-1"/>
                <w:sz w:val="24"/>
                <w:szCs w:val="24"/>
                <w:lang w:val="en-US" w:eastAsia="zh-CN"/>
              </w:rPr>
              <w:t>为河道治理，大气影响主要在施工期，</w:t>
            </w:r>
            <w:r>
              <w:rPr>
                <w:color w:val="auto"/>
                <w:spacing w:val="-1"/>
                <w:sz w:val="24"/>
                <w:szCs w:val="24"/>
              </w:rPr>
              <w:t>施工期大气污染物主要包括施工扬尘、临时</w:t>
            </w:r>
            <w:r>
              <w:rPr>
                <w:rFonts w:hint="eastAsia"/>
                <w:color w:val="auto"/>
                <w:spacing w:val="-1"/>
                <w:sz w:val="24"/>
                <w:szCs w:val="24"/>
                <w:lang w:eastAsia="zh-CN"/>
              </w:rPr>
              <w:t>拌和站</w:t>
            </w:r>
            <w:r>
              <w:rPr>
                <w:color w:val="auto"/>
                <w:spacing w:val="-1"/>
                <w:sz w:val="24"/>
                <w:szCs w:val="24"/>
              </w:rPr>
              <w:t>生产废气、施工机械与车辆尾气和燃油废气。</w:t>
            </w:r>
          </w:p>
          <w:p w14:paraId="2F4963BA">
            <w:pPr>
              <w:pStyle w:val="65"/>
              <w:keepNext w:val="0"/>
              <w:keepLines w:val="0"/>
              <w:pageBreakBefore w:val="0"/>
              <w:widowControl w:val="0"/>
              <w:numPr>
                <w:ilvl w:val="0"/>
                <w:numId w:val="30"/>
              </w:numPr>
              <w:kinsoku/>
              <w:wordWrap/>
              <w:overflowPunct/>
              <w:topLinePunct w:val="0"/>
              <w:autoSpaceDE/>
              <w:autoSpaceDN/>
              <w:bidi w:val="0"/>
              <w:adjustRightInd w:val="0"/>
              <w:snapToGrid w:val="0"/>
              <w:spacing w:line="360" w:lineRule="auto"/>
              <w:ind w:left="425" w:leftChars="0" w:right="0" w:hanging="425" w:firstLineChars="0"/>
              <w:textAlignment w:val="auto"/>
              <w:rPr>
                <w:color w:val="auto"/>
                <w:sz w:val="24"/>
                <w:szCs w:val="24"/>
              </w:rPr>
            </w:pPr>
            <w:r>
              <w:rPr>
                <w:color w:val="auto"/>
                <w:spacing w:val="-3"/>
                <w:sz w:val="24"/>
                <w:szCs w:val="24"/>
              </w:rPr>
              <w:t>施工扬尘</w:t>
            </w:r>
          </w:p>
          <w:p w14:paraId="7FB5A53B">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7"/>
              <w:textAlignment w:val="auto"/>
              <w:rPr>
                <w:color w:val="auto"/>
                <w:spacing w:val="-7"/>
                <w:sz w:val="24"/>
                <w:szCs w:val="24"/>
              </w:rPr>
            </w:pPr>
            <w:r>
              <w:rPr>
                <w:color w:val="auto"/>
                <w:spacing w:val="-1"/>
                <w:sz w:val="24"/>
                <w:szCs w:val="24"/>
              </w:rPr>
              <w:t>施工期产生的扬尘按起尘的原因可分为风力起尘和动力起尘。</w:t>
            </w:r>
            <w:r>
              <w:rPr>
                <w:color w:val="auto"/>
                <w:spacing w:val="-7"/>
                <w:sz w:val="24"/>
                <w:szCs w:val="24"/>
              </w:rPr>
              <w:t>本项目风力起尘主要为在场地平整、基础开挖、土方回填、</w:t>
            </w:r>
            <w:r>
              <w:rPr>
                <w:rFonts w:hint="eastAsia"/>
                <w:color w:val="auto"/>
                <w:spacing w:val="-7"/>
                <w:sz w:val="24"/>
                <w:szCs w:val="24"/>
                <w:lang w:val="en-US" w:eastAsia="zh-CN"/>
              </w:rPr>
              <w:t>车辆运输道路</w:t>
            </w:r>
            <w:r>
              <w:rPr>
                <w:color w:val="auto"/>
                <w:spacing w:val="-7"/>
                <w:sz w:val="24"/>
                <w:szCs w:val="24"/>
              </w:rPr>
              <w:t>等土方作业过程中，在气候干燥又有风的情况下，会产生扬尘，其扬尘可按堆场起尘的经验公式计算：</w:t>
            </w:r>
          </w:p>
          <w:p w14:paraId="287FF019">
            <w:pPr>
              <w:pStyle w:val="65"/>
              <w:spacing w:before="184" w:line="353" w:lineRule="auto"/>
              <w:ind w:right="2705" w:firstLine="2160" w:firstLineChars="800"/>
              <w:rPr>
                <w:rFonts w:ascii="Times New Roman" w:hAnsi="Times New Roman" w:eastAsia="Times New Roman" w:cs="Times New Roman"/>
                <w:i/>
                <w:iCs/>
                <w:color w:val="auto"/>
                <w:spacing w:val="4"/>
                <w:position w:val="9"/>
                <w:sz w:val="16"/>
                <w:szCs w:val="16"/>
              </w:rPr>
            </w:pPr>
            <w:r>
              <w:rPr>
                <w:rFonts w:ascii="Times New Roman" w:hAnsi="Times New Roman" w:eastAsia="Times New Roman" w:cs="Times New Roman"/>
                <w:i/>
                <w:iCs/>
                <w:color w:val="auto"/>
                <w:spacing w:val="5"/>
                <w:position w:val="-1"/>
                <w:sz w:val="26"/>
                <w:szCs w:val="26"/>
              </w:rPr>
              <w:t>Q</w:t>
            </w:r>
            <w:r>
              <w:rPr>
                <w:rFonts w:ascii="Arial" w:hAnsi="Arial" w:eastAsia="Arial" w:cs="Arial"/>
                <w:color w:val="auto"/>
                <w:spacing w:val="5"/>
                <w:position w:val="-1"/>
                <w:sz w:val="26"/>
                <w:szCs w:val="26"/>
              </w:rPr>
              <w:t>=</w:t>
            </w:r>
            <w:r>
              <w:rPr>
                <w:rFonts w:ascii="Times New Roman" w:hAnsi="Times New Roman" w:eastAsia="Times New Roman" w:cs="Times New Roman"/>
                <w:color w:val="auto"/>
                <w:spacing w:val="5"/>
                <w:position w:val="-1"/>
                <w:sz w:val="26"/>
                <w:szCs w:val="26"/>
              </w:rPr>
              <w:t>2.1(</w:t>
            </w:r>
            <w:r>
              <w:rPr>
                <w:rFonts w:ascii="Times New Roman" w:hAnsi="Times New Roman" w:eastAsia="Times New Roman" w:cs="Times New Roman"/>
                <w:i/>
                <w:iCs/>
                <w:color w:val="auto"/>
                <w:spacing w:val="5"/>
                <w:position w:val="-1"/>
                <w:sz w:val="26"/>
                <w:szCs w:val="26"/>
              </w:rPr>
              <w:t>V</w:t>
            </w:r>
            <w:r>
              <w:rPr>
                <w:rFonts w:ascii="Times New Roman" w:hAnsi="Times New Roman" w:eastAsia="Times New Roman" w:cs="Times New Roman"/>
                <w:color w:val="auto"/>
                <w:spacing w:val="5"/>
                <w:position w:val="-8"/>
                <w:sz w:val="16"/>
                <w:szCs w:val="16"/>
              </w:rPr>
              <w:t>50</w:t>
            </w:r>
            <w:r>
              <w:rPr>
                <w:rFonts w:ascii="Arial" w:hAnsi="Arial" w:eastAsia="Arial" w:cs="Arial"/>
                <w:color w:val="auto"/>
                <w:spacing w:val="5"/>
                <w:position w:val="-1"/>
                <w:sz w:val="26"/>
                <w:szCs w:val="26"/>
              </w:rPr>
              <w:t>-</w:t>
            </w:r>
            <w:r>
              <w:rPr>
                <w:rFonts w:ascii="Times New Roman" w:hAnsi="Times New Roman" w:eastAsia="Times New Roman" w:cs="Times New Roman"/>
                <w:i/>
                <w:iCs/>
                <w:color w:val="auto"/>
                <w:spacing w:val="5"/>
                <w:position w:val="-1"/>
                <w:sz w:val="26"/>
                <w:szCs w:val="26"/>
              </w:rPr>
              <w:t>V</w:t>
            </w:r>
            <w:r>
              <w:rPr>
                <w:rFonts w:ascii="Times New Roman" w:hAnsi="Times New Roman" w:eastAsia="Times New Roman" w:cs="Times New Roman"/>
                <w:color w:val="auto"/>
                <w:spacing w:val="5"/>
                <w:position w:val="-2"/>
                <w:sz w:val="16"/>
                <w:szCs w:val="16"/>
              </w:rPr>
              <w:t>0</w:t>
            </w:r>
            <w:r>
              <w:rPr>
                <w:rFonts w:ascii="Times New Roman" w:hAnsi="Times New Roman" w:eastAsia="Times New Roman" w:cs="Times New Roman"/>
                <w:color w:val="auto"/>
                <w:spacing w:val="5"/>
                <w:position w:val="-2"/>
                <w:sz w:val="26"/>
                <w:szCs w:val="26"/>
              </w:rPr>
              <w:t>)</w:t>
            </w:r>
            <w:r>
              <w:rPr>
                <w:rFonts w:ascii="Times New Roman" w:hAnsi="Times New Roman" w:eastAsia="Times New Roman" w:cs="Times New Roman"/>
                <w:color w:val="auto"/>
                <w:spacing w:val="5"/>
                <w:position w:val="9"/>
                <w:sz w:val="16"/>
                <w:szCs w:val="16"/>
              </w:rPr>
              <w:t>3</w:t>
            </w:r>
            <w:r>
              <w:rPr>
                <w:rFonts w:ascii="Times New Roman" w:hAnsi="Times New Roman" w:eastAsia="Times New Roman" w:cs="Times New Roman"/>
                <w:i/>
                <w:iCs/>
                <w:color w:val="auto"/>
                <w:spacing w:val="5"/>
                <w:position w:val="-1"/>
                <w:sz w:val="26"/>
                <w:szCs w:val="26"/>
              </w:rPr>
              <w:t>e</w:t>
            </w:r>
            <w:r>
              <w:rPr>
                <w:rFonts w:ascii="Arial" w:hAnsi="Arial" w:eastAsia="Arial" w:cs="Arial"/>
                <w:color w:val="auto"/>
                <w:spacing w:val="5"/>
                <w:position w:val="9"/>
                <w:sz w:val="16"/>
                <w:szCs w:val="16"/>
              </w:rPr>
              <w:t>-</w:t>
            </w:r>
            <w:r>
              <w:rPr>
                <w:rFonts w:ascii="Times New Roman" w:hAnsi="Times New Roman" w:eastAsia="Times New Roman" w:cs="Times New Roman"/>
                <w:color w:val="auto"/>
                <w:spacing w:val="5"/>
                <w:position w:val="9"/>
                <w:sz w:val="16"/>
                <w:szCs w:val="16"/>
              </w:rPr>
              <w:t>1.0</w:t>
            </w:r>
            <w:r>
              <w:rPr>
                <w:rFonts w:ascii="Times New Roman" w:hAnsi="Times New Roman" w:eastAsia="Times New Roman" w:cs="Times New Roman"/>
                <w:color w:val="auto"/>
                <w:spacing w:val="4"/>
                <w:position w:val="9"/>
                <w:sz w:val="16"/>
                <w:szCs w:val="16"/>
              </w:rPr>
              <w:t>23</w:t>
            </w:r>
            <w:r>
              <w:rPr>
                <w:rFonts w:ascii="Times New Roman" w:hAnsi="Times New Roman" w:eastAsia="Times New Roman" w:cs="Times New Roman"/>
                <w:i/>
                <w:iCs/>
                <w:color w:val="auto"/>
                <w:spacing w:val="4"/>
                <w:position w:val="9"/>
                <w:sz w:val="16"/>
                <w:szCs w:val="16"/>
              </w:rPr>
              <w:t>W</w:t>
            </w:r>
          </w:p>
          <w:p w14:paraId="1CF421B1">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64" w:firstLineChars="200"/>
              <w:textAlignment w:val="auto"/>
              <w:rPr>
                <w:color w:val="auto"/>
                <w:sz w:val="24"/>
                <w:szCs w:val="24"/>
              </w:rPr>
            </w:pPr>
            <w:r>
              <w:rPr>
                <w:color w:val="auto"/>
                <w:spacing w:val="-4"/>
                <w:sz w:val="24"/>
                <w:szCs w:val="24"/>
              </w:rPr>
              <w:t>式中，</w:t>
            </w:r>
            <w:r>
              <w:rPr>
                <w:rFonts w:ascii="Times New Roman" w:hAnsi="Times New Roman" w:eastAsia="Times New Roman" w:cs="Times New Roman"/>
                <w:color w:val="auto"/>
                <w:spacing w:val="-4"/>
                <w:sz w:val="24"/>
                <w:szCs w:val="24"/>
              </w:rPr>
              <w:t>Q—</w:t>
            </w:r>
            <w:r>
              <w:rPr>
                <w:color w:val="auto"/>
                <w:spacing w:val="-4"/>
                <w:sz w:val="24"/>
                <w:szCs w:val="24"/>
              </w:rPr>
              <w:t>起尘量，</w:t>
            </w:r>
            <w:r>
              <w:rPr>
                <w:rFonts w:ascii="Times New Roman" w:hAnsi="Times New Roman" w:eastAsia="Times New Roman" w:cs="Times New Roman"/>
                <w:color w:val="auto"/>
                <w:spacing w:val="-4"/>
                <w:sz w:val="24"/>
                <w:szCs w:val="24"/>
              </w:rPr>
              <w:t>kg/t·a</w:t>
            </w:r>
            <w:r>
              <w:rPr>
                <w:color w:val="auto"/>
                <w:spacing w:val="-4"/>
                <w:sz w:val="24"/>
                <w:szCs w:val="24"/>
              </w:rPr>
              <w:t>；</w:t>
            </w:r>
          </w:p>
          <w:p w14:paraId="50ECD424">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944" w:firstLineChars="400"/>
              <w:textAlignment w:val="auto"/>
              <w:rPr>
                <w:color w:val="auto"/>
                <w:sz w:val="24"/>
                <w:szCs w:val="24"/>
              </w:rPr>
            </w:pPr>
            <w:r>
              <w:rPr>
                <w:rFonts w:ascii="Times New Roman" w:hAnsi="Times New Roman" w:eastAsia="Times New Roman" w:cs="Times New Roman"/>
                <w:i/>
                <w:iCs/>
                <w:color w:val="auto"/>
                <w:spacing w:val="-2"/>
                <w:sz w:val="24"/>
                <w:szCs w:val="24"/>
              </w:rPr>
              <w:t>V</w:t>
            </w:r>
            <w:r>
              <w:rPr>
                <w:rFonts w:ascii="Times New Roman" w:hAnsi="Times New Roman" w:eastAsia="Times New Roman" w:cs="Times New Roman"/>
                <w:i/>
                <w:iCs/>
                <w:color w:val="auto"/>
                <w:spacing w:val="-2"/>
                <w:position w:val="-3"/>
                <w:sz w:val="24"/>
                <w:szCs w:val="24"/>
                <w:vertAlign w:val="subscript"/>
              </w:rPr>
              <w:t>50</w:t>
            </w:r>
            <w:r>
              <w:rPr>
                <w:rFonts w:ascii="Times New Roman" w:hAnsi="Times New Roman" w:eastAsia="Times New Roman" w:cs="Times New Roman"/>
                <w:color w:val="auto"/>
                <w:spacing w:val="-2"/>
                <w:sz w:val="24"/>
                <w:szCs w:val="24"/>
              </w:rPr>
              <w:t>—</w:t>
            </w:r>
            <w:r>
              <w:rPr>
                <w:color w:val="auto"/>
                <w:spacing w:val="-2"/>
                <w:sz w:val="24"/>
                <w:szCs w:val="24"/>
              </w:rPr>
              <w:t>距地面</w:t>
            </w:r>
            <w:r>
              <w:rPr>
                <w:rFonts w:ascii="Times New Roman" w:hAnsi="Times New Roman" w:eastAsia="Times New Roman" w:cs="Times New Roman"/>
                <w:color w:val="auto"/>
                <w:spacing w:val="-2"/>
                <w:sz w:val="24"/>
                <w:szCs w:val="24"/>
              </w:rPr>
              <w:t>50m</w:t>
            </w:r>
            <w:r>
              <w:rPr>
                <w:color w:val="auto"/>
                <w:spacing w:val="-2"/>
                <w:sz w:val="24"/>
                <w:szCs w:val="24"/>
              </w:rPr>
              <w:t>处风速，</w:t>
            </w:r>
            <w:r>
              <w:rPr>
                <w:rFonts w:ascii="Times New Roman" w:hAnsi="Times New Roman" w:eastAsia="Times New Roman" w:cs="Times New Roman"/>
                <w:color w:val="auto"/>
                <w:spacing w:val="-2"/>
                <w:sz w:val="24"/>
                <w:szCs w:val="24"/>
              </w:rPr>
              <w:t>m/s</w:t>
            </w:r>
            <w:r>
              <w:rPr>
                <w:color w:val="auto"/>
                <w:spacing w:val="-2"/>
                <w:sz w:val="24"/>
                <w:szCs w:val="24"/>
              </w:rPr>
              <w:t>；</w:t>
            </w:r>
          </w:p>
          <w:p w14:paraId="1ACA6F45">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944" w:firstLineChars="400"/>
              <w:textAlignment w:val="auto"/>
              <w:rPr>
                <w:color w:val="auto"/>
                <w:sz w:val="24"/>
                <w:szCs w:val="24"/>
              </w:rPr>
            </w:pPr>
            <w:r>
              <w:rPr>
                <w:rFonts w:ascii="Times New Roman" w:hAnsi="Times New Roman" w:eastAsia="Times New Roman" w:cs="Times New Roman"/>
                <w:i/>
                <w:iCs/>
                <w:color w:val="auto"/>
                <w:spacing w:val="-2"/>
                <w:sz w:val="24"/>
                <w:szCs w:val="24"/>
              </w:rPr>
              <w:t>V</w:t>
            </w:r>
            <w:r>
              <w:rPr>
                <w:rFonts w:ascii="Times New Roman" w:hAnsi="Times New Roman" w:eastAsia="Times New Roman" w:cs="Times New Roman"/>
                <w:i/>
                <w:iCs/>
                <w:color w:val="auto"/>
                <w:spacing w:val="-2"/>
                <w:position w:val="-2"/>
                <w:sz w:val="24"/>
                <w:szCs w:val="24"/>
                <w:vertAlign w:val="subscript"/>
              </w:rPr>
              <w:t>0</w:t>
            </w:r>
            <w:r>
              <w:rPr>
                <w:rFonts w:ascii="Times New Roman" w:hAnsi="Times New Roman" w:eastAsia="Times New Roman" w:cs="Times New Roman"/>
                <w:color w:val="auto"/>
                <w:spacing w:val="-2"/>
                <w:sz w:val="24"/>
                <w:szCs w:val="24"/>
              </w:rPr>
              <w:t>—</w:t>
            </w:r>
            <w:r>
              <w:rPr>
                <w:color w:val="auto"/>
                <w:spacing w:val="-2"/>
                <w:sz w:val="24"/>
                <w:szCs w:val="24"/>
              </w:rPr>
              <w:t>起尘风速，</w:t>
            </w:r>
            <w:r>
              <w:rPr>
                <w:rFonts w:ascii="Times New Roman" w:hAnsi="Times New Roman" w:eastAsia="Times New Roman" w:cs="Times New Roman"/>
                <w:color w:val="auto"/>
                <w:spacing w:val="-2"/>
                <w:sz w:val="24"/>
                <w:szCs w:val="24"/>
              </w:rPr>
              <w:t>m/s</w:t>
            </w:r>
            <w:r>
              <w:rPr>
                <w:color w:val="auto"/>
                <w:spacing w:val="-2"/>
                <w:sz w:val="24"/>
                <w:szCs w:val="24"/>
              </w:rPr>
              <w:t>；</w:t>
            </w:r>
          </w:p>
          <w:p w14:paraId="14D88A18">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944" w:firstLineChars="400"/>
              <w:textAlignment w:val="auto"/>
              <w:rPr>
                <w:color w:val="auto"/>
                <w:sz w:val="24"/>
                <w:szCs w:val="24"/>
              </w:rPr>
            </w:pPr>
            <w:r>
              <w:rPr>
                <w:rFonts w:ascii="Times New Roman" w:hAnsi="Times New Roman" w:eastAsia="Times New Roman" w:cs="Times New Roman"/>
                <w:i/>
                <w:iCs/>
                <w:color w:val="auto"/>
                <w:spacing w:val="-2"/>
                <w:sz w:val="24"/>
                <w:szCs w:val="24"/>
              </w:rPr>
              <w:t>W</w:t>
            </w:r>
            <w:r>
              <w:rPr>
                <w:rFonts w:ascii="Times New Roman" w:hAnsi="Times New Roman" w:eastAsia="Times New Roman" w:cs="Times New Roman"/>
                <w:color w:val="auto"/>
                <w:spacing w:val="-2"/>
                <w:sz w:val="24"/>
                <w:szCs w:val="24"/>
              </w:rPr>
              <w:t>—</w:t>
            </w:r>
            <w:r>
              <w:rPr>
                <w:color w:val="auto"/>
                <w:spacing w:val="-2"/>
                <w:sz w:val="24"/>
                <w:szCs w:val="24"/>
              </w:rPr>
              <w:t>尘粒的含水率，</w:t>
            </w:r>
            <w:r>
              <w:rPr>
                <w:rFonts w:ascii="Times New Roman" w:hAnsi="Times New Roman" w:eastAsia="Times New Roman" w:cs="Times New Roman"/>
                <w:color w:val="auto"/>
                <w:spacing w:val="-2"/>
                <w:sz w:val="24"/>
                <w:szCs w:val="24"/>
              </w:rPr>
              <w:t>%</w:t>
            </w:r>
            <w:r>
              <w:rPr>
                <w:color w:val="auto"/>
                <w:spacing w:val="-2"/>
                <w:sz w:val="24"/>
                <w:szCs w:val="24"/>
              </w:rPr>
              <w:t>。</w:t>
            </w:r>
          </w:p>
          <w:p w14:paraId="120B819B">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72" w:firstLineChars="200"/>
              <w:textAlignment w:val="auto"/>
              <w:rPr>
                <w:color w:val="auto"/>
                <w:sz w:val="24"/>
                <w:szCs w:val="24"/>
              </w:rPr>
            </w:pPr>
            <w:r>
              <w:rPr>
                <w:rFonts w:ascii="Times New Roman" w:hAnsi="Times New Roman" w:eastAsia="Times New Roman" w:cs="Times New Roman"/>
                <w:i/>
                <w:iCs/>
                <w:color w:val="auto"/>
                <w:spacing w:val="-2"/>
                <w:sz w:val="24"/>
                <w:szCs w:val="24"/>
              </w:rPr>
              <w:t>V</w:t>
            </w:r>
            <w:r>
              <w:rPr>
                <w:rFonts w:ascii="Times New Roman" w:hAnsi="Times New Roman" w:eastAsia="Times New Roman" w:cs="Times New Roman"/>
                <w:i/>
                <w:iCs/>
                <w:color w:val="auto"/>
                <w:spacing w:val="-2"/>
                <w:position w:val="-3"/>
                <w:sz w:val="24"/>
                <w:szCs w:val="24"/>
                <w:vertAlign w:val="subscript"/>
              </w:rPr>
              <w:t>0</w:t>
            </w:r>
            <w:r>
              <w:rPr>
                <w:color w:val="auto"/>
                <w:spacing w:val="-2"/>
                <w:sz w:val="24"/>
                <w:szCs w:val="24"/>
              </w:rPr>
              <w:t>与粒径和含水率有关，因此，减少露天堆放和保证一定的含水率</w:t>
            </w:r>
            <w:r>
              <w:rPr>
                <w:color w:val="auto"/>
                <w:spacing w:val="-3"/>
                <w:sz w:val="24"/>
                <w:szCs w:val="24"/>
              </w:rPr>
              <w:t>及减少裸露地面是减少风力起尘的有效手段。</w:t>
            </w:r>
          </w:p>
          <w:p w14:paraId="6FA7B878">
            <w:pPr>
              <w:pStyle w:val="65"/>
              <w:numPr>
                <w:ilvl w:val="0"/>
                <w:numId w:val="31"/>
              </w:numPr>
              <w:spacing w:before="1" w:line="227" w:lineRule="auto"/>
              <w:ind w:left="0" w:leftChars="0" w:firstLine="0" w:firstLineChars="0"/>
              <w:jc w:val="center"/>
              <w:rPr>
                <w:color w:val="auto"/>
                <w:sz w:val="24"/>
                <w:szCs w:val="24"/>
              </w:rPr>
            </w:pPr>
            <w:r>
              <w:rPr>
                <w:b/>
                <w:bCs/>
                <w:color w:val="auto"/>
                <w:spacing w:val="4"/>
                <w:sz w:val="24"/>
                <w:szCs w:val="24"/>
              </w:rPr>
              <w:t>不同粒径尘粒的沉降速度</w:t>
            </w:r>
          </w:p>
          <w:tbl>
            <w:tblPr>
              <w:tblStyle w:val="54"/>
              <w:tblW w:w="761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8"/>
              <w:gridCol w:w="842"/>
              <w:gridCol w:w="887"/>
              <w:gridCol w:w="967"/>
              <w:gridCol w:w="873"/>
              <w:gridCol w:w="873"/>
              <w:gridCol w:w="778"/>
              <w:gridCol w:w="808"/>
            </w:tblGrid>
            <w:tr w14:paraId="3AD56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 w:hRule="atLeast"/>
                <w:jc w:val="center"/>
              </w:trPr>
              <w:tc>
                <w:tcPr>
                  <w:tcW w:w="1588" w:type="dxa"/>
                  <w:vAlign w:val="center"/>
                </w:tcPr>
                <w:p w14:paraId="752BBA0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b/>
                      <w:bCs/>
                      <w:color w:val="auto"/>
                      <w:spacing w:val="8"/>
                      <w:sz w:val="21"/>
                      <w:szCs w:val="21"/>
                    </w:rPr>
                    <w:t>粒径</w:t>
                  </w:r>
                  <w:r>
                    <w:rPr>
                      <w:rFonts w:hint="eastAsia"/>
                      <w:b/>
                      <w:bCs/>
                      <w:color w:val="auto"/>
                      <w:spacing w:val="8"/>
                      <w:sz w:val="21"/>
                      <w:szCs w:val="21"/>
                      <w:lang w:eastAsia="zh-CN"/>
                    </w:rPr>
                    <w:t>（</w:t>
                  </w:r>
                  <w:r>
                    <w:rPr>
                      <w:rFonts w:ascii="Times New Roman" w:hAnsi="Times New Roman" w:eastAsia="Times New Roman" w:cs="Times New Roman"/>
                      <w:b/>
                      <w:bCs/>
                      <w:color w:val="auto"/>
                      <w:spacing w:val="8"/>
                      <w:sz w:val="21"/>
                      <w:szCs w:val="21"/>
                    </w:rPr>
                    <w:t>μm</w:t>
                  </w:r>
                  <w:r>
                    <w:rPr>
                      <w:rFonts w:hint="eastAsia"/>
                      <w:b/>
                      <w:bCs/>
                      <w:color w:val="auto"/>
                      <w:spacing w:val="8"/>
                      <w:sz w:val="21"/>
                      <w:szCs w:val="21"/>
                      <w:lang w:eastAsia="zh-CN"/>
                    </w:rPr>
                    <w:t>）</w:t>
                  </w:r>
                  <w:r>
                    <w:rPr>
                      <w:color w:val="auto"/>
                      <w:spacing w:val="-70"/>
                      <w:sz w:val="21"/>
                      <w:szCs w:val="21"/>
                    </w:rPr>
                    <w:t xml:space="preserve"> </w:t>
                  </w:r>
                </w:p>
              </w:tc>
              <w:tc>
                <w:tcPr>
                  <w:tcW w:w="842" w:type="dxa"/>
                  <w:vAlign w:val="center"/>
                </w:tcPr>
                <w:p w14:paraId="6802C8A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5"/>
                      <w:sz w:val="21"/>
                      <w:szCs w:val="21"/>
                    </w:rPr>
                    <w:t>10</w:t>
                  </w:r>
                </w:p>
              </w:tc>
              <w:tc>
                <w:tcPr>
                  <w:tcW w:w="887" w:type="dxa"/>
                  <w:vAlign w:val="center"/>
                </w:tcPr>
                <w:p w14:paraId="29CD527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2"/>
                      <w:sz w:val="21"/>
                      <w:szCs w:val="21"/>
                    </w:rPr>
                    <w:t>20</w:t>
                  </w:r>
                </w:p>
              </w:tc>
              <w:tc>
                <w:tcPr>
                  <w:tcW w:w="967" w:type="dxa"/>
                  <w:vAlign w:val="center"/>
                </w:tcPr>
                <w:p w14:paraId="6974ACD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3"/>
                      <w:sz w:val="21"/>
                      <w:szCs w:val="21"/>
                    </w:rPr>
                    <w:t>30</w:t>
                  </w:r>
                </w:p>
              </w:tc>
              <w:tc>
                <w:tcPr>
                  <w:tcW w:w="873" w:type="dxa"/>
                  <w:vAlign w:val="center"/>
                </w:tcPr>
                <w:p w14:paraId="4888B6C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2"/>
                      <w:sz w:val="21"/>
                      <w:szCs w:val="21"/>
                    </w:rPr>
                    <w:t>40</w:t>
                  </w:r>
                </w:p>
              </w:tc>
              <w:tc>
                <w:tcPr>
                  <w:tcW w:w="873" w:type="dxa"/>
                  <w:vAlign w:val="center"/>
                </w:tcPr>
                <w:p w14:paraId="466E63D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1"/>
                      <w:sz w:val="21"/>
                      <w:szCs w:val="21"/>
                    </w:rPr>
                    <w:t>50</w:t>
                  </w:r>
                </w:p>
              </w:tc>
              <w:tc>
                <w:tcPr>
                  <w:tcW w:w="778" w:type="dxa"/>
                  <w:vAlign w:val="center"/>
                </w:tcPr>
                <w:p w14:paraId="44FE9C5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1"/>
                      <w:sz w:val="21"/>
                      <w:szCs w:val="21"/>
                    </w:rPr>
                    <w:t>60</w:t>
                  </w:r>
                </w:p>
              </w:tc>
              <w:tc>
                <w:tcPr>
                  <w:tcW w:w="808" w:type="dxa"/>
                  <w:vAlign w:val="center"/>
                </w:tcPr>
                <w:p w14:paraId="1611FA2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1"/>
                      <w:sz w:val="21"/>
                      <w:szCs w:val="21"/>
                    </w:rPr>
                    <w:t>70</w:t>
                  </w:r>
                </w:p>
              </w:tc>
            </w:tr>
            <w:tr w14:paraId="7BD6F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 w:hRule="atLeast"/>
                <w:jc w:val="center"/>
              </w:trPr>
              <w:tc>
                <w:tcPr>
                  <w:tcW w:w="1588" w:type="dxa"/>
                  <w:vAlign w:val="center"/>
                </w:tcPr>
                <w:p w14:paraId="62122AF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color w:val="auto"/>
                      <w:spacing w:val="15"/>
                      <w:sz w:val="21"/>
                      <w:szCs w:val="21"/>
                    </w:rPr>
                    <w:t>沉降速度</w:t>
                  </w:r>
                  <w:r>
                    <w:rPr>
                      <w:rFonts w:hint="eastAsia"/>
                      <w:color w:val="auto"/>
                      <w:spacing w:val="15"/>
                      <w:sz w:val="21"/>
                      <w:szCs w:val="21"/>
                      <w:lang w:eastAsia="zh-CN"/>
                    </w:rPr>
                    <w:t>（</w:t>
                  </w:r>
                  <w:r>
                    <w:rPr>
                      <w:rFonts w:ascii="Times New Roman" w:hAnsi="Times New Roman" w:eastAsia="Times New Roman" w:cs="Times New Roman"/>
                      <w:color w:val="auto"/>
                      <w:spacing w:val="15"/>
                      <w:sz w:val="21"/>
                      <w:szCs w:val="21"/>
                    </w:rPr>
                    <w:t>m/s</w:t>
                  </w:r>
                  <w:r>
                    <w:rPr>
                      <w:rFonts w:hint="eastAsia"/>
                      <w:color w:val="auto"/>
                      <w:spacing w:val="15"/>
                      <w:sz w:val="21"/>
                      <w:szCs w:val="21"/>
                      <w:lang w:eastAsia="zh-CN"/>
                    </w:rPr>
                    <w:t>）</w:t>
                  </w:r>
                </w:p>
              </w:tc>
              <w:tc>
                <w:tcPr>
                  <w:tcW w:w="842" w:type="dxa"/>
                  <w:vAlign w:val="center"/>
                </w:tcPr>
                <w:p w14:paraId="45D92DCA">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0.003</w:t>
                  </w:r>
                </w:p>
              </w:tc>
              <w:tc>
                <w:tcPr>
                  <w:tcW w:w="887" w:type="dxa"/>
                  <w:vAlign w:val="center"/>
                </w:tcPr>
                <w:p w14:paraId="6161A99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4"/>
                      <w:sz w:val="21"/>
                      <w:szCs w:val="21"/>
                    </w:rPr>
                    <w:t>0.012</w:t>
                  </w:r>
                </w:p>
              </w:tc>
              <w:tc>
                <w:tcPr>
                  <w:tcW w:w="967" w:type="dxa"/>
                  <w:vAlign w:val="center"/>
                </w:tcPr>
                <w:p w14:paraId="72E073A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0.027</w:t>
                  </w:r>
                </w:p>
              </w:tc>
              <w:tc>
                <w:tcPr>
                  <w:tcW w:w="873" w:type="dxa"/>
                  <w:vAlign w:val="center"/>
                </w:tcPr>
                <w:p w14:paraId="1F25060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0.048</w:t>
                  </w:r>
                </w:p>
              </w:tc>
              <w:tc>
                <w:tcPr>
                  <w:tcW w:w="873" w:type="dxa"/>
                  <w:vAlign w:val="center"/>
                </w:tcPr>
                <w:p w14:paraId="0B3215B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4"/>
                      <w:sz w:val="21"/>
                      <w:szCs w:val="21"/>
                    </w:rPr>
                    <w:t>0.075</w:t>
                  </w:r>
                </w:p>
              </w:tc>
              <w:tc>
                <w:tcPr>
                  <w:tcW w:w="778" w:type="dxa"/>
                  <w:vAlign w:val="center"/>
                </w:tcPr>
                <w:p w14:paraId="60317C4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4"/>
                      <w:sz w:val="21"/>
                      <w:szCs w:val="21"/>
                    </w:rPr>
                    <w:t>0.108</w:t>
                  </w:r>
                </w:p>
              </w:tc>
              <w:tc>
                <w:tcPr>
                  <w:tcW w:w="808" w:type="dxa"/>
                  <w:vAlign w:val="center"/>
                </w:tcPr>
                <w:p w14:paraId="63D2BED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0.147</w:t>
                  </w:r>
                </w:p>
              </w:tc>
            </w:tr>
            <w:tr w14:paraId="6D7E28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 w:hRule="atLeast"/>
                <w:jc w:val="center"/>
              </w:trPr>
              <w:tc>
                <w:tcPr>
                  <w:tcW w:w="1588" w:type="dxa"/>
                  <w:vAlign w:val="center"/>
                </w:tcPr>
                <w:p w14:paraId="2F72A41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color w:val="auto"/>
                      <w:spacing w:val="8"/>
                      <w:sz w:val="21"/>
                      <w:szCs w:val="21"/>
                    </w:rPr>
                    <w:t>粒径</w:t>
                  </w:r>
                  <w:r>
                    <w:rPr>
                      <w:rFonts w:hint="eastAsia"/>
                      <w:color w:val="auto"/>
                      <w:spacing w:val="8"/>
                      <w:sz w:val="21"/>
                      <w:szCs w:val="21"/>
                      <w:lang w:eastAsia="zh-CN"/>
                    </w:rPr>
                    <w:t>（</w:t>
                  </w:r>
                  <w:r>
                    <w:rPr>
                      <w:rFonts w:ascii="Times New Roman" w:hAnsi="Times New Roman" w:eastAsia="Times New Roman" w:cs="Times New Roman"/>
                      <w:color w:val="auto"/>
                      <w:spacing w:val="8"/>
                      <w:sz w:val="21"/>
                      <w:szCs w:val="21"/>
                    </w:rPr>
                    <w:t>μm</w:t>
                  </w:r>
                  <w:r>
                    <w:rPr>
                      <w:rFonts w:hint="eastAsia"/>
                      <w:color w:val="auto"/>
                      <w:spacing w:val="8"/>
                      <w:sz w:val="21"/>
                      <w:szCs w:val="21"/>
                      <w:lang w:eastAsia="zh-CN"/>
                    </w:rPr>
                    <w:t>）</w:t>
                  </w:r>
                  <w:r>
                    <w:rPr>
                      <w:color w:val="auto"/>
                      <w:spacing w:val="-65"/>
                      <w:sz w:val="21"/>
                      <w:szCs w:val="21"/>
                    </w:rPr>
                    <w:t xml:space="preserve"> </w:t>
                  </w:r>
                </w:p>
              </w:tc>
              <w:tc>
                <w:tcPr>
                  <w:tcW w:w="842" w:type="dxa"/>
                  <w:vAlign w:val="center"/>
                </w:tcPr>
                <w:p w14:paraId="5D56325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3"/>
                      <w:sz w:val="21"/>
                      <w:szCs w:val="21"/>
                    </w:rPr>
                    <w:t>80</w:t>
                  </w:r>
                </w:p>
              </w:tc>
              <w:tc>
                <w:tcPr>
                  <w:tcW w:w="887" w:type="dxa"/>
                  <w:vAlign w:val="center"/>
                </w:tcPr>
                <w:p w14:paraId="0A26534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90</w:t>
                  </w:r>
                </w:p>
              </w:tc>
              <w:tc>
                <w:tcPr>
                  <w:tcW w:w="967" w:type="dxa"/>
                  <w:vAlign w:val="center"/>
                </w:tcPr>
                <w:p w14:paraId="0A54BB1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100</w:t>
                  </w:r>
                </w:p>
              </w:tc>
              <w:tc>
                <w:tcPr>
                  <w:tcW w:w="873" w:type="dxa"/>
                  <w:vAlign w:val="center"/>
                </w:tcPr>
                <w:p w14:paraId="2F6AD9E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150</w:t>
                  </w:r>
                </w:p>
              </w:tc>
              <w:tc>
                <w:tcPr>
                  <w:tcW w:w="873" w:type="dxa"/>
                  <w:vAlign w:val="center"/>
                </w:tcPr>
                <w:p w14:paraId="6D6ABA2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4"/>
                      <w:sz w:val="21"/>
                      <w:szCs w:val="21"/>
                    </w:rPr>
                    <w:t>200</w:t>
                  </w:r>
                </w:p>
              </w:tc>
              <w:tc>
                <w:tcPr>
                  <w:tcW w:w="778" w:type="dxa"/>
                  <w:vAlign w:val="center"/>
                </w:tcPr>
                <w:p w14:paraId="5477E02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4"/>
                      <w:sz w:val="21"/>
                      <w:szCs w:val="21"/>
                    </w:rPr>
                    <w:t>250</w:t>
                  </w:r>
                </w:p>
              </w:tc>
              <w:tc>
                <w:tcPr>
                  <w:tcW w:w="808" w:type="dxa"/>
                  <w:vAlign w:val="center"/>
                </w:tcPr>
                <w:p w14:paraId="2AAE014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350</w:t>
                  </w:r>
                </w:p>
              </w:tc>
            </w:tr>
            <w:tr w14:paraId="38E88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588" w:type="dxa"/>
                  <w:vAlign w:val="center"/>
                </w:tcPr>
                <w:p w14:paraId="0A13E1E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color w:val="auto"/>
                      <w:spacing w:val="15"/>
                      <w:sz w:val="21"/>
                      <w:szCs w:val="21"/>
                    </w:rPr>
                    <w:t>沉降速度</w:t>
                  </w:r>
                  <w:r>
                    <w:rPr>
                      <w:rFonts w:hint="eastAsia"/>
                      <w:color w:val="auto"/>
                      <w:spacing w:val="15"/>
                      <w:sz w:val="21"/>
                      <w:szCs w:val="21"/>
                      <w:lang w:eastAsia="zh-CN"/>
                    </w:rPr>
                    <w:t>（</w:t>
                  </w:r>
                  <w:r>
                    <w:rPr>
                      <w:rFonts w:ascii="Times New Roman" w:hAnsi="Times New Roman" w:eastAsia="Times New Roman" w:cs="Times New Roman"/>
                      <w:color w:val="auto"/>
                      <w:spacing w:val="15"/>
                      <w:sz w:val="21"/>
                      <w:szCs w:val="21"/>
                    </w:rPr>
                    <w:t>m/s</w:t>
                  </w:r>
                  <w:r>
                    <w:rPr>
                      <w:rFonts w:hint="eastAsia"/>
                      <w:color w:val="auto"/>
                      <w:spacing w:val="15"/>
                      <w:sz w:val="21"/>
                      <w:szCs w:val="21"/>
                      <w:lang w:eastAsia="zh-CN"/>
                    </w:rPr>
                    <w:t>）</w:t>
                  </w:r>
                </w:p>
              </w:tc>
              <w:tc>
                <w:tcPr>
                  <w:tcW w:w="842" w:type="dxa"/>
                  <w:vAlign w:val="center"/>
                </w:tcPr>
                <w:p w14:paraId="422D403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0.158</w:t>
                  </w:r>
                </w:p>
              </w:tc>
              <w:tc>
                <w:tcPr>
                  <w:tcW w:w="887" w:type="dxa"/>
                  <w:vAlign w:val="center"/>
                </w:tcPr>
                <w:p w14:paraId="6C5B6EE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0.170</w:t>
                  </w:r>
                </w:p>
              </w:tc>
              <w:tc>
                <w:tcPr>
                  <w:tcW w:w="967" w:type="dxa"/>
                  <w:vAlign w:val="center"/>
                </w:tcPr>
                <w:p w14:paraId="50784E7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0.182</w:t>
                  </w:r>
                </w:p>
              </w:tc>
              <w:tc>
                <w:tcPr>
                  <w:tcW w:w="873" w:type="dxa"/>
                  <w:vAlign w:val="center"/>
                </w:tcPr>
                <w:p w14:paraId="0BDBD82A">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0.239</w:t>
                  </w:r>
                </w:p>
              </w:tc>
              <w:tc>
                <w:tcPr>
                  <w:tcW w:w="873" w:type="dxa"/>
                  <w:vAlign w:val="center"/>
                </w:tcPr>
                <w:p w14:paraId="7E85C6B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4"/>
                      <w:sz w:val="21"/>
                      <w:szCs w:val="21"/>
                    </w:rPr>
                    <w:t>0.804</w:t>
                  </w:r>
                </w:p>
              </w:tc>
              <w:tc>
                <w:tcPr>
                  <w:tcW w:w="778" w:type="dxa"/>
                  <w:vAlign w:val="center"/>
                </w:tcPr>
                <w:p w14:paraId="7B0EF3A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1.005</w:t>
                  </w:r>
                </w:p>
              </w:tc>
              <w:tc>
                <w:tcPr>
                  <w:tcW w:w="808" w:type="dxa"/>
                  <w:vAlign w:val="center"/>
                </w:tcPr>
                <w:p w14:paraId="65DA5A3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1.829</w:t>
                  </w:r>
                </w:p>
              </w:tc>
            </w:tr>
            <w:tr w14:paraId="447BE4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588" w:type="dxa"/>
                  <w:vAlign w:val="center"/>
                </w:tcPr>
                <w:p w14:paraId="08C9007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color w:val="auto"/>
                      <w:spacing w:val="8"/>
                      <w:sz w:val="21"/>
                      <w:szCs w:val="21"/>
                    </w:rPr>
                    <w:t>粒径</w:t>
                  </w:r>
                  <w:r>
                    <w:rPr>
                      <w:rFonts w:hint="eastAsia"/>
                      <w:color w:val="auto"/>
                      <w:spacing w:val="8"/>
                      <w:sz w:val="21"/>
                      <w:szCs w:val="21"/>
                      <w:lang w:eastAsia="zh-CN"/>
                    </w:rPr>
                    <w:t>（</w:t>
                  </w:r>
                  <w:r>
                    <w:rPr>
                      <w:rFonts w:ascii="Times New Roman" w:hAnsi="Times New Roman" w:eastAsia="Times New Roman" w:cs="Times New Roman"/>
                      <w:color w:val="auto"/>
                      <w:spacing w:val="8"/>
                      <w:sz w:val="21"/>
                      <w:szCs w:val="21"/>
                    </w:rPr>
                    <w:t>μm</w:t>
                  </w:r>
                  <w:r>
                    <w:rPr>
                      <w:rFonts w:hint="eastAsia"/>
                      <w:color w:val="auto"/>
                      <w:spacing w:val="8"/>
                      <w:sz w:val="21"/>
                      <w:szCs w:val="21"/>
                      <w:lang w:eastAsia="zh-CN"/>
                    </w:rPr>
                    <w:t>）</w:t>
                  </w:r>
                  <w:r>
                    <w:rPr>
                      <w:color w:val="auto"/>
                      <w:spacing w:val="-65"/>
                      <w:sz w:val="21"/>
                      <w:szCs w:val="21"/>
                    </w:rPr>
                    <w:t xml:space="preserve"> </w:t>
                  </w:r>
                </w:p>
              </w:tc>
              <w:tc>
                <w:tcPr>
                  <w:tcW w:w="842" w:type="dxa"/>
                  <w:vAlign w:val="center"/>
                </w:tcPr>
                <w:p w14:paraId="14701C1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450</w:t>
                  </w:r>
                </w:p>
              </w:tc>
              <w:tc>
                <w:tcPr>
                  <w:tcW w:w="887" w:type="dxa"/>
                  <w:vAlign w:val="center"/>
                </w:tcPr>
                <w:p w14:paraId="6A84492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550</w:t>
                  </w:r>
                </w:p>
              </w:tc>
              <w:tc>
                <w:tcPr>
                  <w:tcW w:w="967" w:type="dxa"/>
                  <w:vAlign w:val="center"/>
                </w:tcPr>
                <w:p w14:paraId="7CF0EFB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3"/>
                      <w:sz w:val="21"/>
                      <w:szCs w:val="21"/>
                    </w:rPr>
                    <w:t>650</w:t>
                  </w:r>
                </w:p>
              </w:tc>
              <w:tc>
                <w:tcPr>
                  <w:tcW w:w="873" w:type="dxa"/>
                  <w:vAlign w:val="center"/>
                </w:tcPr>
                <w:p w14:paraId="11B9D31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3"/>
                      <w:sz w:val="21"/>
                      <w:szCs w:val="21"/>
                    </w:rPr>
                    <w:t>750</w:t>
                  </w:r>
                </w:p>
              </w:tc>
              <w:tc>
                <w:tcPr>
                  <w:tcW w:w="873" w:type="dxa"/>
                  <w:vAlign w:val="center"/>
                </w:tcPr>
                <w:p w14:paraId="3824689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850</w:t>
                  </w:r>
                </w:p>
              </w:tc>
              <w:tc>
                <w:tcPr>
                  <w:tcW w:w="778" w:type="dxa"/>
                  <w:vAlign w:val="center"/>
                </w:tcPr>
                <w:p w14:paraId="7C13AF0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3"/>
                      <w:sz w:val="21"/>
                      <w:szCs w:val="21"/>
                    </w:rPr>
                    <w:t>950</w:t>
                  </w:r>
                </w:p>
              </w:tc>
              <w:tc>
                <w:tcPr>
                  <w:tcW w:w="808" w:type="dxa"/>
                  <w:vAlign w:val="center"/>
                </w:tcPr>
                <w:p w14:paraId="6E1CCBD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1050</w:t>
                  </w:r>
                </w:p>
              </w:tc>
            </w:tr>
            <w:tr w14:paraId="72601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 w:hRule="atLeast"/>
                <w:jc w:val="center"/>
              </w:trPr>
              <w:tc>
                <w:tcPr>
                  <w:tcW w:w="1588" w:type="dxa"/>
                  <w:vAlign w:val="center"/>
                </w:tcPr>
                <w:p w14:paraId="0058D64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color w:val="auto"/>
                      <w:spacing w:val="15"/>
                      <w:sz w:val="21"/>
                      <w:szCs w:val="21"/>
                    </w:rPr>
                    <w:t>沉降速度</w:t>
                  </w:r>
                  <w:r>
                    <w:rPr>
                      <w:rFonts w:hint="eastAsia"/>
                      <w:color w:val="auto"/>
                      <w:spacing w:val="15"/>
                      <w:sz w:val="21"/>
                      <w:szCs w:val="21"/>
                      <w:lang w:eastAsia="zh-CN"/>
                    </w:rPr>
                    <w:t>（</w:t>
                  </w:r>
                  <w:r>
                    <w:rPr>
                      <w:rFonts w:ascii="Times New Roman" w:hAnsi="Times New Roman" w:eastAsia="Times New Roman" w:cs="Times New Roman"/>
                      <w:color w:val="auto"/>
                      <w:spacing w:val="15"/>
                      <w:sz w:val="21"/>
                      <w:szCs w:val="21"/>
                    </w:rPr>
                    <w:t>m/s</w:t>
                  </w:r>
                  <w:r>
                    <w:rPr>
                      <w:rFonts w:hint="eastAsia"/>
                      <w:color w:val="auto"/>
                      <w:spacing w:val="15"/>
                      <w:sz w:val="21"/>
                      <w:szCs w:val="21"/>
                      <w:lang w:eastAsia="zh-CN"/>
                    </w:rPr>
                    <w:t>）</w:t>
                  </w:r>
                </w:p>
              </w:tc>
              <w:tc>
                <w:tcPr>
                  <w:tcW w:w="842" w:type="dxa"/>
                  <w:vAlign w:val="center"/>
                </w:tcPr>
                <w:p w14:paraId="073F76F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4"/>
                      <w:sz w:val="21"/>
                      <w:szCs w:val="21"/>
                    </w:rPr>
                    <w:t>2.211</w:t>
                  </w:r>
                </w:p>
              </w:tc>
              <w:tc>
                <w:tcPr>
                  <w:tcW w:w="887" w:type="dxa"/>
                  <w:vAlign w:val="center"/>
                </w:tcPr>
                <w:p w14:paraId="464C842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2.614</w:t>
                  </w:r>
                </w:p>
              </w:tc>
              <w:tc>
                <w:tcPr>
                  <w:tcW w:w="967" w:type="dxa"/>
                  <w:vAlign w:val="center"/>
                </w:tcPr>
                <w:p w14:paraId="27E7670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3"/>
                      <w:sz w:val="21"/>
                      <w:szCs w:val="21"/>
                    </w:rPr>
                    <w:t>3.01</w:t>
                  </w:r>
                </w:p>
              </w:tc>
              <w:tc>
                <w:tcPr>
                  <w:tcW w:w="873" w:type="dxa"/>
                  <w:vAlign w:val="center"/>
                </w:tcPr>
                <w:p w14:paraId="6C6BA4E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3.418</w:t>
                  </w:r>
                </w:p>
              </w:tc>
              <w:tc>
                <w:tcPr>
                  <w:tcW w:w="873" w:type="dxa"/>
                  <w:vAlign w:val="center"/>
                </w:tcPr>
                <w:p w14:paraId="07ADD49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4"/>
                      <w:sz w:val="21"/>
                      <w:szCs w:val="21"/>
                    </w:rPr>
                    <w:t>3.820</w:t>
                  </w:r>
                </w:p>
              </w:tc>
              <w:tc>
                <w:tcPr>
                  <w:tcW w:w="778" w:type="dxa"/>
                  <w:vAlign w:val="center"/>
                </w:tcPr>
                <w:p w14:paraId="3B9C3E4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4.222</w:t>
                  </w:r>
                </w:p>
              </w:tc>
              <w:tc>
                <w:tcPr>
                  <w:tcW w:w="808" w:type="dxa"/>
                  <w:vAlign w:val="center"/>
                </w:tcPr>
                <w:p w14:paraId="06A1A62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4.624</w:t>
                  </w:r>
                </w:p>
              </w:tc>
            </w:tr>
          </w:tbl>
          <w:p w14:paraId="529EBB9A">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72" w:firstLineChars="200"/>
              <w:textAlignment w:val="auto"/>
              <w:rPr>
                <w:rFonts w:ascii="Times New Roman" w:hAnsi="Times New Roman" w:eastAsia="Times New Roman" w:cs="Times New Roman"/>
                <w:color w:val="auto"/>
                <w:spacing w:val="-2"/>
                <w:sz w:val="24"/>
                <w:szCs w:val="24"/>
              </w:rPr>
            </w:pPr>
            <w:r>
              <w:rPr>
                <w:rFonts w:ascii="Times New Roman" w:hAnsi="Times New Roman" w:eastAsia="Times New Roman" w:cs="Times New Roman"/>
                <w:color w:val="auto"/>
                <w:spacing w:val="-2"/>
                <w:sz w:val="24"/>
                <w:szCs w:val="24"/>
              </w:rPr>
              <w:t>据有关文献资料介绍，车辆行驶产生的扬尘占总扬尘的60%以上。车辆行驶产生的扬尘，在完全干燥情况下，可按下列经验公式计算：</w:t>
            </w:r>
          </w:p>
          <w:p w14:paraId="54F745F7">
            <w:pPr>
              <w:pStyle w:val="65"/>
              <w:spacing w:before="1" w:line="360" w:lineRule="auto"/>
              <w:ind w:left="2029"/>
              <w:rPr>
                <w:rFonts w:hint="default" w:ascii="Times New Roman" w:hAnsi="Times New Roman" w:eastAsia="宋体" w:cs="Times New Roman"/>
                <w:color w:val="auto"/>
                <w:sz w:val="15"/>
                <w:szCs w:val="15"/>
                <w:lang w:val="en-US" w:eastAsia="zh-CN"/>
              </w:rPr>
            </w:pPr>
            <w:r>
              <w:rPr>
                <w:rFonts w:ascii="Times New Roman" w:hAnsi="Times New Roman" w:eastAsia="Times New Roman" w:cs="Times New Roman"/>
                <w:color w:val="auto"/>
                <w:spacing w:val="-1"/>
                <w:position w:val="-1"/>
              </w:rPr>
              <w:t>Q</w:t>
            </w:r>
            <w:r>
              <w:rPr>
                <w:color w:val="auto"/>
                <w:spacing w:val="-1"/>
                <w:position w:val="-1"/>
              </w:rPr>
              <w:t>＝</w:t>
            </w:r>
            <w:r>
              <w:rPr>
                <w:rFonts w:ascii="Times New Roman" w:hAnsi="Times New Roman" w:eastAsia="Times New Roman" w:cs="Times New Roman"/>
                <w:color w:val="auto"/>
                <w:spacing w:val="-1"/>
                <w:position w:val="-1"/>
              </w:rPr>
              <w:t>0.123</w:t>
            </w:r>
            <w:r>
              <w:rPr>
                <w:color w:val="auto"/>
                <w:spacing w:val="-1"/>
                <w:position w:val="-1"/>
              </w:rPr>
              <w:t>（</w:t>
            </w:r>
            <w:r>
              <w:rPr>
                <w:rFonts w:ascii="Times New Roman" w:hAnsi="Times New Roman" w:eastAsia="Times New Roman" w:cs="Times New Roman"/>
                <w:color w:val="auto"/>
                <w:spacing w:val="-1"/>
                <w:position w:val="-1"/>
              </w:rPr>
              <w:t>V/5</w:t>
            </w:r>
            <w:r>
              <w:rPr>
                <w:color w:val="auto"/>
                <w:spacing w:val="-39"/>
                <w:position w:val="-1"/>
              </w:rPr>
              <w:t>）（</w:t>
            </w:r>
            <w:r>
              <w:rPr>
                <w:rFonts w:ascii="Times New Roman" w:hAnsi="Times New Roman" w:eastAsia="Times New Roman" w:cs="Times New Roman"/>
                <w:color w:val="auto"/>
                <w:spacing w:val="-1"/>
                <w:position w:val="-1"/>
              </w:rPr>
              <w:t>W/6.8</w:t>
            </w:r>
            <w:r>
              <w:rPr>
                <w:color w:val="auto"/>
                <w:spacing w:val="-1"/>
                <w:position w:val="-1"/>
              </w:rPr>
              <w:t>）</w:t>
            </w:r>
            <w:r>
              <w:rPr>
                <w:rFonts w:hint="default" w:ascii="Times New Roman" w:hAnsi="Times New Roman" w:cs="Times New Roman"/>
                <w:color w:val="auto"/>
                <w:spacing w:val="-1"/>
                <w:position w:val="-1"/>
                <w:vertAlign w:val="superscript"/>
                <w:lang w:val="en-US" w:eastAsia="zh-CN"/>
              </w:rPr>
              <w:t>0.85</w:t>
            </w:r>
            <w:r>
              <w:rPr>
                <w:color w:val="auto"/>
                <w:spacing w:val="-1"/>
                <w:position w:val="-1"/>
              </w:rPr>
              <w:t>（</w:t>
            </w:r>
            <w:r>
              <w:rPr>
                <w:rFonts w:ascii="Times New Roman" w:hAnsi="Times New Roman" w:eastAsia="Times New Roman" w:cs="Times New Roman"/>
                <w:color w:val="auto"/>
                <w:spacing w:val="-1"/>
                <w:position w:val="-1"/>
              </w:rPr>
              <w:t>P/0.5</w:t>
            </w:r>
            <w:r>
              <w:rPr>
                <w:color w:val="auto"/>
                <w:spacing w:val="-1"/>
                <w:position w:val="-1"/>
              </w:rPr>
              <w:t>）</w:t>
            </w:r>
            <w:r>
              <w:rPr>
                <w:rFonts w:hint="eastAsia" w:ascii="Times New Roman" w:hAnsi="Times New Roman" w:cs="Times New Roman"/>
                <w:color w:val="auto"/>
                <w:spacing w:val="-1"/>
                <w:position w:val="-1"/>
                <w:vertAlign w:val="superscript"/>
                <w:lang w:val="en-US" w:eastAsia="zh-CN"/>
              </w:rPr>
              <w:t>0.75</w:t>
            </w:r>
          </w:p>
          <w:p w14:paraId="68C8513A">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472" w:firstLineChars="200"/>
              <w:textAlignment w:val="auto"/>
              <w:rPr>
                <w:rFonts w:ascii="Times New Roman" w:hAnsi="Times New Roman" w:eastAsia="Times New Roman" w:cs="Times New Roman"/>
                <w:color w:val="auto"/>
                <w:spacing w:val="-2"/>
                <w:sz w:val="24"/>
                <w:szCs w:val="24"/>
              </w:rPr>
            </w:pPr>
            <w:r>
              <w:rPr>
                <w:rFonts w:ascii="Times New Roman" w:hAnsi="Times New Roman" w:eastAsia="Times New Roman" w:cs="Times New Roman"/>
                <w:color w:val="auto"/>
                <w:spacing w:val="-2"/>
                <w:sz w:val="24"/>
                <w:szCs w:val="24"/>
              </w:rPr>
              <w:t>式中，Q—汽车行驶的扬尘，kg/km·辆；</w:t>
            </w:r>
          </w:p>
          <w:p w14:paraId="577240CF">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944" w:firstLineChars="400"/>
              <w:textAlignment w:val="auto"/>
              <w:rPr>
                <w:rFonts w:ascii="Times New Roman" w:hAnsi="Times New Roman" w:eastAsia="Times New Roman" w:cs="Times New Roman"/>
                <w:color w:val="auto"/>
                <w:spacing w:val="-2"/>
                <w:sz w:val="24"/>
                <w:szCs w:val="24"/>
              </w:rPr>
            </w:pPr>
            <w:r>
              <w:rPr>
                <w:rFonts w:ascii="Times New Roman" w:hAnsi="Times New Roman" w:eastAsia="Times New Roman" w:cs="Times New Roman"/>
                <w:color w:val="auto"/>
                <w:spacing w:val="-2"/>
                <w:sz w:val="24"/>
                <w:szCs w:val="24"/>
              </w:rPr>
              <w:t>V—汽车速度，km/hr；</w:t>
            </w:r>
          </w:p>
          <w:p w14:paraId="6226FD32">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944" w:firstLineChars="400"/>
              <w:textAlignment w:val="auto"/>
              <w:rPr>
                <w:rFonts w:ascii="Times New Roman" w:hAnsi="Times New Roman" w:eastAsia="Times New Roman" w:cs="Times New Roman"/>
                <w:color w:val="auto"/>
                <w:spacing w:val="-2"/>
                <w:sz w:val="24"/>
                <w:szCs w:val="24"/>
              </w:rPr>
            </w:pPr>
            <w:r>
              <w:rPr>
                <w:rFonts w:ascii="Times New Roman" w:hAnsi="Times New Roman" w:eastAsia="Times New Roman" w:cs="Times New Roman"/>
                <w:color w:val="auto"/>
                <w:spacing w:val="-2"/>
                <w:sz w:val="24"/>
                <w:szCs w:val="24"/>
              </w:rPr>
              <w:t>W—汽车载重量，t；</w:t>
            </w:r>
          </w:p>
          <w:p w14:paraId="13AC2412">
            <w:pPr>
              <w:pStyle w:val="65"/>
              <w:keepNext w:val="0"/>
              <w:keepLines w:val="0"/>
              <w:pageBreakBefore w:val="0"/>
              <w:widowControl w:val="0"/>
              <w:kinsoku/>
              <w:wordWrap/>
              <w:overflowPunct/>
              <w:topLinePunct w:val="0"/>
              <w:autoSpaceDE/>
              <w:autoSpaceDN/>
              <w:bidi w:val="0"/>
              <w:adjustRightInd w:val="0"/>
              <w:snapToGrid w:val="0"/>
              <w:spacing w:line="360" w:lineRule="auto"/>
              <w:ind w:right="0" w:firstLine="944" w:firstLineChars="400"/>
              <w:textAlignment w:val="auto"/>
              <w:rPr>
                <w:rFonts w:ascii="Times New Roman" w:hAnsi="Times New Roman" w:eastAsia="Times New Roman" w:cs="Times New Roman"/>
                <w:color w:val="auto"/>
                <w:spacing w:val="-2"/>
                <w:sz w:val="24"/>
                <w:szCs w:val="24"/>
              </w:rPr>
            </w:pPr>
            <w:r>
              <w:rPr>
                <w:rFonts w:ascii="Times New Roman" w:hAnsi="Times New Roman" w:eastAsia="Times New Roman" w:cs="Times New Roman"/>
                <w:color w:val="auto"/>
                <w:spacing w:val="-2"/>
                <w:sz w:val="24"/>
                <w:szCs w:val="24"/>
              </w:rPr>
              <w:t>P—道路表面粉尘量，kg/m</w:t>
            </w:r>
            <w:r>
              <w:rPr>
                <w:rFonts w:ascii="Times New Roman" w:hAnsi="Times New Roman" w:eastAsia="Times New Roman" w:cs="Times New Roman"/>
                <w:color w:val="auto"/>
                <w:spacing w:val="-2"/>
                <w:sz w:val="24"/>
                <w:szCs w:val="24"/>
                <w:vertAlign w:val="superscript"/>
              </w:rPr>
              <w:t>2</w:t>
            </w:r>
            <w:r>
              <w:rPr>
                <w:rFonts w:ascii="Times New Roman" w:hAnsi="Times New Roman" w:eastAsia="Times New Roman" w:cs="Times New Roman"/>
                <w:color w:val="auto"/>
                <w:spacing w:val="-2"/>
                <w:sz w:val="24"/>
                <w:szCs w:val="24"/>
              </w:rPr>
              <w:t>。</w:t>
            </w:r>
          </w:p>
          <w:p w14:paraId="674206AB">
            <w:pPr>
              <w:pStyle w:val="65"/>
              <w:numPr>
                <w:ilvl w:val="0"/>
                <w:numId w:val="31"/>
              </w:numPr>
              <w:spacing w:before="1" w:line="227" w:lineRule="auto"/>
              <w:ind w:left="0" w:leftChars="0" w:firstLine="0" w:firstLineChars="0"/>
              <w:jc w:val="center"/>
              <w:rPr>
                <w:b/>
                <w:bCs/>
                <w:color w:val="auto"/>
                <w:spacing w:val="4"/>
                <w:sz w:val="24"/>
                <w:szCs w:val="24"/>
              </w:rPr>
            </w:pPr>
            <w:r>
              <w:rPr>
                <w:b/>
                <w:bCs/>
                <w:color w:val="auto"/>
                <w:spacing w:val="4"/>
                <w:sz w:val="24"/>
                <w:szCs w:val="24"/>
              </w:rPr>
              <w:t>在不同车速和地面清洁程度的汽车扬尘 单位：</w:t>
            </w:r>
            <w:r>
              <w:rPr>
                <w:rFonts w:hint="default" w:ascii="Times New Roman" w:hAnsi="Times New Roman" w:cs="Times New Roman"/>
                <w:b/>
                <w:bCs/>
                <w:color w:val="auto"/>
                <w:spacing w:val="4"/>
                <w:sz w:val="24"/>
                <w:szCs w:val="24"/>
              </w:rPr>
              <w:t>kg/辆·km</w:t>
            </w:r>
          </w:p>
          <w:tbl>
            <w:tblPr>
              <w:tblStyle w:val="54"/>
              <w:tblW w:w="76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5"/>
              <w:gridCol w:w="1081"/>
              <w:gridCol w:w="1080"/>
              <w:gridCol w:w="1093"/>
              <w:gridCol w:w="1097"/>
              <w:gridCol w:w="1098"/>
              <w:gridCol w:w="1103"/>
            </w:tblGrid>
            <w:tr w14:paraId="6B830B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jc w:val="center"/>
              </w:trPr>
              <w:tc>
                <w:tcPr>
                  <w:tcW w:w="1065" w:type="dxa"/>
                  <w:vAlign w:val="center"/>
                </w:tcPr>
                <w:p w14:paraId="3A57250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9"/>
                      <w:sz w:val="21"/>
                      <w:szCs w:val="21"/>
                    </w:rPr>
                    <w:t>车速</w:t>
                  </w:r>
                </w:p>
              </w:tc>
              <w:tc>
                <w:tcPr>
                  <w:tcW w:w="1081" w:type="dxa"/>
                  <w:vAlign w:val="center"/>
                </w:tcPr>
                <w:p w14:paraId="5DE8005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z w:val="21"/>
                      <w:szCs w:val="21"/>
                    </w:rPr>
                    <w:t>0.1</w:t>
                  </w:r>
                </w:p>
                <w:p w14:paraId="36539C4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4"/>
                      <w:sz w:val="21"/>
                      <w:szCs w:val="21"/>
                    </w:rPr>
                    <w:t>（</w:t>
                  </w:r>
                  <w:r>
                    <w:rPr>
                      <w:rFonts w:ascii="Times New Roman" w:hAnsi="Times New Roman" w:eastAsia="Times New Roman" w:cs="Times New Roman"/>
                      <w:b/>
                      <w:bCs/>
                      <w:color w:val="auto"/>
                      <w:sz w:val="21"/>
                      <w:szCs w:val="21"/>
                    </w:rPr>
                    <w:t>kg</w:t>
                  </w:r>
                  <w:r>
                    <w:rPr>
                      <w:rFonts w:ascii="Times New Roman" w:hAnsi="Times New Roman" w:eastAsia="Times New Roman" w:cs="Times New Roman"/>
                      <w:b/>
                      <w:bCs/>
                      <w:color w:val="auto"/>
                      <w:spacing w:val="4"/>
                      <w:sz w:val="21"/>
                      <w:szCs w:val="21"/>
                    </w:rPr>
                    <w:t>/m</w:t>
                  </w:r>
                  <w:r>
                    <w:rPr>
                      <w:rFonts w:ascii="Times New Roman" w:hAnsi="Times New Roman" w:eastAsia="Times New Roman" w:cs="Times New Roman"/>
                      <w:b/>
                      <w:bCs/>
                      <w:color w:val="auto"/>
                      <w:spacing w:val="4"/>
                      <w:sz w:val="21"/>
                      <w:szCs w:val="21"/>
                      <w:vertAlign w:val="superscript"/>
                    </w:rPr>
                    <w:t>2</w:t>
                  </w:r>
                  <w:r>
                    <w:rPr>
                      <w:b/>
                      <w:bCs/>
                      <w:color w:val="auto"/>
                      <w:spacing w:val="4"/>
                      <w:sz w:val="21"/>
                      <w:szCs w:val="21"/>
                    </w:rPr>
                    <w:t>）</w:t>
                  </w:r>
                </w:p>
              </w:tc>
              <w:tc>
                <w:tcPr>
                  <w:tcW w:w="1080" w:type="dxa"/>
                  <w:vAlign w:val="center"/>
                </w:tcPr>
                <w:p w14:paraId="152A938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2"/>
                      <w:sz w:val="21"/>
                      <w:szCs w:val="21"/>
                    </w:rPr>
                    <w:t>0.2</w:t>
                  </w:r>
                </w:p>
                <w:p w14:paraId="7214E32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4"/>
                      <w:sz w:val="21"/>
                      <w:szCs w:val="21"/>
                    </w:rPr>
                    <w:t>（</w:t>
                  </w:r>
                  <w:r>
                    <w:rPr>
                      <w:rFonts w:ascii="Times New Roman" w:hAnsi="Times New Roman" w:eastAsia="Times New Roman" w:cs="Times New Roman"/>
                      <w:b/>
                      <w:bCs/>
                      <w:color w:val="auto"/>
                      <w:sz w:val="21"/>
                      <w:szCs w:val="21"/>
                    </w:rPr>
                    <w:t>kg</w:t>
                  </w:r>
                  <w:r>
                    <w:rPr>
                      <w:rFonts w:ascii="Times New Roman" w:hAnsi="Times New Roman" w:eastAsia="Times New Roman" w:cs="Times New Roman"/>
                      <w:b/>
                      <w:bCs/>
                      <w:color w:val="auto"/>
                      <w:spacing w:val="4"/>
                      <w:sz w:val="21"/>
                      <w:szCs w:val="21"/>
                    </w:rPr>
                    <w:t>/m</w:t>
                  </w:r>
                  <w:r>
                    <w:rPr>
                      <w:rFonts w:ascii="Times New Roman" w:hAnsi="Times New Roman" w:eastAsia="Times New Roman" w:cs="Times New Roman"/>
                      <w:b/>
                      <w:bCs/>
                      <w:color w:val="auto"/>
                      <w:spacing w:val="4"/>
                      <w:sz w:val="21"/>
                      <w:szCs w:val="21"/>
                      <w:vertAlign w:val="superscript"/>
                    </w:rPr>
                    <w:t>2</w:t>
                  </w:r>
                  <w:r>
                    <w:rPr>
                      <w:b/>
                      <w:bCs/>
                      <w:color w:val="auto"/>
                      <w:spacing w:val="4"/>
                      <w:sz w:val="21"/>
                      <w:szCs w:val="21"/>
                    </w:rPr>
                    <w:t>）</w:t>
                  </w:r>
                </w:p>
              </w:tc>
              <w:tc>
                <w:tcPr>
                  <w:tcW w:w="1093" w:type="dxa"/>
                  <w:vAlign w:val="center"/>
                </w:tcPr>
                <w:p w14:paraId="38C7734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2"/>
                      <w:sz w:val="21"/>
                      <w:szCs w:val="21"/>
                    </w:rPr>
                    <w:t>0.3</w:t>
                  </w:r>
                </w:p>
                <w:p w14:paraId="220300E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4"/>
                      <w:sz w:val="21"/>
                      <w:szCs w:val="21"/>
                    </w:rPr>
                    <w:t>（</w:t>
                  </w:r>
                  <w:r>
                    <w:rPr>
                      <w:rFonts w:ascii="Times New Roman" w:hAnsi="Times New Roman" w:eastAsia="Times New Roman" w:cs="Times New Roman"/>
                      <w:b/>
                      <w:bCs/>
                      <w:color w:val="auto"/>
                      <w:sz w:val="21"/>
                      <w:szCs w:val="21"/>
                    </w:rPr>
                    <w:t>kg</w:t>
                  </w:r>
                  <w:r>
                    <w:rPr>
                      <w:rFonts w:ascii="Times New Roman" w:hAnsi="Times New Roman" w:eastAsia="Times New Roman" w:cs="Times New Roman"/>
                      <w:b/>
                      <w:bCs/>
                      <w:color w:val="auto"/>
                      <w:spacing w:val="4"/>
                      <w:sz w:val="21"/>
                      <w:szCs w:val="21"/>
                    </w:rPr>
                    <w:t>/m</w:t>
                  </w:r>
                  <w:r>
                    <w:rPr>
                      <w:rFonts w:ascii="Times New Roman" w:hAnsi="Times New Roman" w:eastAsia="Times New Roman" w:cs="Times New Roman"/>
                      <w:b/>
                      <w:bCs/>
                      <w:color w:val="auto"/>
                      <w:spacing w:val="4"/>
                      <w:sz w:val="21"/>
                      <w:szCs w:val="21"/>
                      <w:vertAlign w:val="superscript"/>
                    </w:rPr>
                    <w:t>2</w:t>
                  </w:r>
                  <w:r>
                    <w:rPr>
                      <w:b/>
                      <w:bCs/>
                      <w:color w:val="auto"/>
                      <w:spacing w:val="4"/>
                      <w:sz w:val="21"/>
                      <w:szCs w:val="21"/>
                    </w:rPr>
                    <w:t>）</w:t>
                  </w:r>
                </w:p>
              </w:tc>
              <w:tc>
                <w:tcPr>
                  <w:tcW w:w="1097" w:type="dxa"/>
                  <w:vAlign w:val="center"/>
                </w:tcPr>
                <w:p w14:paraId="48C5627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2"/>
                      <w:sz w:val="21"/>
                      <w:szCs w:val="21"/>
                    </w:rPr>
                    <w:t>0.4</w:t>
                  </w:r>
                </w:p>
                <w:p w14:paraId="29BC123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4"/>
                      <w:sz w:val="21"/>
                      <w:szCs w:val="21"/>
                    </w:rPr>
                    <w:t>（</w:t>
                  </w:r>
                  <w:r>
                    <w:rPr>
                      <w:rFonts w:ascii="Times New Roman" w:hAnsi="Times New Roman" w:eastAsia="Times New Roman" w:cs="Times New Roman"/>
                      <w:b/>
                      <w:bCs/>
                      <w:color w:val="auto"/>
                      <w:sz w:val="21"/>
                      <w:szCs w:val="21"/>
                    </w:rPr>
                    <w:t>kg</w:t>
                  </w:r>
                  <w:r>
                    <w:rPr>
                      <w:rFonts w:ascii="Times New Roman" w:hAnsi="Times New Roman" w:eastAsia="Times New Roman" w:cs="Times New Roman"/>
                      <w:b/>
                      <w:bCs/>
                      <w:color w:val="auto"/>
                      <w:spacing w:val="4"/>
                      <w:sz w:val="21"/>
                      <w:szCs w:val="21"/>
                    </w:rPr>
                    <w:t>/m</w:t>
                  </w:r>
                  <w:r>
                    <w:rPr>
                      <w:rFonts w:ascii="Times New Roman" w:hAnsi="Times New Roman" w:eastAsia="Times New Roman" w:cs="Times New Roman"/>
                      <w:b/>
                      <w:bCs/>
                      <w:color w:val="auto"/>
                      <w:spacing w:val="4"/>
                      <w:sz w:val="21"/>
                      <w:szCs w:val="21"/>
                      <w:vertAlign w:val="superscript"/>
                    </w:rPr>
                    <w:t>2</w:t>
                  </w:r>
                  <w:r>
                    <w:rPr>
                      <w:b/>
                      <w:bCs/>
                      <w:color w:val="auto"/>
                      <w:spacing w:val="4"/>
                      <w:sz w:val="21"/>
                      <w:szCs w:val="21"/>
                    </w:rPr>
                    <w:t>）</w:t>
                  </w:r>
                </w:p>
              </w:tc>
              <w:tc>
                <w:tcPr>
                  <w:tcW w:w="1098" w:type="dxa"/>
                  <w:vAlign w:val="center"/>
                </w:tcPr>
                <w:p w14:paraId="113EBE1A">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2"/>
                      <w:sz w:val="21"/>
                      <w:szCs w:val="21"/>
                    </w:rPr>
                    <w:t>0.5</w:t>
                  </w:r>
                </w:p>
                <w:p w14:paraId="244773F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4"/>
                      <w:sz w:val="21"/>
                      <w:szCs w:val="21"/>
                    </w:rPr>
                    <w:t>（</w:t>
                  </w:r>
                  <w:r>
                    <w:rPr>
                      <w:rFonts w:ascii="Times New Roman" w:hAnsi="Times New Roman" w:eastAsia="Times New Roman" w:cs="Times New Roman"/>
                      <w:b/>
                      <w:bCs/>
                      <w:color w:val="auto"/>
                      <w:sz w:val="21"/>
                      <w:szCs w:val="21"/>
                    </w:rPr>
                    <w:t>kg</w:t>
                  </w:r>
                  <w:r>
                    <w:rPr>
                      <w:rFonts w:ascii="Times New Roman" w:hAnsi="Times New Roman" w:eastAsia="Times New Roman" w:cs="Times New Roman"/>
                      <w:b/>
                      <w:bCs/>
                      <w:color w:val="auto"/>
                      <w:spacing w:val="4"/>
                      <w:sz w:val="21"/>
                      <w:szCs w:val="21"/>
                    </w:rPr>
                    <w:t>/m</w:t>
                  </w:r>
                  <w:r>
                    <w:rPr>
                      <w:rFonts w:ascii="Times New Roman" w:hAnsi="Times New Roman" w:eastAsia="Times New Roman" w:cs="Times New Roman"/>
                      <w:b/>
                      <w:bCs/>
                      <w:color w:val="auto"/>
                      <w:spacing w:val="4"/>
                      <w:sz w:val="21"/>
                      <w:szCs w:val="21"/>
                      <w:vertAlign w:val="superscript"/>
                    </w:rPr>
                    <w:t>2</w:t>
                  </w:r>
                  <w:r>
                    <w:rPr>
                      <w:b/>
                      <w:bCs/>
                      <w:color w:val="auto"/>
                      <w:spacing w:val="4"/>
                      <w:sz w:val="21"/>
                      <w:szCs w:val="21"/>
                    </w:rPr>
                    <w:t>）</w:t>
                  </w:r>
                </w:p>
              </w:tc>
              <w:tc>
                <w:tcPr>
                  <w:tcW w:w="1103" w:type="dxa"/>
                  <w:vAlign w:val="center"/>
                </w:tcPr>
                <w:p w14:paraId="40D01EC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2"/>
                      <w:sz w:val="21"/>
                      <w:szCs w:val="21"/>
                    </w:rPr>
                    <w:t>1.0</w:t>
                  </w:r>
                </w:p>
                <w:p w14:paraId="7A57119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4"/>
                      <w:sz w:val="21"/>
                      <w:szCs w:val="21"/>
                    </w:rPr>
                    <w:t>（</w:t>
                  </w:r>
                  <w:r>
                    <w:rPr>
                      <w:rFonts w:ascii="Times New Roman" w:hAnsi="Times New Roman" w:eastAsia="Times New Roman" w:cs="Times New Roman"/>
                      <w:b/>
                      <w:bCs/>
                      <w:color w:val="auto"/>
                      <w:sz w:val="21"/>
                      <w:szCs w:val="21"/>
                    </w:rPr>
                    <w:t>kg</w:t>
                  </w:r>
                  <w:r>
                    <w:rPr>
                      <w:rFonts w:ascii="Times New Roman" w:hAnsi="Times New Roman" w:eastAsia="Times New Roman" w:cs="Times New Roman"/>
                      <w:b/>
                      <w:bCs/>
                      <w:color w:val="auto"/>
                      <w:spacing w:val="4"/>
                      <w:sz w:val="21"/>
                      <w:szCs w:val="21"/>
                    </w:rPr>
                    <w:t>/m</w:t>
                  </w:r>
                  <w:r>
                    <w:rPr>
                      <w:rFonts w:ascii="Times New Roman" w:hAnsi="Times New Roman" w:eastAsia="Times New Roman" w:cs="Times New Roman"/>
                      <w:b/>
                      <w:bCs/>
                      <w:color w:val="auto"/>
                      <w:spacing w:val="4"/>
                      <w:sz w:val="21"/>
                      <w:szCs w:val="21"/>
                      <w:vertAlign w:val="superscript"/>
                    </w:rPr>
                    <w:t>2</w:t>
                  </w:r>
                  <w:r>
                    <w:rPr>
                      <w:b/>
                      <w:bCs/>
                      <w:color w:val="auto"/>
                      <w:spacing w:val="4"/>
                      <w:sz w:val="21"/>
                      <w:szCs w:val="21"/>
                    </w:rPr>
                    <w:t>）</w:t>
                  </w:r>
                </w:p>
              </w:tc>
            </w:tr>
            <w:tr w14:paraId="32C7D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065" w:type="dxa"/>
                  <w:vAlign w:val="center"/>
                </w:tcPr>
                <w:p w14:paraId="4154BB4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rFonts w:ascii="Times New Roman" w:hAnsi="Times New Roman" w:eastAsia="Times New Roman" w:cs="Times New Roman"/>
                      <w:color w:val="auto"/>
                      <w:spacing w:val="14"/>
                      <w:sz w:val="21"/>
                      <w:szCs w:val="21"/>
                    </w:rPr>
                    <w:t>5</w:t>
                  </w:r>
                  <w:r>
                    <w:rPr>
                      <w:color w:val="auto"/>
                      <w:spacing w:val="14"/>
                      <w:sz w:val="21"/>
                      <w:szCs w:val="21"/>
                    </w:rPr>
                    <w:t>（</w:t>
                  </w:r>
                  <w:r>
                    <w:rPr>
                      <w:rFonts w:ascii="Times New Roman" w:hAnsi="Times New Roman" w:eastAsia="Times New Roman" w:cs="Times New Roman"/>
                      <w:color w:val="auto"/>
                      <w:sz w:val="21"/>
                      <w:szCs w:val="21"/>
                    </w:rPr>
                    <w:t>km</w:t>
                  </w:r>
                  <w:r>
                    <w:rPr>
                      <w:rFonts w:ascii="Times New Roman" w:hAnsi="Times New Roman" w:eastAsia="Times New Roman" w:cs="Times New Roman"/>
                      <w:color w:val="auto"/>
                      <w:spacing w:val="14"/>
                      <w:sz w:val="21"/>
                      <w:szCs w:val="21"/>
                    </w:rPr>
                    <w:t>/</w:t>
                  </w:r>
                  <w:r>
                    <w:rPr>
                      <w:rFonts w:ascii="Times New Roman" w:hAnsi="Times New Roman" w:eastAsia="Times New Roman" w:cs="Times New Roman"/>
                      <w:color w:val="auto"/>
                      <w:sz w:val="21"/>
                      <w:szCs w:val="21"/>
                    </w:rPr>
                    <w:t>h</w:t>
                  </w:r>
                  <w:r>
                    <w:rPr>
                      <w:color w:val="auto"/>
                      <w:spacing w:val="14"/>
                      <w:sz w:val="21"/>
                      <w:szCs w:val="21"/>
                    </w:rPr>
                    <w:t>）</w:t>
                  </w:r>
                </w:p>
              </w:tc>
              <w:tc>
                <w:tcPr>
                  <w:tcW w:w="1081" w:type="dxa"/>
                  <w:vAlign w:val="center"/>
                </w:tcPr>
                <w:p w14:paraId="0452C75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0.051056</w:t>
                  </w:r>
                </w:p>
              </w:tc>
              <w:tc>
                <w:tcPr>
                  <w:tcW w:w="1080" w:type="dxa"/>
                  <w:vAlign w:val="center"/>
                </w:tcPr>
                <w:p w14:paraId="6A2C3FCA">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0.085865</w:t>
                  </w:r>
                </w:p>
              </w:tc>
              <w:tc>
                <w:tcPr>
                  <w:tcW w:w="1093" w:type="dxa"/>
                  <w:vAlign w:val="center"/>
                </w:tcPr>
                <w:p w14:paraId="30E2319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0.116382</w:t>
                  </w:r>
                </w:p>
              </w:tc>
              <w:tc>
                <w:tcPr>
                  <w:tcW w:w="1097" w:type="dxa"/>
                  <w:vAlign w:val="center"/>
                </w:tcPr>
                <w:p w14:paraId="60A8F52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0.144408</w:t>
                  </w:r>
                </w:p>
              </w:tc>
              <w:tc>
                <w:tcPr>
                  <w:tcW w:w="1098" w:type="dxa"/>
                  <w:vAlign w:val="center"/>
                </w:tcPr>
                <w:p w14:paraId="0110472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0.170715</w:t>
                  </w:r>
                </w:p>
              </w:tc>
              <w:tc>
                <w:tcPr>
                  <w:tcW w:w="1103" w:type="dxa"/>
                  <w:vAlign w:val="center"/>
                </w:tcPr>
                <w:p w14:paraId="1EE0856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0.287108</w:t>
                  </w:r>
                </w:p>
              </w:tc>
            </w:tr>
            <w:tr w14:paraId="3B780E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065" w:type="dxa"/>
                  <w:vAlign w:val="center"/>
                </w:tcPr>
                <w:p w14:paraId="7A194B5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rFonts w:ascii="Times New Roman" w:hAnsi="Times New Roman" w:eastAsia="Times New Roman" w:cs="Times New Roman"/>
                      <w:color w:val="auto"/>
                      <w:spacing w:val="-5"/>
                      <w:sz w:val="21"/>
                      <w:szCs w:val="21"/>
                    </w:rPr>
                    <w:t>10</w:t>
                  </w:r>
                  <w:r>
                    <w:rPr>
                      <w:color w:val="auto"/>
                      <w:spacing w:val="-5"/>
                      <w:sz w:val="21"/>
                      <w:szCs w:val="21"/>
                    </w:rPr>
                    <w:t>（</w:t>
                  </w:r>
                  <w:r>
                    <w:rPr>
                      <w:rFonts w:ascii="Times New Roman" w:hAnsi="Times New Roman" w:eastAsia="Times New Roman" w:cs="Times New Roman"/>
                      <w:color w:val="auto"/>
                      <w:spacing w:val="-5"/>
                      <w:sz w:val="21"/>
                      <w:szCs w:val="21"/>
                    </w:rPr>
                    <w:t>km/h</w:t>
                  </w:r>
                  <w:r>
                    <w:rPr>
                      <w:color w:val="auto"/>
                      <w:spacing w:val="-5"/>
                      <w:sz w:val="21"/>
                      <w:szCs w:val="21"/>
                    </w:rPr>
                    <w:t>）</w:t>
                  </w:r>
                </w:p>
              </w:tc>
              <w:tc>
                <w:tcPr>
                  <w:tcW w:w="1081" w:type="dxa"/>
                  <w:vAlign w:val="center"/>
                </w:tcPr>
                <w:p w14:paraId="518954A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0.102112</w:t>
                  </w:r>
                </w:p>
              </w:tc>
              <w:tc>
                <w:tcPr>
                  <w:tcW w:w="1080" w:type="dxa"/>
                  <w:vAlign w:val="center"/>
                </w:tcPr>
                <w:p w14:paraId="2D067A5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0.171731</w:t>
                  </w:r>
                </w:p>
              </w:tc>
              <w:tc>
                <w:tcPr>
                  <w:tcW w:w="1093" w:type="dxa"/>
                  <w:vAlign w:val="center"/>
                </w:tcPr>
                <w:p w14:paraId="1625B51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0.232764</w:t>
                  </w:r>
                </w:p>
              </w:tc>
              <w:tc>
                <w:tcPr>
                  <w:tcW w:w="1097" w:type="dxa"/>
                  <w:vAlign w:val="center"/>
                </w:tcPr>
                <w:p w14:paraId="3354E00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0.288815</w:t>
                  </w:r>
                </w:p>
              </w:tc>
              <w:tc>
                <w:tcPr>
                  <w:tcW w:w="1098" w:type="dxa"/>
                  <w:vAlign w:val="center"/>
                </w:tcPr>
                <w:p w14:paraId="62AA88C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0.341431</w:t>
                  </w:r>
                </w:p>
              </w:tc>
              <w:tc>
                <w:tcPr>
                  <w:tcW w:w="1103" w:type="dxa"/>
                  <w:vAlign w:val="center"/>
                </w:tcPr>
                <w:p w14:paraId="45C0F1E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0.574216</w:t>
                  </w:r>
                </w:p>
              </w:tc>
            </w:tr>
            <w:tr w14:paraId="56F5B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065" w:type="dxa"/>
                  <w:vAlign w:val="center"/>
                </w:tcPr>
                <w:p w14:paraId="130BBC9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rFonts w:ascii="Times New Roman" w:hAnsi="Times New Roman" w:eastAsia="Times New Roman" w:cs="Times New Roman"/>
                      <w:color w:val="auto"/>
                      <w:spacing w:val="-5"/>
                      <w:sz w:val="21"/>
                      <w:szCs w:val="21"/>
                    </w:rPr>
                    <w:t>15</w:t>
                  </w:r>
                  <w:r>
                    <w:rPr>
                      <w:color w:val="auto"/>
                      <w:spacing w:val="-5"/>
                      <w:sz w:val="21"/>
                      <w:szCs w:val="21"/>
                    </w:rPr>
                    <w:t>（</w:t>
                  </w:r>
                  <w:r>
                    <w:rPr>
                      <w:rFonts w:ascii="Times New Roman" w:hAnsi="Times New Roman" w:eastAsia="Times New Roman" w:cs="Times New Roman"/>
                      <w:color w:val="auto"/>
                      <w:spacing w:val="-5"/>
                      <w:sz w:val="21"/>
                      <w:szCs w:val="21"/>
                    </w:rPr>
                    <w:t>km/h</w:t>
                  </w:r>
                  <w:r>
                    <w:rPr>
                      <w:color w:val="auto"/>
                      <w:spacing w:val="-5"/>
                      <w:sz w:val="21"/>
                      <w:szCs w:val="21"/>
                    </w:rPr>
                    <w:t>）</w:t>
                  </w:r>
                </w:p>
              </w:tc>
              <w:tc>
                <w:tcPr>
                  <w:tcW w:w="1081" w:type="dxa"/>
                  <w:vAlign w:val="center"/>
                </w:tcPr>
                <w:p w14:paraId="2E5767C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0.153167</w:t>
                  </w:r>
                </w:p>
              </w:tc>
              <w:tc>
                <w:tcPr>
                  <w:tcW w:w="1080" w:type="dxa"/>
                  <w:vAlign w:val="center"/>
                </w:tcPr>
                <w:p w14:paraId="61FC554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0.257596</w:t>
                  </w:r>
                </w:p>
              </w:tc>
              <w:tc>
                <w:tcPr>
                  <w:tcW w:w="1093" w:type="dxa"/>
                  <w:vAlign w:val="center"/>
                </w:tcPr>
                <w:p w14:paraId="6E26233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0.349146</w:t>
                  </w:r>
                </w:p>
              </w:tc>
              <w:tc>
                <w:tcPr>
                  <w:tcW w:w="1097" w:type="dxa"/>
                  <w:vAlign w:val="center"/>
                </w:tcPr>
                <w:p w14:paraId="3FB08F1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0.433223</w:t>
                  </w:r>
                </w:p>
              </w:tc>
              <w:tc>
                <w:tcPr>
                  <w:tcW w:w="1098" w:type="dxa"/>
                  <w:vAlign w:val="center"/>
                </w:tcPr>
                <w:p w14:paraId="6D8FDC6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0.512146</w:t>
                  </w:r>
                </w:p>
              </w:tc>
              <w:tc>
                <w:tcPr>
                  <w:tcW w:w="1103" w:type="dxa"/>
                  <w:vAlign w:val="center"/>
                </w:tcPr>
                <w:p w14:paraId="0EF9909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0.861323</w:t>
                  </w:r>
                </w:p>
              </w:tc>
            </w:tr>
            <w:tr w14:paraId="409DA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065" w:type="dxa"/>
                  <w:vAlign w:val="center"/>
                </w:tcPr>
                <w:p w14:paraId="3BBC046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rFonts w:ascii="Times New Roman" w:hAnsi="Times New Roman" w:eastAsia="Times New Roman" w:cs="Times New Roman"/>
                      <w:color w:val="auto"/>
                      <w:spacing w:val="-4"/>
                      <w:sz w:val="21"/>
                      <w:szCs w:val="21"/>
                    </w:rPr>
                    <w:t>25</w:t>
                  </w:r>
                  <w:r>
                    <w:rPr>
                      <w:color w:val="auto"/>
                      <w:spacing w:val="-4"/>
                      <w:sz w:val="21"/>
                      <w:szCs w:val="21"/>
                    </w:rPr>
                    <w:t>（</w:t>
                  </w:r>
                  <w:r>
                    <w:rPr>
                      <w:rFonts w:ascii="Times New Roman" w:hAnsi="Times New Roman" w:eastAsia="Times New Roman" w:cs="Times New Roman"/>
                      <w:color w:val="auto"/>
                      <w:spacing w:val="-4"/>
                      <w:sz w:val="21"/>
                      <w:szCs w:val="21"/>
                    </w:rPr>
                    <w:t>km/h</w:t>
                  </w:r>
                  <w:r>
                    <w:rPr>
                      <w:color w:val="auto"/>
                      <w:spacing w:val="-4"/>
                      <w:sz w:val="21"/>
                      <w:szCs w:val="21"/>
                    </w:rPr>
                    <w:t>）</w:t>
                  </w:r>
                </w:p>
              </w:tc>
              <w:tc>
                <w:tcPr>
                  <w:tcW w:w="1081" w:type="dxa"/>
                  <w:vAlign w:val="center"/>
                </w:tcPr>
                <w:p w14:paraId="78FF8CB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0.255279</w:t>
                  </w:r>
                </w:p>
              </w:tc>
              <w:tc>
                <w:tcPr>
                  <w:tcW w:w="1080" w:type="dxa"/>
                  <w:vAlign w:val="center"/>
                </w:tcPr>
                <w:p w14:paraId="78A9B27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0.429326</w:t>
                  </w:r>
                </w:p>
              </w:tc>
              <w:tc>
                <w:tcPr>
                  <w:tcW w:w="1093" w:type="dxa"/>
                  <w:vAlign w:val="center"/>
                </w:tcPr>
                <w:p w14:paraId="79D060E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0.58191</w:t>
                  </w:r>
                </w:p>
              </w:tc>
              <w:tc>
                <w:tcPr>
                  <w:tcW w:w="1097" w:type="dxa"/>
                  <w:vAlign w:val="center"/>
                </w:tcPr>
                <w:p w14:paraId="08DF4E7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0.722038</w:t>
                  </w:r>
                </w:p>
              </w:tc>
              <w:tc>
                <w:tcPr>
                  <w:tcW w:w="1098" w:type="dxa"/>
                  <w:vAlign w:val="center"/>
                </w:tcPr>
                <w:p w14:paraId="28DCF66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6"/>
                      <w:sz w:val="21"/>
                      <w:szCs w:val="21"/>
                    </w:rPr>
                    <w:t>0.853577</w:t>
                  </w:r>
                </w:p>
              </w:tc>
              <w:tc>
                <w:tcPr>
                  <w:tcW w:w="1103" w:type="dxa"/>
                  <w:vAlign w:val="center"/>
                </w:tcPr>
                <w:p w14:paraId="79583D3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1.435539</w:t>
                  </w:r>
                </w:p>
              </w:tc>
            </w:tr>
          </w:tbl>
          <w:p w14:paraId="13BC366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textAlignment w:val="auto"/>
              <w:rPr>
                <w:rFonts w:ascii="Times New Roman" w:hAnsi="Times New Roman" w:eastAsia="Times New Roman" w:cs="Times New Roman"/>
                <w:color w:val="auto"/>
                <w:spacing w:val="-2"/>
                <w:sz w:val="24"/>
                <w:szCs w:val="24"/>
              </w:rPr>
            </w:pPr>
            <w:r>
              <w:rPr>
                <w:rFonts w:ascii="Times New Roman" w:hAnsi="Times New Roman" w:eastAsia="Times New Roman" w:cs="Times New Roman"/>
                <w:color w:val="auto"/>
                <w:spacing w:val="-2"/>
                <w:sz w:val="24"/>
                <w:szCs w:val="24"/>
              </w:rPr>
              <w:t>上表为一辆20t卡车，通过一段长度为1km的路面时，不同路面清洁程度，不同行驶速度情况下的扬尘量。由此可见，在同样路面清洁程度条件下，车速越快，扬尘量越大；而在同样车速情况下，路面越脏，则扬尘量越大。</w:t>
            </w:r>
          </w:p>
          <w:p w14:paraId="1957AC51">
            <w:pPr>
              <w:pStyle w:val="65"/>
              <w:keepNext w:val="0"/>
              <w:keepLines w:val="0"/>
              <w:pageBreakBefore w:val="0"/>
              <w:widowControl w:val="0"/>
              <w:kinsoku/>
              <w:wordWrap/>
              <w:overflowPunct/>
              <w:topLinePunct w:val="0"/>
              <w:autoSpaceDE/>
              <w:autoSpaceDN/>
              <w:bidi w:val="0"/>
              <w:spacing w:line="360" w:lineRule="auto"/>
              <w:ind w:left="0" w:right="0" w:firstLine="477"/>
              <w:jc w:val="both"/>
              <w:textAlignment w:val="auto"/>
              <w:rPr>
                <w:color w:val="auto"/>
                <w:sz w:val="24"/>
                <w:szCs w:val="24"/>
              </w:rPr>
            </w:pPr>
            <w:r>
              <w:rPr>
                <w:color w:val="auto"/>
                <w:spacing w:val="-1"/>
                <w:sz w:val="24"/>
                <w:szCs w:val="24"/>
              </w:rPr>
              <w:t>在工程施工作业过程中，施工场地扬尘较为严重，在不采取降尘措施的情</w:t>
            </w:r>
            <w:r>
              <w:rPr>
                <w:color w:val="auto"/>
                <w:spacing w:val="-2"/>
                <w:sz w:val="24"/>
                <w:szCs w:val="24"/>
              </w:rPr>
              <w:t>况下，类比同类施工场地，当风速为</w:t>
            </w:r>
            <w:r>
              <w:rPr>
                <w:rFonts w:ascii="Times New Roman" w:hAnsi="Times New Roman" w:eastAsia="Times New Roman" w:cs="Times New Roman"/>
                <w:color w:val="auto"/>
                <w:spacing w:val="-2"/>
                <w:sz w:val="24"/>
                <w:szCs w:val="24"/>
              </w:rPr>
              <w:t>2.4m/s</w:t>
            </w:r>
            <w:r>
              <w:rPr>
                <w:color w:val="auto"/>
                <w:spacing w:val="-2"/>
                <w:sz w:val="24"/>
                <w:szCs w:val="24"/>
              </w:rPr>
              <w:t>时，施工场</w:t>
            </w:r>
            <w:r>
              <w:rPr>
                <w:color w:val="auto"/>
                <w:spacing w:val="-3"/>
                <w:sz w:val="24"/>
                <w:szCs w:val="24"/>
              </w:rPr>
              <w:t>地下风向</w:t>
            </w:r>
            <w:r>
              <w:rPr>
                <w:rFonts w:ascii="Times New Roman" w:hAnsi="Times New Roman" w:eastAsia="Times New Roman" w:cs="Times New Roman"/>
                <w:color w:val="auto"/>
                <w:spacing w:val="-3"/>
                <w:sz w:val="24"/>
                <w:szCs w:val="24"/>
              </w:rPr>
              <w:t>100m</w:t>
            </w:r>
            <w:r>
              <w:rPr>
                <w:color w:val="auto"/>
                <w:spacing w:val="-3"/>
                <w:sz w:val="24"/>
                <w:szCs w:val="24"/>
              </w:rPr>
              <w:t>处的扬尘量可达</w:t>
            </w:r>
            <w:r>
              <w:rPr>
                <w:rFonts w:ascii="Times New Roman" w:hAnsi="Times New Roman" w:eastAsia="Times New Roman" w:cs="Times New Roman"/>
                <w:color w:val="auto"/>
                <w:spacing w:val="-3"/>
                <w:sz w:val="24"/>
                <w:szCs w:val="24"/>
              </w:rPr>
              <w:t>19.7mg/m</w:t>
            </w:r>
            <w:r>
              <w:rPr>
                <w:rFonts w:hint="eastAsia" w:ascii="Times New Roman" w:hAnsi="Times New Roman" w:eastAsia="宋体" w:cs="Times New Roman"/>
                <w:color w:val="auto"/>
                <w:spacing w:val="-3"/>
                <w:sz w:val="24"/>
                <w:szCs w:val="24"/>
                <w:vertAlign w:val="superscript"/>
                <w:lang w:val="en-US" w:eastAsia="zh-CN"/>
              </w:rPr>
              <w:t>3</w:t>
            </w:r>
            <w:r>
              <w:rPr>
                <w:color w:val="auto"/>
                <w:spacing w:val="-3"/>
                <w:sz w:val="24"/>
                <w:szCs w:val="24"/>
              </w:rPr>
              <w:t>，</w:t>
            </w:r>
            <w:r>
              <w:rPr>
                <w:rFonts w:ascii="Times New Roman" w:hAnsi="Times New Roman" w:eastAsia="Times New Roman" w:cs="Times New Roman"/>
                <w:color w:val="auto"/>
                <w:spacing w:val="-3"/>
                <w:sz w:val="24"/>
                <w:szCs w:val="24"/>
              </w:rPr>
              <w:t>150m</w:t>
            </w:r>
            <w:r>
              <w:rPr>
                <w:color w:val="auto"/>
                <w:spacing w:val="-3"/>
                <w:sz w:val="24"/>
                <w:szCs w:val="24"/>
              </w:rPr>
              <w:t>处可达</w:t>
            </w:r>
            <w:r>
              <w:rPr>
                <w:rFonts w:ascii="Times New Roman" w:hAnsi="Times New Roman" w:eastAsia="Times New Roman" w:cs="Times New Roman"/>
                <w:color w:val="auto"/>
                <w:spacing w:val="-3"/>
                <w:sz w:val="24"/>
                <w:szCs w:val="24"/>
              </w:rPr>
              <w:t>5.0mg/m</w:t>
            </w:r>
            <w:r>
              <w:rPr>
                <w:rFonts w:hint="eastAsia" w:ascii="Times New Roman" w:hAnsi="Times New Roman" w:eastAsia="宋体" w:cs="Times New Roman"/>
                <w:color w:val="auto"/>
                <w:spacing w:val="-3"/>
                <w:sz w:val="24"/>
                <w:szCs w:val="24"/>
                <w:vertAlign w:val="superscript"/>
                <w:lang w:val="en-US" w:eastAsia="zh-CN"/>
              </w:rPr>
              <w:t>3</w:t>
            </w:r>
            <w:r>
              <w:rPr>
                <w:color w:val="auto"/>
                <w:spacing w:val="-3"/>
                <w:sz w:val="24"/>
                <w:szCs w:val="24"/>
              </w:rPr>
              <w:t>。</w:t>
            </w:r>
          </w:p>
          <w:p w14:paraId="34F593D7">
            <w:pPr>
              <w:pStyle w:val="65"/>
              <w:keepNext w:val="0"/>
              <w:keepLines w:val="0"/>
              <w:pageBreakBefore w:val="0"/>
              <w:widowControl w:val="0"/>
              <w:kinsoku/>
              <w:wordWrap/>
              <w:overflowPunct/>
              <w:topLinePunct w:val="0"/>
              <w:autoSpaceDE/>
              <w:autoSpaceDN/>
              <w:bidi w:val="0"/>
              <w:spacing w:line="360" w:lineRule="auto"/>
              <w:ind w:left="0" w:right="0" w:firstLine="483"/>
              <w:textAlignment w:val="auto"/>
              <w:rPr>
                <w:color w:val="auto"/>
                <w:sz w:val="24"/>
                <w:szCs w:val="24"/>
              </w:rPr>
            </w:pPr>
            <w:r>
              <w:rPr>
                <w:rFonts w:hint="eastAsia"/>
                <w:color w:val="auto"/>
                <w:spacing w:val="-7"/>
                <w:sz w:val="24"/>
                <w:szCs w:val="24"/>
                <w:lang w:val="en-US" w:eastAsia="zh-CN"/>
              </w:rPr>
              <w:t>车辆运输道路</w:t>
            </w:r>
            <w:r>
              <w:rPr>
                <w:color w:val="auto"/>
                <w:spacing w:val="5"/>
                <w:sz w:val="24"/>
                <w:szCs w:val="24"/>
              </w:rPr>
              <w:t>扬尘是施工工地扬尘的主要来源之一，占全部施工扬尘的</w:t>
            </w:r>
            <w:r>
              <w:rPr>
                <w:rFonts w:ascii="Times New Roman" w:hAnsi="Times New Roman" w:eastAsia="Times New Roman" w:cs="Times New Roman"/>
                <w:color w:val="auto"/>
                <w:spacing w:val="-4"/>
                <w:sz w:val="24"/>
                <w:szCs w:val="24"/>
              </w:rPr>
              <w:t>60%</w:t>
            </w:r>
            <w:r>
              <w:rPr>
                <w:color w:val="auto"/>
                <w:spacing w:val="-4"/>
                <w:sz w:val="24"/>
                <w:szCs w:val="24"/>
              </w:rPr>
              <w:t>以上，其他为工地扬尘（</w:t>
            </w:r>
            <w:r>
              <w:rPr>
                <w:color w:val="auto"/>
                <w:spacing w:val="-7"/>
                <w:sz w:val="24"/>
                <w:szCs w:val="24"/>
              </w:rPr>
              <w:t>场地平整、基础开挖、土方回填、</w:t>
            </w:r>
            <w:r>
              <w:rPr>
                <w:rFonts w:hint="eastAsia"/>
                <w:color w:val="auto"/>
                <w:spacing w:val="-7"/>
                <w:sz w:val="24"/>
                <w:szCs w:val="24"/>
                <w:lang w:val="en-US" w:eastAsia="zh-CN"/>
              </w:rPr>
              <w:t>车辆运输道路扬尘</w:t>
            </w:r>
            <w:r>
              <w:rPr>
                <w:color w:val="auto"/>
                <w:spacing w:val="-1"/>
                <w:sz w:val="24"/>
                <w:szCs w:val="24"/>
              </w:rPr>
              <w:t>等）。由此可见，处理好</w:t>
            </w:r>
            <w:r>
              <w:rPr>
                <w:rFonts w:hint="eastAsia"/>
                <w:color w:val="auto"/>
                <w:spacing w:val="-7"/>
                <w:sz w:val="24"/>
                <w:szCs w:val="24"/>
                <w:lang w:val="en-US" w:eastAsia="zh-CN"/>
              </w:rPr>
              <w:t>车辆运输道路</w:t>
            </w:r>
            <w:r>
              <w:rPr>
                <w:color w:val="auto"/>
                <w:spacing w:val="-1"/>
                <w:sz w:val="24"/>
                <w:szCs w:val="24"/>
              </w:rPr>
              <w:t>是减少扬尘污染的关键。</w:t>
            </w:r>
            <w:r>
              <w:rPr>
                <w:rFonts w:hint="eastAsia"/>
                <w:color w:val="auto"/>
                <w:spacing w:val="-7"/>
                <w:sz w:val="24"/>
                <w:szCs w:val="24"/>
                <w:lang w:val="en-US" w:eastAsia="zh-CN"/>
              </w:rPr>
              <w:t>车辆运输道路</w:t>
            </w:r>
            <w:r>
              <w:rPr>
                <w:color w:val="auto"/>
                <w:spacing w:val="-1"/>
                <w:sz w:val="24"/>
                <w:szCs w:val="24"/>
              </w:rPr>
              <w:t>扬尘对环境</w:t>
            </w:r>
            <w:r>
              <w:rPr>
                <w:rFonts w:ascii="Times New Roman" w:hAnsi="Times New Roman" w:eastAsia="Times New Roman" w:cs="Times New Roman"/>
                <w:color w:val="auto"/>
                <w:spacing w:val="-1"/>
                <w:sz w:val="24"/>
                <w:szCs w:val="24"/>
              </w:rPr>
              <w:t>TSP</w:t>
            </w:r>
            <w:r>
              <w:rPr>
                <w:color w:val="auto"/>
                <w:spacing w:val="-1"/>
                <w:sz w:val="24"/>
                <w:szCs w:val="24"/>
              </w:rPr>
              <w:t>浓度的影响范围主要集</w:t>
            </w:r>
            <w:r>
              <w:rPr>
                <w:color w:val="auto"/>
                <w:spacing w:val="-2"/>
                <w:sz w:val="24"/>
                <w:szCs w:val="24"/>
              </w:rPr>
              <w:t>中在项目作业区</w:t>
            </w:r>
            <w:r>
              <w:rPr>
                <w:rFonts w:ascii="Times New Roman" w:hAnsi="Times New Roman" w:eastAsia="Times New Roman" w:cs="Times New Roman"/>
                <w:color w:val="auto"/>
                <w:spacing w:val="-2"/>
                <w:sz w:val="24"/>
                <w:szCs w:val="24"/>
              </w:rPr>
              <w:t>100m</w:t>
            </w:r>
            <w:r>
              <w:rPr>
                <w:color w:val="auto"/>
                <w:spacing w:val="-2"/>
                <w:sz w:val="24"/>
                <w:szCs w:val="24"/>
              </w:rPr>
              <w:t>以内。即：</w:t>
            </w:r>
            <w:r>
              <w:rPr>
                <w:color w:val="auto"/>
                <w:sz w:val="24"/>
                <w:szCs w:val="24"/>
              </w:rPr>
              <w:t>下风向一侧</w:t>
            </w:r>
            <w:r>
              <w:rPr>
                <w:rFonts w:ascii="Times New Roman" w:hAnsi="Times New Roman" w:eastAsia="Times New Roman" w:cs="Times New Roman"/>
                <w:color w:val="auto"/>
                <w:sz w:val="24"/>
                <w:szCs w:val="24"/>
              </w:rPr>
              <w:t>0~50m</w:t>
            </w:r>
            <w:r>
              <w:rPr>
                <w:color w:val="auto"/>
                <w:sz w:val="24"/>
                <w:szCs w:val="24"/>
              </w:rPr>
              <w:t>为重污染带、</w:t>
            </w:r>
            <w:r>
              <w:rPr>
                <w:rFonts w:ascii="Times New Roman" w:hAnsi="Times New Roman" w:eastAsia="Times New Roman" w:cs="Times New Roman"/>
                <w:color w:val="auto"/>
                <w:sz w:val="24"/>
                <w:szCs w:val="24"/>
              </w:rPr>
              <w:t>50</w:t>
            </w:r>
            <w:r>
              <w:rPr>
                <w:color w:val="auto"/>
                <w:sz w:val="24"/>
                <w:szCs w:val="24"/>
              </w:rPr>
              <w:t>～</w:t>
            </w:r>
            <w:r>
              <w:rPr>
                <w:rFonts w:ascii="Times New Roman" w:hAnsi="Times New Roman" w:eastAsia="Times New Roman" w:cs="Times New Roman"/>
                <w:color w:val="auto"/>
                <w:sz w:val="24"/>
                <w:szCs w:val="24"/>
              </w:rPr>
              <w:t>100m</w:t>
            </w:r>
            <w:r>
              <w:rPr>
                <w:color w:val="auto"/>
                <w:sz w:val="24"/>
                <w:szCs w:val="24"/>
              </w:rPr>
              <w:t>为较重污染带、大于</w:t>
            </w:r>
            <w:r>
              <w:rPr>
                <w:rFonts w:ascii="Times New Roman" w:hAnsi="Times New Roman" w:eastAsia="Times New Roman" w:cs="Times New Roman"/>
                <w:color w:val="auto"/>
                <w:spacing w:val="-1"/>
                <w:sz w:val="24"/>
                <w:szCs w:val="24"/>
              </w:rPr>
              <w:t>100m</w:t>
            </w:r>
            <w:r>
              <w:rPr>
                <w:color w:val="auto"/>
                <w:spacing w:val="-1"/>
                <w:sz w:val="24"/>
                <w:szCs w:val="24"/>
              </w:rPr>
              <w:t>为轻污</w:t>
            </w:r>
            <w:r>
              <w:rPr>
                <w:color w:val="auto"/>
                <w:spacing w:val="-2"/>
                <w:sz w:val="24"/>
                <w:szCs w:val="24"/>
              </w:rPr>
              <w:t>染带。被影响地区</w:t>
            </w:r>
            <w:r>
              <w:rPr>
                <w:rFonts w:ascii="Times New Roman" w:hAnsi="Times New Roman" w:eastAsia="Times New Roman" w:cs="Times New Roman"/>
                <w:color w:val="auto"/>
                <w:spacing w:val="-2"/>
                <w:sz w:val="24"/>
                <w:szCs w:val="24"/>
              </w:rPr>
              <w:t>TSP</w:t>
            </w:r>
            <w:r>
              <w:rPr>
                <w:color w:val="auto"/>
                <w:spacing w:val="-2"/>
                <w:sz w:val="24"/>
                <w:szCs w:val="24"/>
              </w:rPr>
              <w:t>浓度平均值为</w:t>
            </w:r>
            <w:r>
              <w:rPr>
                <w:rFonts w:ascii="Times New Roman" w:hAnsi="Times New Roman" w:eastAsia="Times New Roman" w:cs="Times New Roman"/>
                <w:color w:val="auto"/>
                <w:spacing w:val="-2"/>
                <w:sz w:val="24"/>
                <w:szCs w:val="24"/>
              </w:rPr>
              <w:t>12.35mg/m</w:t>
            </w:r>
            <w:r>
              <w:rPr>
                <w:rFonts w:hint="eastAsia" w:ascii="Times New Roman" w:hAnsi="Times New Roman" w:eastAsia="宋体" w:cs="Times New Roman"/>
                <w:color w:val="auto"/>
                <w:spacing w:val="-2"/>
                <w:sz w:val="24"/>
                <w:szCs w:val="24"/>
                <w:vertAlign w:val="superscript"/>
                <w:lang w:val="en-US" w:eastAsia="zh-CN"/>
              </w:rPr>
              <w:t>3</w:t>
            </w:r>
            <w:r>
              <w:rPr>
                <w:color w:val="auto"/>
                <w:spacing w:val="-2"/>
                <w:sz w:val="24"/>
                <w:szCs w:val="24"/>
              </w:rPr>
              <w:t>。</w:t>
            </w:r>
          </w:p>
          <w:p w14:paraId="43E9D023">
            <w:pPr>
              <w:pStyle w:val="65"/>
              <w:keepNext w:val="0"/>
              <w:keepLines w:val="0"/>
              <w:pageBreakBefore w:val="0"/>
              <w:widowControl w:val="0"/>
              <w:kinsoku/>
              <w:wordWrap/>
              <w:overflowPunct/>
              <w:topLinePunct w:val="0"/>
              <w:autoSpaceDE/>
              <w:autoSpaceDN/>
              <w:bidi w:val="0"/>
              <w:spacing w:line="360" w:lineRule="auto"/>
              <w:ind w:left="0" w:right="0" w:firstLine="479"/>
              <w:jc w:val="both"/>
              <w:textAlignment w:val="auto"/>
              <w:rPr>
                <w:color w:val="auto"/>
                <w:sz w:val="24"/>
                <w:szCs w:val="24"/>
              </w:rPr>
            </w:pPr>
            <w:r>
              <w:rPr>
                <w:color w:val="auto"/>
                <w:spacing w:val="-3"/>
                <w:sz w:val="24"/>
                <w:szCs w:val="24"/>
              </w:rPr>
              <w:t>本项目桩号</w:t>
            </w:r>
            <w:r>
              <w:rPr>
                <w:color w:val="auto"/>
                <w:spacing w:val="-55"/>
                <w:sz w:val="24"/>
                <w:szCs w:val="24"/>
              </w:rPr>
              <w:t xml:space="preserve"> </w:t>
            </w:r>
            <w:r>
              <w:rPr>
                <w:rFonts w:hint="eastAsia" w:ascii="Times New Roman" w:hAnsi="Times New Roman" w:eastAsia="宋体" w:cs="Times New Roman"/>
                <w:color w:val="auto"/>
                <w:spacing w:val="-3"/>
                <w:sz w:val="24"/>
                <w:szCs w:val="24"/>
                <w:lang w:val="en-US" w:eastAsia="zh-CN"/>
              </w:rPr>
              <w:t>67</w:t>
            </w:r>
            <w:r>
              <w:rPr>
                <w:rFonts w:ascii="Times New Roman" w:hAnsi="Times New Roman" w:eastAsia="Times New Roman" w:cs="Times New Roman"/>
                <w:color w:val="auto"/>
                <w:spacing w:val="-3"/>
                <w:sz w:val="24"/>
                <w:szCs w:val="24"/>
              </w:rPr>
              <w:t>+</w:t>
            </w:r>
            <w:r>
              <w:rPr>
                <w:rFonts w:hint="eastAsia" w:ascii="Times New Roman" w:hAnsi="Times New Roman" w:eastAsia="宋体" w:cs="Times New Roman"/>
                <w:color w:val="auto"/>
                <w:spacing w:val="-3"/>
                <w:sz w:val="24"/>
                <w:szCs w:val="24"/>
                <w:lang w:val="en-US" w:eastAsia="zh-CN"/>
              </w:rPr>
              <w:t>100</w:t>
            </w:r>
            <w:r>
              <w:rPr>
                <w:rFonts w:ascii="Times New Roman" w:hAnsi="Times New Roman" w:eastAsia="Times New Roman" w:cs="Times New Roman"/>
                <w:color w:val="auto"/>
                <w:spacing w:val="-8"/>
                <w:sz w:val="24"/>
                <w:szCs w:val="24"/>
              </w:rPr>
              <w:t>~</w:t>
            </w:r>
            <w:r>
              <w:rPr>
                <w:rFonts w:hint="eastAsia" w:ascii="Times New Roman" w:hAnsi="Times New Roman" w:eastAsia="宋体" w:cs="Times New Roman"/>
                <w:color w:val="auto"/>
                <w:spacing w:val="-3"/>
                <w:sz w:val="24"/>
                <w:szCs w:val="24"/>
                <w:lang w:val="en-US" w:eastAsia="zh-CN"/>
              </w:rPr>
              <w:t>67+650</w:t>
            </w:r>
            <w:r>
              <w:rPr>
                <w:color w:val="auto"/>
                <w:spacing w:val="-3"/>
                <w:sz w:val="24"/>
                <w:szCs w:val="24"/>
              </w:rPr>
              <w:t>区域</w:t>
            </w:r>
            <w:r>
              <w:rPr>
                <w:rFonts w:ascii="Times New Roman" w:hAnsi="Times New Roman" w:eastAsia="Times New Roman" w:cs="Times New Roman"/>
                <w:color w:val="auto"/>
                <w:spacing w:val="-3"/>
                <w:sz w:val="24"/>
                <w:szCs w:val="24"/>
              </w:rPr>
              <w:t>500m</w:t>
            </w:r>
            <w:r>
              <w:rPr>
                <w:color w:val="auto"/>
                <w:spacing w:val="-3"/>
                <w:sz w:val="24"/>
                <w:szCs w:val="24"/>
              </w:rPr>
              <w:t>范围内分布有</w:t>
            </w:r>
            <w:r>
              <w:rPr>
                <w:rFonts w:hint="eastAsia"/>
                <w:color w:val="auto"/>
                <w:spacing w:val="-3"/>
                <w:sz w:val="24"/>
                <w:szCs w:val="24"/>
                <w:lang w:val="en-US" w:eastAsia="zh-CN"/>
              </w:rPr>
              <w:t>西湾村，西湾四村</w:t>
            </w:r>
            <w:r>
              <w:rPr>
                <w:color w:val="auto"/>
                <w:spacing w:val="-8"/>
                <w:sz w:val="24"/>
                <w:szCs w:val="24"/>
              </w:rPr>
              <w:t>居民</w:t>
            </w:r>
            <w:r>
              <w:rPr>
                <w:color w:val="auto"/>
                <w:spacing w:val="-1"/>
                <w:sz w:val="24"/>
                <w:szCs w:val="24"/>
              </w:rPr>
              <w:t>，其周边无主要干道，多为乡村道路，施工期运输扬尘对周边环境有</w:t>
            </w:r>
            <w:r>
              <w:rPr>
                <w:color w:val="auto"/>
                <w:spacing w:val="-3"/>
                <w:sz w:val="24"/>
                <w:szCs w:val="24"/>
              </w:rPr>
              <w:t>一定影响。</w:t>
            </w:r>
          </w:p>
          <w:p w14:paraId="74D78EE0">
            <w:pPr>
              <w:pStyle w:val="65"/>
              <w:keepNext w:val="0"/>
              <w:keepLines w:val="0"/>
              <w:pageBreakBefore w:val="0"/>
              <w:widowControl w:val="0"/>
              <w:kinsoku/>
              <w:wordWrap/>
              <w:overflowPunct/>
              <w:topLinePunct w:val="0"/>
              <w:autoSpaceDE/>
              <w:autoSpaceDN/>
              <w:bidi w:val="0"/>
              <w:spacing w:line="360" w:lineRule="auto"/>
              <w:ind w:left="0" w:right="0" w:firstLine="480" w:firstLineChars="200"/>
              <w:textAlignment w:val="auto"/>
              <w:rPr>
                <w:color w:val="auto"/>
                <w:sz w:val="24"/>
                <w:szCs w:val="24"/>
              </w:rPr>
            </w:pPr>
            <w:r>
              <w:rPr>
                <w:color w:val="auto"/>
                <w:sz w:val="24"/>
                <w:szCs w:val="24"/>
              </w:rPr>
              <w:t>本项目施工作业工程中需采取洒水降尘措施</w:t>
            </w:r>
            <w:r>
              <w:rPr>
                <w:color w:val="auto"/>
                <w:spacing w:val="-1"/>
                <w:sz w:val="24"/>
                <w:szCs w:val="24"/>
              </w:rPr>
              <w:t>以减少对周边环境的影响。</w:t>
            </w:r>
          </w:p>
          <w:p w14:paraId="4B2A6657">
            <w:pPr>
              <w:pStyle w:val="65"/>
              <w:keepNext w:val="0"/>
              <w:keepLines w:val="0"/>
              <w:pageBreakBefore w:val="0"/>
              <w:widowControl w:val="0"/>
              <w:numPr>
                <w:ilvl w:val="0"/>
                <w:numId w:val="30"/>
              </w:numPr>
              <w:kinsoku/>
              <w:wordWrap/>
              <w:overflowPunct/>
              <w:topLinePunct w:val="0"/>
              <w:autoSpaceDE/>
              <w:autoSpaceDN/>
              <w:bidi w:val="0"/>
              <w:adjustRightInd w:val="0"/>
              <w:snapToGrid w:val="0"/>
              <w:spacing w:line="360" w:lineRule="auto"/>
              <w:ind w:left="425" w:leftChars="0" w:right="0" w:hanging="425" w:firstLineChars="0"/>
              <w:textAlignment w:val="auto"/>
              <w:rPr>
                <w:color w:val="auto"/>
                <w:spacing w:val="-3"/>
                <w:sz w:val="24"/>
                <w:szCs w:val="24"/>
              </w:rPr>
            </w:pPr>
            <w:r>
              <w:rPr>
                <w:color w:val="auto"/>
                <w:spacing w:val="-3"/>
                <w:sz w:val="24"/>
                <w:szCs w:val="24"/>
              </w:rPr>
              <w:t>临时</w:t>
            </w:r>
            <w:r>
              <w:rPr>
                <w:rFonts w:hint="eastAsia"/>
                <w:color w:val="auto"/>
                <w:spacing w:val="-3"/>
                <w:sz w:val="24"/>
                <w:szCs w:val="24"/>
                <w:lang w:eastAsia="zh-CN"/>
              </w:rPr>
              <w:t>拌和站</w:t>
            </w:r>
            <w:r>
              <w:rPr>
                <w:color w:val="auto"/>
                <w:spacing w:val="-3"/>
                <w:sz w:val="24"/>
                <w:szCs w:val="24"/>
              </w:rPr>
              <w:t>生产废气</w:t>
            </w:r>
          </w:p>
          <w:p w14:paraId="046449F3">
            <w:pPr>
              <w:pStyle w:val="65"/>
              <w:keepNext w:val="0"/>
              <w:keepLines w:val="0"/>
              <w:pageBreakBefore w:val="0"/>
              <w:widowControl w:val="0"/>
              <w:kinsoku/>
              <w:wordWrap/>
              <w:overflowPunct/>
              <w:topLinePunct w:val="0"/>
              <w:autoSpaceDE/>
              <w:autoSpaceDN/>
              <w:bidi w:val="0"/>
              <w:spacing w:line="360" w:lineRule="auto"/>
              <w:ind w:left="0" w:right="0" w:firstLine="482"/>
              <w:textAlignment w:val="auto"/>
              <w:rPr>
                <w:rFonts w:hint="default"/>
                <w:color w:val="auto"/>
                <w:sz w:val="24"/>
                <w:szCs w:val="24"/>
                <w:lang w:val="en-US"/>
              </w:rPr>
            </w:pPr>
            <w:r>
              <w:rPr>
                <w:rFonts w:hint="eastAsia" w:ascii="Times New Roman" w:hAnsi="Times New Roman" w:eastAsia="宋体" w:cs="Times New Roman"/>
                <w:color w:val="auto"/>
                <w:sz w:val="24"/>
                <w:szCs w:val="32"/>
                <w:lang w:val="en-US" w:eastAsia="zh-CN"/>
              </w:rPr>
              <w:t>临时生产区的砼拌合系统中的移动式拌合机上料会有少量颗粒物产生，要求移动式混凝土拌合机所用骨料仓封闭，砂石骨料定期洒水润湿，封闭水泥筒仓上料过程产生的粉尘采用仓顶自带袋式除尘器除尘后</w:t>
            </w:r>
            <w:r>
              <w:rPr>
                <w:rFonts w:hint="eastAsia" w:cs="Times New Roman"/>
                <w:color w:val="auto"/>
                <w:sz w:val="24"/>
                <w:szCs w:val="32"/>
                <w:lang w:val="en-US" w:eastAsia="zh-CN"/>
              </w:rPr>
              <w:t>有</w:t>
            </w:r>
            <w:r>
              <w:rPr>
                <w:rFonts w:hint="eastAsia" w:ascii="Times New Roman" w:hAnsi="Times New Roman" w:eastAsia="宋体" w:cs="Times New Roman"/>
                <w:color w:val="auto"/>
                <w:sz w:val="24"/>
                <w:szCs w:val="32"/>
                <w:lang w:val="en-US" w:eastAsia="zh-CN"/>
              </w:rPr>
              <w:t>组织排放，粉尘排放浓度相对较低，能达到《大气污染物综合排放标准》（GB16297-1996）中最高允许排放浓度（120mg/m</w:t>
            </w:r>
            <w:r>
              <w:rPr>
                <w:rFonts w:hint="eastAsia" w:ascii="Times New Roman" w:hAnsi="Times New Roman" w:eastAsia="宋体" w:cs="Times New Roman"/>
                <w:color w:val="auto"/>
                <w:sz w:val="24"/>
                <w:szCs w:val="32"/>
                <w:vertAlign w:val="superscript"/>
                <w:lang w:val="en-US" w:eastAsia="zh-CN"/>
              </w:rPr>
              <w:t>3</w:t>
            </w:r>
            <w:r>
              <w:rPr>
                <w:rFonts w:hint="eastAsia" w:ascii="Times New Roman" w:hAnsi="Times New Roman" w:eastAsia="宋体" w:cs="Times New Roman"/>
                <w:color w:val="auto"/>
                <w:sz w:val="24"/>
                <w:szCs w:val="32"/>
                <w:lang w:val="en-US" w:eastAsia="zh-CN"/>
              </w:rPr>
              <w:t>）要求，搅拌机区域</w:t>
            </w:r>
            <w:r>
              <w:rPr>
                <w:rFonts w:hint="eastAsia" w:cs="Times New Roman"/>
                <w:color w:val="auto"/>
                <w:sz w:val="24"/>
                <w:szCs w:val="32"/>
                <w:lang w:val="en-US" w:eastAsia="zh-CN"/>
              </w:rPr>
              <w:t>同时进行</w:t>
            </w:r>
            <w:r>
              <w:rPr>
                <w:rFonts w:hint="eastAsia" w:ascii="Times New Roman" w:hAnsi="Times New Roman" w:eastAsia="宋体" w:cs="Times New Roman"/>
                <w:color w:val="auto"/>
                <w:sz w:val="24"/>
                <w:szCs w:val="32"/>
                <w:lang w:val="en-US" w:eastAsia="zh-CN"/>
              </w:rPr>
              <w:t>洒水降尘，不会对区域环境空气质量产生大的影响。</w:t>
            </w:r>
          </w:p>
          <w:p w14:paraId="79C64FD7">
            <w:pPr>
              <w:pStyle w:val="65"/>
              <w:keepNext w:val="0"/>
              <w:keepLines w:val="0"/>
              <w:pageBreakBefore w:val="0"/>
              <w:widowControl w:val="0"/>
              <w:numPr>
                <w:ilvl w:val="0"/>
                <w:numId w:val="30"/>
              </w:numPr>
              <w:kinsoku/>
              <w:wordWrap/>
              <w:overflowPunct/>
              <w:topLinePunct w:val="0"/>
              <w:autoSpaceDE/>
              <w:autoSpaceDN/>
              <w:bidi w:val="0"/>
              <w:adjustRightInd w:val="0"/>
              <w:snapToGrid w:val="0"/>
              <w:spacing w:line="360" w:lineRule="auto"/>
              <w:ind w:left="425" w:leftChars="0" w:right="0" w:hanging="425" w:firstLineChars="0"/>
              <w:textAlignment w:val="auto"/>
              <w:rPr>
                <w:color w:val="auto"/>
                <w:spacing w:val="-3"/>
                <w:sz w:val="24"/>
                <w:szCs w:val="24"/>
              </w:rPr>
            </w:pPr>
            <w:r>
              <w:rPr>
                <w:color w:val="auto"/>
                <w:spacing w:val="-3"/>
                <w:sz w:val="24"/>
                <w:szCs w:val="24"/>
              </w:rPr>
              <w:t>施工机械与车辆尾气</w:t>
            </w:r>
          </w:p>
          <w:p w14:paraId="58FE8AE9">
            <w:pPr>
              <w:pStyle w:val="65"/>
              <w:keepNext w:val="0"/>
              <w:keepLines w:val="0"/>
              <w:pageBreakBefore w:val="0"/>
              <w:widowControl w:val="0"/>
              <w:kinsoku/>
              <w:wordWrap/>
              <w:overflowPunct/>
              <w:topLinePunct w:val="0"/>
              <w:autoSpaceDE/>
              <w:autoSpaceDN/>
              <w:bidi w:val="0"/>
              <w:spacing w:line="360" w:lineRule="auto"/>
              <w:ind w:left="0" w:right="0" w:firstLine="476" w:firstLineChars="200"/>
              <w:textAlignment w:val="auto"/>
              <w:rPr>
                <w:color w:val="auto"/>
                <w:sz w:val="24"/>
                <w:szCs w:val="24"/>
              </w:rPr>
            </w:pPr>
            <w:r>
              <w:rPr>
                <w:color w:val="auto"/>
                <w:spacing w:val="-1"/>
                <w:sz w:val="24"/>
                <w:szCs w:val="24"/>
              </w:rPr>
              <w:t>施工建设期间，施工机械及车辆尾气主要来自施工机械排放废气、各种物料运输车辆排放汽车尾气等，对周围环境空气造成污染。车辆尾气中主要污染</w:t>
            </w:r>
            <w:r>
              <w:rPr>
                <w:color w:val="auto"/>
                <w:spacing w:val="-3"/>
                <w:sz w:val="24"/>
                <w:szCs w:val="24"/>
              </w:rPr>
              <w:t>物</w:t>
            </w:r>
            <w:r>
              <w:rPr>
                <w:rFonts w:hint="eastAsia"/>
                <w:color w:val="auto"/>
                <w:spacing w:val="-3"/>
                <w:sz w:val="24"/>
                <w:szCs w:val="24"/>
                <w:lang w:eastAsia="zh-CN"/>
              </w:rPr>
              <w:t>为</w:t>
            </w:r>
            <w:r>
              <w:rPr>
                <w:rFonts w:ascii="Times New Roman" w:hAnsi="Times New Roman" w:eastAsia="Times New Roman" w:cs="Times New Roman"/>
                <w:color w:val="auto"/>
                <w:spacing w:val="-3"/>
                <w:sz w:val="24"/>
                <w:szCs w:val="24"/>
              </w:rPr>
              <w:t>SO</w:t>
            </w:r>
            <w:r>
              <w:rPr>
                <w:rFonts w:ascii="Times New Roman" w:hAnsi="Times New Roman" w:eastAsia="Times New Roman" w:cs="Times New Roman"/>
                <w:color w:val="auto"/>
                <w:spacing w:val="-3"/>
                <w:sz w:val="24"/>
                <w:szCs w:val="24"/>
                <w:vertAlign w:val="subscript"/>
              </w:rPr>
              <w:t>2</w:t>
            </w:r>
            <w:r>
              <w:rPr>
                <w:color w:val="auto"/>
                <w:spacing w:val="-3"/>
                <w:sz w:val="24"/>
                <w:szCs w:val="24"/>
              </w:rPr>
              <w:t>、</w:t>
            </w:r>
            <w:r>
              <w:rPr>
                <w:rFonts w:ascii="Times New Roman" w:hAnsi="Times New Roman" w:eastAsia="Times New Roman" w:cs="Times New Roman"/>
                <w:color w:val="auto"/>
                <w:spacing w:val="-3"/>
                <w:sz w:val="24"/>
                <w:szCs w:val="24"/>
              </w:rPr>
              <w:t>NOx</w:t>
            </w:r>
            <w:r>
              <w:rPr>
                <w:color w:val="auto"/>
                <w:spacing w:val="-3"/>
                <w:sz w:val="24"/>
                <w:szCs w:val="24"/>
              </w:rPr>
              <w:t>、</w:t>
            </w:r>
            <w:r>
              <w:rPr>
                <w:rFonts w:ascii="Times New Roman" w:hAnsi="Times New Roman" w:eastAsia="Times New Roman" w:cs="Times New Roman"/>
                <w:color w:val="auto"/>
                <w:spacing w:val="-3"/>
                <w:sz w:val="24"/>
                <w:szCs w:val="24"/>
              </w:rPr>
              <w:t>THC</w:t>
            </w:r>
            <w:r>
              <w:rPr>
                <w:color w:val="auto"/>
                <w:spacing w:val="-3"/>
                <w:sz w:val="24"/>
                <w:szCs w:val="24"/>
              </w:rPr>
              <w:t>、</w:t>
            </w:r>
            <w:r>
              <w:rPr>
                <w:rFonts w:hint="eastAsia"/>
                <w:color w:val="auto"/>
                <w:spacing w:val="-4"/>
                <w:sz w:val="24"/>
                <w:szCs w:val="24"/>
                <w:lang w:val="en-US" w:eastAsia="zh-CN"/>
              </w:rPr>
              <w:t>颗粒物</w:t>
            </w:r>
            <w:r>
              <w:rPr>
                <w:color w:val="auto"/>
                <w:spacing w:val="-3"/>
                <w:sz w:val="24"/>
                <w:szCs w:val="24"/>
              </w:rPr>
              <w:t>等，间断运行，工程在加强施工机械、车辆</w:t>
            </w:r>
            <w:r>
              <w:rPr>
                <w:color w:val="auto"/>
                <w:spacing w:val="-4"/>
                <w:sz w:val="24"/>
                <w:szCs w:val="24"/>
              </w:rPr>
              <w:t>等运行管理</w:t>
            </w:r>
            <w:r>
              <w:rPr>
                <w:color w:val="auto"/>
                <w:spacing w:val="-1"/>
                <w:sz w:val="24"/>
                <w:szCs w:val="24"/>
              </w:rPr>
              <w:t>与维护保养情况下，可减少尾气排放对环境的污染，对环境影响小。</w:t>
            </w:r>
          </w:p>
          <w:p w14:paraId="24046775">
            <w:pPr>
              <w:pStyle w:val="65"/>
              <w:keepNext w:val="0"/>
              <w:keepLines w:val="0"/>
              <w:pageBreakBefore w:val="0"/>
              <w:widowControl w:val="0"/>
              <w:numPr>
                <w:ilvl w:val="0"/>
                <w:numId w:val="30"/>
              </w:numPr>
              <w:kinsoku/>
              <w:wordWrap/>
              <w:overflowPunct/>
              <w:topLinePunct w:val="0"/>
              <w:autoSpaceDE/>
              <w:autoSpaceDN/>
              <w:bidi w:val="0"/>
              <w:adjustRightInd w:val="0"/>
              <w:snapToGrid w:val="0"/>
              <w:spacing w:line="360" w:lineRule="auto"/>
              <w:ind w:left="425" w:leftChars="0" w:right="0" w:hanging="425" w:firstLineChars="0"/>
              <w:textAlignment w:val="auto"/>
              <w:rPr>
                <w:color w:val="auto"/>
                <w:spacing w:val="-3"/>
                <w:sz w:val="24"/>
                <w:szCs w:val="24"/>
              </w:rPr>
            </w:pPr>
            <w:r>
              <w:rPr>
                <w:color w:val="auto"/>
                <w:spacing w:val="-3"/>
                <w:sz w:val="24"/>
                <w:szCs w:val="24"/>
              </w:rPr>
              <w:t>燃油废气</w:t>
            </w:r>
          </w:p>
          <w:p w14:paraId="15FEB58C">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5"/>
              <w:textAlignment w:val="auto"/>
              <w:rPr>
                <w:color w:val="auto"/>
                <w:sz w:val="24"/>
                <w:szCs w:val="24"/>
              </w:rPr>
            </w:pPr>
            <w:r>
              <w:rPr>
                <w:color w:val="auto"/>
                <w:spacing w:val="-1"/>
                <w:sz w:val="24"/>
                <w:szCs w:val="24"/>
              </w:rPr>
              <w:t>施工期间，本工程施工使用的发电机、挖掘机、推土机、运输车辆等作业时将产生燃油废气，产生量与施工机械数量及密度、耗油量、燃料品质及机械设备状况有关。根据类似工程监测成果，燃油废气中主要污染物的影响范围为</w:t>
            </w:r>
            <w:r>
              <w:rPr>
                <w:color w:val="auto"/>
                <w:spacing w:val="-4"/>
                <w:sz w:val="24"/>
                <w:szCs w:val="24"/>
              </w:rPr>
              <w:t>下风向</w:t>
            </w:r>
            <w:r>
              <w:rPr>
                <w:rFonts w:ascii="Times New Roman" w:hAnsi="Times New Roman" w:eastAsia="Times New Roman" w:cs="Times New Roman"/>
                <w:color w:val="auto"/>
                <w:spacing w:val="-4"/>
                <w:sz w:val="24"/>
                <w:szCs w:val="24"/>
              </w:rPr>
              <w:t>15m</w:t>
            </w:r>
            <w:r>
              <w:rPr>
                <w:color w:val="auto"/>
                <w:spacing w:val="-4"/>
                <w:sz w:val="24"/>
                <w:szCs w:val="24"/>
              </w:rPr>
              <w:t>至</w:t>
            </w:r>
            <w:r>
              <w:rPr>
                <w:rFonts w:ascii="Times New Roman" w:hAnsi="Times New Roman" w:eastAsia="Times New Roman" w:cs="Times New Roman"/>
                <w:color w:val="auto"/>
                <w:spacing w:val="-4"/>
                <w:sz w:val="24"/>
                <w:szCs w:val="24"/>
              </w:rPr>
              <w:t>18m</w:t>
            </w:r>
            <w:r>
              <w:rPr>
                <w:color w:val="auto"/>
                <w:spacing w:val="-4"/>
                <w:sz w:val="24"/>
                <w:szCs w:val="24"/>
              </w:rPr>
              <w:t>，其浓度值达</w:t>
            </w:r>
            <w:r>
              <w:rPr>
                <w:rFonts w:ascii="Times New Roman" w:hAnsi="Times New Roman" w:eastAsia="Times New Roman" w:cs="Times New Roman"/>
                <w:color w:val="auto"/>
                <w:spacing w:val="-4"/>
                <w:sz w:val="24"/>
                <w:szCs w:val="24"/>
              </w:rPr>
              <w:t>0.016</w:t>
            </w:r>
            <w:r>
              <w:rPr>
                <w:color w:val="auto"/>
                <w:spacing w:val="-4"/>
                <w:sz w:val="24"/>
                <w:szCs w:val="24"/>
              </w:rPr>
              <w:t>～</w:t>
            </w:r>
            <w:r>
              <w:rPr>
                <w:rFonts w:ascii="Times New Roman" w:hAnsi="Times New Roman" w:eastAsia="Times New Roman" w:cs="Times New Roman"/>
                <w:color w:val="auto"/>
                <w:spacing w:val="-4"/>
                <w:sz w:val="24"/>
                <w:szCs w:val="24"/>
              </w:rPr>
              <w:t>0.18mg/m</w:t>
            </w:r>
            <w:r>
              <w:rPr>
                <w:rFonts w:hint="eastAsia" w:ascii="Times New Roman" w:hAnsi="Times New Roman" w:eastAsia="宋体" w:cs="Times New Roman"/>
                <w:color w:val="auto"/>
                <w:spacing w:val="-4"/>
                <w:sz w:val="24"/>
                <w:szCs w:val="24"/>
                <w:vertAlign w:val="superscript"/>
                <w:lang w:val="en-US" w:eastAsia="zh-CN"/>
              </w:rPr>
              <w:t>3</w:t>
            </w:r>
            <w:r>
              <w:rPr>
                <w:color w:val="auto"/>
                <w:spacing w:val="-5"/>
                <w:sz w:val="24"/>
                <w:szCs w:val="24"/>
              </w:rPr>
              <w:t>。</w:t>
            </w:r>
          </w:p>
          <w:p w14:paraId="7E749A02">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8"/>
              <w:jc w:val="both"/>
              <w:textAlignment w:val="auto"/>
              <w:rPr>
                <w:color w:val="auto"/>
                <w:sz w:val="24"/>
                <w:szCs w:val="24"/>
              </w:rPr>
            </w:pPr>
            <w:r>
              <w:rPr>
                <w:color w:val="auto"/>
                <w:spacing w:val="-3"/>
                <w:sz w:val="24"/>
                <w:szCs w:val="24"/>
              </w:rPr>
              <w:t>施工用电自备，</w:t>
            </w:r>
            <w:r>
              <w:rPr>
                <w:color w:val="auto"/>
                <w:spacing w:val="-69"/>
                <w:sz w:val="24"/>
                <w:szCs w:val="24"/>
              </w:rPr>
              <w:t xml:space="preserve"> </w:t>
            </w:r>
            <w:r>
              <w:rPr>
                <w:color w:val="auto"/>
                <w:spacing w:val="-3"/>
                <w:sz w:val="24"/>
                <w:szCs w:val="24"/>
              </w:rPr>
              <w:t>自备电源为</w:t>
            </w:r>
            <w:r>
              <w:rPr>
                <w:rFonts w:hint="eastAsia" w:ascii="Times New Roman" w:hAnsi="Times New Roman" w:eastAsia="宋体" w:cs="Times New Roman"/>
                <w:color w:val="auto"/>
                <w:spacing w:val="-3"/>
                <w:sz w:val="24"/>
                <w:szCs w:val="24"/>
                <w:lang w:val="en-US" w:eastAsia="zh-CN"/>
              </w:rPr>
              <w:t>8</w:t>
            </w:r>
            <w:r>
              <w:rPr>
                <w:color w:val="auto"/>
                <w:spacing w:val="-3"/>
                <w:sz w:val="24"/>
                <w:szCs w:val="24"/>
              </w:rPr>
              <w:t>台</w:t>
            </w:r>
            <w:r>
              <w:rPr>
                <w:rFonts w:ascii="Times New Roman" w:hAnsi="Times New Roman" w:eastAsia="Times New Roman" w:cs="Times New Roman"/>
                <w:color w:val="auto"/>
                <w:spacing w:val="-3"/>
                <w:sz w:val="24"/>
                <w:szCs w:val="24"/>
              </w:rPr>
              <w:t>85</w:t>
            </w:r>
            <w:r>
              <w:rPr>
                <w:rFonts w:ascii="Times New Roman" w:hAnsi="Times New Roman" w:eastAsia="Times New Roman" w:cs="Times New Roman"/>
                <w:color w:val="auto"/>
                <w:spacing w:val="-4"/>
                <w:sz w:val="24"/>
                <w:szCs w:val="24"/>
              </w:rPr>
              <w:t>kW</w:t>
            </w:r>
            <w:r>
              <w:rPr>
                <w:color w:val="auto"/>
                <w:spacing w:val="-4"/>
                <w:sz w:val="24"/>
                <w:szCs w:val="24"/>
              </w:rPr>
              <w:t>移</w:t>
            </w:r>
            <w:r>
              <w:rPr>
                <w:color w:val="auto"/>
                <w:spacing w:val="-2"/>
                <w:sz w:val="24"/>
                <w:szCs w:val="24"/>
              </w:rPr>
              <w:t>动式柴油发电机供电，一台发电机耗油量约</w:t>
            </w:r>
            <w:r>
              <w:rPr>
                <w:rFonts w:ascii="Times New Roman" w:hAnsi="Times New Roman" w:eastAsia="Times New Roman" w:cs="Times New Roman"/>
                <w:color w:val="auto"/>
                <w:spacing w:val="-2"/>
                <w:sz w:val="24"/>
                <w:szCs w:val="24"/>
              </w:rPr>
              <w:t>18.1kg/h</w:t>
            </w:r>
            <w:r>
              <w:rPr>
                <w:color w:val="auto"/>
                <w:spacing w:val="-2"/>
                <w:sz w:val="24"/>
                <w:szCs w:val="24"/>
              </w:rPr>
              <w:t>，</w:t>
            </w:r>
            <w:r>
              <w:rPr>
                <w:rFonts w:hint="eastAsia"/>
                <w:color w:val="auto"/>
                <w:spacing w:val="-2"/>
                <w:sz w:val="24"/>
                <w:szCs w:val="24"/>
                <w:lang w:val="en-US" w:eastAsia="zh-CN"/>
              </w:rPr>
              <w:t>工作时长为</w:t>
            </w:r>
            <w:r>
              <w:rPr>
                <w:rFonts w:hint="eastAsia" w:ascii="Times New Roman" w:hAnsi="Times New Roman" w:eastAsia="Times New Roman" w:cs="Times New Roman"/>
                <w:color w:val="auto"/>
                <w:spacing w:val="-3"/>
                <w:sz w:val="24"/>
                <w:szCs w:val="24"/>
                <w:lang w:val="en-US" w:eastAsia="zh-CN"/>
              </w:rPr>
              <w:t>2092</w:t>
            </w:r>
            <w:r>
              <w:rPr>
                <w:rFonts w:hint="eastAsia"/>
                <w:color w:val="auto"/>
                <w:spacing w:val="-2"/>
                <w:sz w:val="24"/>
                <w:szCs w:val="24"/>
                <w:lang w:val="en-US" w:eastAsia="zh-CN"/>
              </w:rPr>
              <w:t>小时，</w:t>
            </w:r>
            <w:r>
              <w:rPr>
                <w:color w:val="auto"/>
                <w:spacing w:val="-2"/>
                <w:sz w:val="24"/>
                <w:szCs w:val="24"/>
              </w:rPr>
              <w:t>柴油发电机耗油量总计</w:t>
            </w:r>
            <w:r>
              <w:rPr>
                <w:color w:val="auto"/>
                <w:spacing w:val="-4"/>
                <w:sz w:val="24"/>
                <w:szCs w:val="24"/>
              </w:rPr>
              <w:t>为</w:t>
            </w:r>
            <w:r>
              <w:rPr>
                <w:rFonts w:hint="eastAsia" w:ascii="Times New Roman" w:hAnsi="Times New Roman" w:eastAsia="Times New Roman" w:cs="Times New Roman"/>
                <w:color w:val="auto"/>
                <w:spacing w:val="-2"/>
                <w:sz w:val="24"/>
                <w:szCs w:val="24"/>
                <w:lang w:val="en-US" w:eastAsia="zh-CN"/>
              </w:rPr>
              <w:t>302.92</w:t>
            </w:r>
            <w:r>
              <w:rPr>
                <w:rFonts w:ascii="Times New Roman" w:hAnsi="Times New Roman" w:eastAsia="Times New Roman" w:cs="Times New Roman"/>
                <w:color w:val="auto"/>
                <w:spacing w:val="-4"/>
                <w:sz w:val="24"/>
                <w:szCs w:val="24"/>
              </w:rPr>
              <w:t>t</w:t>
            </w:r>
            <w:r>
              <w:rPr>
                <w:color w:val="auto"/>
                <w:spacing w:val="-4"/>
                <w:sz w:val="24"/>
                <w:szCs w:val="24"/>
              </w:rPr>
              <w:t>。燃烧废气主要污染物为</w:t>
            </w:r>
            <w:r>
              <w:rPr>
                <w:rFonts w:ascii="Times New Roman" w:hAnsi="Times New Roman" w:eastAsia="Times New Roman" w:cs="Times New Roman"/>
                <w:color w:val="auto"/>
                <w:spacing w:val="-3"/>
                <w:sz w:val="24"/>
                <w:szCs w:val="24"/>
              </w:rPr>
              <w:t>SO</w:t>
            </w:r>
            <w:r>
              <w:rPr>
                <w:rFonts w:ascii="Times New Roman" w:hAnsi="Times New Roman" w:eastAsia="Times New Roman" w:cs="Times New Roman"/>
                <w:color w:val="auto"/>
                <w:spacing w:val="-3"/>
                <w:sz w:val="24"/>
                <w:szCs w:val="24"/>
                <w:vertAlign w:val="subscript"/>
              </w:rPr>
              <w:t>2</w:t>
            </w:r>
            <w:r>
              <w:rPr>
                <w:color w:val="auto"/>
                <w:spacing w:val="-3"/>
                <w:sz w:val="24"/>
                <w:szCs w:val="24"/>
              </w:rPr>
              <w:t>、</w:t>
            </w:r>
            <w:r>
              <w:rPr>
                <w:rFonts w:ascii="Times New Roman" w:hAnsi="Times New Roman" w:eastAsia="Times New Roman" w:cs="Times New Roman"/>
                <w:color w:val="auto"/>
                <w:spacing w:val="-3"/>
                <w:sz w:val="24"/>
                <w:szCs w:val="24"/>
              </w:rPr>
              <w:t>NOx</w:t>
            </w:r>
            <w:r>
              <w:rPr>
                <w:color w:val="auto"/>
                <w:spacing w:val="-3"/>
                <w:sz w:val="24"/>
                <w:szCs w:val="24"/>
              </w:rPr>
              <w:t>、</w:t>
            </w:r>
            <w:r>
              <w:rPr>
                <w:rFonts w:ascii="Times New Roman" w:hAnsi="Times New Roman" w:eastAsia="Times New Roman" w:cs="Times New Roman"/>
                <w:color w:val="auto"/>
                <w:spacing w:val="-3"/>
                <w:sz w:val="24"/>
                <w:szCs w:val="24"/>
              </w:rPr>
              <w:t>THC</w:t>
            </w:r>
            <w:r>
              <w:rPr>
                <w:color w:val="auto"/>
                <w:spacing w:val="-3"/>
                <w:sz w:val="24"/>
                <w:szCs w:val="24"/>
              </w:rPr>
              <w:t>、</w:t>
            </w:r>
            <w:r>
              <w:rPr>
                <w:rFonts w:hint="eastAsia"/>
                <w:color w:val="auto"/>
                <w:spacing w:val="-4"/>
                <w:sz w:val="24"/>
                <w:szCs w:val="24"/>
                <w:lang w:val="en-US" w:eastAsia="zh-CN"/>
              </w:rPr>
              <w:t>颗粒物</w:t>
            </w:r>
            <w:r>
              <w:rPr>
                <w:color w:val="auto"/>
                <w:spacing w:val="-4"/>
                <w:sz w:val="24"/>
                <w:szCs w:val="24"/>
              </w:rPr>
              <w:t>等。</w:t>
            </w:r>
          </w:p>
          <w:p w14:paraId="6F3789EF">
            <w:pPr>
              <w:pStyle w:val="65"/>
              <w:tabs>
                <w:tab w:val="left" w:pos="8347"/>
              </w:tabs>
              <w:spacing w:before="9" w:line="357" w:lineRule="auto"/>
              <w:ind w:left="108" w:firstLine="479"/>
              <w:jc w:val="both"/>
              <w:rPr>
                <w:color w:val="auto"/>
              </w:rPr>
            </w:pPr>
            <w:r>
              <w:rPr>
                <w:color w:val="auto"/>
                <w:spacing w:val="-5"/>
                <w:sz w:val="24"/>
                <w:szCs w:val="24"/>
              </w:rPr>
              <w:t>根据《环境影响评价工程师资格登记培训教材：社会区域类环境影响评价》</w:t>
            </w:r>
            <w:r>
              <w:rPr>
                <w:color w:val="auto"/>
                <w:spacing w:val="-6"/>
                <w:sz w:val="24"/>
                <w:szCs w:val="24"/>
              </w:rPr>
              <w:t>给出的计算参数，柴油机污染物排放系数为：</w:t>
            </w:r>
            <w:r>
              <w:rPr>
                <w:rFonts w:hint="eastAsia"/>
                <w:color w:val="auto"/>
                <w:spacing w:val="-4"/>
                <w:sz w:val="24"/>
                <w:szCs w:val="24"/>
                <w:lang w:val="en-US" w:eastAsia="zh-CN"/>
              </w:rPr>
              <w:t>颗粒物</w:t>
            </w:r>
            <w:r>
              <w:rPr>
                <w:color w:val="auto"/>
                <w:spacing w:val="-6"/>
                <w:sz w:val="24"/>
                <w:szCs w:val="24"/>
              </w:rPr>
              <w:t>为</w:t>
            </w:r>
            <w:r>
              <w:rPr>
                <w:rFonts w:ascii="Times New Roman" w:hAnsi="Times New Roman" w:eastAsia="Times New Roman" w:cs="Times New Roman"/>
                <w:color w:val="auto"/>
                <w:spacing w:val="-6"/>
                <w:sz w:val="24"/>
                <w:szCs w:val="24"/>
              </w:rPr>
              <w:t>0.714g/L</w:t>
            </w:r>
            <w:r>
              <w:rPr>
                <w:color w:val="auto"/>
                <w:spacing w:val="-6"/>
                <w:sz w:val="24"/>
                <w:szCs w:val="24"/>
              </w:rPr>
              <w:t>，</w:t>
            </w:r>
            <w:r>
              <w:rPr>
                <w:rFonts w:ascii="Times New Roman" w:hAnsi="Times New Roman" w:eastAsia="Times New Roman" w:cs="Times New Roman"/>
                <w:color w:val="auto"/>
                <w:spacing w:val="-3"/>
                <w:sz w:val="24"/>
                <w:szCs w:val="24"/>
              </w:rPr>
              <w:t>NOx</w:t>
            </w:r>
            <w:r>
              <w:rPr>
                <w:color w:val="auto"/>
                <w:spacing w:val="-6"/>
                <w:sz w:val="24"/>
                <w:szCs w:val="24"/>
              </w:rPr>
              <w:t>为</w:t>
            </w:r>
            <w:r>
              <w:rPr>
                <w:rFonts w:ascii="Times New Roman" w:hAnsi="Times New Roman" w:eastAsia="Times New Roman" w:cs="Times New Roman"/>
                <w:color w:val="auto"/>
                <w:spacing w:val="-6"/>
                <w:sz w:val="24"/>
                <w:szCs w:val="24"/>
              </w:rPr>
              <w:t>2.56g</w:t>
            </w:r>
            <w:r>
              <w:rPr>
                <w:rFonts w:ascii="Times New Roman" w:hAnsi="Times New Roman" w:eastAsia="Times New Roman" w:cs="Times New Roman"/>
                <w:color w:val="auto"/>
                <w:spacing w:val="-7"/>
                <w:sz w:val="24"/>
                <w:szCs w:val="24"/>
              </w:rPr>
              <w:t>/L</w:t>
            </w:r>
            <w:r>
              <w:rPr>
                <w:color w:val="auto"/>
                <w:spacing w:val="-7"/>
                <w:sz w:val="24"/>
                <w:szCs w:val="24"/>
              </w:rPr>
              <w:t>，</w:t>
            </w:r>
            <w:r>
              <w:rPr>
                <w:rFonts w:ascii="Times New Roman" w:hAnsi="Times New Roman" w:eastAsia="Times New Roman" w:cs="Times New Roman"/>
                <w:color w:val="auto"/>
                <w:spacing w:val="-3"/>
                <w:sz w:val="24"/>
                <w:szCs w:val="24"/>
              </w:rPr>
              <w:t>THC</w:t>
            </w:r>
            <w:r>
              <w:rPr>
                <w:color w:val="auto"/>
                <w:spacing w:val="-2"/>
                <w:sz w:val="24"/>
                <w:szCs w:val="24"/>
              </w:rPr>
              <w:t>为</w:t>
            </w:r>
            <w:r>
              <w:rPr>
                <w:rFonts w:ascii="Times New Roman" w:hAnsi="Times New Roman" w:eastAsia="Times New Roman" w:cs="Times New Roman"/>
                <w:color w:val="auto"/>
                <w:spacing w:val="-2"/>
                <w:sz w:val="24"/>
                <w:szCs w:val="24"/>
              </w:rPr>
              <w:t>1.489g/L</w:t>
            </w:r>
            <w:r>
              <w:rPr>
                <w:color w:val="auto"/>
                <w:spacing w:val="-2"/>
                <w:sz w:val="24"/>
                <w:szCs w:val="24"/>
              </w:rPr>
              <w:t>。根据《车用柴油》（</w:t>
            </w:r>
            <w:r>
              <w:rPr>
                <w:rFonts w:ascii="Times New Roman" w:hAnsi="Times New Roman" w:eastAsia="Times New Roman" w:cs="Times New Roman"/>
                <w:color w:val="auto"/>
                <w:spacing w:val="-2"/>
                <w:sz w:val="24"/>
                <w:szCs w:val="24"/>
              </w:rPr>
              <w:t>GB19147-2016</w:t>
            </w:r>
            <w:r>
              <w:rPr>
                <w:color w:val="auto"/>
                <w:spacing w:val="-2"/>
                <w:sz w:val="24"/>
                <w:szCs w:val="24"/>
              </w:rPr>
              <w:t>）中表</w:t>
            </w:r>
            <w:r>
              <w:rPr>
                <w:rFonts w:ascii="Times New Roman" w:hAnsi="Times New Roman" w:eastAsia="Times New Roman" w:cs="Times New Roman"/>
                <w:color w:val="auto"/>
                <w:spacing w:val="-2"/>
                <w:sz w:val="24"/>
                <w:szCs w:val="24"/>
              </w:rPr>
              <w:t>3</w:t>
            </w:r>
            <w:r>
              <w:rPr>
                <w:color w:val="auto"/>
                <w:spacing w:val="-2"/>
                <w:sz w:val="24"/>
                <w:szCs w:val="24"/>
              </w:rPr>
              <w:t>车用柴油(</w:t>
            </w:r>
            <w:r>
              <w:rPr>
                <w:rFonts w:ascii="Times New Roman" w:hAnsi="Times New Roman" w:eastAsia="Times New Roman" w:cs="Times New Roman"/>
                <w:color w:val="auto"/>
                <w:spacing w:val="-2"/>
                <w:sz w:val="24"/>
                <w:szCs w:val="24"/>
              </w:rPr>
              <w:t>Ⅴ</w:t>
            </w:r>
            <w:r>
              <w:rPr>
                <w:color w:val="auto"/>
                <w:spacing w:val="-2"/>
                <w:sz w:val="24"/>
                <w:szCs w:val="24"/>
              </w:rPr>
              <w:t>)技术要求和试验方法可知，车用柴油中硫含量不大于</w:t>
            </w:r>
            <w:r>
              <w:rPr>
                <w:rFonts w:ascii="Times New Roman" w:hAnsi="Times New Roman" w:eastAsia="Times New Roman" w:cs="Times New Roman"/>
                <w:color w:val="auto"/>
                <w:spacing w:val="-2"/>
                <w:sz w:val="24"/>
                <w:szCs w:val="24"/>
              </w:rPr>
              <w:t>10mg/kg</w:t>
            </w:r>
            <w:r>
              <w:rPr>
                <w:color w:val="auto"/>
                <w:spacing w:val="-2"/>
                <w:sz w:val="24"/>
                <w:szCs w:val="24"/>
              </w:rPr>
              <w:t>，即</w:t>
            </w:r>
            <w:r>
              <w:rPr>
                <w:rFonts w:ascii="Times New Roman" w:hAnsi="Times New Roman" w:eastAsia="Times New Roman" w:cs="Times New Roman"/>
                <w:color w:val="auto"/>
                <w:spacing w:val="-2"/>
                <w:sz w:val="24"/>
                <w:szCs w:val="24"/>
              </w:rPr>
              <w:t>SO</w:t>
            </w:r>
            <w:r>
              <w:rPr>
                <w:rFonts w:ascii="Times New Roman" w:hAnsi="Times New Roman" w:eastAsia="Times New Roman" w:cs="Times New Roman"/>
                <w:color w:val="auto"/>
                <w:spacing w:val="-2"/>
                <w:position w:val="-1"/>
                <w:sz w:val="24"/>
                <w:szCs w:val="24"/>
                <w:vertAlign w:val="subscript"/>
              </w:rPr>
              <w:t>2</w:t>
            </w:r>
            <w:r>
              <w:rPr>
                <w:color w:val="auto"/>
                <w:spacing w:val="-2"/>
                <w:sz w:val="24"/>
                <w:szCs w:val="24"/>
              </w:rPr>
              <w:t>排放系数为</w:t>
            </w:r>
            <w:r>
              <w:rPr>
                <w:rFonts w:ascii="Times New Roman" w:hAnsi="Times New Roman" w:eastAsia="Times New Roman" w:cs="Times New Roman"/>
                <w:color w:val="auto"/>
                <w:spacing w:val="-2"/>
                <w:sz w:val="24"/>
                <w:szCs w:val="24"/>
              </w:rPr>
              <w:t>0.02kg/t</w:t>
            </w:r>
            <w:r>
              <w:rPr>
                <w:color w:val="auto"/>
                <w:spacing w:val="-2"/>
                <w:sz w:val="24"/>
                <w:szCs w:val="24"/>
              </w:rPr>
              <w:t>。技术要求和试验方法可知，车用柴油中硫含量不大于</w:t>
            </w:r>
            <w:r>
              <w:rPr>
                <w:rFonts w:ascii="Times New Roman" w:hAnsi="Times New Roman" w:eastAsia="Times New Roman" w:cs="Times New Roman"/>
                <w:color w:val="auto"/>
                <w:spacing w:val="-2"/>
                <w:sz w:val="24"/>
                <w:szCs w:val="24"/>
              </w:rPr>
              <w:t>10mg/kg</w:t>
            </w:r>
            <w:r>
              <w:rPr>
                <w:color w:val="auto"/>
                <w:spacing w:val="-2"/>
                <w:sz w:val="24"/>
                <w:szCs w:val="24"/>
              </w:rPr>
              <w:t>，即</w:t>
            </w:r>
            <w:r>
              <w:rPr>
                <w:rFonts w:ascii="Times New Roman" w:hAnsi="Times New Roman" w:eastAsia="Times New Roman" w:cs="Times New Roman"/>
                <w:color w:val="auto"/>
                <w:spacing w:val="-2"/>
                <w:sz w:val="24"/>
                <w:szCs w:val="24"/>
              </w:rPr>
              <w:t>SO</w:t>
            </w:r>
            <w:r>
              <w:rPr>
                <w:rFonts w:ascii="Times New Roman" w:hAnsi="Times New Roman" w:eastAsia="Times New Roman" w:cs="Times New Roman"/>
                <w:color w:val="auto"/>
                <w:spacing w:val="-2"/>
                <w:position w:val="-1"/>
                <w:sz w:val="24"/>
                <w:szCs w:val="24"/>
                <w:vertAlign w:val="subscript"/>
              </w:rPr>
              <w:t>2</w:t>
            </w:r>
            <w:r>
              <w:rPr>
                <w:color w:val="auto"/>
                <w:spacing w:val="-2"/>
                <w:sz w:val="24"/>
                <w:szCs w:val="24"/>
              </w:rPr>
              <w:t>排放系数为</w:t>
            </w:r>
            <w:r>
              <w:rPr>
                <w:rFonts w:ascii="Times New Roman" w:hAnsi="Times New Roman" w:eastAsia="Times New Roman" w:cs="Times New Roman"/>
                <w:color w:val="auto"/>
                <w:spacing w:val="-2"/>
                <w:sz w:val="24"/>
                <w:szCs w:val="24"/>
              </w:rPr>
              <w:t>0.02kg/t</w:t>
            </w:r>
            <w:r>
              <w:rPr>
                <w:color w:val="auto"/>
                <w:spacing w:val="-2"/>
                <w:sz w:val="24"/>
                <w:szCs w:val="24"/>
              </w:rPr>
              <w:t>。本工程柴油消耗为</w:t>
            </w:r>
            <w:r>
              <w:rPr>
                <w:rFonts w:hint="eastAsia" w:ascii="Times New Roman" w:hAnsi="Times New Roman" w:eastAsia="Times New Roman" w:cs="Times New Roman"/>
                <w:color w:val="auto"/>
                <w:spacing w:val="-2"/>
                <w:sz w:val="24"/>
                <w:szCs w:val="24"/>
                <w:lang w:val="en-US" w:eastAsia="zh-CN"/>
              </w:rPr>
              <w:t>302.92</w:t>
            </w:r>
            <w:r>
              <w:rPr>
                <w:rFonts w:ascii="Times New Roman" w:hAnsi="Times New Roman" w:eastAsia="Times New Roman" w:cs="Times New Roman"/>
                <w:color w:val="auto"/>
                <w:spacing w:val="-4"/>
                <w:sz w:val="24"/>
                <w:szCs w:val="24"/>
              </w:rPr>
              <w:t>t</w:t>
            </w:r>
            <w:r>
              <w:rPr>
                <w:color w:val="auto"/>
                <w:spacing w:val="-2"/>
                <w:sz w:val="24"/>
                <w:szCs w:val="24"/>
              </w:rPr>
              <w:t>，</w:t>
            </w:r>
            <w:r>
              <w:rPr>
                <w:rFonts w:ascii="Times New Roman" w:hAnsi="Times New Roman" w:eastAsia="Times New Roman" w:cs="Times New Roman"/>
                <w:color w:val="auto"/>
                <w:spacing w:val="-2"/>
                <w:sz w:val="24"/>
                <w:szCs w:val="24"/>
              </w:rPr>
              <w:t>1.0L</w:t>
            </w:r>
            <w:r>
              <w:rPr>
                <w:color w:val="auto"/>
                <w:spacing w:val="-2"/>
                <w:sz w:val="24"/>
                <w:szCs w:val="24"/>
              </w:rPr>
              <w:t>柴油约等于</w:t>
            </w:r>
            <w:r>
              <w:rPr>
                <w:rFonts w:ascii="Times New Roman" w:hAnsi="Times New Roman" w:eastAsia="Times New Roman" w:cs="Times New Roman"/>
                <w:color w:val="auto"/>
                <w:spacing w:val="-2"/>
                <w:sz w:val="24"/>
                <w:szCs w:val="24"/>
              </w:rPr>
              <w:t>0.86kg</w:t>
            </w:r>
            <w:r>
              <w:rPr>
                <w:color w:val="auto"/>
                <w:spacing w:val="-2"/>
                <w:sz w:val="24"/>
                <w:szCs w:val="24"/>
              </w:rPr>
              <w:t>，消耗</w:t>
            </w:r>
            <w:r>
              <w:rPr>
                <w:rFonts w:ascii="Times New Roman" w:hAnsi="Times New Roman" w:eastAsia="Times New Roman" w:cs="Times New Roman"/>
                <w:color w:val="auto"/>
                <w:spacing w:val="-2"/>
                <w:sz w:val="24"/>
                <w:szCs w:val="24"/>
              </w:rPr>
              <w:t>1kg</w:t>
            </w:r>
            <w:r>
              <w:rPr>
                <w:color w:val="auto"/>
                <w:spacing w:val="-2"/>
                <w:sz w:val="24"/>
                <w:szCs w:val="24"/>
              </w:rPr>
              <w:t>柴油按照产生</w:t>
            </w:r>
            <w:r>
              <w:rPr>
                <w:rFonts w:ascii="Times New Roman" w:hAnsi="Times New Roman" w:eastAsia="Times New Roman" w:cs="Times New Roman"/>
                <w:color w:val="auto"/>
                <w:spacing w:val="-2"/>
                <w:sz w:val="24"/>
                <w:szCs w:val="24"/>
              </w:rPr>
              <w:t>20Nm</w:t>
            </w:r>
            <w:r>
              <w:rPr>
                <w:rFonts w:hint="eastAsia" w:ascii="Times New Roman" w:hAnsi="Times New Roman" w:eastAsia="宋体" w:cs="Times New Roman"/>
                <w:color w:val="auto"/>
                <w:spacing w:val="-2"/>
                <w:sz w:val="24"/>
                <w:szCs w:val="24"/>
                <w:vertAlign w:val="superscript"/>
                <w:lang w:val="en-US" w:eastAsia="zh-CN"/>
              </w:rPr>
              <w:t>3</w:t>
            </w:r>
            <w:r>
              <w:rPr>
                <w:color w:val="auto"/>
                <w:spacing w:val="-2"/>
                <w:sz w:val="24"/>
                <w:szCs w:val="24"/>
              </w:rPr>
              <w:t>废气进行核算。</w:t>
            </w:r>
          </w:p>
          <w:p w14:paraId="2CC1097C">
            <w:pPr>
              <w:pStyle w:val="65"/>
              <w:numPr>
                <w:ilvl w:val="0"/>
                <w:numId w:val="31"/>
              </w:numPr>
              <w:spacing w:before="1" w:line="227" w:lineRule="auto"/>
              <w:ind w:left="0" w:leftChars="0" w:firstLine="0" w:firstLineChars="0"/>
              <w:jc w:val="center"/>
              <w:rPr>
                <w:b/>
                <w:bCs/>
                <w:color w:val="auto"/>
                <w:spacing w:val="4"/>
                <w:sz w:val="24"/>
                <w:szCs w:val="24"/>
              </w:rPr>
            </w:pPr>
            <w:r>
              <w:rPr>
                <w:b/>
                <w:bCs/>
                <w:color w:val="auto"/>
                <w:spacing w:val="4"/>
                <w:sz w:val="24"/>
                <w:szCs w:val="24"/>
              </w:rPr>
              <w:t>施工期柴油机尾气污染源强表</w:t>
            </w:r>
          </w:p>
          <w:tbl>
            <w:tblPr>
              <w:tblStyle w:val="54"/>
              <w:tblW w:w="7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06"/>
              <w:gridCol w:w="1538"/>
              <w:gridCol w:w="1050"/>
              <w:gridCol w:w="1148"/>
              <w:gridCol w:w="1031"/>
              <w:gridCol w:w="1025"/>
            </w:tblGrid>
            <w:tr w14:paraId="6EAB9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 w:hRule="atLeast"/>
                <w:jc w:val="center"/>
              </w:trPr>
              <w:tc>
                <w:tcPr>
                  <w:tcW w:w="1906" w:type="dxa"/>
                  <w:vAlign w:val="center"/>
                </w:tcPr>
                <w:p w14:paraId="4BA5127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2"/>
                      <w:sz w:val="21"/>
                      <w:szCs w:val="21"/>
                    </w:rPr>
                    <w:t>项目</w:t>
                  </w:r>
                </w:p>
              </w:tc>
              <w:tc>
                <w:tcPr>
                  <w:tcW w:w="1538" w:type="dxa"/>
                  <w:vAlign w:val="center"/>
                </w:tcPr>
                <w:p w14:paraId="004C045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9"/>
                    <w:jc w:val="center"/>
                    <w:textAlignment w:val="auto"/>
                    <w:rPr>
                      <w:color w:val="auto"/>
                      <w:sz w:val="21"/>
                      <w:szCs w:val="21"/>
                    </w:rPr>
                  </w:pPr>
                  <w:r>
                    <w:rPr>
                      <w:b/>
                      <w:bCs/>
                      <w:color w:val="auto"/>
                      <w:spacing w:val="-5"/>
                      <w:sz w:val="21"/>
                      <w:szCs w:val="21"/>
                    </w:rPr>
                    <w:t>废气量（</w:t>
                  </w:r>
                  <w:r>
                    <w:rPr>
                      <w:rFonts w:ascii="Times New Roman" w:hAnsi="Times New Roman" w:eastAsia="Times New Roman" w:cs="Times New Roman"/>
                      <w:b/>
                      <w:bCs/>
                      <w:color w:val="auto"/>
                      <w:spacing w:val="-5"/>
                      <w:sz w:val="21"/>
                      <w:szCs w:val="21"/>
                    </w:rPr>
                    <w:t>Nm</w:t>
                  </w:r>
                  <w:r>
                    <w:rPr>
                      <w:rFonts w:hint="eastAsia" w:ascii="Times New Roman" w:hAnsi="Times New Roman" w:eastAsia="宋体" w:cs="Times New Roman"/>
                      <w:b/>
                      <w:bCs/>
                      <w:color w:val="auto"/>
                      <w:spacing w:val="-5"/>
                      <w:sz w:val="21"/>
                      <w:szCs w:val="21"/>
                      <w:vertAlign w:val="superscript"/>
                      <w:lang w:val="en-US" w:eastAsia="zh-CN"/>
                    </w:rPr>
                    <w:t>3</w:t>
                  </w:r>
                  <w:r>
                    <w:rPr>
                      <w:rFonts w:ascii="Times New Roman" w:hAnsi="Times New Roman" w:eastAsia="Times New Roman" w:cs="Times New Roman"/>
                      <w:b/>
                      <w:bCs/>
                      <w:color w:val="auto"/>
                      <w:spacing w:val="-5"/>
                      <w:sz w:val="21"/>
                      <w:szCs w:val="21"/>
                    </w:rPr>
                    <w:t>/a</w:t>
                  </w:r>
                  <w:r>
                    <w:rPr>
                      <w:b/>
                      <w:bCs/>
                      <w:color w:val="auto"/>
                      <w:spacing w:val="-5"/>
                      <w:sz w:val="21"/>
                      <w:szCs w:val="21"/>
                    </w:rPr>
                    <w:t>）</w:t>
                  </w:r>
                </w:p>
              </w:tc>
              <w:tc>
                <w:tcPr>
                  <w:tcW w:w="1050" w:type="dxa"/>
                  <w:vAlign w:val="center"/>
                </w:tcPr>
                <w:p w14:paraId="6F40600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b/>
                      <w:bCs/>
                      <w:color w:val="auto"/>
                      <w:spacing w:val="1"/>
                      <w:sz w:val="21"/>
                      <w:szCs w:val="21"/>
                    </w:rPr>
                    <w:t>总烃</w:t>
                  </w:r>
                </w:p>
              </w:tc>
              <w:tc>
                <w:tcPr>
                  <w:tcW w:w="1148" w:type="dxa"/>
                  <w:vAlign w:val="center"/>
                </w:tcPr>
                <w:p w14:paraId="1A28433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3"/>
                      <w:sz w:val="21"/>
                      <w:szCs w:val="21"/>
                    </w:rPr>
                    <w:t>NOx</w:t>
                  </w:r>
                </w:p>
              </w:tc>
              <w:tc>
                <w:tcPr>
                  <w:tcW w:w="1031" w:type="dxa"/>
                  <w:vAlign w:val="center"/>
                </w:tcPr>
                <w:p w14:paraId="6EE68BF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z w:val="21"/>
                      <w:szCs w:val="21"/>
                    </w:rPr>
                    <w:t>SO</w:t>
                  </w:r>
                  <w:r>
                    <w:rPr>
                      <w:rFonts w:ascii="Times New Roman" w:hAnsi="Times New Roman" w:eastAsia="Times New Roman" w:cs="Times New Roman"/>
                      <w:b/>
                      <w:bCs/>
                      <w:color w:val="auto"/>
                      <w:sz w:val="21"/>
                      <w:szCs w:val="21"/>
                      <w:vertAlign w:val="subscript"/>
                    </w:rPr>
                    <w:t>2</w:t>
                  </w:r>
                </w:p>
              </w:tc>
              <w:tc>
                <w:tcPr>
                  <w:tcW w:w="1025" w:type="dxa"/>
                  <w:vAlign w:val="center"/>
                </w:tcPr>
                <w:p w14:paraId="34D7A45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rFonts w:hint="eastAsia"/>
                      <w:b/>
                      <w:bCs/>
                      <w:color w:val="auto"/>
                      <w:spacing w:val="1"/>
                      <w:sz w:val="21"/>
                      <w:szCs w:val="21"/>
                      <w:lang w:val="en-US" w:eastAsia="zh-CN"/>
                    </w:rPr>
                    <w:t>颗粒物</w:t>
                  </w:r>
                </w:p>
              </w:tc>
            </w:tr>
            <w:tr w14:paraId="0C20E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 w:hRule="atLeast"/>
                <w:jc w:val="center"/>
              </w:trPr>
              <w:tc>
                <w:tcPr>
                  <w:tcW w:w="1906" w:type="dxa"/>
                  <w:vAlign w:val="center"/>
                </w:tcPr>
                <w:p w14:paraId="412BFD25">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7"/>
                      <w:sz w:val="21"/>
                      <w:szCs w:val="21"/>
                    </w:rPr>
                    <w:t>产生量（</w:t>
                  </w:r>
                  <w:r>
                    <w:rPr>
                      <w:rFonts w:ascii="Times New Roman" w:hAnsi="Times New Roman" w:eastAsia="Times New Roman" w:cs="Times New Roman"/>
                      <w:color w:val="auto"/>
                      <w:sz w:val="21"/>
                      <w:szCs w:val="21"/>
                    </w:rPr>
                    <w:t>kg</w:t>
                  </w:r>
                  <w:r>
                    <w:rPr>
                      <w:color w:val="auto"/>
                      <w:spacing w:val="7"/>
                      <w:sz w:val="21"/>
                      <w:szCs w:val="21"/>
                    </w:rPr>
                    <w:t>）</w:t>
                  </w:r>
                </w:p>
              </w:tc>
              <w:tc>
                <w:tcPr>
                  <w:tcW w:w="1538" w:type="dxa"/>
                  <w:vAlign w:val="center"/>
                </w:tcPr>
                <w:p w14:paraId="2FEA17C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6058400</w:t>
                  </w:r>
                </w:p>
              </w:tc>
              <w:tc>
                <w:tcPr>
                  <w:tcW w:w="1050" w:type="dxa"/>
                  <w:vAlign w:val="center"/>
                </w:tcPr>
                <w:p w14:paraId="61A6858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524.47</w:t>
                  </w:r>
                </w:p>
              </w:tc>
              <w:tc>
                <w:tcPr>
                  <w:tcW w:w="1148" w:type="dxa"/>
                  <w:vAlign w:val="center"/>
                </w:tcPr>
                <w:p w14:paraId="4BD1A0EA">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901.72</w:t>
                  </w:r>
                </w:p>
              </w:tc>
              <w:tc>
                <w:tcPr>
                  <w:tcW w:w="1031" w:type="dxa"/>
                  <w:vAlign w:val="center"/>
                </w:tcPr>
                <w:p w14:paraId="22D5972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6.06</w:t>
                  </w:r>
                </w:p>
              </w:tc>
              <w:tc>
                <w:tcPr>
                  <w:tcW w:w="1025" w:type="dxa"/>
                  <w:vAlign w:val="center"/>
                </w:tcPr>
                <w:p w14:paraId="05C2A1C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251.49</w:t>
                  </w:r>
                </w:p>
              </w:tc>
            </w:tr>
            <w:tr w14:paraId="3EE68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 w:hRule="atLeast"/>
                <w:jc w:val="center"/>
              </w:trPr>
              <w:tc>
                <w:tcPr>
                  <w:tcW w:w="1906" w:type="dxa"/>
                  <w:vAlign w:val="center"/>
                </w:tcPr>
                <w:p w14:paraId="315EABB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7"/>
                      <w:sz w:val="21"/>
                      <w:szCs w:val="21"/>
                    </w:rPr>
                    <w:t>产生浓度（</w:t>
                  </w:r>
                  <w:r>
                    <w:rPr>
                      <w:rFonts w:ascii="Times New Roman" w:hAnsi="Times New Roman" w:eastAsia="Times New Roman" w:cs="Times New Roman"/>
                      <w:color w:val="auto"/>
                      <w:sz w:val="21"/>
                      <w:szCs w:val="21"/>
                    </w:rPr>
                    <w:t>mg</w:t>
                  </w:r>
                  <w:r>
                    <w:rPr>
                      <w:rFonts w:ascii="Times New Roman" w:hAnsi="Times New Roman" w:eastAsia="Times New Roman" w:cs="Times New Roman"/>
                      <w:color w:val="auto"/>
                      <w:spacing w:val="7"/>
                      <w:sz w:val="21"/>
                      <w:szCs w:val="21"/>
                    </w:rPr>
                    <w:t>/m</w:t>
                  </w:r>
                  <w:r>
                    <w:rPr>
                      <w:rFonts w:ascii="Times New Roman" w:hAnsi="Times New Roman" w:eastAsia="Times New Roman" w:cs="Times New Roman"/>
                      <w:color w:val="auto"/>
                      <w:spacing w:val="7"/>
                      <w:position w:val="1"/>
                      <w:sz w:val="21"/>
                      <w:szCs w:val="21"/>
                      <w:vertAlign w:val="superscript"/>
                    </w:rPr>
                    <w:t>3</w:t>
                  </w:r>
                  <w:r>
                    <w:rPr>
                      <w:color w:val="auto"/>
                      <w:spacing w:val="7"/>
                      <w:position w:val="1"/>
                      <w:sz w:val="21"/>
                      <w:szCs w:val="21"/>
                    </w:rPr>
                    <w:t>）</w:t>
                  </w:r>
                </w:p>
              </w:tc>
              <w:tc>
                <w:tcPr>
                  <w:tcW w:w="1538" w:type="dxa"/>
                  <w:vAlign w:val="center"/>
                </w:tcPr>
                <w:p w14:paraId="4BA1F90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w:t>
                  </w:r>
                </w:p>
              </w:tc>
              <w:tc>
                <w:tcPr>
                  <w:tcW w:w="1050" w:type="dxa"/>
                  <w:vAlign w:val="center"/>
                </w:tcPr>
                <w:p w14:paraId="0C7D310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86.57</w:t>
                  </w:r>
                </w:p>
              </w:tc>
              <w:tc>
                <w:tcPr>
                  <w:tcW w:w="1148" w:type="dxa"/>
                  <w:vAlign w:val="center"/>
                </w:tcPr>
                <w:p w14:paraId="6E15EE8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148.84</w:t>
                  </w:r>
                </w:p>
              </w:tc>
              <w:tc>
                <w:tcPr>
                  <w:tcW w:w="1031" w:type="dxa"/>
                  <w:vAlign w:val="center"/>
                </w:tcPr>
                <w:p w14:paraId="5CF51CC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1.00</w:t>
                  </w:r>
                </w:p>
              </w:tc>
              <w:tc>
                <w:tcPr>
                  <w:tcW w:w="1025" w:type="dxa"/>
                  <w:vAlign w:val="center"/>
                </w:tcPr>
                <w:p w14:paraId="215D5AA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41.51</w:t>
                  </w:r>
                </w:p>
              </w:tc>
            </w:tr>
          </w:tbl>
          <w:p w14:paraId="250CA56A">
            <w:pPr>
              <w:pStyle w:val="65"/>
              <w:tabs>
                <w:tab w:val="left" w:pos="8347"/>
              </w:tabs>
              <w:spacing w:before="9" w:line="357" w:lineRule="auto"/>
              <w:ind w:left="108" w:firstLine="479"/>
              <w:jc w:val="both"/>
              <w:rPr>
                <w:rFonts w:ascii="Times New Roman" w:hAnsi="Times New Roman" w:eastAsia="Times New Roman" w:cs="Times New Roman"/>
                <w:color w:val="auto"/>
                <w:spacing w:val="-2"/>
                <w:sz w:val="24"/>
                <w:szCs w:val="24"/>
              </w:rPr>
            </w:pPr>
            <w:r>
              <w:rPr>
                <w:rFonts w:ascii="Times New Roman" w:hAnsi="Times New Roman" w:eastAsia="Times New Roman" w:cs="Times New Roman"/>
                <w:color w:val="auto"/>
                <w:spacing w:val="-2"/>
                <w:sz w:val="24"/>
                <w:szCs w:val="24"/>
              </w:rPr>
              <w:t>经上述分析，柴油发电机废气排放量较小，不会对项目区环境造成影响，随着施工期结束，不利影响逐步消失。由于施工区地势较为平坦，空气流动性好，排放到空气中的各项污染物能够很快扩散，施工期结束后，施工期产生的污染影响随之消除。</w:t>
            </w:r>
          </w:p>
          <w:p w14:paraId="313F149C">
            <w:pPr>
              <w:pStyle w:val="65"/>
              <w:numPr>
                <w:ilvl w:val="0"/>
                <w:numId w:val="32"/>
              </w:numPr>
              <w:tabs>
                <w:tab w:val="left" w:pos="8347"/>
              </w:tabs>
              <w:spacing w:before="9" w:line="357" w:lineRule="auto"/>
              <w:jc w:val="both"/>
              <w:rPr>
                <w:rFonts w:hint="default" w:ascii="Times New Roman" w:hAnsi="Times New Roman" w:cs="Times New Roman" w:eastAsiaTheme="minorEastAsia"/>
                <w:b/>
                <w:bCs/>
                <w:color w:val="auto"/>
                <w:kern w:val="0"/>
                <w:sz w:val="24"/>
                <w:szCs w:val="24"/>
                <w:lang w:val="en-US" w:eastAsia="zh-CN"/>
              </w:rPr>
            </w:pPr>
            <w:r>
              <w:rPr>
                <w:rFonts w:hint="default" w:ascii="Times New Roman" w:hAnsi="Times New Roman" w:cs="Times New Roman" w:eastAsiaTheme="minorEastAsia"/>
                <w:b/>
                <w:bCs/>
                <w:color w:val="auto"/>
                <w:kern w:val="0"/>
                <w:sz w:val="24"/>
                <w:szCs w:val="24"/>
                <w:lang w:val="en-US" w:eastAsia="zh-CN"/>
              </w:rPr>
              <w:t>钢筋模板加工车间的加工工艺和产污环节分析</w:t>
            </w:r>
          </w:p>
          <w:p w14:paraId="4B909F4C">
            <w:pPr>
              <w:pStyle w:val="65"/>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04" w:firstLineChars="200"/>
              <w:jc w:val="both"/>
              <w:textAlignment w:val="auto"/>
              <w:rPr>
                <w:rFonts w:hint="eastAsia"/>
                <w:b w:val="0"/>
                <w:bCs w:val="0"/>
                <w:color w:val="auto"/>
                <w:spacing w:val="6"/>
                <w:sz w:val="24"/>
                <w:szCs w:val="24"/>
                <w:lang w:val="en-US" w:eastAsia="zh-CN"/>
              </w:rPr>
            </w:pPr>
            <w:r>
              <w:rPr>
                <w:rFonts w:hint="eastAsia"/>
                <w:b w:val="0"/>
                <w:bCs w:val="0"/>
                <w:color w:val="auto"/>
                <w:spacing w:val="6"/>
                <w:sz w:val="24"/>
                <w:szCs w:val="24"/>
                <w:lang w:val="en-US" w:eastAsia="zh-CN"/>
              </w:rPr>
              <w:t>钢筋加工工艺为：钢筋→调直→切断→弯曲→绑扎→焊接→套丝成型。</w:t>
            </w:r>
            <w:r>
              <w:rPr>
                <w:rFonts w:hint="default"/>
                <w:b w:val="0"/>
                <w:bCs w:val="0"/>
                <w:color w:val="auto"/>
                <w:spacing w:val="6"/>
                <w:sz w:val="24"/>
                <w:szCs w:val="24"/>
                <w:lang w:val="en-US" w:eastAsia="zh-CN"/>
              </w:rPr>
              <w:t>模板</w:t>
            </w:r>
            <w:r>
              <w:rPr>
                <w:rFonts w:hint="eastAsia"/>
                <w:b w:val="0"/>
                <w:bCs w:val="0"/>
                <w:color w:val="auto"/>
                <w:spacing w:val="6"/>
                <w:sz w:val="24"/>
                <w:szCs w:val="24"/>
                <w:lang w:val="en-US" w:eastAsia="zh-CN"/>
              </w:rPr>
              <w:t>加工工艺：</w:t>
            </w:r>
            <w:r>
              <w:rPr>
                <w:rFonts w:hint="default"/>
                <w:b w:val="0"/>
                <w:bCs w:val="0"/>
                <w:color w:val="auto"/>
                <w:spacing w:val="6"/>
                <w:sz w:val="24"/>
                <w:szCs w:val="24"/>
                <w:lang w:val="en-US" w:eastAsia="zh-CN"/>
              </w:rPr>
              <w:t>模板</w:t>
            </w:r>
            <w:r>
              <w:rPr>
                <w:rFonts w:hint="eastAsia"/>
                <w:b w:val="0"/>
                <w:bCs w:val="0"/>
                <w:color w:val="auto"/>
                <w:spacing w:val="6"/>
                <w:sz w:val="24"/>
                <w:szCs w:val="24"/>
                <w:lang w:val="en-US" w:eastAsia="zh-CN"/>
              </w:rPr>
              <w:t>→切割下料→冲孔折弯→焊接成型→除锈打磨→校正整形。产污环节为钢筋切断打磨、模板裁切、板材切割、钢模板除锈打磨产生的粉尘。钢筋点焊、骨架焊接产生的焊接烟尘。钢筋调直机、切断机运行产生的噪声，钢筋头、废钢筋边角料等一般工业固废。</w:t>
            </w:r>
          </w:p>
          <w:p w14:paraId="6AD5206D">
            <w:pPr>
              <w:pStyle w:val="65"/>
              <w:numPr>
                <w:ilvl w:val="0"/>
                <w:numId w:val="28"/>
              </w:numPr>
              <w:spacing w:before="40" w:line="360" w:lineRule="auto"/>
              <w:ind w:left="425" w:leftChars="0" w:hanging="425" w:firstLineChars="0"/>
              <w:rPr>
                <w:b/>
                <w:bCs/>
                <w:color w:val="auto"/>
                <w:spacing w:val="-3"/>
                <w:sz w:val="24"/>
                <w:szCs w:val="24"/>
              </w:rPr>
            </w:pPr>
            <w:r>
              <w:rPr>
                <w:b/>
                <w:bCs/>
                <w:color w:val="auto"/>
                <w:spacing w:val="-3"/>
                <w:sz w:val="24"/>
                <w:szCs w:val="24"/>
              </w:rPr>
              <w:t>水环境影响分析</w:t>
            </w:r>
          </w:p>
          <w:p w14:paraId="349CDDB2">
            <w:pPr>
              <w:pStyle w:val="13"/>
              <w:keepNext w:val="0"/>
              <w:keepLines w:val="0"/>
              <w:pageBreakBefore w:val="0"/>
              <w:widowControl w:val="0"/>
              <w:kinsoku/>
              <w:wordWrap/>
              <w:overflowPunct w:val="0"/>
              <w:topLinePunct w:val="0"/>
              <w:autoSpaceDE/>
              <w:autoSpaceDN/>
              <w:bidi w:val="0"/>
              <w:adjustRightInd/>
              <w:snapToGrid/>
              <w:spacing w:line="360" w:lineRule="auto"/>
              <w:ind w:firstLine="504" w:firstLineChars="200"/>
              <w:textAlignment w:val="auto"/>
              <w:rPr>
                <w:rFonts w:hint="default" w:ascii="Times New Roman" w:hAnsi="Times New Roman" w:cs="Times New Roman"/>
                <w:b w:val="0"/>
                <w:bCs w:val="0"/>
                <w:color w:val="auto"/>
                <w:spacing w:val="6"/>
                <w:kern w:val="0"/>
                <w:sz w:val="24"/>
                <w:szCs w:val="24"/>
                <w:lang w:val="en-US" w:eastAsia="zh-CN" w:bidi="ar-SA"/>
              </w:rPr>
            </w:pPr>
            <w:r>
              <w:rPr>
                <w:rFonts w:hint="eastAsia" w:ascii="Times New Roman" w:hAnsi="Times New Roman" w:eastAsia="宋体" w:cs="Times New Roman"/>
                <w:b w:val="0"/>
                <w:bCs w:val="0"/>
                <w:color w:val="auto"/>
                <w:spacing w:val="6"/>
                <w:kern w:val="0"/>
                <w:sz w:val="24"/>
                <w:szCs w:val="24"/>
                <w:lang w:val="en-US" w:eastAsia="zh-CN" w:bidi="ar-SA"/>
              </w:rPr>
              <w:t>本工程施工期选择在枯水期，河道内少许水量部分可由上游河道的吉布库河渠首引走，河道内基本无水，因此不需导流，无需设置导流措施。</w:t>
            </w:r>
            <w:r>
              <w:rPr>
                <w:rFonts w:hint="eastAsia" w:ascii="Times New Roman" w:hAnsi="Times New Roman" w:eastAsia="宋体" w:cs="Times New Roman"/>
                <w:color w:val="auto"/>
                <w:spacing w:val="-4"/>
                <w:kern w:val="2"/>
                <w:sz w:val="24"/>
                <w:szCs w:val="24"/>
                <w:lang w:val="en-US" w:eastAsia="zh-CN" w:bidi="ar-SA"/>
              </w:rPr>
              <w:t>不涉及</w:t>
            </w:r>
            <w:r>
              <w:rPr>
                <w:rFonts w:hint="default" w:ascii="Times New Roman" w:hAnsi="Times New Roman" w:eastAsia="宋体" w:cs="Times New Roman"/>
                <w:color w:val="auto"/>
                <w:spacing w:val="-4"/>
                <w:kern w:val="2"/>
                <w:sz w:val="24"/>
                <w:szCs w:val="24"/>
                <w:lang w:val="en-US" w:eastAsia="zh-CN" w:bidi="ar-SA"/>
              </w:rPr>
              <w:t>施工导流对河道生态流量、水生生态</w:t>
            </w:r>
            <w:r>
              <w:rPr>
                <w:rFonts w:hint="eastAsia" w:ascii="Times New Roman" w:hAnsi="Times New Roman" w:eastAsia="宋体" w:cs="Times New Roman"/>
                <w:color w:val="auto"/>
                <w:spacing w:val="-4"/>
                <w:kern w:val="2"/>
                <w:sz w:val="24"/>
                <w:szCs w:val="24"/>
                <w:lang w:val="en-US" w:eastAsia="zh-CN" w:bidi="ar-SA"/>
              </w:rPr>
              <w:t>影响。</w:t>
            </w:r>
            <w:r>
              <w:rPr>
                <w:rFonts w:hint="eastAsia" w:ascii="Times New Roman" w:hAnsi="Times New Roman" w:cs="Times New Roman"/>
                <w:b w:val="0"/>
                <w:bCs w:val="0"/>
                <w:color w:val="auto"/>
                <w:spacing w:val="6"/>
                <w:kern w:val="0"/>
                <w:sz w:val="24"/>
                <w:szCs w:val="24"/>
                <w:lang w:val="en-US" w:eastAsia="zh-CN" w:bidi="ar-SA"/>
              </w:rPr>
              <w:t>本项目主要为修建护坡，开挖较浅，不涉及导通地下水，无</w:t>
            </w:r>
            <w:r>
              <w:rPr>
                <w:rFonts w:hint="default" w:ascii="Times New Roman" w:hAnsi="Times New Roman" w:cs="Times New Roman"/>
                <w:b w:val="0"/>
                <w:bCs w:val="0"/>
                <w:color w:val="auto"/>
                <w:spacing w:val="6"/>
                <w:kern w:val="0"/>
                <w:sz w:val="24"/>
                <w:szCs w:val="24"/>
                <w:lang w:val="en-US" w:eastAsia="zh-CN" w:bidi="ar-SA"/>
              </w:rPr>
              <w:t>基坑排水</w:t>
            </w:r>
            <w:r>
              <w:rPr>
                <w:rFonts w:hint="eastAsia" w:ascii="Times New Roman" w:hAnsi="Times New Roman" w:cs="Times New Roman"/>
                <w:b w:val="0"/>
                <w:bCs w:val="0"/>
                <w:color w:val="auto"/>
                <w:spacing w:val="6"/>
                <w:kern w:val="0"/>
                <w:sz w:val="24"/>
                <w:szCs w:val="24"/>
                <w:lang w:val="en-US" w:eastAsia="zh-CN" w:bidi="ar-SA"/>
              </w:rPr>
              <w:t>。</w:t>
            </w:r>
          </w:p>
          <w:p w14:paraId="6BC12DF5">
            <w:pPr>
              <w:pStyle w:val="13"/>
              <w:keepNext w:val="0"/>
              <w:keepLines w:val="0"/>
              <w:pageBreakBefore w:val="0"/>
              <w:widowControl w:val="0"/>
              <w:kinsoku/>
              <w:wordWrap/>
              <w:overflowPunct w:val="0"/>
              <w:topLinePunct w:val="0"/>
              <w:autoSpaceDE/>
              <w:autoSpaceDN/>
              <w:bidi w:val="0"/>
              <w:adjustRightInd w:val="0"/>
              <w:snapToGrid w:val="0"/>
              <w:spacing w:line="360" w:lineRule="auto"/>
              <w:ind w:firstLine="472" w:firstLineChars="200"/>
              <w:textAlignment w:val="auto"/>
              <w:rPr>
                <w:rFonts w:ascii="Times New Roman" w:hAnsi="Times New Roman" w:eastAsia="Times New Roman" w:cs="Times New Roman"/>
                <w:color w:val="auto"/>
                <w:spacing w:val="-2"/>
                <w:sz w:val="24"/>
                <w:szCs w:val="24"/>
              </w:rPr>
            </w:pPr>
            <w:r>
              <w:rPr>
                <w:rFonts w:hint="eastAsia" w:ascii="Times New Roman" w:hAnsi="Times New Roman" w:eastAsia="Times New Roman" w:cs="Times New Roman"/>
                <w:color w:val="auto"/>
                <w:spacing w:val="-2"/>
                <w:sz w:val="24"/>
                <w:szCs w:val="24"/>
                <w:lang w:val="en-US" w:eastAsia="zh-CN"/>
              </w:rPr>
              <w:t>本</w:t>
            </w:r>
            <w:r>
              <w:rPr>
                <w:rFonts w:ascii="Times New Roman" w:hAnsi="Times New Roman" w:eastAsia="Times New Roman" w:cs="Times New Roman"/>
                <w:color w:val="auto"/>
                <w:spacing w:val="-2"/>
                <w:sz w:val="24"/>
                <w:szCs w:val="24"/>
              </w:rPr>
              <w:t>项目</w:t>
            </w:r>
            <w:r>
              <w:rPr>
                <w:rFonts w:hint="eastAsia" w:ascii="Times New Roman" w:hAnsi="Times New Roman" w:eastAsia="Times New Roman" w:cs="Times New Roman"/>
                <w:color w:val="auto"/>
                <w:spacing w:val="-2"/>
                <w:sz w:val="24"/>
                <w:szCs w:val="24"/>
                <w:lang w:val="en-US" w:eastAsia="zh-CN"/>
              </w:rPr>
              <w:t>为河道治理，</w:t>
            </w:r>
            <w:r>
              <w:rPr>
                <w:rFonts w:ascii="Times New Roman" w:hAnsi="Times New Roman" w:eastAsia="Times New Roman" w:cs="Times New Roman"/>
                <w:color w:val="auto"/>
                <w:spacing w:val="-2"/>
                <w:sz w:val="24"/>
                <w:szCs w:val="24"/>
              </w:rPr>
              <w:t>水环境影响</w:t>
            </w:r>
            <w:r>
              <w:rPr>
                <w:rFonts w:hint="eastAsia" w:ascii="Times New Roman" w:hAnsi="Times New Roman" w:eastAsia="Times New Roman" w:cs="Times New Roman"/>
                <w:color w:val="auto"/>
                <w:spacing w:val="-2"/>
                <w:sz w:val="24"/>
                <w:szCs w:val="24"/>
                <w:lang w:val="en-US" w:eastAsia="zh-CN"/>
              </w:rPr>
              <w:t>主要在施工期，</w:t>
            </w:r>
            <w:r>
              <w:rPr>
                <w:rFonts w:hint="eastAsia" w:ascii="Times New Roman" w:hAnsi="Times New Roman" w:eastAsia="Times New Roman" w:cs="Times New Roman"/>
                <w:color w:val="auto"/>
                <w:spacing w:val="-2"/>
                <w:sz w:val="24"/>
                <w:szCs w:val="24"/>
              </w:rPr>
              <w:t>本项目施工期水污染源主要来自</w:t>
            </w:r>
            <w:r>
              <w:rPr>
                <w:rFonts w:hint="eastAsia" w:ascii="Times New Roman" w:hAnsi="Times New Roman" w:eastAsia="宋体" w:cs="Times New Roman"/>
                <w:color w:val="auto"/>
                <w:spacing w:val="-2"/>
                <w:sz w:val="24"/>
                <w:szCs w:val="24"/>
                <w:lang w:val="en-US" w:eastAsia="zh-CN"/>
              </w:rPr>
              <w:t>混凝土</w:t>
            </w:r>
            <w:r>
              <w:rPr>
                <w:rFonts w:hint="eastAsia"/>
                <w:color w:val="auto"/>
                <w:spacing w:val="-3"/>
                <w:sz w:val="24"/>
                <w:szCs w:val="24"/>
                <w:lang w:val="en-US" w:eastAsia="zh-CN"/>
              </w:rPr>
              <w:t>临时拌合站</w:t>
            </w:r>
            <w:r>
              <w:rPr>
                <w:rFonts w:hint="default" w:ascii="Times New Roman" w:hAnsi="Times New Roman" w:eastAsia="Times New Roman" w:cs="Times New Roman"/>
                <w:color w:val="auto"/>
                <w:spacing w:val="-2"/>
                <w:sz w:val="24"/>
                <w:szCs w:val="24"/>
              </w:rPr>
              <w:t>废水</w:t>
            </w:r>
            <w:r>
              <w:rPr>
                <w:rFonts w:hint="eastAsia" w:ascii="Times New Roman" w:hAnsi="Times New Roman" w:eastAsia="宋体" w:cs="Times New Roman"/>
                <w:color w:val="auto"/>
                <w:spacing w:val="-2"/>
                <w:sz w:val="24"/>
                <w:szCs w:val="24"/>
                <w:lang w:val="en-US" w:eastAsia="zh-CN"/>
              </w:rPr>
              <w:t>及</w:t>
            </w:r>
            <w:r>
              <w:rPr>
                <w:rFonts w:hint="eastAsia" w:ascii="Times New Roman" w:hAnsi="Times New Roman" w:cs="Times New Roman"/>
                <w:color w:val="auto"/>
                <w:spacing w:val="-2"/>
                <w:sz w:val="24"/>
                <w:szCs w:val="24"/>
                <w:lang w:val="en-US" w:eastAsia="zh-CN"/>
              </w:rPr>
              <w:t>清洁</w:t>
            </w:r>
            <w:r>
              <w:rPr>
                <w:rFonts w:hint="default" w:ascii="Times New Roman" w:hAnsi="Times New Roman" w:eastAsia="Times New Roman" w:cs="Times New Roman"/>
                <w:color w:val="auto"/>
                <w:spacing w:val="-2"/>
                <w:sz w:val="24"/>
                <w:szCs w:val="24"/>
              </w:rPr>
              <w:t>废水</w:t>
            </w:r>
            <w:r>
              <w:rPr>
                <w:rFonts w:hint="eastAsia" w:ascii="Times New Roman" w:hAnsi="Times New Roman" w:eastAsia="宋体" w:cs="Times New Roman"/>
                <w:color w:val="auto"/>
                <w:spacing w:val="-2"/>
                <w:sz w:val="24"/>
                <w:szCs w:val="24"/>
                <w:lang w:val="en-US" w:eastAsia="zh-CN"/>
              </w:rPr>
              <w:t>，施工人员</w:t>
            </w:r>
            <w:r>
              <w:rPr>
                <w:rFonts w:hint="eastAsia" w:ascii="Times New Roman" w:hAnsi="Times New Roman" w:eastAsia="Times New Roman" w:cs="Times New Roman"/>
                <w:color w:val="auto"/>
                <w:spacing w:val="-2"/>
                <w:sz w:val="24"/>
                <w:szCs w:val="24"/>
              </w:rPr>
              <w:t>生活</w:t>
            </w:r>
            <w:r>
              <w:rPr>
                <w:rFonts w:ascii="Times New Roman" w:hAnsi="Times New Roman" w:eastAsia="Times New Roman" w:cs="Times New Roman"/>
                <w:color w:val="auto"/>
                <w:spacing w:val="-2"/>
                <w:sz w:val="24"/>
                <w:szCs w:val="24"/>
              </w:rPr>
              <w:t>。</w:t>
            </w:r>
          </w:p>
          <w:p w14:paraId="7AF4DEBD">
            <w:pPr>
              <w:pStyle w:val="13"/>
              <w:keepNext w:val="0"/>
              <w:keepLines w:val="0"/>
              <w:pageBreakBefore w:val="0"/>
              <w:widowControl w:val="0"/>
              <w:numPr>
                <w:ilvl w:val="0"/>
                <w:numId w:val="33"/>
              </w:numPr>
              <w:kinsoku/>
              <w:wordWrap/>
              <w:overflowPunct w:val="0"/>
              <w:topLinePunct w:val="0"/>
              <w:autoSpaceDE/>
              <w:autoSpaceDN/>
              <w:bidi w:val="0"/>
              <w:adjustRightInd/>
              <w:snapToGrid/>
              <w:spacing w:line="360" w:lineRule="auto"/>
              <w:ind w:left="425" w:leftChars="0" w:hanging="425" w:firstLineChars="0"/>
              <w:textAlignment w:val="auto"/>
              <w:rPr>
                <w:rFonts w:hint="default" w:ascii="Times New Roman" w:hAnsi="Times New Roman" w:eastAsia="Times New Roman" w:cs="Times New Roman"/>
                <w:color w:val="auto"/>
                <w:spacing w:val="-2"/>
                <w:sz w:val="24"/>
                <w:szCs w:val="24"/>
              </w:rPr>
            </w:pPr>
            <w:r>
              <w:rPr>
                <w:rFonts w:hint="eastAsia"/>
                <w:color w:val="auto"/>
                <w:spacing w:val="-3"/>
                <w:sz w:val="24"/>
                <w:szCs w:val="24"/>
                <w:lang w:val="en-US" w:eastAsia="zh-CN"/>
              </w:rPr>
              <w:t>混凝土临时拌合站拌合废水</w:t>
            </w:r>
            <w:r>
              <w:rPr>
                <w:rFonts w:hint="default" w:ascii="Times New Roman" w:hAnsi="Times New Roman" w:eastAsia="Times New Roman" w:cs="Times New Roman"/>
                <w:color w:val="auto"/>
                <w:spacing w:val="-2"/>
                <w:sz w:val="24"/>
                <w:szCs w:val="24"/>
              </w:rPr>
              <w:t>和</w:t>
            </w:r>
            <w:r>
              <w:rPr>
                <w:rFonts w:hint="eastAsia" w:ascii="Times New Roman" w:hAnsi="Times New Roman" w:cs="Times New Roman"/>
                <w:color w:val="auto"/>
                <w:spacing w:val="-2"/>
                <w:sz w:val="24"/>
                <w:szCs w:val="24"/>
                <w:lang w:val="en-US" w:eastAsia="zh-CN"/>
              </w:rPr>
              <w:t>清洁</w:t>
            </w:r>
            <w:r>
              <w:rPr>
                <w:rFonts w:hint="default" w:ascii="Times New Roman" w:hAnsi="Times New Roman" w:eastAsia="Times New Roman" w:cs="Times New Roman"/>
                <w:color w:val="auto"/>
                <w:spacing w:val="-2"/>
                <w:sz w:val="24"/>
                <w:szCs w:val="24"/>
              </w:rPr>
              <w:t>废水</w:t>
            </w:r>
          </w:p>
          <w:p w14:paraId="741641A7">
            <w:pPr>
              <w:pStyle w:val="13"/>
              <w:keepNext w:val="0"/>
              <w:keepLines w:val="0"/>
              <w:pageBreakBefore w:val="0"/>
              <w:widowControl w:val="0"/>
              <w:kinsoku/>
              <w:wordWrap/>
              <w:overflowPunct w:val="0"/>
              <w:topLinePunct w:val="0"/>
              <w:autoSpaceDE/>
              <w:autoSpaceDN/>
              <w:bidi w:val="0"/>
              <w:adjustRightInd/>
              <w:snapToGrid/>
              <w:spacing w:line="360" w:lineRule="auto"/>
              <w:ind w:firstLine="504" w:firstLineChars="200"/>
              <w:textAlignment w:val="auto"/>
              <w:rPr>
                <w:rFonts w:hint="default" w:ascii="Times New Roman" w:hAnsi="Times New Roman" w:eastAsia="宋体" w:cs="Times New Roman"/>
                <w:b w:val="0"/>
                <w:bCs w:val="0"/>
                <w:color w:val="auto"/>
                <w:spacing w:val="6"/>
                <w:kern w:val="0"/>
                <w:sz w:val="24"/>
                <w:szCs w:val="24"/>
                <w:lang w:val="en-US" w:eastAsia="zh-CN" w:bidi="ar-SA"/>
              </w:rPr>
            </w:pPr>
            <w:r>
              <w:rPr>
                <w:rFonts w:hint="default" w:ascii="Times New Roman" w:hAnsi="Times New Roman" w:eastAsia="宋体" w:cs="Times New Roman"/>
                <w:b w:val="0"/>
                <w:bCs w:val="0"/>
                <w:color w:val="auto"/>
                <w:spacing w:val="6"/>
                <w:kern w:val="0"/>
                <w:sz w:val="24"/>
                <w:szCs w:val="24"/>
                <w:lang w:val="en-US" w:eastAsia="zh-CN" w:bidi="ar-SA"/>
              </w:rPr>
              <w:t>本项目设1座</w:t>
            </w:r>
            <w:r>
              <w:rPr>
                <w:rFonts w:hint="eastAsia" w:ascii="Times New Roman" w:hAnsi="Times New Roman" w:eastAsia="宋体" w:cs="Times New Roman"/>
                <w:b w:val="0"/>
                <w:bCs w:val="0"/>
                <w:color w:val="auto"/>
                <w:spacing w:val="6"/>
                <w:kern w:val="0"/>
                <w:sz w:val="24"/>
                <w:szCs w:val="24"/>
                <w:lang w:val="en-US" w:eastAsia="zh-CN" w:bidi="ar-SA"/>
              </w:rPr>
              <w:t>混凝土临时拌合站</w:t>
            </w:r>
            <w:r>
              <w:rPr>
                <w:rFonts w:hint="default" w:ascii="Times New Roman" w:hAnsi="Times New Roman" w:eastAsia="宋体" w:cs="Times New Roman"/>
                <w:b w:val="0"/>
                <w:bCs w:val="0"/>
                <w:color w:val="auto"/>
                <w:spacing w:val="6"/>
                <w:kern w:val="0"/>
                <w:sz w:val="24"/>
                <w:szCs w:val="24"/>
                <w:lang w:val="en-US" w:eastAsia="zh-CN" w:bidi="ar-SA"/>
              </w:rPr>
              <w:t>，根据</w:t>
            </w:r>
            <w:r>
              <w:rPr>
                <w:rFonts w:hint="eastAsia" w:ascii="Times New Roman" w:hAnsi="Times New Roman" w:eastAsia="宋体" w:cs="Times New Roman"/>
                <w:b w:val="0"/>
                <w:bCs w:val="0"/>
                <w:color w:val="auto"/>
                <w:spacing w:val="6"/>
                <w:kern w:val="0"/>
                <w:sz w:val="24"/>
                <w:szCs w:val="24"/>
                <w:lang w:val="en-US" w:eastAsia="zh-CN" w:bidi="ar-SA"/>
              </w:rPr>
              <w:t>混凝土临时拌合站拌合废水</w:t>
            </w:r>
            <w:r>
              <w:rPr>
                <w:rFonts w:hint="default" w:ascii="Times New Roman" w:hAnsi="Times New Roman" w:eastAsia="宋体" w:cs="Times New Roman"/>
                <w:b w:val="0"/>
                <w:bCs w:val="0"/>
                <w:color w:val="auto"/>
                <w:spacing w:val="6"/>
                <w:kern w:val="0"/>
                <w:sz w:val="24"/>
                <w:szCs w:val="24"/>
                <w:lang w:val="en-US" w:eastAsia="zh-CN" w:bidi="ar-SA"/>
              </w:rPr>
              <w:t>和</w:t>
            </w:r>
            <w:r>
              <w:rPr>
                <w:rFonts w:hint="eastAsia" w:ascii="Times New Roman" w:hAnsi="Times New Roman" w:eastAsia="宋体" w:cs="Times New Roman"/>
                <w:b w:val="0"/>
                <w:bCs w:val="0"/>
                <w:color w:val="auto"/>
                <w:spacing w:val="6"/>
                <w:kern w:val="0"/>
                <w:sz w:val="24"/>
                <w:szCs w:val="24"/>
                <w:lang w:val="en-US" w:eastAsia="zh-CN" w:bidi="ar-SA"/>
              </w:rPr>
              <w:t>清洁</w:t>
            </w:r>
            <w:r>
              <w:rPr>
                <w:rFonts w:hint="default" w:ascii="Times New Roman" w:hAnsi="Times New Roman" w:eastAsia="宋体" w:cs="Times New Roman"/>
                <w:b w:val="0"/>
                <w:bCs w:val="0"/>
                <w:color w:val="auto"/>
                <w:spacing w:val="6"/>
                <w:kern w:val="0"/>
                <w:sz w:val="24"/>
                <w:szCs w:val="24"/>
                <w:lang w:val="en-US" w:eastAsia="zh-CN" w:bidi="ar-SA"/>
              </w:rPr>
              <w:t>废水产生量少，间断且短时间排放的特点，每台班末的</w:t>
            </w:r>
            <w:r>
              <w:rPr>
                <w:rFonts w:hint="eastAsia" w:ascii="Times New Roman" w:hAnsi="Times New Roman" w:eastAsia="宋体" w:cs="Times New Roman"/>
                <w:b w:val="0"/>
                <w:bCs w:val="0"/>
                <w:color w:val="auto"/>
                <w:spacing w:val="6"/>
                <w:kern w:val="0"/>
                <w:sz w:val="24"/>
                <w:szCs w:val="24"/>
                <w:lang w:val="en-US" w:eastAsia="zh-CN" w:bidi="ar-SA"/>
              </w:rPr>
              <w:t>混凝土临时拌合站拌合废水</w:t>
            </w:r>
            <w:r>
              <w:rPr>
                <w:rFonts w:hint="default" w:ascii="Times New Roman" w:hAnsi="Times New Roman" w:eastAsia="宋体" w:cs="Times New Roman"/>
                <w:b w:val="0"/>
                <w:bCs w:val="0"/>
                <w:color w:val="auto"/>
                <w:spacing w:val="6"/>
                <w:kern w:val="0"/>
                <w:sz w:val="24"/>
                <w:szCs w:val="24"/>
                <w:lang w:val="en-US" w:eastAsia="zh-CN" w:bidi="ar-SA"/>
              </w:rPr>
              <w:t>排放进入沉淀池，静置沉淀到下一台班末，处理后的废水自流入蓄水池，循环用于混凝土拌和。根据废水处理效果，必要时投加絮凝剂。沉淀池的出水口设置为活动板，打开活动板后废水可自流进入蓄水池。在</w:t>
            </w:r>
            <w:r>
              <w:rPr>
                <w:rFonts w:hint="eastAsia" w:ascii="Times New Roman" w:hAnsi="Times New Roman" w:eastAsia="宋体" w:cs="Times New Roman"/>
                <w:b w:val="0"/>
                <w:bCs w:val="0"/>
                <w:color w:val="auto"/>
                <w:spacing w:val="6"/>
                <w:kern w:val="0"/>
                <w:sz w:val="24"/>
                <w:szCs w:val="24"/>
                <w:lang w:val="en-US" w:eastAsia="zh-CN" w:bidi="ar-SA"/>
              </w:rPr>
              <w:t>临时</w:t>
            </w:r>
            <w:r>
              <w:rPr>
                <w:rFonts w:hint="default" w:ascii="Times New Roman" w:hAnsi="Times New Roman" w:eastAsia="宋体" w:cs="Times New Roman"/>
                <w:b w:val="0"/>
                <w:bCs w:val="0"/>
                <w:color w:val="auto"/>
                <w:spacing w:val="6"/>
                <w:kern w:val="0"/>
                <w:sz w:val="24"/>
                <w:szCs w:val="24"/>
                <w:lang w:val="en-US" w:eastAsia="zh-CN" w:bidi="ar-SA"/>
              </w:rPr>
              <w:t>拌和站</w:t>
            </w:r>
            <w:r>
              <w:rPr>
                <w:rFonts w:hint="eastAsia" w:ascii="Times New Roman" w:hAnsi="Times New Roman" w:eastAsia="宋体" w:cs="Times New Roman"/>
                <w:b w:val="0"/>
                <w:bCs w:val="0"/>
                <w:color w:val="auto"/>
                <w:spacing w:val="6"/>
                <w:kern w:val="0"/>
                <w:sz w:val="24"/>
                <w:szCs w:val="24"/>
                <w:lang w:val="en-US" w:eastAsia="zh-CN" w:bidi="ar-SA"/>
              </w:rPr>
              <w:t>设置1</w:t>
            </w:r>
            <w:r>
              <w:rPr>
                <w:rFonts w:hint="default" w:ascii="Times New Roman" w:hAnsi="Times New Roman" w:eastAsia="宋体" w:cs="Times New Roman"/>
                <w:b w:val="0"/>
                <w:bCs w:val="0"/>
                <w:color w:val="auto"/>
                <w:spacing w:val="6"/>
                <w:kern w:val="0"/>
                <w:sz w:val="24"/>
                <w:szCs w:val="24"/>
                <w:lang w:val="en-US" w:eastAsia="zh-CN" w:bidi="ar-SA"/>
              </w:rPr>
              <w:t>个沉淀池和</w:t>
            </w:r>
            <w:r>
              <w:rPr>
                <w:rFonts w:hint="eastAsia" w:ascii="Times New Roman" w:hAnsi="Times New Roman" w:eastAsia="宋体" w:cs="Times New Roman"/>
                <w:b w:val="0"/>
                <w:bCs w:val="0"/>
                <w:color w:val="auto"/>
                <w:spacing w:val="6"/>
                <w:kern w:val="0"/>
                <w:sz w:val="24"/>
                <w:szCs w:val="24"/>
                <w:lang w:val="en-US" w:eastAsia="zh-CN" w:bidi="ar-SA"/>
              </w:rPr>
              <w:t>1</w:t>
            </w:r>
            <w:r>
              <w:rPr>
                <w:rFonts w:hint="default" w:ascii="Times New Roman" w:hAnsi="Times New Roman" w:eastAsia="宋体" w:cs="Times New Roman"/>
                <w:b w:val="0"/>
                <w:bCs w:val="0"/>
                <w:color w:val="auto"/>
                <w:spacing w:val="6"/>
                <w:kern w:val="0"/>
                <w:sz w:val="24"/>
                <w:szCs w:val="24"/>
                <w:lang w:val="en-US" w:eastAsia="zh-CN" w:bidi="ar-SA"/>
              </w:rPr>
              <w:t>蓄水池。沉淀池</w:t>
            </w:r>
            <w:r>
              <w:rPr>
                <w:rFonts w:hint="eastAsia" w:ascii="Times New Roman" w:hAnsi="Times New Roman" w:eastAsia="宋体" w:cs="Times New Roman"/>
                <w:b w:val="0"/>
                <w:bCs w:val="0"/>
                <w:color w:val="auto"/>
                <w:spacing w:val="6"/>
                <w:kern w:val="0"/>
                <w:sz w:val="24"/>
                <w:szCs w:val="24"/>
                <w:lang w:val="en-US" w:eastAsia="zh-CN" w:bidi="ar-SA"/>
              </w:rPr>
              <w:t>容积为2m</w:t>
            </w:r>
            <w:r>
              <w:rPr>
                <w:rFonts w:hint="eastAsia" w:ascii="Times New Roman" w:hAnsi="Times New Roman" w:eastAsia="宋体" w:cs="Times New Roman"/>
                <w:b w:val="0"/>
                <w:bCs w:val="0"/>
                <w:color w:val="auto"/>
                <w:spacing w:val="6"/>
                <w:kern w:val="0"/>
                <w:sz w:val="24"/>
                <w:szCs w:val="24"/>
                <w:vertAlign w:val="superscript"/>
                <w:lang w:val="en-US" w:eastAsia="zh-CN" w:bidi="ar-SA"/>
              </w:rPr>
              <w:t>3</w:t>
            </w:r>
            <w:r>
              <w:rPr>
                <w:rFonts w:hint="eastAsia" w:ascii="Times New Roman" w:hAnsi="Times New Roman" w:eastAsia="宋体" w:cs="Times New Roman"/>
                <w:b w:val="0"/>
                <w:bCs w:val="0"/>
                <w:color w:val="auto"/>
                <w:spacing w:val="6"/>
                <w:kern w:val="0"/>
                <w:sz w:val="24"/>
                <w:szCs w:val="24"/>
                <w:lang w:val="en-US" w:eastAsia="zh-CN" w:bidi="ar-SA"/>
              </w:rPr>
              <w:t>，尺寸为2m</w:t>
            </w:r>
            <w:r>
              <w:rPr>
                <w:rFonts w:hint="default" w:ascii="Times New Roman" w:hAnsi="Times New Roman" w:eastAsia="宋体" w:cs="Times New Roman"/>
                <w:b w:val="0"/>
                <w:bCs w:val="0"/>
                <w:color w:val="auto"/>
                <w:spacing w:val="6"/>
                <w:kern w:val="0"/>
                <w:sz w:val="24"/>
                <w:szCs w:val="24"/>
                <w:lang w:val="en-US" w:eastAsia="zh-CN" w:bidi="ar-SA"/>
              </w:rPr>
              <w:t>×</w:t>
            </w:r>
            <w:r>
              <w:rPr>
                <w:rFonts w:hint="eastAsia" w:ascii="Times New Roman" w:hAnsi="Times New Roman" w:eastAsia="宋体" w:cs="Times New Roman"/>
                <w:b w:val="0"/>
                <w:bCs w:val="0"/>
                <w:color w:val="auto"/>
                <w:spacing w:val="6"/>
                <w:kern w:val="0"/>
                <w:sz w:val="24"/>
                <w:szCs w:val="24"/>
                <w:lang w:val="en-US" w:eastAsia="zh-CN" w:bidi="ar-SA"/>
              </w:rPr>
              <w:t>1m</w:t>
            </w:r>
            <w:r>
              <w:rPr>
                <w:rFonts w:hint="default" w:ascii="Times New Roman" w:hAnsi="Times New Roman" w:eastAsia="宋体" w:cs="Times New Roman"/>
                <w:b w:val="0"/>
                <w:bCs w:val="0"/>
                <w:color w:val="auto"/>
                <w:spacing w:val="6"/>
                <w:kern w:val="0"/>
                <w:sz w:val="24"/>
                <w:szCs w:val="24"/>
                <w:lang w:val="en-US" w:eastAsia="zh-CN" w:bidi="ar-SA"/>
              </w:rPr>
              <w:t>×</w:t>
            </w:r>
            <w:r>
              <w:rPr>
                <w:rFonts w:hint="eastAsia" w:ascii="Times New Roman" w:hAnsi="Times New Roman" w:eastAsia="宋体" w:cs="Times New Roman"/>
                <w:b w:val="0"/>
                <w:bCs w:val="0"/>
                <w:color w:val="auto"/>
                <w:spacing w:val="6"/>
                <w:kern w:val="0"/>
                <w:sz w:val="24"/>
                <w:szCs w:val="24"/>
                <w:lang w:val="en-US" w:eastAsia="zh-CN" w:bidi="ar-SA"/>
              </w:rPr>
              <w:t>1.3m。</w:t>
            </w:r>
            <w:r>
              <w:rPr>
                <w:rFonts w:hint="default" w:ascii="Times New Roman" w:hAnsi="Times New Roman" w:eastAsia="宋体" w:cs="Times New Roman"/>
                <w:b w:val="0"/>
                <w:bCs w:val="0"/>
                <w:color w:val="auto"/>
                <w:spacing w:val="6"/>
                <w:kern w:val="0"/>
                <w:sz w:val="24"/>
                <w:szCs w:val="24"/>
                <w:lang w:val="en-US" w:eastAsia="zh-CN" w:bidi="ar-SA"/>
              </w:rPr>
              <w:t>蓄水</w:t>
            </w:r>
            <w:r>
              <w:rPr>
                <w:rFonts w:hint="eastAsia" w:ascii="Times New Roman" w:hAnsi="Times New Roman" w:eastAsia="宋体" w:cs="Times New Roman"/>
                <w:b w:val="0"/>
                <w:bCs w:val="0"/>
                <w:color w:val="auto"/>
                <w:spacing w:val="6"/>
                <w:kern w:val="0"/>
                <w:sz w:val="24"/>
                <w:szCs w:val="24"/>
                <w:lang w:val="en-US" w:eastAsia="zh-CN" w:bidi="ar-SA"/>
              </w:rPr>
              <w:t>容积为2m</w:t>
            </w:r>
            <w:r>
              <w:rPr>
                <w:rFonts w:hint="eastAsia" w:ascii="Times New Roman" w:hAnsi="Times New Roman" w:eastAsia="宋体" w:cs="Times New Roman"/>
                <w:b w:val="0"/>
                <w:bCs w:val="0"/>
                <w:color w:val="auto"/>
                <w:spacing w:val="6"/>
                <w:kern w:val="0"/>
                <w:sz w:val="24"/>
                <w:szCs w:val="24"/>
                <w:vertAlign w:val="superscript"/>
                <w:lang w:val="en-US" w:eastAsia="zh-CN" w:bidi="ar-SA"/>
              </w:rPr>
              <w:t>3</w:t>
            </w:r>
            <w:r>
              <w:rPr>
                <w:rFonts w:hint="eastAsia" w:ascii="Times New Roman" w:hAnsi="Times New Roman" w:eastAsia="宋体" w:cs="Times New Roman"/>
                <w:b w:val="0"/>
                <w:bCs w:val="0"/>
                <w:color w:val="auto"/>
                <w:spacing w:val="6"/>
                <w:kern w:val="0"/>
                <w:sz w:val="24"/>
                <w:szCs w:val="24"/>
                <w:lang w:val="en-US" w:eastAsia="zh-CN" w:bidi="ar-SA"/>
              </w:rPr>
              <w:t>，尺寸为2m</w:t>
            </w:r>
            <w:r>
              <w:rPr>
                <w:rFonts w:hint="default" w:ascii="Times New Roman" w:hAnsi="Times New Roman" w:eastAsia="宋体" w:cs="Times New Roman"/>
                <w:b w:val="0"/>
                <w:bCs w:val="0"/>
                <w:color w:val="auto"/>
                <w:spacing w:val="6"/>
                <w:kern w:val="0"/>
                <w:sz w:val="24"/>
                <w:szCs w:val="24"/>
                <w:lang w:val="en-US" w:eastAsia="zh-CN" w:bidi="ar-SA"/>
              </w:rPr>
              <w:t>×</w:t>
            </w:r>
            <w:r>
              <w:rPr>
                <w:rFonts w:hint="eastAsia" w:ascii="Times New Roman" w:hAnsi="Times New Roman" w:eastAsia="宋体" w:cs="Times New Roman"/>
                <w:b w:val="0"/>
                <w:bCs w:val="0"/>
                <w:color w:val="auto"/>
                <w:spacing w:val="6"/>
                <w:kern w:val="0"/>
                <w:sz w:val="24"/>
                <w:szCs w:val="24"/>
                <w:lang w:val="en-US" w:eastAsia="zh-CN" w:bidi="ar-SA"/>
              </w:rPr>
              <w:t>1m</w:t>
            </w:r>
            <w:r>
              <w:rPr>
                <w:rFonts w:hint="default" w:ascii="Times New Roman" w:hAnsi="Times New Roman" w:eastAsia="宋体" w:cs="Times New Roman"/>
                <w:b w:val="0"/>
                <w:bCs w:val="0"/>
                <w:color w:val="auto"/>
                <w:spacing w:val="6"/>
                <w:kern w:val="0"/>
                <w:sz w:val="24"/>
                <w:szCs w:val="24"/>
                <w:lang w:val="en-US" w:eastAsia="zh-CN" w:bidi="ar-SA"/>
              </w:rPr>
              <w:t>×</w:t>
            </w:r>
            <w:r>
              <w:rPr>
                <w:rFonts w:hint="eastAsia" w:ascii="Times New Roman" w:hAnsi="Times New Roman" w:eastAsia="宋体" w:cs="Times New Roman"/>
                <w:b w:val="0"/>
                <w:bCs w:val="0"/>
                <w:color w:val="auto"/>
                <w:spacing w:val="6"/>
                <w:kern w:val="0"/>
                <w:sz w:val="24"/>
                <w:szCs w:val="24"/>
                <w:lang w:val="en-US" w:eastAsia="zh-CN" w:bidi="ar-SA"/>
              </w:rPr>
              <w:t>1.3m。临时</w:t>
            </w:r>
            <w:r>
              <w:rPr>
                <w:rFonts w:hint="default" w:ascii="Times New Roman" w:hAnsi="Times New Roman" w:eastAsia="宋体" w:cs="Times New Roman"/>
                <w:b w:val="0"/>
                <w:bCs w:val="0"/>
                <w:color w:val="auto"/>
                <w:spacing w:val="6"/>
                <w:kern w:val="0"/>
                <w:sz w:val="24"/>
                <w:szCs w:val="24"/>
                <w:lang w:val="en-US" w:eastAsia="zh-CN" w:bidi="ar-SA"/>
              </w:rPr>
              <w:t>拌和站拌和废水工艺流程见下图。</w:t>
            </w:r>
          </w:p>
          <w:p w14:paraId="45DED540">
            <w:pPr>
              <w:pStyle w:val="13"/>
              <w:keepNext w:val="0"/>
              <w:keepLines w:val="0"/>
              <w:pageBreakBefore w:val="0"/>
              <w:widowControl w:val="0"/>
              <w:kinsoku/>
              <w:wordWrap/>
              <w:overflowPunct w:val="0"/>
              <w:topLinePunct w:val="0"/>
              <w:autoSpaceDE/>
              <w:autoSpaceDN/>
              <w:bidi w:val="0"/>
              <w:adjustRightInd/>
              <w:snapToGrid/>
              <w:spacing w:line="360" w:lineRule="auto"/>
              <w:ind w:firstLine="420" w:firstLineChars="200"/>
              <w:textAlignment w:val="auto"/>
              <w:rPr>
                <w:color w:val="auto"/>
              </w:rPr>
            </w:pPr>
            <w:r>
              <w:rPr>
                <w:rFonts w:hint="eastAsia"/>
                <w:color w:val="auto"/>
                <w:lang w:val="en-US" w:eastAsia="zh-CN"/>
              </w:rPr>
              <w:t xml:space="preserve">    </w:t>
            </w:r>
            <w:r>
              <w:rPr>
                <w:color w:val="auto"/>
              </w:rPr>
              <w:drawing>
                <wp:inline distT="0" distB="0" distL="114300" distR="114300">
                  <wp:extent cx="4029075" cy="1704975"/>
                  <wp:effectExtent l="0" t="0" r="9525" b="9525"/>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24"/>
                          <a:stretch>
                            <a:fillRect/>
                          </a:stretch>
                        </pic:blipFill>
                        <pic:spPr>
                          <a:xfrm>
                            <a:off x="0" y="0"/>
                            <a:ext cx="4029075" cy="1704975"/>
                          </a:xfrm>
                          <a:prstGeom prst="rect">
                            <a:avLst/>
                          </a:prstGeom>
                          <a:noFill/>
                          <a:ln>
                            <a:noFill/>
                          </a:ln>
                        </pic:spPr>
                      </pic:pic>
                    </a:graphicData>
                  </a:graphic>
                </wp:inline>
              </w:drawing>
            </w:r>
          </w:p>
          <w:p w14:paraId="35FA4721">
            <w:pPr>
              <w:pStyle w:val="65"/>
              <w:keepNext w:val="0"/>
              <w:keepLines w:val="0"/>
              <w:pageBreakBefore w:val="0"/>
              <w:widowControl w:val="0"/>
              <w:numPr>
                <w:ilvl w:val="0"/>
                <w:numId w:val="29"/>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eastAsia="宋体"/>
                <w:b/>
                <w:bCs/>
                <w:color w:val="auto"/>
                <w:lang w:eastAsia="zh-CN"/>
              </w:rPr>
            </w:pPr>
            <w:r>
              <w:rPr>
                <w:rFonts w:hint="eastAsia"/>
                <w:b/>
                <w:bCs/>
                <w:color w:val="auto"/>
                <w:spacing w:val="-4"/>
                <w:sz w:val="24"/>
                <w:szCs w:val="24"/>
                <w:lang w:val="en-US" w:eastAsia="zh-CN"/>
              </w:rPr>
              <w:t>临时</w:t>
            </w:r>
            <w:r>
              <w:rPr>
                <w:rFonts w:hint="default"/>
                <w:b/>
                <w:bCs/>
                <w:color w:val="auto"/>
                <w:spacing w:val="-4"/>
                <w:sz w:val="24"/>
                <w:szCs w:val="24"/>
              </w:rPr>
              <w:t>拌和站</w:t>
            </w:r>
            <w:r>
              <w:rPr>
                <w:rFonts w:hint="eastAsia"/>
                <w:b/>
                <w:bCs/>
                <w:color w:val="auto"/>
                <w:spacing w:val="-4"/>
                <w:sz w:val="24"/>
                <w:szCs w:val="24"/>
                <w:lang w:val="en-US" w:eastAsia="zh-CN"/>
              </w:rPr>
              <w:t>拌合</w:t>
            </w:r>
            <w:r>
              <w:rPr>
                <w:rFonts w:hint="default"/>
                <w:b/>
                <w:bCs/>
                <w:color w:val="auto"/>
                <w:spacing w:val="-4"/>
                <w:sz w:val="24"/>
                <w:szCs w:val="24"/>
              </w:rPr>
              <w:t>废水</w:t>
            </w:r>
            <w:r>
              <w:rPr>
                <w:rFonts w:hint="default"/>
                <w:b/>
                <w:bCs/>
                <w:color w:val="auto"/>
                <w:spacing w:val="-4"/>
                <w:sz w:val="24"/>
                <w:szCs w:val="24"/>
                <w:lang w:val="en-US" w:eastAsia="zh-CN"/>
              </w:rPr>
              <w:t>和</w:t>
            </w:r>
            <w:r>
              <w:rPr>
                <w:rFonts w:hint="eastAsia"/>
                <w:b/>
                <w:bCs/>
                <w:color w:val="auto"/>
                <w:spacing w:val="-4"/>
                <w:sz w:val="24"/>
                <w:szCs w:val="24"/>
                <w:lang w:val="en-US" w:eastAsia="zh-CN"/>
              </w:rPr>
              <w:t>清洁</w:t>
            </w:r>
            <w:r>
              <w:rPr>
                <w:rFonts w:hint="default"/>
                <w:b/>
                <w:bCs/>
                <w:color w:val="auto"/>
                <w:spacing w:val="-4"/>
                <w:sz w:val="24"/>
                <w:szCs w:val="24"/>
                <w:lang w:val="en-US" w:eastAsia="zh-CN"/>
              </w:rPr>
              <w:t>废水处</w:t>
            </w:r>
            <w:r>
              <w:rPr>
                <w:rFonts w:hint="default"/>
                <w:b/>
                <w:bCs/>
                <w:color w:val="auto"/>
                <w:spacing w:val="-4"/>
                <w:sz w:val="24"/>
                <w:szCs w:val="24"/>
              </w:rPr>
              <w:t>理工艺流程图</w:t>
            </w:r>
          </w:p>
          <w:p w14:paraId="7893FBCC">
            <w:pPr>
              <w:pStyle w:val="13"/>
              <w:keepNext w:val="0"/>
              <w:keepLines w:val="0"/>
              <w:pageBreakBefore w:val="0"/>
              <w:widowControl w:val="0"/>
              <w:numPr>
                <w:ilvl w:val="0"/>
                <w:numId w:val="33"/>
              </w:numPr>
              <w:kinsoku/>
              <w:wordWrap/>
              <w:overflowPunct w:val="0"/>
              <w:topLinePunct w:val="0"/>
              <w:autoSpaceDE/>
              <w:autoSpaceDN/>
              <w:bidi w:val="0"/>
              <w:adjustRightInd/>
              <w:snapToGrid/>
              <w:spacing w:line="360" w:lineRule="auto"/>
              <w:ind w:left="425" w:leftChars="0" w:hanging="425" w:firstLineChars="0"/>
              <w:textAlignment w:val="auto"/>
              <w:rPr>
                <w:rFonts w:hint="default"/>
                <w:b/>
                <w:bCs/>
                <w:color w:val="auto"/>
                <w:sz w:val="24"/>
                <w:szCs w:val="24"/>
              </w:rPr>
            </w:pPr>
            <w:r>
              <w:rPr>
                <w:rFonts w:hint="default" w:ascii="Times New Roman" w:hAnsi="Times New Roman" w:cs="Times New Roman"/>
                <w:b w:val="0"/>
                <w:bCs w:val="0"/>
                <w:color w:val="auto"/>
                <w:sz w:val="24"/>
                <w:szCs w:val="24"/>
              </w:rPr>
              <w:t>施工</w:t>
            </w:r>
            <w:r>
              <w:rPr>
                <w:rFonts w:hint="eastAsia" w:ascii="Times New Roman" w:hAnsi="Times New Roman" w:cs="Times New Roman"/>
                <w:b w:val="0"/>
                <w:bCs w:val="0"/>
                <w:color w:val="auto"/>
                <w:sz w:val="24"/>
                <w:szCs w:val="24"/>
                <w:lang w:val="en-US" w:eastAsia="zh-CN"/>
              </w:rPr>
              <w:t>人员</w:t>
            </w:r>
            <w:r>
              <w:rPr>
                <w:rFonts w:hint="default" w:ascii="Times New Roman" w:hAnsi="Times New Roman" w:cs="Times New Roman"/>
                <w:b w:val="0"/>
                <w:bCs w:val="0"/>
                <w:color w:val="auto"/>
                <w:sz w:val="24"/>
                <w:szCs w:val="24"/>
              </w:rPr>
              <w:t>生活污水</w:t>
            </w:r>
          </w:p>
          <w:p w14:paraId="1E5CCECD">
            <w:pPr>
              <w:pStyle w:val="13"/>
              <w:keepNext w:val="0"/>
              <w:keepLines w:val="0"/>
              <w:pageBreakBefore w:val="0"/>
              <w:widowControl w:val="0"/>
              <w:kinsoku/>
              <w:wordWrap/>
              <w:overflowPunct w:val="0"/>
              <w:topLinePunct w:val="0"/>
              <w:autoSpaceDE/>
              <w:autoSpaceDN/>
              <w:bidi w:val="0"/>
              <w:adjustRightInd/>
              <w:snapToGrid/>
              <w:spacing w:line="360" w:lineRule="auto"/>
              <w:ind w:firstLine="504" w:firstLineChars="200"/>
              <w:textAlignment w:val="auto"/>
              <w:rPr>
                <w:rFonts w:hint="eastAsia" w:ascii="Times New Roman" w:hAnsi="Times New Roman" w:eastAsia="宋体" w:cs="Times New Roman"/>
                <w:b w:val="0"/>
                <w:bCs w:val="0"/>
                <w:color w:val="auto"/>
                <w:spacing w:val="6"/>
                <w:kern w:val="0"/>
                <w:sz w:val="24"/>
                <w:szCs w:val="24"/>
                <w:lang w:val="en-US" w:eastAsia="zh-CN" w:bidi="ar-SA"/>
              </w:rPr>
            </w:pPr>
            <w:r>
              <w:rPr>
                <w:rFonts w:hint="default" w:ascii="Times New Roman" w:hAnsi="Times New Roman" w:eastAsia="宋体" w:cs="Times New Roman"/>
                <w:b w:val="0"/>
                <w:bCs w:val="0"/>
                <w:color w:val="auto"/>
                <w:spacing w:val="6"/>
                <w:kern w:val="0"/>
                <w:sz w:val="24"/>
                <w:szCs w:val="24"/>
                <w:lang w:val="en-US" w:eastAsia="zh-CN" w:bidi="ar-SA"/>
              </w:rPr>
              <w:t>临时生活区高峰期施工人数为155人。生活用水量按50L/d·人计，生活污水排放量按照用水量的8</w:t>
            </w:r>
            <w:r>
              <w:rPr>
                <w:rFonts w:hint="eastAsia" w:ascii="Times New Roman" w:hAnsi="Times New Roman" w:eastAsia="宋体" w:cs="Times New Roman"/>
                <w:b w:val="0"/>
                <w:bCs w:val="0"/>
                <w:color w:val="auto"/>
                <w:spacing w:val="6"/>
                <w:kern w:val="0"/>
                <w:sz w:val="24"/>
                <w:szCs w:val="24"/>
                <w:lang w:val="en-US" w:eastAsia="zh-CN" w:bidi="ar-SA"/>
              </w:rPr>
              <w:t>0</w:t>
            </w:r>
            <w:r>
              <w:rPr>
                <w:rFonts w:hint="default" w:ascii="Times New Roman" w:hAnsi="Times New Roman" w:eastAsia="宋体" w:cs="Times New Roman"/>
                <w:b w:val="0"/>
                <w:bCs w:val="0"/>
                <w:color w:val="auto"/>
                <w:spacing w:val="6"/>
                <w:kern w:val="0"/>
                <w:sz w:val="24"/>
                <w:szCs w:val="24"/>
                <w:lang w:val="en-US" w:eastAsia="zh-CN" w:bidi="ar-SA"/>
              </w:rPr>
              <w:t>%计，生活污水高峰期排放量为</w:t>
            </w:r>
            <w:r>
              <w:rPr>
                <w:rFonts w:hint="eastAsia" w:ascii="Times New Roman" w:hAnsi="Times New Roman" w:eastAsia="宋体" w:cs="Times New Roman"/>
                <w:b w:val="0"/>
                <w:bCs w:val="0"/>
                <w:color w:val="auto"/>
                <w:spacing w:val="6"/>
                <w:kern w:val="0"/>
                <w:sz w:val="24"/>
                <w:szCs w:val="24"/>
                <w:lang w:val="en-US" w:eastAsia="zh-CN" w:bidi="ar-SA"/>
              </w:rPr>
              <w:t>6.2</w:t>
            </w:r>
            <w:r>
              <w:rPr>
                <w:rFonts w:hint="default" w:ascii="Times New Roman" w:hAnsi="Times New Roman" w:eastAsia="宋体" w:cs="Times New Roman"/>
                <w:b w:val="0"/>
                <w:bCs w:val="0"/>
                <w:color w:val="auto"/>
                <w:spacing w:val="6"/>
                <w:kern w:val="0"/>
                <w:sz w:val="24"/>
                <w:szCs w:val="24"/>
                <w:lang w:val="en-US" w:eastAsia="zh-CN" w:bidi="ar-SA"/>
              </w:rPr>
              <w:t>m</w:t>
            </w:r>
            <w:r>
              <w:rPr>
                <w:rFonts w:hint="eastAsia" w:ascii="Times New Roman" w:hAnsi="Times New Roman" w:eastAsia="宋体" w:cs="Times New Roman"/>
                <w:b w:val="0"/>
                <w:bCs w:val="0"/>
                <w:color w:val="auto"/>
                <w:spacing w:val="6"/>
                <w:kern w:val="0"/>
                <w:sz w:val="24"/>
                <w:szCs w:val="24"/>
                <w:vertAlign w:val="superscript"/>
                <w:lang w:val="en-US" w:eastAsia="zh-CN" w:bidi="ar-SA"/>
              </w:rPr>
              <w:t>3</w:t>
            </w:r>
            <w:r>
              <w:rPr>
                <w:rFonts w:hint="default" w:ascii="Times New Roman" w:hAnsi="Times New Roman" w:eastAsia="宋体" w:cs="Times New Roman"/>
                <w:b w:val="0"/>
                <w:bCs w:val="0"/>
                <w:color w:val="auto"/>
                <w:spacing w:val="6"/>
                <w:kern w:val="0"/>
                <w:sz w:val="24"/>
                <w:szCs w:val="24"/>
                <w:lang w:val="en-US" w:eastAsia="zh-CN" w:bidi="ar-SA"/>
              </w:rPr>
              <w:t>/d，主要污染指标为BOD</w:t>
            </w:r>
            <w:r>
              <w:rPr>
                <w:rFonts w:hint="default" w:ascii="Times New Roman" w:hAnsi="Times New Roman" w:eastAsia="宋体" w:cs="Times New Roman"/>
                <w:b w:val="0"/>
                <w:bCs w:val="0"/>
                <w:color w:val="auto"/>
                <w:spacing w:val="6"/>
                <w:kern w:val="0"/>
                <w:sz w:val="24"/>
                <w:szCs w:val="24"/>
                <w:vertAlign w:val="subscript"/>
                <w:lang w:val="en-US" w:eastAsia="zh-CN" w:bidi="ar-SA"/>
              </w:rPr>
              <w:t>5</w:t>
            </w:r>
            <w:r>
              <w:rPr>
                <w:rFonts w:hint="default" w:ascii="Times New Roman" w:hAnsi="Times New Roman" w:eastAsia="宋体" w:cs="Times New Roman"/>
                <w:b w:val="0"/>
                <w:bCs w:val="0"/>
                <w:color w:val="auto"/>
                <w:spacing w:val="6"/>
                <w:kern w:val="0"/>
                <w:sz w:val="24"/>
                <w:szCs w:val="24"/>
                <w:lang w:val="en-US" w:eastAsia="zh-CN" w:bidi="ar-SA"/>
              </w:rPr>
              <w:t>、COD</w:t>
            </w:r>
            <w:r>
              <w:rPr>
                <w:rFonts w:hint="eastAsia" w:ascii="Times New Roman" w:hAnsi="Times New Roman" w:eastAsia="宋体" w:cs="Times New Roman"/>
                <w:b w:val="0"/>
                <w:bCs w:val="0"/>
                <w:color w:val="auto"/>
                <w:spacing w:val="6"/>
                <w:kern w:val="0"/>
                <w:sz w:val="24"/>
                <w:szCs w:val="24"/>
                <w:lang w:val="en-US" w:eastAsia="zh-CN" w:bidi="ar-SA"/>
              </w:rPr>
              <w:t>c</w:t>
            </w:r>
            <w:r>
              <w:rPr>
                <w:rFonts w:hint="default" w:ascii="Times New Roman" w:hAnsi="Times New Roman" w:eastAsia="宋体" w:cs="Times New Roman"/>
                <w:b w:val="0"/>
                <w:bCs w:val="0"/>
                <w:color w:val="auto"/>
                <w:spacing w:val="6"/>
                <w:kern w:val="0"/>
                <w:sz w:val="24"/>
                <w:szCs w:val="24"/>
                <w:lang w:val="en-US" w:eastAsia="zh-CN" w:bidi="ar-SA"/>
              </w:rPr>
              <w:t>r、粪大肠菌群等，其中BOD</w:t>
            </w:r>
            <w:r>
              <w:rPr>
                <w:rFonts w:hint="default" w:ascii="Times New Roman" w:hAnsi="Times New Roman" w:eastAsia="宋体" w:cs="Times New Roman"/>
                <w:b w:val="0"/>
                <w:bCs w:val="0"/>
                <w:color w:val="auto"/>
                <w:spacing w:val="6"/>
                <w:kern w:val="0"/>
                <w:sz w:val="24"/>
                <w:szCs w:val="24"/>
                <w:vertAlign w:val="subscript"/>
                <w:lang w:val="en-US" w:eastAsia="zh-CN" w:bidi="ar-SA"/>
              </w:rPr>
              <w:t>5</w:t>
            </w:r>
            <w:r>
              <w:rPr>
                <w:rFonts w:hint="default" w:ascii="Times New Roman" w:hAnsi="Times New Roman" w:eastAsia="宋体" w:cs="Times New Roman"/>
                <w:b w:val="0"/>
                <w:bCs w:val="0"/>
                <w:color w:val="auto"/>
                <w:spacing w:val="6"/>
                <w:kern w:val="0"/>
                <w:sz w:val="24"/>
                <w:szCs w:val="24"/>
                <w:lang w:val="en-US" w:eastAsia="zh-CN" w:bidi="ar-SA"/>
              </w:rPr>
              <w:t>浓度为500mg/1，COD</w:t>
            </w:r>
            <w:r>
              <w:rPr>
                <w:rFonts w:hint="eastAsia" w:ascii="Times New Roman" w:hAnsi="Times New Roman" w:eastAsia="宋体" w:cs="Times New Roman"/>
                <w:b w:val="0"/>
                <w:bCs w:val="0"/>
                <w:color w:val="auto"/>
                <w:spacing w:val="6"/>
                <w:kern w:val="0"/>
                <w:sz w:val="24"/>
                <w:szCs w:val="24"/>
                <w:lang w:val="en-US" w:eastAsia="zh-CN" w:bidi="ar-SA"/>
              </w:rPr>
              <w:t>c</w:t>
            </w:r>
            <w:r>
              <w:rPr>
                <w:rFonts w:hint="default" w:ascii="Times New Roman" w:hAnsi="Times New Roman" w:eastAsia="宋体" w:cs="Times New Roman"/>
                <w:b w:val="0"/>
                <w:bCs w:val="0"/>
                <w:color w:val="auto"/>
                <w:spacing w:val="6"/>
                <w:kern w:val="0"/>
                <w:sz w:val="24"/>
                <w:szCs w:val="24"/>
                <w:lang w:val="en-US" w:eastAsia="zh-CN" w:bidi="ar-SA"/>
              </w:rPr>
              <w:t>r为600mg/L</w:t>
            </w:r>
            <w:r>
              <w:rPr>
                <w:rFonts w:hint="eastAsia" w:ascii="Times New Roman" w:hAnsi="Times New Roman" w:eastAsia="宋体" w:cs="Times New Roman"/>
                <w:b w:val="0"/>
                <w:bCs w:val="0"/>
                <w:color w:val="auto"/>
                <w:spacing w:val="6"/>
                <w:kern w:val="0"/>
                <w:sz w:val="24"/>
                <w:szCs w:val="24"/>
                <w:lang w:val="en-US" w:eastAsia="zh-CN" w:bidi="ar-SA"/>
              </w:rPr>
              <w:t>，在生活区设置化粪池，施工人员生活污水经化粪池处理后，委托环卫部门清运，不外排。化粪池容积为</w:t>
            </w:r>
            <w:r>
              <w:rPr>
                <w:rFonts w:hint="eastAsia" w:ascii="Times New Roman" w:hAnsi="Times New Roman" w:cs="Times New Roman"/>
                <w:b w:val="0"/>
                <w:bCs w:val="0"/>
                <w:color w:val="auto"/>
                <w:spacing w:val="6"/>
                <w:kern w:val="0"/>
                <w:sz w:val="24"/>
                <w:szCs w:val="24"/>
                <w:lang w:val="en-US" w:eastAsia="zh-CN" w:bidi="ar-SA"/>
              </w:rPr>
              <w:t>6</w:t>
            </w:r>
            <w:r>
              <w:rPr>
                <w:rFonts w:hint="eastAsia" w:ascii="Times New Roman" w:hAnsi="Times New Roman" w:eastAsia="宋体" w:cs="Times New Roman"/>
                <w:b w:val="0"/>
                <w:bCs w:val="0"/>
                <w:color w:val="auto"/>
                <w:spacing w:val="6"/>
                <w:kern w:val="0"/>
                <w:sz w:val="24"/>
                <w:szCs w:val="24"/>
                <w:lang w:val="en-US" w:eastAsia="zh-CN" w:bidi="ar-SA"/>
              </w:rPr>
              <w:t>m</w:t>
            </w:r>
            <w:r>
              <w:rPr>
                <w:rFonts w:hint="eastAsia" w:ascii="Times New Roman" w:hAnsi="Times New Roman" w:eastAsia="宋体" w:cs="Times New Roman"/>
                <w:b w:val="0"/>
                <w:bCs w:val="0"/>
                <w:color w:val="auto"/>
                <w:spacing w:val="6"/>
                <w:kern w:val="0"/>
                <w:sz w:val="24"/>
                <w:szCs w:val="24"/>
                <w:vertAlign w:val="superscript"/>
                <w:lang w:val="en-US" w:eastAsia="zh-CN" w:bidi="ar-SA"/>
              </w:rPr>
              <w:t>3</w:t>
            </w:r>
            <w:r>
              <w:rPr>
                <w:rFonts w:hint="eastAsia" w:ascii="Times New Roman" w:hAnsi="Times New Roman" w:eastAsia="宋体" w:cs="Times New Roman"/>
                <w:b w:val="0"/>
                <w:bCs w:val="0"/>
                <w:color w:val="auto"/>
                <w:spacing w:val="6"/>
                <w:kern w:val="0"/>
                <w:sz w:val="24"/>
                <w:szCs w:val="24"/>
                <w:lang w:val="en-US" w:eastAsia="zh-CN" w:bidi="ar-SA"/>
              </w:rPr>
              <w:t>，尺寸为2.8m</w:t>
            </w:r>
            <w:r>
              <w:rPr>
                <w:rFonts w:hint="default" w:ascii="Times New Roman" w:hAnsi="Times New Roman" w:eastAsia="宋体" w:cs="Times New Roman"/>
                <w:b w:val="0"/>
                <w:bCs w:val="0"/>
                <w:color w:val="auto"/>
                <w:spacing w:val="6"/>
                <w:kern w:val="0"/>
                <w:sz w:val="24"/>
                <w:szCs w:val="24"/>
                <w:lang w:val="en-US" w:eastAsia="zh-CN" w:bidi="ar-SA"/>
              </w:rPr>
              <w:t>×</w:t>
            </w:r>
            <w:r>
              <w:rPr>
                <w:rFonts w:hint="eastAsia" w:ascii="Times New Roman" w:hAnsi="Times New Roman" w:eastAsia="宋体" w:cs="Times New Roman"/>
                <w:b w:val="0"/>
                <w:bCs w:val="0"/>
                <w:color w:val="auto"/>
                <w:spacing w:val="6"/>
                <w:kern w:val="0"/>
                <w:sz w:val="24"/>
                <w:szCs w:val="24"/>
                <w:lang w:val="en-US" w:eastAsia="zh-CN" w:bidi="ar-SA"/>
              </w:rPr>
              <w:t>1.6m</w:t>
            </w:r>
            <w:r>
              <w:rPr>
                <w:rFonts w:hint="default" w:ascii="Times New Roman" w:hAnsi="Times New Roman" w:eastAsia="宋体" w:cs="Times New Roman"/>
                <w:b w:val="0"/>
                <w:bCs w:val="0"/>
                <w:color w:val="auto"/>
                <w:spacing w:val="6"/>
                <w:kern w:val="0"/>
                <w:sz w:val="24"/>
                <w:szCs w:val="24"/>
                <w:lang w:val="en-US" w:eastAsia="zh-CN" w:bidi="ar-SA"/>
              </w:rPr>
              <w:t>×</w:t>
            </w:r>
            <w:r>
              <w:rPr>
                <w:rFonts w:hint="eastAsia" w:ascii="Times New Roman" w:hAnsi="Times New Roman" w:eastAsia="宋体" w:cs="Times New Roman"/>
                <w:b w:val="0"/>
                <w:bCs w:val="0"/>
                <w:color w:val="auto"/>
                <w:spacing w:val="6"/>
                <w:kern w:val="0"/>
                <w:sz w:val="24"/>
                <w:szCs w:val="24"/>
                <w:lang w:val="en-US" w:eastAsia="zh-CN" w:bidi="ar-SA"/>
              </w:rPr>
              <w:t>1.6m。</w:t>
            </w:r>
          </w:p>
          <w:p w14:paraId="71D00871">
            <w:pPr>
              <w:pStyle w:val="65"/>
              <w:numPr>
                <w:ilvl w:val="0"/>
                <w:numId w:val="28"/>
              </w:numPr>
              <w:spacing w:before="40" w:line="360" w:lineRule="auto"/>
              <w:ind w:left="425" w:leftChars="0" w:hanging="425" w:firstLineChars="0"/>
              <w:rPr>
                <w:b/>
                <w:bCs/>
                <w:color w:val="auto"/>
                <w:spacing w:val="-3"/>
                <w:sz w:val="24"/>
                <w:szCs w:val="24"/>
              </w:rPr>
            </w:pPr>
            <w:r>
              <w:rPr>
                <w:b/>
                <w:bCs/>
                <w:color w:val="auto"/>
                <w:spacing w:val="-3"/>
                <w:sz w:val="24"/>
                <w:szCs w:val="24"/>
              </w:rPr>
              <w:t>声环境影响分析</w:t>
            </w:r>
          </w:p>
          <w:p w14:paraId="31C9BB6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8"/>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噪声源主要为施工作业机械，根据类比调查和资料分析，本项目拟采用的各类建筑施工机械产噪值如下：</w:t>
            </w:r>
          </w:p>
          <w:p w14:paraId="77E58992">
            <w:pPr>
              <w:pStyle w:val="65"/>
              <w:numPr>
                <w:ilvl w:val="0"/>
                <w:numId w:val="31"/>
              </w:numPr>
              <w:spacing w:before="1" w:line="227" w:lineRule="auto"/>
              <w:ind w:left="0" w:leftChars="0" w:firstLine="0" w:firstLineChars="0"/>
              <w:jc w:val="center"/>
              <w:rPr>
                <w:b/>
                <w:bCs/>
                <w:color w:val="auto"/>
                <w:spacing w:val="4"/>
                <w:sz w:val="24"/>
                <w:szCs w:val="24"/>
              </w:rPr>
            </w:pPr>
            <w:r>
              <w:rPr>
                <w:b/>
                <w:bCs/>
                <w:color w:val="auto"/>
                <w:spacing w:val="4"/>
                <w:sz w:val="24"/>
                <w:szCs w:val="24"/>
              </w:rPr>
              <w:t>施工机械噪声值一览表 单位：dB（A）</w:t>
            </w:r>
          </w:p>
          <w:tbl>
            <w:tblPr>
              <w:tblStyle w:val="54"/>
              <w:tblW w:w="7558"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8"/>
              <w:gridCol w:w="2780"/>
              <w:gridCol w:w="2459"/>
              <w:gridCol w:w="1631"/>
            </w:tblGrid>
            <w:tr w14:paraId="11679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88" w:type="dxa"/>
                  <w:vAlign w:val="center"/>
                </w:tcPr>
                <w:p w14:paraId="4C3B423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kern w:val="2"/>
                      <w:sz w:val="21"/>
                      <w:szCs w:val="21"/>
                      <w:lang w:val="en-US" w:eastAsia="zh-CN" w:bidi="ar-SA"/>
                    </w:rPr>
                    <w:t>序号</w:t>
                  </w:r>
                </w:p>
              </w:tc>
              <w:tc>
                <w:tcPr>
                  <w:tcW w:w="2780" w:type="dxa"/>
                  <w:vAlign w:val="center"/>
                </w:tcPr>
                <w:p w14:paraId="3DD9876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kern w:val="2"/>
                      <w:sz w:val="21"/>
                      <w:szCs w:val="21"/>
                      <w:lang w:val="en-US" w:eastAsia="zh-CN" w:bidi="ar-SA"/>
                    </w:rPr>
                    <w:t>设备名称</w:t>
                  </w:r>
                </w:p>
              </w:tc>
              <w:tc>
                <w:tcPr>
                  <w:tcW w:w="2459" w:type="dxa"/>
                  <w:vAlign w:val="center"/>
                </w:tcPr>
                <w:p w14:paraId="2575339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kern w:val="2"/>
                      <w:sz w:val="21"/>
                      <w:szCs w:val="21"/>
                      <w:lang w:val="en-US" w:eastAsia="zh-CN" w:bidi="ar-SA"/>
                    </w:rPr>
                    <w:t>测点与声源距离(m)</w:t>
                  </w:r>
                </w:p>
              </w:tc>
              <w:tc>
                <w:tcPr>
                  <w:tcW w:w="1631" w:type="dxa"/>
                  <w:vAlign w:val="center"/>
                </w:tcPr>
                <w:p w14:paraId="52234AA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Times New Roman" w:hAnsi="Times New Roman" w:eastAsia="宋体" w:cs="Times New Roman"/>
                      <w:b/>
                      <w:bCs/>
                      <w:color w:val="auto"/>
                      <w:kern w:val="2"/>
                      <w:sz w:val="21"/>
                      <w:szCs w:val="21"/>
                      <w:lang w:val="en-US" w:eastAsia="zh-CN" w:bidi="ar-SA"/>
                    </w:rPr>
                    <w:t>最大声级dB(A)</w:t>
                  </w:r>
                </w:p>
              </w:tc>
            </w:tr>
            <w:tr w14:paraId="03D9F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88" w:type="dxa"/>
                  <w:vAlign w:val="center"/>
                </w:tcPr>
                <w:p w14:paraId="7521CE4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1</w:t>
                  </w:r>
                </w:p>
              </w:tc>
              <w:tc>
                <w:tcPr>
                  <w:tcW w:w="2780" w:type="dxa"/>
                  <w:vAlign w:val="center"/>
                </w:tcPr>
                <w:p w14:paraId="4111D90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4"/>
                      <w:sz w:val="21"/>
                      <w:szCs w:val="21"/>
                    </w:rPr>
                    <w:t>装载机</w:t>
                  </w:r>
                </w:p>
              </w:tc>
              <w:tc>
                <w:tcPr>
                  <w:tcW w:w="2459" w:type="dxa"/>
                  <w:vAlign w:val="center"/>
                </w:tcPr>
                <w:p w14:paraId="5F5420C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1</w:t>
                  </w:r>
                </w:p>
              </w:tc>
              <w:tc>
                <w:tcPr>
                  <w:tcW w:w="1631" w:type="dxa"/>
                  <w:vAlign w:val="center"/>
                </w:tcPr>
                <w:p w14:paraId="2DDFCDE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90</w:t>
                  </w:r>
                </w:p>
              </w:tc>
            </w:tr>
            <w:tr w14:paraId="588C2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88" w:type="dxa"/>
                  <w:vAlign w:val="center"/>
                </w:tcPr>
                <w:p w14:paraId="3BE64F7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2</w:t>
                  </w:r>
                </w:p>
              </w:tc>
              <w:tc>
                <w:tcPr>
                  <w:tcW w:w="2780" w:type="dxa"/>
                  <w:vAlign w:val="center"/>
                </w:tcPr>
                <w:p w14:paraId="541B019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3"/>
                      <w:sz w:val="21"/>
                      <w:szCs w:val="21"/>
                    </w:rPr>
                    <w:t>平地机</w:t>
                  </w:r>
                </w:p>
              </w:tc>
              <w:tc>
                <w:tcPr>
                  <w:tcW w:w="2459" w:type="dxa"/>
                  <w:vAlign w:val="center"/>
                </w:tcPr>
                <w:p w14:paraId="05B44CD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1</w:t>
                  </w:r>
                </w:p>
              </w:tc>
              <w:tc>
                <w:tcPr>
                  <w:tcW w:w="1631" w:type="dxa"/>
                  <w:vAlign w:val="center"/>
                </w:tcPr>
                <w:p w14:paraId="74BB514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90</w:t>
                  </w:r>
                </w:p>
              </w:tc>
            </w:tr>
            <w:tr w14:paraId="34B25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88" w:type="dxa"/>
                  <w:vAlign w:val="center"/>
                </w:tcPr>
                <w:p w14:paraId="66AD7FD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3</w:t>
                  </w:r>
                </w:p>
              </w:tc>
              <w:tc>
                <w:tcPr>
                  <w:tcW w:w="2780" w:type="dxa"/>
                  <w:vAlign w:val="center"/>
                </w:tcPr>
                <w:p w14:paraId="34778DA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4"/>
                      <w:sz w:val="21"/>
                      <w:szCs w:val="21"/>
                    </w:rPr>
                    <w:t>推土机</w:t>
                  </w:r>
                </w:p>
              </w:tc>
              <w:tc>
                <w:tcPr>
                  <w:tcW w:w="2459" w:type="dxa"/>
                  <w:vAlign w:val="center"/>
                </w:tcPr>
                <w:p w14:paraId="717F5A6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1</w:t>
                  </w:r>
                </w:p>
              </w:tc>
              <w:tc>
                <w:tcPr>
                  <w:tcW w:w="1631" w:type="dxa"/>
                  <w:vAlign w:val="center"/>
                </w:tcPr>
                <w:p w14:paraId="532A0FB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86</w:t>
                  </w:r>
                </w:p>
              </w:tc>
            </w:tr>
            <w:tr w14:paraId="528D4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88" w:type="dxa"/>
                  <w:vAlign w:val="center"/>
                </w:tcPr>
                <w:p w14:paraId="074D43E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4</w:t>
                  </w:r>
                </w:p>
              </w:tc>
              <w:tc>
                <w:tcPr>
                  <w:tcW w:w="2780" w:type="dxa"/>
                  <w:vAlign w:val="center"/>
                </w:tcPr>
                <w:p w14:paraId="4E5C0DC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3"/>
                      <w:sz w:val="21"/>
                      <w:szCs w:val="21"/>
                    </w:rPr>
                    <w:t>挖掘机</w:t>
                  </w:r>
                </w:p>
              </w:tc>
              <w:tc>
                <w:tcPr>
                  <w:tcW w:w="2459" w:type="dxa"/>
                  <w:vAlign w:val="center"/>
                </w:tcPr>
                <w:p w14:paraId="683FC21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1</w:t>
                  </w:r>
                </w:p>
              </w:tc>
              <w:tc>
                <w:tcPr>
                  <w:tcW w:w="1631" w:type="dxa"/>
                  <w:vAlign w:val="center"/>
                </w:tcPr>
                <w:p w14:paraId="31E955BA">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84</w:t>
                  </w:r>
                </w:p>
              </w:tc>
            </w:tr>
            <w:tr w14:paraId="25C49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88" w:type="dxa"/>
                  <w:vAlign w:val="center"/>
                </w:tcPr>
                <w:p w14:paraId="534CDB2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w:t>
                  </w:r>
                </w:p>
              </w:tc>
              <w:tc>
                <w:tcPr>
                  <w:tcW w:w="2780" w:type="dxa"/>
                  <w:vAlign w:val="center"/>
                </w:tcPr>
                <w:p w14:paraId="0413FD3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z w:val="21"/>
                      <w:szCs w:val="21"/>
                    </w:rPr>
                  </w:pPr>
                  <w:r>
                    <w:rPr>
                      <w:color w:val="auto"/>
                      <w:spacing w:val="-7"/>
                      <w:sz w:val="21"/>
                      <w:szCs w:val="21"/>
                    </w:rPr>
                    <w:t>柴油发电机</w:t>
                  </w:r>
                </w:p>
              </w:tc>
              <w:tc>
                <w:tcPr>
                  <w:tcW w:w="2459" w:type="dxa"/>
                  <w:vAlign w:val="center"/>
                </w:tcPr>
                <w:p w14:paraId="64171A4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1</w:t>
                  </w:r>
                </w:p>
              </w:tc>
              <w:tc>
                <w:tcPr>
                  <w:tcW w:w="1631" w:type="dxa"/>
                  <w:vAlign w:val="center"/>
                </w:tcPr>
                <w:p w14:paraId="27F0607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85</w:t>
                  </w:r>
                </w:p>
              </w:tc>
            </w:tr>
            <w:tr w14:paraId="06696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88" w:type="dxa"/>
                  <w:vAlign w:val="center"/>
                </w:tcPr>
                <w:p w14:paraId="3F5A317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6</w:t>
                  </w:r>
                </w:p>
              </w:tc>
              <w:tc>
                <w:tcPr>
                  <w:tcW w:w="2780" w:type="dxa"/>
                  <w:vAlign w:val="center"/>
                </w:tcPr>
                <w:p w14:paraId="53CD6F9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pacing w:val="-7"/>
                      <w:sz w:val="21"/>
                      <w:szCs w:val="21"/>
                    </w:rPr>
                  </w:pPr>
                  <w:r>
                    <w:rPr>
                      <w:rFonts w:ascii="宋体" w:hAnsi="宋体" w:eastAsia="宋体" w:cs="宋体"/>
                      <w:color w:val="auto"/>
                      <w:sz w:val="24"/>
                      <w:szCs w:val="24"/>
                    </w:rPr>
                    <w:t>钢筋调直机</w:t>
                  </w:r>
                </w:p>
              </w:tc>
              <w:tc>
                <w:tcPr>
                  <w:tcW w:w="2459" w:type="dxa"/>
                  <w:vAlign w:val="center"/>
                </w:tcPr>
                <w:p w14:paraId="04F33BD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2</w:t>
                  </w:r>
                </w:p>
              </w:tc>
              <w:tc>
                <w:tcPr>
                  <w:tcW w:w="1631" w:type="dxa"/>
                  <w:vAlign w:val="center"/>
                </w:tcPr>
                <w:p w14:paraId="705F52D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85</w:t>
                  </w:r>
                </w:p>
              </w:tc>
            </w:tr>
            <w:tr w14:paraId="21AA8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88" w:type="dxa"/>
                  <w:vAlign w:val="center"/>
                </w:tcPr>
                <w:p w14:paraId="083CC8D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7</w:t>
                  </w:r>
                </w:p>
              </w:tc>
              <w:tc>
                <w:tcPr>
                  <w:tcW w:w="2780" w:type="dxa"/>
                  <w:vAlign w:val="center"/>
                </w:tcPr>
                <w:p w14:paraId="106FC35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color w:val="auto"/>
                      <w:spacing w:val="-7"/>
                      <w:sz w:val="21"/>
                      <w:szCs w:val="21"/>
                    </w:rPr>
                  </w:pPr>
                  <w:r>
                    <w:rPr>
                      <w:rFonts w:ascii="宋体" w:hAnsi="宋体" w:eastAsia="宋体" w:cs="宋体"/>
                      <w:color w:val="auto"/>
                      <w:sz w:val="24"/>
                      <w:szCs w:val="24"/>
                    </w:rPr>
                    <w:t>钢筋切断机</w:t>
                  </w:r>
                </w:p>
              </w:tc>
              <w:tc>
                <w:tcPr>
                  <w:tcW w:w="2459" w:type="dxa"/>
                  <w:vAlign w:val="center"/>
                </w:tcPr>
                <w:p w14:paraId="3AA365D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2</w:t>
                  </w:r>
                </w:p>
              </w:tc>
              <w:tc>
                <w:tcPr>
                  <w:tcW w:w="1631" w:type="dxa"/>
                  <w:vAlign w:val="center"/>
                </w:tcPr>
                <w:p w14:paraId="0A6BE72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Times New Roman" w:hAnsi="Times New Roman" w:eastAsia="Times New Roman" w:cs="Times New Roman"/>
                      <w:color w:val="auto"/>
                      <w:spacing w:val="-5"/>
                      <w:sz w:val="21"/>
                      <w:szCs w:val="21"/>
                    </w:rPr>
                  </w:pPr>
                  <w:r>
                    <w:rPr>
                      <w:rFonts w:ascii="Times New Roman" w:hAnsi="Times New Roman" w:eastAsia="Times New Roman" w:cs="Times New Roman"/>
                      <w:color w:val="auto"/>
                      <w:spacing w:val="-5"/>
                      <w:sz w:val="21"/>
                      <w:szCs w:val="21"/>
                    </w:rPr>
                    <w:t>85</w:t>
                  </w:r>
                </w:p>
              </w:tc>
            </w:tr>
          </w:tbl>
          <w:p w14:paraId="2D3484C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59"/>
              <w:textAlignment w:val="auto"/>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本项目临近居民区施工场界安装不低于2米围挡，围挡可以起到降噪作用，降噪效果在10dB(A)。施工期噪声可近似视为点声源处理，其衰减模式如下：</w:t>
            </w:r>
          </w:p>
          <w:p w14:paraId="5193D405">
            <w:pPr>
              <w:pStyle w:val="65"/>
              <w:keepNext w:val="0"/>
              <w:keepLines w:val="0"/>
              <w:pageBreakBefore w:val="0"/>
              <w:widowControl w:val="0"/>
              <w:kinsoku/>
              <w:wordWrap/>
              <w:overflowPunct/>
              <w:topLinePunct w:val="0"/>
              <w:autoSpaceDE/>
              <w:autoSpaceDN/>
              <w:bidi w:val="0"/>
              <w:adjustRightInd w:val="0"/>
              <w:snapToGrid w:val="0"/>
              <w:spacing w:line="360" w:lineRule="auto"/>
              <w:ind w:left="0" w:firstLine="2580" w:firstLineChars="1000"/>
              <w:textAlignment w:val="auto"/>
              <w:rPr>
                <w:color w:val="auto"/>
                <w:sz w:val="23"/>
                <w:szCs w:val="23"/>
              </w:rPr>
            </w:pPr>
            <w:r>
              <w:rPr>
                <w:rFonts w:ascii="Times New Roman" w:hAnsi="Times New Roman" w:eastAsia="Times New Roman" w:cs="Times New Roman"/>
                <w:i/>
                <w:iCs/>
                <w:color w:val="auto"/>
                <w:spacing w:val="14"/>
                <w:sz w:val="23"/>
                <w:szCs w:val="23"/>
              </w:rPr>
              <w:t>L</w:t>
            </w:r>
            <w:r>
              <w:rPr>
                <w:rFonts w:hint="eastAsia" w:ascii="Times New Roman" w:hAnsi="Times New Roman" w:eastAsia="宋体" w:cs="Times New Roman"/>
                <w:i/>
                <w:iCs/>
                <w:color w:val="auto"/>
                <w:spacing w:val="14"/>
                <w:sz w:val="23"/>
                <w:szCs w:val="23"/>
                <w:vertAlign w:val="subscript"/>
                <w:lang w:val="en-US" w:eastAsia="zh-CN"/>
              </w:rPr>
              <w:t>p(r)</w:t>
            </w:r>
            <w:r>
              <w:rPr>
                <w:rFonts w:ascii="微软雅黑" w:hAnsi="微软雅黑" w:eastAsia="微软雅黑" w:cs="微软雅黑"/>
                <w:color w:val="auto"/>
                <w:spacing w:val="-35"/>
                <w:sz w:val="23"/>
                <w:szCs w:val="23"/>
              </w:rPr>
              <w:t>=</w:t>
            </w:r>
            <w:r>
              <w:rPr>
                <w:rFonts w:ascii="Times New Roman" w:hAnsi="Times New Roman" w:eastAsia="Times New Roman" w:cs="Times New Roman"/>
                <w:i/>
                <w:iCs/>
                <w:color w:val="auto"/>
                <w:spacing w:val="14"/>
                <w:sz w:val="23"/>
                <w:szCs w:val="23"/>
              </w:rPr>
              <w:t>L</w:t>
            </w:r>
            <w:r>
              <w:rPr>
                <w:rFonts w:hint="eastAsia" w:ascii="Times New Roman" w:hAnsi="Times New Roman" w:eastAsia="宋体" w:cs="Times New Roman"/>
                <w:i/>
                <w:iCs/>
                <w:color w:val="auto"/>
                <w:spacing w:val="14"/>
                <w:sz w:val="23"/>
                <w:szCs w:val="23"/>
                <w:vertAlign w:val="subscript"/>
                <w:lang w:val="en-US" w:eastAsia="zh-CN"/>
              </w:rPr>
              <w:t>p(r</w:t>
            </w:r>
            <w:r>
              <w:rPr>
                <w:rFonts w:hint="eastAsia" w:ascii="Times New Roman" w:hAnsi="Times New Roman" w:cs="Times New Roman"/>
                <w:i/>
                <w:iCs/>
                <w:color w:val="auto"/>
                <w:spacing w:val="14"/>
                <w:sz w:val="23"/>
                <w:szCs w:val="23"/>
                <w:vertAlign w:val="subscript"/>
                <w:lang w:val="en-US" w:eastAsia="zh-CN"/>
              </w:rPr>
              <w:t>0</w:t>
            </w:r>
            <w:r>
              <w:rPr>
                <w:rFonts w:hint="eastAsia" w:ascii="Times New Roman" w:hAnsi="Times New Roman" w:eastAsia="宋体" w:cs="Times New Roman"/>
                <w:i/>
                <w:iCs/>
                <w:color w:val="auto"/>
                <w:spacing w:val="14"/>
                <w:sz w:val="23"/>
                <w:szCs w:val="23"/>
                <w:vertAlign w:val="subscript"/>
                <w:lang w:val="en-US" w:eastAsia="zh-CN"/>
              </w:rPr>
              <w:t>)</w:t>
            </w:r>
            <w:r>
              <w:rPr>
                <w:rFonts w:ascii="微软雅黑" w:hAnsi="微软雅黑" w:eastAsia="微软雅黑" w:cs="微软雅黑"/>
                <w:color w:val="auto"/>
                <w:spacing w:val="-3"/>
                <w:w w:val="56"/>
                <w:sz w:val="23"/>
                <w:szCs w:val="23"/>
              </w:rPr>
              <w:t>一</w:t>
            </w:r>
            <w:r>
              <w:rPr>
                <w:rFonts w:ascii="Times New Roman" w:hAnsi="Times New Roman" w:eastAsia="Times New Roman" w:cs="Times New Roman"/>
                <w:color w:val="auto"/>
                <w:spacing w:val="-16"/>
                <w:w w:val="97"/>
                <w:sz w:val="23"/>
                <w:szCs w:val="23"/>
              </w:rPr>
              <w:t>20lg</w:t>
            </w:r>
            <w:r>
              <w:rPr>
                <w:color w:val="auto"/>
                <w:spacing w:val="-16"/>
                <w:w w:val="97"/>
                <w:sz w:val="23"/>
                <w:szCs w:val="23"/>
              </w:rPr>
              <w:t>（</w:t>
            </w:r>
            <w:r>
              <w:rPr>
                <w:rFonts w:ascii="Times New Roman" w:hAnsi="Times New Roman" w:eastAsia="Times New Roman" w:cs="Times New Roman"/>
                <w:i/>
                <w:iCs/>
                <w:color w:val="auto"/>
                <w:spacing w:val="-16"/>
                <w:w w:val="97"/>
                <w:sz w:val="23"/>
                <w:szCs w:val="23"/>
              </w:rPr>
              <w:t>r</w:t>
            </w:r>
            <w:r>
              <w:rPr>
                <w:rFonts w:ascii="Times New Roman" w:hAnsi="Times New Roman" w:eastAsia="Times New Roman" w:cs="Times New Roman"/>
                <w:color w:val="auto"/>
                <w:spacing w:val="-16"/>
                <w:w w:val="97"/>
                <w:sz w:val="23"/>
                <w:szCs w:val="23"/>
              </w:rPr>
              <w:t>/</w:t>
            </w:r>
            <w:r>
              <w:rPr>
                <w:rFonts w:ascii="Times New Roman" w:hAnsi="Times New Roman" w:eastAsia="Times New Roman" w:cs="Times New Roman"/>
                <w:i/>
                <w:iCs/>
                <w:color w:val="auto"/>
                <w:spacing w:val="-16"/>
                <w:w w:val="97"/>
                <w:sz w:val="23"/>
                <w:szCs w:val="23"/>
              </w:rPr>
              <w:t>r</w:t>
            </w:r>
            <w:r>
              <w:rPr>
                <w:rFonts w:ascii="Times New Roman" w:hAnsi="Times New Roman" w:eastAsia="Times New Roman" w:cs="Times New Roman"/>
                <w:color w:val="auto"/>
                <w:spacing w:val="-16"/>
                <w:w w:val="97"/>
                <w:position w:val="-5"/>
                <w:sz w:val="13"/>
                <w:szCs w:val="13"/>
              </w:rPr>
              <w:t>0</w:t>
            </w:r>
            <w:r>
              <w:rPr>
                <w:color w:val="auto"/>
                <w:spacing w:val="7"/>
                <w:sz w:val="23"/>
                <w:szCs w:val="23"/>
              </w:rPr>
              <w:t>）</w:t>
            </w:r>
          </w:p>
          <w:p w14:paraId="12710515">
            <w:pPr>
              <w:pStyle w:val="65"/>
              <w:keepNext w:val="0"/>
              <w:keepLines w:val="0"/>
              <w:pageBreakBefore w:val="0"/>
              <w:widowControl w:val="0"/>
              <w:kinsoku/>
              <w:wordWrap/>
              <w:topLinePunct w:val="0"/>
              <w:autoSpaceDE/>
              <w:autoSpaceDN/>
              <w:bidi w:val="0"/>
              <w:adjustRightInd w:val="0"/>
              <w:snapToGrid w:val="0"/>
              <w:spacing w:line="360" w:lineRule="auto"/>
              <w:ind w:left="0" w:firstLine="472"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pacing w:val="-2"/>
                <w:sz w:val="24"/>
                <w:szCs w:val="24"/>
              </w:rPr>
              <w:t>式中：</w:t>
            </w:r>
            <w:r>
              <w:rPr>
                <w:rFonts w:ascii="Times New Roman" w:hAnsi="Times New Roman" w:eastAsia="Times New Roman" w:cs="Times New Roman"/>
                <w:i/>
                <w:iCs/>
                <w:color w:val="auto"/>
                <w:spacing w:val="14"/>
                <w:sz w:val="24"/>
                <w:szCs w:val="24"/>
              </w:rPr>
              <w:t>L</w:t>
            </w:r>
            <w:r>
              <w:rPr>
                <w:rFonts w:hint="eastAsia" w:ascii="Times New Roman" w:hAnsi="Times New Roman" w:eastAsia="宋体" w:cs="Times New Roman"/>
                <w:i/>
                <w:iCs/>
                <w:color w:val="auto"/>
                <w:spacing w:val="14"/>
                <w:sz w:val="24"/>
                <w:szCs w:val="24"/>
                <w:vertAlign w:val="subscript"/>
                <w:lang w:val="en-US" w:eastAsia="zh-CN"/>
              </w:rPr>
              <w:t>p(r)</w:t>
            </w:r>
            <w:r>
              <w:rPr>
                <w:rFonts w:hint="default" w:ascii="Times New Roman" w:hAnsi="Times New Roman" w:cs="Times New Roman"/>
                <w:color w:val="auto"/>
                <w:spacing w:val="-2"/>
                <w:sz w:val="24"/>
                <w:szCs w:val="24"/>
              </w:rPr>
              <w:t>—预测点处声压级，</w:t>
            </w:r>
            <w:r>
              <w:rPr>
                <w:rFonts w:hint="default" w:ascii="Times New Roman" w:hAnsi="Times New Roman" w:eastAsia="Times New Roman" w:cs="Times New Roman"/>
                <w:color w:val="auto"/>
                <w:spacing w:val="-2"/>
                <w:sz w:val="24"/>
                <w:szCs w:val="24"/>
              </w:rPr>
              <w:t>dB</w:t>
            </w:r>
            <w:r>
              <w:rPr>
                <w:rFonts w:hint="default" w:ascii="Times New Roman" w:hAnsi="Times New Roman" w:cs="Times New Roman"/>
                <w:color w:val="auto"/>
                <w:spacing w:val="-2"/>
                <w:sz w:val="24"/>
                <w:szCs w:val="24"/>
              </w:rPr>
              <w:t>；</w:t>
            </w:r>
          </w:p>
          <w:p w14:paraId="25695A81">
            <w:pPr>
              <w:pStyle w:val="65"/>
              <w:keepNext w:val="0"/>
              <w:keepLines w:val="0"/>
              <w:pageBreakBefore w:val="0"/>
              <w:widowControl w:val="0"/>
              <w:kinsoku/>
              <w:wordWrap/>
              <w:topLinePunct w:val="0"/>
              <w:autoSpaceDE/>
              <w:autoSpaceDN/>
              <w:bidi w:val="0"/>
              <w:adjustRightInd w:val="0"/>
              <w:snapToGrid w:val="0"/>
              <w:spacing w:line="360" w:lineRule="auto"/>
              <w:ind w:firstLine="1072" w:firstLineChars="400"/>
              <w:textAlignment w:val="auto"/>
              <w:rPr>
                <w:rFonts w:hint="default" w:ascii="Times New Roman" w:hAnsi="Times New Roman" w:cs="Times New Roman"/>
                <w:color w:val="auto"/>
                <w:sz w:val="24"/>
                <w:szCs w:val="24"/>
              </w:rPr>
            </w:pPr>
            <w:r>
              <w:rPr>
                <w:rFonts w:ascii="Times New Roman" w:hAnsi="Times New Roman" w:eastAsia="Times New Roman" w:cs="Times New Roman"/>
                <w:i/>
                <w:iCs/>
                <w:color w:val="auto"/>
                <w:spacing w:val="14"/>
                <w:sz w:val="24"/>
                <w:szCs w:val="24"/>
              </w:rPr>
              <w:t>L</w:t>
            </w:r>
            <w:r>
              <w:rPr>
                <w:rFonts w:hint="eastAsia" w:ascii="Times New Roman" w:hAnsi="Times New Roman" w:eastAsia="宋体" w:cs="Times New Roman"/>
                <w:i/>
                <w:iCs/>
                <w:color w:val="auto"/>
                <w:spacing w:val="14"/>
                <w:sz w:val="24"/>
                <w:szCs w:val="24"/>
                <w:vertAlign w:val="subscript"/>
                <w:lang w:val="en-US" w:eastAsia="zh-CN"/>
              </w:rPr>
              <w:t>p(r</w:t>
            </w:r>
            <w:r>
              <w:rPr>
                <w:rFonts w:hint="eastAsia" w:ascii="Times New Roman" w:hAnsi="Times New Roman" w:cs="Times New Roman"/>
                <w:i/>
                <w:iCs/>
                <w:color w:val="auto"/>
                <w:spacing w:val="14"/>
                <w:sz w:val="24"/>
                <w:szCs w:val="24"/>
                <w:vertAlign w:val="subscript"/>
                <w:lang w:val="en-US" w:eastAsia="zh-CN"/>
              </w:rPr>
              <w:t>0</w:t>
            </w:r>
            <w:r>
              <w:rPr>
                <w:rFonts w:hint="eastAsia" w:ascii="Times New Roman" w:hAnsi="Times New Roman" w:eastAsia="宋体" w:cs="Times New Roman"/>
                <w:i/>
                <w:iCs/>
                <w:color w:val="auto"/>
                <w:spacing w:val="14"/>
                <w:sz w:val="24"/>
                <w:szCs w:val="24"/>
                <w:vertAlign w:val="subscript"/>
                <w:lang w:val="en-US" w:eastAsia="zh-CN"/>
              </w:rPr>
              <w:t>)</w:t>
            </w:r>
            <w:r>
              <w:rPr>
                <w:rFonts w:hint="default" w:ascii="Times New Roman" w:hAnsi="Times New Roman" w:cs="Times New Roman"/>
                <w:color w:val="auto"/>
                <w:spacing w:val="-2"/>
                <w:sz w:val="24"/>
                <w:szCs w:val="24"/>
              </w:rPr>
              <w:t>—参考位置</w:t>
            </w:r>
            <w:r>
              <w:rPr>
                <w:rFonts w:hint="eastAsia" w:ascii="Times New Roman" w:hAnsi="Times New Roman" w:eastAsia="宋体" w:cs="Times New Roman"/>
                <w:i/>
                <w:iCs/>
                <w:color w:val="auto"/>
                <w:spacing w:val="-2"/>
                <w:sz w:val="24"/>
                <w:szCs w:val="24"/>
                <w:lang w:val="en-US" w:eastAsia="zh-CN"/>
              </w:rPr>
              <w:t>r0</w:t>
            </w:r>
            <w:r>
              <w:rPr>
                <w:rFonts w:hint="default" w:ascii="Times New Roman" w:hAnsi="Times New Roman" w:cs="Times New Roman"/>
                <w:color w:val="auto"/>
                <w:spacing w:val="-2"/>
                <w:sz w:val="24"/>
                <w:szCs w:val="24"/>
              </w:rPr>
              <w:t>处的声压级，</w:t>
            </w:r>
            <w:r>
              <w:rPr>
                <w:rFonts w:hint="default" w:ascii="Times New Roman" w:hAnsi="Times New Roman" w:eastAsia="Times New Roman" w:cs="Times New Roman"/>
                <w:color w:val="auto"/>
                <w:spacing w:val="-2"/>
                <w:sz w:val="24"/>
                <w:szCs w:val="24"/>
              </w:rPr>
              <w:t>dB</w:t>
            </w:r>
            <w:r>
              <w:rPr>
                <w:rFonts w:hint="default" w:ascii="Times New Roman" w:hAnsi="Times New Roman" w:cs="Times New Roman"/>
                <w:color w:val="auto"/>
                <w:spacing w:val="-2"/>
                <w:sz w:val="24"/>
                <w:szCs w:val="24"/>
              </w:rPr>
              <w:t>；</w:t>
            </w:r>
          </w:p>
          <w:p w14:paraId="68507E5E">
            <w:pPr>
              <w:pStyle w:val="13"/>
              <w:keepNext w:val="0"/>
              <w:keepLines w:val="0"/>
              <w:pageBreakBefore w:val="0"/>
              <w:widowControl w:val="0"/>
              <w:kinsoku/>
              <w:wordWrap/>
              <w:overflowPunct w:val="0"/>
              <w:topLinePunct w:val="0"/>
              <w:autoSpaceDE/>
              <w:autoSpaceDN/>
              <w:bidi w:val="0"/>
              <w:adjustRightInd w:val="0"/>
              <w:snapToGrid w:val="0"/>
              <w:spacing w:line="360" w:lineRule="auto"/>
              <w:ind w:firstLine="1190" w:firstLineChars="500"/>
              <w:textAlignment w:val="auto"/>
              <w:rPr>
                <w:rFonts w:hint="default" w:ascii="Times New Roman" w:hAnsi="Times New Roman" w:cs="Times New Roman"/>
                <w:color w:val="auto"/>
                <w:spacing w:val="-1"/>
                <w:sz w:val="24"/>
                <w:szCs w:val="24"/>
              </w:rPr>
            </w:pPr>
            <w:r>
              <w:rPr>
                <w:rFonts w:hint="default" w:ascii="Times New Roman" w:hAnsi="Times New Roman" w:eastAsia="Times New Roman" w:cs="Times New Roman"/>
                <w:i/>
                <w:iCs/>
                <w:color w:val="auto"/>
                <w:spacing w:val="-1"/>
                <w:sz w:val="24"/>
                <w:szCs w:val="24"/>
              </w:rPr>
              <w:t>r</w:t>
            </w:r>
            <w:r>
              <w:rPr>
                <w:rFonts w:hint="default" w:ascii="Times New Roman" w:hAnsi="Times New Roman" w:cs="Times New Roman"/>
                <w:color w:val="auto"/>
                <w:spacing w:val="-1"/>
                <w:sz w:val="24"/>
                <w:szCs w:val="24"/>
              </w:rPr>
              <w:t>—预测点距离声源的距离；</w:t>
            </w:r>
          </w:p>
          <w:p w14:paraId="45347458">
            <w:pPr>
              <w:pStyle w:val="65"/>
              <w:keepNext w:val="0"/>
              <w:keepLines w:val="0"/>
              <w:pageBreakBefore w:val="0"/>
              <w:widowControl w:val="0"/>
              <w:kinsoku/>
              <w:wordWrap/>
              <w:overflowPunct/>
              <w:topLinePunct w:val="0"/>
              <w:autoSpaceDE/>
              <w:autoSpaceDN/>
              <w:bidi w:val="0"/>
              <w:adjustRightInd w:val="0"/>
              <w:snapToGrid w:val="0"/>
              <w:spacing w:line="360" w:lineRule="auto"/>
              <w:ind w:left="0" w:firstLine="1190" w:firstLineChars="500"/>
              <w:textAlignment w:val="auto"/>
              <w:rPr>
                <w:rFonts w:hint="default" w:ascii="Times New Roman" w:hAnsi="Times New Roman" w:cs="Times New Roman"/>
                <w:color w:val="auto"/>
                <w:sz w:val="24"/>
                <w:szCs w:val="24"/>
              </w:rPr>
            </w:pPr>
            <w:r>
              <w:rPr>
                <w:rFonts w:hint="default" w:ascii="Times New Roman" w:hAnsi="Times New Roman" w:eastAsia="Times New Roman" w:cs="Times New Roman"/>
                <w:i/>
                <w:iCs/>
                <w:color w:val="auto"/>
                <w:spacing w:val="-1"/>
                <w:sz w:val="24"/>
                <w:szCs w:val="24"/>
              </w:rPr>
              <w:t>r</w:t>
            </w:r>
            <w:r>
              <w:rPr>
                <w:rFonts w:hint="default" w:ascii="Times New Roman" w:hAnsi="Times New Roman" w:eastAsia="Times New Roman" w:cs="Times New Roman"/>
                <w:i/>
                <w:iCs/>
                <w:color w:val="auto"/>
                <w:spacing w:val="-1"/>
                <w:position w:val="-1"/>
                <w:sz w:val="24"/>
                <w:szCs w:val="24"/>
              </w:rPr>
              <w:t>0</w:t>
            </w:r>
            <w:r>
              <w:rPr>
                <w:rFonts w:hint="default" w:ascii="Times New Roman" w:hAnsi="Times New Roman" w:cs="Times New Roman"/>
                <w:color w:val="auto"/>
                <w:spacing w:val="-1"/>
                <w:sz w:val="24"/>
                <w:szCs w:val="24"/>
              </w:rPr>
              <w:t>—参考位置距离声源的距离；</w:t>
            </w:r>
          </w:p>
          <w:p w14:paraId="1968D3DE">
            <w:pPr>
              <w:pStyle w:val="65"/>
              <w:keepNext w:val="0"/>
              <w:keepLines w:val="0"/>
              <w:pageBreakBefore w:val="0"/>
              <w:widowControl w:val="0"/>
              <w:kinsoku/>
              <w:wordWrap/>
              <w:overflowPunct/>
              <w:topLinePunct w:val="0"/>
              <w:autoSpaceDE/>
              <w:autoSpaceDN/>
              <w:bidi w:val="0"/>
              <w:adjustRightInd w:val="0"/>
              <w:snapToGrid w:val="0"/>
              <w:spacing w:line="360" w:lineRule="auto"/>
              <w:ind w:left="0" w:firstLine="476" w:firstLineChars="200"/>
              <w:textAlignment w:val="auto"/>
              <w:rPr>
                <w:rFonts w:hint="eastAsia" w:ascii="Arial" w:eastAsia="宋体"/>
                <w:color w:val="auto"/>
                <w:sz w:val="24"/>
                <w:szCs w:val="24"/>
                <w:lang w:eastAsia="zh-CN"/>
              </w:rPr>
            </w:pPr>
            <w:r>
              <w:rPr>
                <w:color w:val="auto"/>
                <w:spacing w:val="-1"/>
                <w:sz w:val="24"/>
                <w:szCs w:val="24"/>
              </w:rPr>
              <w:t>距离施工机械不同距离处的声级详</w:t>
            </w:r>
            <w:r>
              <w:rPr>
                <w:rFonts w:hint="default" w:ascii="Times New Roman" w:hAnsi="Times New Roman" w:cs="Times New Roman"/>
                <w:color w:val="auto"/>
                <w:spacing w:val="-1"/>
                <w:sz w:val="24"/>
                <w:szCs w:val="24"/>
              </w:rPr>
              <w:t>见表</w:t>
            </w:r>
            <w:r>
              <w:rPr>
                <w:rFonts w:hint="eastAsia" w:ascii="Times New Roman" w:hAnsi="Times New Roman" w:cs="Times New Roman"/>
                <w:color w:val="auto"/>
                <w:spacing w:val="-1"/>
                <w:sz w:val="24"/>
                <w:szCs w:val="24"/>
                <w:lang w:val="en-US" w:eastAsia="zh-CN"/>
              </w:rPr>
              <w:t>4-5。</w:t>
            </w:r>
          </w:p>
          <w:p w14:paraId="273BF4C6">
            <w:pPr>
              <w:pStyle w:val="65"/>
              <w:numPr>
                <w:ilvl w:val="0"/>
                <w:numId w:val="31"/>
              </w:numPr>
              <w:spacing w:before="1" w:line="227" w:lineRule="auto"/>
              <w:ind w:left="0" w:leftChars="0" w:firstLine="0" w:firstLineChars="0"/>
              <w:jc w:val="center"/>
              <w:rPr>
                <w:b/>
                <w:bCs/>
                <w:color w:val="auto"/>
                <w:spacing w:val="4"/>
                <w:sz w:val="24"/>
                <w:szCs w:val="24"/>
              </w:rPr>
            </w:pPr>
            <w:r>
              <w:rPr>
                <w:b/>
                <w:bCs/>
                <w:color w:val="auto"/>
                <w:spacing w:val="4"/>
                <w:sz w:val="24"/>
                <w:szCs w:val="24"/>
              </w:rPr>
              <w:t>距施工机械不同距离处的声级单位：dB(A)）</w:t>
            </w:r>
          </w:p>
          <w:tbl>
            <w:tblPr>
              <w:tblStyle w:val="54"/>
              <w:tblW w:w="7657" w:type="dxa"/>
              <w:tblInd w:w="1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7"/>
              <w:gridCol w:w="1249"/>
              <w:gridCol w:w="704"/>
              <w:gridCol w:w="541"/>
              <w:gridCol w:w="762"/>
              <w:gridCol w:w="763"/>
              <w:gridCol w:w="762"/>
              <w:gridCol w:w="763"/>
              <w:gridCol w:w="790"/>
              <w:gridCol w:w="766"/>
            </w:tblGrid>
            <w:tr w14:paraId="6D0A2B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557" w:type="dxa"/>
                  <w:vMerge w:val="restart"/>
                  <w:tcBorders>
                    <w:bottom w:val="nil"/>
                  </w:tcBorders>
                  <w:vAlign w:val="center"/>
                </w:tcPr>
                <w:p w14:paraId="732321E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6"/>
                      <w:sz w:val="21"/>
                      <w:szCs w:val="21"/>
                    </w:rPr>
                    <w:t>序</w:t>
                  </w:r>
                  <w:r>
                    <w:rPr>
                      <w:color w:val="auto"/>
                      <w:spacing w:val="-35"/>
                      <w:sz w:val="21"/>
                      <w:szCs w:val="21"/>
                    </w:rPr>
                    <w:t xml:space="preserve"> </w:t>
                  </w:r>
                  <w:r>
                    <w:rPr>
                      <w:b/>
                      <w:bCs/>
                      <w:color w:val="auto"/>
                      <w:spacing w:val="6"/>
                      <w:sz w:val="21"/>
                      <w:szCs w:val="21"/>
                    </w:rPr>
                    <w:t>号</w:t>
                  </w:r>
                </w:p>
              </w:tc>
              <w:tc>
                <w:tcPr>
                  <w:tcW w:w="1249" w:type="dxa"/>
                  <w:vMerge w:val="restart"/>
                  <w:tcBorders>
                    <w:bottom w:val="nil"/>
                  </w:tcBorders>
                  <w:vAlign w:val="center"/>
                </w:tcPr>
                <w:p w14:paraId="0224C40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2"/>
                      <w:sz w:val="21"/>
                      <w:szCs w:val="21"/>
                    </w:rPr>
                    <w:t>设备</w:t>
                  </w:r>
                </w:p>
              </w:tc>
              <w:tc>
                <w:tcPr>
                  <w:tcW w:w="704" w:type="dxa"/>
                  <w:vMerge w:val="restart"/>
                  <w:tcBorders>
                    <w:bottom w:val="nil"/>
                  </w:tcBorders>
                  <w:vAlign w:val="center"/>
                </w:tcPr>
                <w:p w14:paraId="392E9DA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color w:val="auto"/>
                      <w:sz w:val="21"/>
                      <w:szCs w:val="21"/>
                    </w:rPr>
                  </w:pPr>
                  <w:r>
                    <w:rPr>
                      <w:b/>
                      <w:bCs/>
                      <w:color w:val="auto"/>
                      <w:spacing w:val="1"/>
                      <w:sz w:val="21"/>
                      <w:szCs w:val="21"/>
                    </w:rPr>
                    <w:t>声功</w:t>
                  </w:r>
                  <w:r>
                    <w:rPr>
                      <w:b/>
                      <w:bCs/>
                      <w:color w:val="auto"/>
                      <w:spacing w:val="-3"/>
                      <w:sz w:val="21"/>
                      <w:szCs w:val="21"/>
                    </w:rPr>
                    <w:t>率</w:t>
                  </w:r>
                </w:p>
              </w:tc>
              <w:tc>
                <w:tcPr>
                  <w:tcW w:w="4381" w:type="dxa"/>
                  <w:gridSpan w:val="6"/>
                  <w:vAlign w:val="center"/>
                </w:tcPr>
                <w:p w14:paraId="379B9B0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6"/>
                      <w:sz w:val="21"/>
                      <w:szCs w:val="21"/>
                    </w:rPr>
                    <w:t>不同距离噪声值（</w:t>
                  </w:r>
                  <w:r>
                    <w:rPr>
                      <w:rFonts w:ascii="Times New Roman" w:hAnsi="Times New Roman" w:eastAsia="Times New Roman" w:cs="Times New Roman"/>
                      <w:b/>
                      <w:bCs/>
                      <w:color w:val="auto"/>
                      <w:spacing w:val="6"/>
                      <w:sz w:val="21"/>
                      <w:szCs w:val="21"/>
                    </w:rPr>
                    <w:t>m</w:t>
                  </w:r>
                  <w:r>
                    <w:rPr>
                      <w:b/>
                      <w:bCs/>
                      <w:color w:val="auto"/>
                      <w:spacing w:val="6"/>
                      <w:sz w:val="21"/>
                      <w:szCs w:val="21"/>
                    </w:rPr>
                    <w:t>）</w:t>
                  </w:r>
                </w:p>
              </w:tc>
              <w:tc>
                <w:tcPr>
                  <w:tcW w:w="766" w:type="dxa"/>
                  <w:vAlign w:val="center"/>
                </w:tcPr>
                <w:p w14:paraId="688FCFC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2"/>
                      <w:sz w:val="21"/>
                      <w:szCs w:val="21"/>
                    </w:rPr>
                    <w:t>厂界</w:t>
                  </w:r>
                  <w:r>
                    <w:rPr>
                      <w:b/>
                      <w:bCs/>
                      <w:color w:val="auto"/>
                      <w:spacing w:val="-1"/>
                      <w:sz w:val="21"/>
                      <w:szCs w:val="21"/>
                    </w:rPr>
                    <w:t>噪声</w:t>
                  </w:r>
                  <w:r>
                    <w:rPr>
                      <w:b/>
                      <w:bCs/>
                      <w:color w:val="auto"/>
                      <w:spacing w:val="-4"/>
                      <w:sz w:val="21"/>
                      <w:szCs w:val="21"/>
                    </w:rPr>
                    <w:t>限值</w:t>
                  </w:r>
                </w:p>
              </w:tc>
            </w:tr>
            <w:tr w14:paraId="1FB81A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7" w:type="dxa"/>
                  <w:vMerge w:val="continue"/>
                  <w:tcBorders>
                    <w:top w:val="nil"/>
                  </w:tcBorders>
                  <w:textDirection w:val="tbRlV"/>
                  <w:vAlign w:val="center"/>
                </w:tcPr>
                <w:p w14:paraId="5D6E2654">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Arial"/>
                      <w:color w:val="auto"/>
                      <w:sz w:val="21"/>
                      <w:szCs w:val="21"/>
                    </w:rPr>
                  </w:pPr>
                </w:p>
              </w:tc>
              <w:tc>
                <w:tcPr>
                  <w:tcW w:w="1249" w:type="dxa"/>
                  <w:vMerge w:val="continue"/>
                  <w:tcBorders>
                    <w:top w:val="nil"/>
                  </w:tcBorders>
                  <w:vAlign w:val="center"/>
                </w:tcPr>
                <w:p w14:paraId="2B742E36">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Arial"/>
                      <w:color w:val="auto"/>
                      <w:sz w:val="21"/>
                      <w:szCs w:val="21"/>
                    </w:rPr>
                  </w:pPr>
                </w:p>
              </w:tc>
              <w:tc>
                <w:tcPr>
                  <w:tcW w:w="704" w:type="dxa"/>
                  <w:vMerge w:val="continue"/>
                  <w:tcBorders>
                    <w:top w:val="nil"/>
                  </w:tcBorders>
                  <w:vAlign w:val="center"/>
                </w:tcPr>
                <w:p w14:paraId="64D8352A">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Arial"/>
                      <w:color w:val="auto"/>
                      <w:sz w:val="21"/>
                      <w:szCs w:val="21"/>
                    </w:rPr>
                  </w:pPr>
                </w:p>
              </w:tc>
              <w:tc>
                <w:tcPr>
                  <w:tcW w:w="541" w:type="dxa"/>
                  <w:vAlign w:val="center"/>
                </w:tcPr>
                <w:p w14:paraId="7F47203C">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z w:val="21"/>
                      <w:szCs w:val="21"/>
                    </w:rPr>
                    <w:t>5</w:t>
                  </w:r>
                </w:p>
              </w:tc>
              <w:tc>
                <w:tcPr>
                  <w:tcW w:w="762" w:type="dxa"/>
                  <w:vAlign w:val="center"/>
                </w:tcPr>
                <w:p w14:paraId="33BD464C">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2"/>
                      <w:sz w:val="21"/>
                      <w:szCs w:val="21"/>
                    </w:rPr>
                    <w:t>10</w:t>
                  </w:r>
                </w:p>
              </w:tc>
              <w:tc>
                <w:tcPr>
                  <w:tcW w:w="763" w:type="dxa"/>
                  <w:vAlign w:val="center"/>
                </w:tcPr>
                <w:p w14:paraId="3E1CC6CE">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2"/>
                      <w:sz w:val="21"/>
                      <w:szCs w:val="21"/>
                    </w:rPr>
                    <w:t>20</w:t>
                  </w:r>
                </w:p>
              </w:tc>
              <w:tc>
                <w:tcPr>
                  <w:tcW w:w="762" w:type="dxa"/>
                  <w:vAlign w:val="center"/>
                </w:tcPr>
                <w:p w14:paraId="5FFDB5B5">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3"/>
                      <w:sz w:val="21"/>
                      <w:szCs w:val="21"/>
                    </w:rPr>
                    <w:t>30</w:t>
                  </w:r>
                </w:p>
              </w:tc>
              <w:tc>
                <w:tcPr>
                  <w:tcW w:w="763" w:type="dxa"/>
                  <w:vAlign w:val="center"/>
                </w:tcPr>
                <w:p w14:paraId="48F1CDD2">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2"/>
                      <w:sz w:val="21"/>
                      <w:szCs w:val="21"/>
                    </w:rPr>
                    <w:t>40</w:t>
                  </w:r>
                </w:p>
              </w:tc>
              <w:tc>
                <w:tcPr>
                  <w:tcW w:w="790" w:type="dxa"/>
                  <w:vAlign w:val="center"/>
                </w:tcPr>
                <w:p w14:paraId="33E30ECA">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b/>
                      <w:bCs/>
                      <w:color w:val="auto"/>
                      <w:spacing w:val="1"/>
                      <w:sz w:val="21"/>
                      <w:szCs w:val="21"/>
                    </w:rPr>
                    <w:t>50</w:t>
                  </w:r>
                </w:p>
              </w:tc>
              <w:tc>
                <w:tcPr>
                  <w:tcW w:w="766" w:type="dxa"/>
                  <w:vAlign w:val="center"/>
                </w:tcPr>
                <w:p w14:paraId="29AC589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4"/>
                      <w:sz w:val="21"/>
                      <w:szCs w:val="21"/>
                    </w:rPr>
                    <w:t>昼间</w:t>
                  </w:r>
                </w:p>
              </w:tc>
            </w:tr>
            <w:tr w14:paraId="71AAD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7" w:type="dxa"/>
                  <w:vAlign w:val="center"/>
                </w:tcPr>
                <w:p w14:paraId="7F74BB9E">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1</w:t>
                  </w:r>
                </w:p>
              </w:tc>
              <w:tc>
                <w:tcPr>
                  <w:tcW w:w="1249" w:type="dxa"/>
                  <w:vAlign w:val="center"/>
                </w:tcPr>
                <w:p w14:paraId="556E07B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4"/>
                      <w:sz w:val="21"/>
                      <w:szCs w:val="21"/>
                    </w:rPr>
                    <w:t>装载机</w:t>
                  </w:r>
                </w:p>
              </w:tc>
              <w:tc>
                <w:tcPr>
                  <w:tcW w:w="704" w:type="dxa"/>
                  <w:vAlign w:val="center"/>
                </w:tcPr>
                <w:p w14:paraId="78682ADB">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90</w:t>
                  </w:r>
                </w:p>
              </w:tc>
              <w:tc>
                <w:tcPr>
                  <w:tcW w:w="541" w:type="dxa"/>
                  <w:vAlign w:val="center"/>
                </w:tcPr>
                <w:p w14:paraId="21F6EA9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76</w:t>
                  </w:r>
                </w:p>
              </w:tc>
              <w:tc>
                <w:tcPr>
                  <w:tcW w:w="762" w:type="dxa"/>
                  <w:vAlign w:val="center"/>
                </w:tcPr>
                <w:p w14:paraId="460EC4BC">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70</w:t>
                  </w:r>
                </w:p>
              </w:tc>
              <w:tc>
                <w:tcPr>
                  <w:tcW w:w="763" w:type="dxa"/>
                  <w:vAlign w:val="center"/>
                </w:tcPr>
                <w:p w14:paraId="78937335">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64</w:t>
                  </w:r>
                </w:p>
              </w:tc>
              <w:tc>
                <w:tcPr>
                  <w:tcW w:w="762" w:type="dxa"/>
                  <w:vAlign w:val="center"/>
                </w:tcPr>
                <w:p w14:paraId="2F4FAA6B">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60</w:t>
                  </w:r>
                </w:p>
              </w:tc>
              <w:tc>
                <w:tcPr>
                  <w:tcW w:w="763" w:type="dxa"/>
                  <w:vAlign w:val="center"/>
                </w:tcPr>
                <w:p w14:paraId="3F6BCB53">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58</w:t>
                  </w:r>
                </w:p>
              </w:tc>
              <w:tc>
                <w:tcPr>
                  <w:tcW w:w="790" w:type="dxa"/>
                  <w:vAlign w:val="center"/>
                </w:tcPr>
                <w:p w14:paraId="652F5FC5">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56</w:t>
                  </w:r>
                </w:p>
              </w:tc>
              <w:tc>
                <w:tcPr>
                  <w:tcW w:w="766" w:type="dxa"/>
                  <w:vMerge w:val="restart"/>
                  <w:tcBorders>
                    <w:bottom w:val="nil"/>
                  </w:tcBorders>
                  <w:vAlign w:val="center"/>
                </w:tcPr>
                <w:p w14:paraId="647056ED">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70</w:t>
                  </w:r>
                </w:p>
              </w:tc>
            </w:tr>
            <w:tr w14:paraId="5581F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7" w:type="dxa"/>
                  <w:vAlign w:val="center"/>
                </w:tcPr>
                <w:p w14:paraId="0415E39A">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2</w:t>
                  </w:r>
                </w:p>
              </w:tc>
              <w:tc>
                <w:tcPr>
                  <w:tcW w:w="1249" w:type="dxa"/>
                  <w:vAlign w:val="center"/>
                </w:tcPr>
                <w:p w14:paraId="156088D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3"/>
                      <w:sz w:val="21"/>
                      <w:szCs w:val="21"/>
                    </w:rPr>
                    <w:t>平地机</w:t>
                  </w:r>
                </w:p>
              </w:tc>
              <w:tc>
                <w:tcPr>
                  <w:tcW w:w="704" w:type="dxa"/>
                  <w:vAlign w:val="center"/>
                </w:tcPr>
                <w:p w14:paraId="2A37F97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90</w:t>
                  </w:r>
                </w:p>
              </w:tc>
              <w:tc>
                <w:tcPr>
                  <w:tcW w:w="541" w:type="dxa"/>
                  <w:vAlign w:val="center"/>
                </w:tcPr>
                <w:p w14:paraId="6EC6B3D5">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76</w:t>
                  </w:r>
                </w:p>
              </w:tc>
              <w:tc>
                <w:tcPr>
                  <w:tcW w:w="762" w:type="dxa"/>
                  <w:vAlign w:val="center"/>
                </w:tcPr>
                <w:p w14:paraId="13B0A5A4">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70</w:t>
                  </w:r>
                </w:p>
              </w:tc>
              <w:tc>
                <w:tcPr>
                  <w:tcW w:w="763" w:type="dxa"/>
                  <w:vAlign w:val="center"/>
                </w:tcPr>
                <w:p w14:paraId="19F7B109">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64</w:t>
                  </w:r>
                </w:p>
              </w:tc>
              <w:tc>
                <w:tcPr>
                  <w:tcW w:w="762" w:type="dxa"/>
                  <w:vAlign w:val="center"/>
                </w:tcPr>
                <w:p w14:paraId="3FC0FD0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60</w:t>
                  </w:r>
                </w:p>
              </w:tc>
              <w:tc>
                <w:tcPr>
                  <w:tcW w:w="763" w:type="dxa"/>
                  <w:vAlign w:val="center"/>
                </w:tcPr>
                <w:p w14:paraId="4C96327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58</w:t>
                  </w:r>
                </w:p>
              </w:tc>
              <w:tc>
                <w:tcPr>
                  <w:tcW w:w="790" w:type="dxa"/>
                  <w:vAlign w:val="center"/>
                </w:tcPr>
                <w:p w14:paraId="6265B96D">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56</w:t>
                  </w:r>
                </w:p>
              </w:tc>
              <w:tc>
                <w:tcPr>
                  <w:tcW w:w="766" w:type="dxa"/>
                  <w:vMerge w:val="continue"/>
                  <w:tcBorders>
                    <w:top w:val="nil"/>
                    <w:bottom w:val="nil"/>
                  </w:tcBorders>
                  <w:vAlign w:val="center"/>
                </w:tcPr>
                <w:p w14:paraId="3A816772">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Arial"/>
                      <w:color w:val="auto"/>
                      <w:sz w:val="21"/>
                      <w:szCs w:val="21"/>
                    </w:rPr>
                  </w:pPr>
                </w:p>
              </w:tc>
            </w:tr>
            <w:tr w14:paraId="635332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7" w:type="dxa"/>
                  <w:vAlign w:val="center"/>
                </w:tcPr>
                <w:p w14:paraId="0CC3CFC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3</w:t>
                  </w:r>
                </w:p>
              </w:tc>
              <w:tc>
                <w:tcPr>
                  <w:tcW w:w="1249" w:type="dxa"/>
                  <w:vAlign w:val="center"/>
                </w:tcPr>
                <w:p w14:paraId="45A1773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4"/>
                      <w:sz w:val="21"/>
                      <w:szCs w:val="21"/>
                    </w:rPr>
                    <w:t>推土机</w:t>
                  </w:r>
                </w:p>
              </w:tc>
              <w:tc>
                <w:tcPr>
                  <w:tcW w:w="704" w:type="dxa"/>
                  <w:vAlign w:val="center"/>
                </w:tcPr>
                <w:p w14:paraId="1F37E4FB">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86</w:t>
                  </w:r>
                </w:p>
              </w:tc>
              <w:tc>
                <w:tcPr>
                  <w:tcW w:w="541" w:type="dxa"/>
                  <w:vAlign w:val="center"/>
                </w:tcPr>
                <w:p w14:paraId="158F7353">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70</w:t>
                  </w:r>
                </w:p>
              </w:tc>
              <w:tc>
                <w:tcPr>
                  <w:tcW w:w="762" w:type="dxa"/>
                  <w:vAlign w:val="center"/>
                </w:tcPr>
                <w:p w14:paraId="7FE31E9A">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66</w:t>
                  </w:r>
                </w:p>
              </w:tc>
              <w:tc>
                <w:tcPr>
                  <w:tcW w:w="763" w:type="dxa"/>
                  <w:vAlign w:val="center"/>
                </w:tcPr>
                <w:p w14:paraId="1F0D7D15">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60</w:t>
                  </w:r>
                </w:p>
              </w:tc>
              <w:tc>
                <w:tcPr>
                  <w:tcW w:w="762" w:type="dxa"/>
                  <w:vAlign w:val="center"/>
                </w:tcPr>
                <w:p w14:paraId="586AE6B4">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56</w:t>
                  </w:r>
                </w:p>
              </w:tc>
              <w:tc>
                <w:tcPr>
                  <w:tcW w:w="763" w:type="dxa"/>
                  <w:vAlign w:val="center"/>
                </w:tcPr>
                <w:p w14:paraId="068CD715">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54</w:t>
                  </w:r>
                </w:p>
              </w:tc>
              <w:tc>
                <w:tcPr>
                  <w:tcW w:w="790" w:type="dxa"/>
                  <w:vAlign w:val="center"/>
                </w:tcPr>
                <w:p w14:paraId="1B319012">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52</w:t>
                  </w:r>
                </w:p>
              </w:tc>
              <w:tc>
                <w:tcPr>
                  <w:tcW w:w="766" w:type="dxa"/>
                  <w:vMerge w:val="continue"/>
                  <w:tcBorders>
                    <w:top w:val="nil"/>
                    <w:bottom w:val="nil"/>
                  </w:tcBorders>
                  <w:vAlign w:val="center"/>
                </w:tcPr>
                <w:p w14:paraId="2227BB51">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Arial"/>
                      <w:color w:val="auto"/>
                      <w:sz w:val="21"/>
                      <w:szCs w:val="21"/>
                    </w:rPr>
                  </w:pPr>
                </w:p>
              </w:tc>
            </w:tr>
            <w:tr w14:paraId="644ED9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7" w:type="dxa"/>
                  <w:vAlign w:val="center"/>
                </w:tcPr>
                <w:p w14:paraId="7543B637">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4</w:t>
                  </w:r>
                </w:p>
              </w:tc>
              <w:tc>
                <w:tcPr>
                  <w:tcW w:w="1249" w:type="dxa"/>
                  <w:vAlign w:val="center"/>
                </w:tcPr>
                <w:p w14:paraId="5AB9A4C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3"/>
                      <w:sz w:val="21"/>
                      <w:szCs w:val="21"/>
                    </w:rPr>
                    <w:t>挖掘机</w:t>
                  </w:r>
                </w:p>
              </w:tc>
              <w:tc>
                <w:tcPr>
                  <w:tcW w:w="704" w:type="dxa"/>
                  <w:vAlign w:val="center"/>
                </w:tcPr>
                <w:p w14:paraId="1526198B">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84</w:t>
                  </w:r>
                </w:p>
              </w:tc>
              <w:tc>
                <w:tcPr>
                  <w:tcW w:w="541" w:type="dxa"/>
                  <w:vAlign w:val="center"/>
                </w:tcPr>
                <w:p w14:paraId="66BF87B4">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70</w:t>
                  </w:r>
                </w:p>
              </w:tc>
              <w:tc>
                <w:tcPr>
                  <w:tcW w:w="762" w:type="dxa"/>
                  <w:vAlign w:val="center"/>
                </w:tcPr>
                <w:p w14:paraId="637C229F">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64</w:t>
                  </w:r>
                </w:p>
              </w:tc>
              <w:tc>
                <w:tcPr>
                  <w:tcW w:w="763" w:type="dxa"/>
                  <w:vAlign w:val="center"/>
                </w:tcPr>
                <w:p w14:paraId="425CBD8E">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58</w:t>
                  </w:r>
                </w:p>
              </w:tc>
              <w:tc>
                <w:tcPr>
                  <w:tcW w:w="762" w:type="dxa"/>
                  <w:vAlign w:val="center"/>
                </w:tcPr>
                <w:p w14:paraId="715BC7A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55</w:t>
                  </w:r>
                </w:p>
              </w:tc>
              <w:tc>
                <w:tcPr>
                  <w:tcW w:w="763" w:type="dxa"/>
                  <w:vAlign w:val="center"/>
                </w:tcPr>
                <w:p w14:paraId="06CAD4B5">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52</w:t>
                  </w:r>
                </w:p>
              </w:tc>
              <w:tc>
                <w:tcPr>
                  <w:tcW w:w="790" w:type="dxa"/>
                  <w:vAlign w:val="center"/>
                </w:tcPr>
                <w:p w14:paraId="374C9F4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50</w:t>
                  </w:r>
                </w:p>
              </w:tc>
              <w:tc>
                <w:tcPr>
                  <w:tcW w:w="766" w:type="dxa"/>
                  <w:vMerge w:val="continue"/>
                  <w:tcBorders>
                    <w:top w:val="nil"/>
                    <w:bottom w:val="nil"/>
                  </w:tcBorders>
                  <w:vAlign w:val="center"/>
                </w:tcPr>
                <w:p w14:paraId="001241FA">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Arial"/>
                      <w:color w:val="auto"/>
                      <w:sz w:val="21"/>
                      <w:szCs w:val="21"/>
                    </w:rPr>
                  </w:pPr>
                </w:p>
              </w:tc>
            </w:tr>
            <w:tr w14:paraId="0A1D2B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7" w:type="dxa"/>
                  <w:vAlign w:val="center"/>
                </w:tcPr>
                <w:p w14:paraId="7D668BA1">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w:t>
                  </w:r>
                </w:p>
              </w:tc>
              <w:tc>
                <w:tcPr>
                  <w:tcW w:w="1249" w:type="dxa"/>
                  <w:vAlign w:val="center"/>
                </w:tcPr>
                <w:p w14:paraId="51961DB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7"/>
                      <w:sz w:val="21"/>
                      <w:szCs w:val="21"/>
                    </w:rPr>
                    <w:t>柴油发电机</w:t>
                  </w:r>
                </w:p>
              </w:tc>
              <w:tc>
                <w:tcPr>
                  <w:tcW w:w="704" w:type="dxa"/>
                  <w:vAlign w:val="center"/>
                </w:tcPr>
                <w:p w14:paraId="554BC989">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5"/>
                      <w:sz w:val="21"/>
                      <w:szCs w:val="21"/>
                    </w:rPr>
                    <w:t>85</w:t>
                  </w:r>
                </w:p>
              </w:tc>
              <w:tc>
                <w:tcPr>
                  <w:tcW w:w="541" w:type="dxa"/>
                  <w:vAlign w:val="center"/>
                </w:tcPr>
                <w:p w14:paraId="750E3B8D">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1"/>
                      <w:sz w:val="21"/>
                      <w:szCs w:val="21"/>
                    </w:rPr>
                    <w:t>71</w:t>
                  </w:r>
                </w:p>
              </w:tc>
              <w:tc>
                <w:tcPr>
                  <w:tcW w:w="762" w:type="dxa"/>
                  <w:vAlign w:val="center"/>
                </w:tcPr>
                <w:p w14:paraId="31D97C12">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65</w:t>
                  </w:r>
                </w:p>
              </w:tc>
              <w:tc>
                <w:tcPr>
                  <w:tcW w:w="763" w:type="dxa"/>
                  <w:vAlign w:val="center"/>
                </w:tcPr>
                <w:p w14:paraId="5DB62FD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59</w:t>
                  </w:r>
                </w:p>
              </w:tc>
              <w:tc>
                <w:tcPr>
                  <w:tcW w:w="762" w:type="dxa"/>
                  <w:vAlign w:val="center"/>
                </w:tcPr>
                <w:p w14:paraId="1CDB0274">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55</w:t>
                  </w:r>
                </w:p>
              </w:tc>
              <w:tc>
                <w:tcPr>
                  <w:tcW w:w="763" w:type="dxa"/>
                  <w:vAlign w:val="center"/>
                </w:tcPr>
                <w:p w14:paraId="47DA157F">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53</w:t>
                  </w:r>
                </w:p>
              </w:tc>
              <w:tc>
                <w:tcPr>
                  <w:tcW w:w="790" w:type="dxa"/>
                  <w:vAlign w:val="center"/>
                </w:tcPr>
                <w:p w14:paraId="09B5A08E">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z w:val="21"/>
                      <w:szCs w:val="21"/>
                    </w:rPr>
                    <w:t>51</w:t>
                  </w:r>
                </w:p>
              </w:tc>
              <w:tc>
                <w:tcPr>
                  <w:tcW w:w="766" w:type="dxa"/>
                  <w:vMerge w:val="continue"/>
                  <w:tcBorders>
                    <w:top w:val="nil"/>
                  </w:tcBorders>
                  <w:vAlign w:val="center"/>
                </w:tcPr>
                <w:p w14:paraId="4C353E49">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Arial"/>
                      <w:color w:val="auto"/>
                      <w:sz w:val="21"/>
                      <w:szCs w:val="21"/>
                    </w:rPr>
                  </w:pPr>
                </w:p>
              </w:tc>
            </w:tr>
          </w:tbl>
          <w:p w14:paraId="4206B6C8">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510"/>
              <w:jc w:val="both"/>
              <w:textAlignment w:val="auto"/>
              <w:rPr>
                <w:color w:val="auto"/>
                <w:sz w:val="24"/>
                <w:szCs w:val="24"/>
              </w:rPr>
            </w:pPr>
            <w:r>
              <w:rPr>
                <w:color w:val="auto"/>
                <w:spacing w:val="-5"/>
                <w:sz w:val="24"/>
                <w:szCs w:val="24"/>
              </w:rPr>
              <w:t>由上表可见，在仅考虑距离衰减的情况下，至各噪声源</w:t>
            </w:r>
            <w:r>
              <w:rPr>
                <w:rFonts w:ascii="Times New Roman" w:hAnsi="Times New Roman" w:eastAsia="Times New Roman" w:cs="Times New Roman"/>
                <w:color w:val="auto"/>
                <w:spacing w:val="-5"/>
                <w:sz w:val="24"/>
                <w:szCs w:val="24"/>
              </w:rPr>
              <w:t>10m</w:t>
            </w:r>
            <w:r>
              <w:rPr>
                <w:color w:val="auto"/>
                <w:spacing w:val="-5"/>
                <w:sz w:val="24"/>
                <w:szCs w:val="24"/>
              </w:rPr>
              <w:t>处，各施工阶</w:t>
            </w:r>
            <w:r>
              <w:rPr>
                <w:color w:val="auto"/>
                <w:spacing w:val="22"/>
                <w:sz w:val="24"/>
                <w:szCs w:val="24"/>
              </w:rPr>
              <w:t>段主要噪声源噪声影响值方能达到</w:t>
            </w:r>
            <w:r>
              <w:rPr>
                <w:rFonts w:ascii="Times New Roman" w:hAnsi="Times New Roman" w:eastAsia="Times New Roman" w:cs="Times New Roman"/>
                <w:color w:val="auto"/>
                <w:spacing w:val="-2"/>
                <w:sz w:val="24"/>
                <w:szCs w:val="24"/>
              </w:rPr>
              <w:t>《</w:t>
            </w:r>
            <w:r>
              <w:rPr>
                <w:rFonts w:hint="eastAsia" w:ascii="Times New Roman" w:hAnsi="Times New Roman" w:eastAsia="Times New Roman" w:cs="Times New Roman"/>
                <w:color w:val="auto"/>
                <w:spacing w:val="-2"/>
                <w:sz w:val="24"/>
                <w:szCs w:val="24"/>
              </w:rPr>
              <w:t>建筑施工噪声排放标准</w:t>
            </w:r>
            <w:r>
              <w:rPr>
                <w:rFonts w:ascii="Times New Roman" w:hAnsi="Times New Roman" w:eastAsia="Times New Roman" w:cs="Times New Roman"/>
                <w:color w:val="auto"/>
                <w:spacing w:val="-2"/>
                <w:sz w:val="24"/>
                <w:szCs w:val="24"/>
              </w:rPr>
              <w:t>》（GB12523-20</w:t>
            </w:r>
            <w:r>
              <w:rPr>
                <w:rFonts w:hint="eastAsia" w:ascii="Times New Roman" w:eastAsia="宋体" w:cs="Times New Roman"/>
                <w:color w:val="auto"/>
                <w:spacing w:val="-2"/>
                <w:sz w:val="24"/>
                <w:szCs w:val="24"/>
                <w:lang w:val="en-US" w:eastAsia="zh-CN"/>
              </w:rPr>
              <w:t>25</w:t>
            </w:r>
            <w:r>
              <w:rPr>
                <w:rFonts w:ascii="Times New Roman" w:hAnsi="Times New Roman" w:eastAsia="Times New Roman" w:cs="Times New Roman"/>
                <w:color w:val="auto"/>
                <w:spacing w:val="-2"/>
                <w:sz w:val="24"/>
                <w:szCs w:val="24"/>
              </w:rPr>
              <w:t>）</w:t>
            </w:r>
            <w:r>
              <w:rPr>
                <w:color w:val="auto"/>
                <w:spacing w:val="-2"/>
                <w:sz w:val="24"/>
                <w:szCs w:val="24"/>
              </w:rPr>
              <w:t>昼间标准，施工阶段应合理安排施工时间，尽可能降低施工</w:t>
            </w:r>
            <w:r>
              <w:rPr>
                <w:color w:val="auto"/>
                <w:spacing w:val="-1"/>
                <w:sz w:val="24"/>
                <w:szCs w:val="24"/>
              </w:rPr>
              <w:t>噪声，在敏感点附近和施工运输便道敏感点附近设置警示标志和限速标志，做好施工围挡，设备选型上尽量采用低噪声设备，对于高噪声设备做好减振降噪</w:t>
            </w:r>
            <w:r>
              <w:rPr>
                <w:color w:val="auto"/>
                <w:spacing w:val="-2"/>
                <w:sz w:val="24"/>
                <w:szCs w:val="24"/>
              </w:rPr>
              <w:t>措施，文明施工。</w:t>
            </w:r>
          </w:p>
          <w:p w14:paraId="393FE645">
            <w:pPr>
              <w:pStyle w:val="65"/>
              <w:numPr>
                <w:ilvl w:val="0"/>
                <w:numId w:val="28"/>
              </w:numPr>
              <w:spacing w:before="40" w:line="360" w:lineRule="auto"/>
              <w:ind w:left="425" w:leftChars="0" w:hanging="425" w:firstLineChars="0"/>
              <w:rPr>
                <w:b/>
                <w:bCs/>
                <w:color w:val="auto"/>
                <w:spacing w:val="-3"/>
                <w:sz w:val="24"/>
                <w:szCs w:val="24"/>
              </w:rPr>
            </w:pPr>
            <w:r>
              <w:rPr>
                <w:b/>
                <w:bCs/>
                <w:color w:val="auto"/>
                <w:spacing w:val="-3"/>
                <w:sz w:val="24"/>
                <w:szCs w:val="24"/>
              </w:rPr>
              <w:t>固体废物影响分析</w:t>
            </w:r>
          </w:p>
          <w:p w14:paraId="78F2C8BB">
            <w:pPr>
              <w:pageBreakBefore w:val="0"/>
              <w:kinsoku/>
              <w:wordWrap/>
              <w:overflowPunct/>
              <w:bidi w:val="0"/>
              <w:spacing w:line="360" w:lineRule="auto"/>
              <w:ind w:left="0" w:leftChars="0" w:right="0" w:rightChars="0" w:firstLine="480"/>
              <w:rPr>
                <w:rFonts w:hint="default" w:ascii="Times New Roman" w:hAnsi="Times New Roman" w:eastAsia="宋体" w:cs="Times New Roman"/>
                <w:color w:val="auto"/>
                <w:sz w:val="24"/>
                <w:highlight w:val="none"/>
              </w:rPr>
            </w:pPr>
            <w:r>
              <w:rPr>
                <w:color w:val="auto"/>
                <w:spacing w:val="-1"/>
                <w:sz w:val="24"/>
                <w:szCs w:val="24"/>
              </w:rPr>
              <w:t>施工期产生的固体废弃物主要为工程施工产生的弃土、建筑垃圾</w:t>
            </w:r>
            <w:r>
              <w:rPr>
                <w:rFonts w:hint="eastAsia"/>
                <w:color w:val="auto"/>
                <w:spacing w:val="-7"/>
                <w:sz w:val="24"/>
                <w:szCs w:val="24"/>
                <w:lang w:eastAsia="zh-CN"/>
              </w:rPr>
              <w:t>、</w:t>
            </w:r>
            <w:r>
              <w:rPr>
                <w:rFonts w:hint="default" w:ascii="Times New Roman" w:hAnsi="Times New Roman" w:eastAsia="宋体" w:cs="Times New Roman"/>
                <w:color w:val="auto"/>
                <w:sz w:val="24"/>
                <w:highlight w:val="none"/>
              </w:rPr>
              <w:t>施工人员产生的生活垃圾。</w:t>
            </w:r>
          </w:p>
          <w:p w14:paraId="277F2624">
            <w:pPr>
              <w:pStyle w:val="65"/>
              <w:keepNext w:val="0"/>
              <w:keepLines w:val="0"/>
              <w:pageBreakBefore w:val="0"/>
              <w:widowControl w:val="0"/>
              <w:numPr>
                <w:ilvl w:val="0"/>
                <w:numId w:val="34"/>
              </w:numPr>
              <w:kinsoku/>
              <w:wordWrap/>
              <w:topLinePunct w:val="0"/>
              <w:autoSpaceDE/>
              <w:autoSpaceDN/>
              <w:bidi w:val="0"/>
              <w:adjustRightInd w:val="0"/>
              <w:snapToGrid w:val="0"/>
              <w:spacing w:line="360" w:lineRule="auto"/>
              <w:ind w:left="425" w:leftChars="0" w:hanging="425" w:firstLineChars="0"/>
              <w:textAlignment w:val="auto"/>
              <w:rPr>
                <w:rFonts w:hint="default" w:ascii="Times New Roman" w:hAnsi="Times New Roman" w:eastAsia="宋体" w:cs="Times New Roman"/>
                <w:color w:val="auto"/>
                <w:spacing w:val="-1"/>
                <w:kern w:val="2"/>
                <w:sz w:val="24"/>
                <w:szCs w:val="24"/>
                <w:lang w:val="en-US" w:eastAsia="zh-CN" w:bidi="ar-SA"/>
              </w:rPr>
            </w:pPr>
            <w:r>
              <w:rPr>
                <w:rFonts w:hint="default" w:ascii="Times New Roman" w:hAnsi="Times New Roman" w:eastAsia="宋体" w:cs="Times New Roman"/>
                <w:color w:val="auto"/>
                <w:spacing w:val="-1"/>
                <w:kern w:val="2"/>
                <w:sz w:val="24"/>
                <w:szCs w:val="24"/>
                <w:lang w:val="en-US" w:eastAsia="zh-CN" w:bidi="ar-SA"/>
              </w:rPr>
              <w:t>弃土</w:t>
            </w:r>
          </w:p>
          <w:p w14:paraId="416AA82C">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firstLine="476" w:firstLineChars="200"/>
              <w:textAlignment w:val="auto"/>
              <w:rPr>
                <w:rFonts w:hint="default" w:ascii="Times New Roman" w:hAnsi="Times New Roman" w:cs="Times New Roman"/>
                <w:color w:val="auto"/>
                <w:spacing w:val="-1"/>
                <w:kern w:val="2"/>
                <w:sz w:val="24"/>
                <w:szCs w:val="24"/>
                <w:lang w:val="en-US" w:eastAsia="zh-CN" w:bidi="ar-SA"/>
              </w:rPr>
            </w:pPr>
            <w:r>
              <w:rPr>
                <w:rFonts w:hint="default" w:ascii="Times New Roman" w:hAnsi="Times New Roman" w:eastAsia="宋体" w:cs="Times New Roman"/>
                <w:color w:val="auto"/>
                <w:spacing w:val="-1"/>
                <w:kern w:val="2"/>
                <w:sz w:val="24"/>
                <w:szCs w:val="24"/>
                <w:lang w:val="en-US" w:eastAsia="zh-CN" w:bidi="ar-SA"/>
              </w:rPr>
              <w:t>本工程开挖总量40.06万</w:t>
            </w:r>
            <w:r>
              <w:rPr>
                <w:rFonts w:hint="default" w:ascii="Times New Roman" w:hAnsi="Times New Roman" w:cs="Times New Roman"/>
                <w:color w:val="auto"/>
                <w:spacing w:val="-1"/>
                <w:kern w:val="2"/>
                <w:sz w:val="24"/>
                <w:szCs w:val="24"/>
                <w:lang w:val="en-US" w:eastAsia="zh-CN" w:bidi="ar-SA"/>
              </w:rPr>
              <w:t>m</w:t>
            </w:r>
            <w:r>
              <w:rPr>
                <w:rFonts w:hint="default" w:ascii="Times New Roman" w:hAnsi="Times New Roman" w:cs="Times New Roman"/>
                <w:color w:val="auto"/>
                <w:spacing w:val="-1"/>
                <w:kern w:val="2"/>
                <w:sz w:val="24"/>
                <w:szCs w:val="24"/>
                <w:vertAlign w:val="superscript"/>
                <w:lang w:val="en-US" w:eastAsia="zh-CN" w:bidi="ar-SA"/>
              </w:rPr>
              <w:t>3</w:t>
            </w:r>
            <w:r>
              <w:rPr>
                <w:rFonts w:hint="default" w:ascii="Times New Roman" w:hAnsi="Times New Roman" w:eastAsia="宋体" w:cs="Times New Roman"/>
                <w:color w:val="auto"/>
                <w:spacing w:val="-1"/>
                <w:kern w:val="2"/>
                <w:sz w:val="24"/>
                <w:szCs w:val="24"/>
                <w:lang w:val="en-US" w:eastAsia="zh-CN" w:bidi="ar-SA"/>
              </w:rPr>
              <w:t>，回填15.1万</w:t>
            </w:r>
            <w:r>
              <w:rPr>
                <w:rFonts w:hint="default" w:ascii="Times New Roman" w:hAnsi="Times New Roman" w:cs="Times New Roman"/>
                <w:color w:val="auto"/>
                <w:spacing w:val="-1"/>
                <w:kern w:val="2"/>
                <w:sz w:val="24"/>
                <w:szCs w:val="24"/>
                <w:lang w:val="en-US" w:eastAsia="zh-CN" w:bidi="ar-SA"/>
              </w:rPr>
              <w:t>m</w:t>
            </w:r>
            <w:r>
              <w:rPr>
                <w:rFonts w:hint="default" w:ascii="Times New Roman" w:hAnsi="Times New Roman" w:cs="Times New Roman"/>
                <w:color w:val="auto"/>
                <w:spacing w:val="-1"/>
                <w:kern w:val="2"/>
                <w:sz w:val="24"/>
                <w:szCs w:val="24"/>
                <w:vertAlign w:val="superscript"/>
                <w:lang w:val="en-US" w:eastAsia="zh-CN" w:bidi="ar-SA"/>
              </w:rPr>
              <w:t>3</w:t>
            </w:r>
            <w:r>
              <w:rPr>
                <w:rFonts w:hint="default" w:ascii="Times New Roman" w:hAnsi="Times New Roman" w:eastAsia="宋体" w:cs="Times New Roman"/>
                <w:color w:val="auto"/>
                <w:spacing w:val="-1"/>
                <w:kern w:val="2"/>
                <w:sz w:val="24"/>
                <w:szCs w:val="24"/>
                <w:lang w:val="en-US" w:eastAsia="zh-CN" w:bidi="ar-SA"/>
              </w:rPr>
              <w:t>，弃方24.96万</w:t>
            </w:r>
            <w:r>
              <w:rPr>
                <w:rFonts w:hint="default" w:ascii="Times New Roman" w:hAnsi="Times New Roman" w:cs="Times New Roman"/>
                <w:color w:val="auto"/>
                <w:spacing w:val="-1"/>
                <w:kern w:val="2"/>
                <w:sz w:val="24"/>
                <w:szCs w:val="24"/>
                <w:lang w:val="en-US" w:eastAsia="zh-CN" w:bidi="ar-SA"/>
              </w:rPr>
              <w:t>m</w:t>
            </w:r>
            <w:r>
              <w:rPr>
                <w:rFonts w:hint="default" w:ascii="Times New Roman" w:hAnsi="Times New Roman" w:cs="Times New Roman"/>
                <w:color w:val="auto"/>
                <w:spacing w:val="-1"/>
                <w:kern w:val="2"/>
                <w:sz w:val="24"/>
                <w:szCs w:val="24"/>
                <w:vertAlign w:val="superscript"/>
                <w:lang w:val="en-US" w:eastAsia="zh-CN" w:bidi="ar-SA"/>
              </w:rPr>
              <w:t>3</w:t>
            </w:r>
            <w:r>
              <w:rPr>
                <w:rFonts w:hint="default" w:ascii="Times New Roman" w:hAnsi="Times New Roman" w:eastAsia="宋体" w:cs="Times New Roman"/>
                <w:color w:val="auto"/>
                <w:spacing w:val="-1"/>
                <w:kern w:val="2"/>
                <w:sz w:val="24"/>
                <w:szCs w:val="24"/>
                <w:lang w:val="en-US" w:eastAsia="zh-CN" w:bidi="ar-SA"/>
              </w:rPr>
              <w:t>，大部分为覆盖层清除</w:t>
            </w:r>
            <w:r>
              <w:rPr>
                <w:rFonts w:hint="eastAsia" w:ascii="Times New Roman" w:hAnsi="Times New Roman" w:cs="Times New Roman"/>
                <w:color w:val="auto"/>
                <w:spacing w:val="-1"/>
                <w:kern w:val="2"/>
                <w:sz w:val="24"/>
                <w:szCs w:val="24"/>
                <w:lang w:val="en-US" w:eastAsia="zh-CN" w:bidi="ar-SA"/>
              </w:rPr>
              <w:t>。</w:t>
            </w:r>
            <w:r>
              <w:rPr>
                <w:rFonts w:hint="default" w:ascii="Times New Roman" w:hAnsi="Times New Roman" w:eastAsia="宋体" w:cs="Times New Roman"/>
                <w:color w:val="auto"/>
                <w:spacing w:val="-1"/>
                <w:kern w:val="2"/>
                <w:sz w:val="24"/>
                <w:szCs w:val="24"/>
                <w:lang w:val="en-US" w:eastAsia="zh-CN" w:bidi="ar-SA"/>
              </w:rPr>
              <w:t>弃土方应严格按照《城市建筑垃圾管理规定》</w:t>
            </w:r>
            <w:r>
              <w:rPr>
                <w:rFonts w:hint="eastAsia" w:ascii="Times New Roman" w:hAnsi="Times New Roman" w:cs="Times New Roman"/>
                <w:color w:val="auto"/>
                <w:spacing w:val="-1"/>
                <w:kern w:val="2"/>
                <w:sz w:val="24"/>
                <w:szCs w:val="24"/>
                <w:lang w:val="en-US" w:eastAsia="zh-CN" w:bidi="ar-SA"/>
              </w:rPr>
              <w:t>，本着</w:t>
            </w:r>
            <w:r>
              <w:rPr>
                <w:rFonts w:hint="eastAsia" w:cs="Times New Roman"/>
                <w:color w:val="auto"/>
                <w:sz w:val="24"/>
                <w:highlight w:val="none"/>
                <w:lang w:val="en-US" w:eastAsia="zh-CN"/>
              </w:rPr>
              <w:t>分类收集、分区存放原则，有限用于项目自身，剩余部分拉至相关政府部门指定弃渣场</w:t>
            </w:r>
            <w:r>
              <w:rPr>
                <w:rFonts w:hint="eastAsia" w:ascii="Times New Roman" w:hAnsi="Times New Roman" w:cs="Times New Roman"/>
                <w:color w:val="auto"/>
                <w:spacing w:val="-4"/>
                <w:sz w:val="24"/>
                <w:szCs w:val="24"/>
                <w:lang w:val="en-US" w:eastAsia="zh-CN"/>
              </w:rPr>
              <w:t>。</w:t>
            </w:r>
          </w:p>
          <w:p w14:paraId="519B612D">
            <w:pPr>
              <w:pStyle w:val="65"/>
              <w:keepNext w:val="0"/>
              <w:keepLines w:val="0"/>
              <w:pageBreakBefore w:val="0"/>
              <w:widowControl w:val="0"/>
              <w:numPr>
                <w:ilvl w:val="0"/>
                <w:numId w:val="34"/>
              </w:numPr>
              <w:kinsoku/>
              <w:wordWrap/>
              <w:topLinePunct w:val="0"/>
              <w:autoSpaceDE/>
              <w:autoSpaceDN/>
              <w:bidi w:val="0"/>
              <w:adjustRightInd w:val="0"/>
              <w:snapToGrid w:val="0"/>
              <w:spacing w:line="360" w:lineRule="auto"/>
              <w:ind w:left="425" w:leftChars="0" w:hanging="425" w:firstLineChars="0"/>
              <w:textAlignment w:val="auto"/>
              <w:rPr>
                <w:rFonts w:hint="default" w:ascii="Times New Roman" w:hAnsi="Times New Roman" w:eastAsia="宋体" w:cs="Times New Roman"/>
                <w:color w:val="auto"/>
                <w:spacing w:val="-1"/>
                <w:kern w:val="2"/>
                <w:sz w:val="24"/>
                <w:szCs w:val="24"/>
                <w:lang w:val="en-US" w:eastAsia="zh-CN" w:bidi="ar-SA"/>
              </w:rPr>
            </w:pPr>
            <w:r>
              <w:rPr>
                <w:rFonts w:hint="default" w:ascii="Times New Roman" w:hAnsi="Times New Roman" w:eastAsia="宋体" w:cs="Times New Roman"/>
                <w:color w:val="auto"/>
                <w:spacing w:val="-1"/>
                <w:kern w:val="2"/>
                <w:sz w:val="24"/>
                <w:szCs w:val="24"/>
                <w:lang w:val="en-US" w:eastAsia="zh-CN" w:bidi="ar-SA"/>
              </w:rPr>
              <w:t>建筑垃圾</w:t>
            </w:r>
          </w:p>
          <w:p w14:paraId="41BDE8F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6"/>
              <w:textAlignment w:val="auto"/>
              <w:rPr>
                <w:rFonts w:hint="default" w:ascii="Times New Roman" w:hAnsi="Times New Roman" w:eastAsia="宋体" w:cs="Times New Roman"/>
                <w:color w:val="auto"/>
                <w:spacing w:val="-1"/>
                <w:kern w:val="2"/>
                <w:sz w:val="24"/>
                <w:szCs w:val="24"/>
                <w:lang w:val="en-US" w:eastAsia="zh-CN" w:bidi="ar-SA"/>
              </w:rPr>
            </w:pPr>
            <w:r>
              <w:rPr>
                <w:rFonts w:hint="eastAsia" w:cs="Times New Roman"/>
                <w:color w:val="auto"/>
                <w:sz w:val="24"/>
                <w:highlight w:val="none"/>
                <w:lang w:val="en-US" w:eastAsia="zh-CN"/>
              </w:rPr>
              <w:t>施工过程中各环节产生的建筑垃圾遵循分类收集、分区存放、密闭运输、规范处置的原则，在存放过程中进行防尘网苫盖等措施减少对周边环境的影响，在运输过程中采用环保土方车密闭运输，严格遵守《建筑垃圾污染控制技术规范》相关要求。</w:t>
            </w:r>
            <w:r>
              <w:rPr>
                <w:rFonts w:hint="default" w:ascii="Times New Roman" w:hAnsi="Times New Roman" w:eastAsia="宋体" w:cs="Times New Roman"/>
                <w:color w:val="auto"/>
                <w:spacing w:val="-1"/>
                <w:kern w:val="2"/>
                <w:sz w:val="24"/>
                <w:szCs w:val="24"/>
                <w:lang w:val="en-US" w:eastAsia="zh-CN" w:bidi="ar-SA"/>
              </w:rPr>
              <w:t>能够回收利用的</w:t>
            </w:r>
            <w:r>
              <w:rPr>
                <w:rFonts w:hint="eastAsia" w:ascii="Times New Roman" w:hAnsi="Times New Roman" w:eastAsia="宋体" w:cs="Times New Roman"/>
                <w:color w:val="auto"/>
                <w:spacing w:val="-1"/>
                <w:kern w:val="2"/>
                <w:sz w:val="24"/>
                <w:szCs w:val="24"/>
                <w:lang w:val="en-US" w:eastAsia="zh-CN" w:bidi="ar-SA"/>
              </w:rPr>
              <w:t>，</w:t>
            </w:r>
            <w:r>
              <w:rPr>
                <w:rFonts w:hint="default" w:ascii="Times New Roman" w:hAnsi="Times New Roman" w:eastAsia="宋体" w:cs="Times New Roman"/>
                <w:color w:val="auto"/>
                <w:spacing w:val="-1"/>
                <w:kern w:val="2"/>
                <w:sz w:val="24"/>
                <w:szCs w:val="24"/>
                <w:lang w:val="en-US" w:eastAsia="zh-CN" w:bidi="ar-SA"/>
              </w:rPr>
              <w:t>如废铁、废钢筋等</w:t>
            </w:r>
            <w:r>
              <w:rPr>
                <w:rFonts w:hint="eastAsia" w:ascii="Times New Roman" w:hAnsi="Times New Roman" w:eastAsia="宋体" w:cs="Times New Roman"/>
                <w:color w:val="auto"/>
                <w:spacing w:val="-1"/>
                <w:kern w:val="2"/>
                <w:sz w:val="24"/>
                <w:szCs w:val="24"/>
                <w:lang w:val="en-US" w:eastAsia="zh-CN" w:bidi="ar-SA"/>
              </w:rPr>
              <w:t>，</w:t>
            </w:r>
            <w:r>
              <w:rPr>
                <w:rFonts w:hint="default" w:ascii="Times New Roman" w:hAnsi="Times New Roman" w:eastAsia="宋体" w:cs="Times New Roman"/>
                <w:color w:val="auto"/>
                <w:spacing w:val="-1"/>
                <w:kern w:val="2"/>
                <w:sz w:val="24"/>
                <w:szCs w:val="24"/>
                <w:lang w:val="en-US" w:eastAsia="zh-CN" w:bidi="ar-SA"/>
              </w:rPr>
              <w:t>尽量回收综合利用，以节约资源；对于不能回收利用的要进行收集</w:t>
            </w:r>
            <w:r>
              <w:rPr>
                <w:rFonts w:hint="eastAsia" w:ascii="Times New Roman" w:hAnsi="Times New Roman" w:cs="Times New Roman"/>
                <w:color w:val="auto"/>
                <w:spacing w:val="-1"/>
                <w:kern w:val="2"/>
                <w:sz w:val="24"/>
                <w:szCs w:val="24"/>
                <w:lang w:val="en-US" w:eastAsia="zh-CN" w:bidi="ar-SA"/>
              </w:rPr>
              <w:t>并在</w:t>
            </w:r>
            <w:r>
              <w:rPr>
                <w:rFonts w:hint="default" w:ascii="Times New Roman" w:hAnsi="Times New Roman" w:eastAsia="宋体" w:cs="Times New Roman"/>
                <w:color w:val="auto"/>
                <w:spacing w:val="-1"/>
                <w:kern w:val="2"/>
                <w:sz w:val="24"/>
                <w:szCs w:val="24"/>
                <w:lang w:val="en-US" w:eastAsia="zh-CN" w:bidi="ar-SA"/>
              </w:rPr>
              <w:t>固定地点集中暂存，分段施工完成后及时处理，拉运至县建筑垃圾填埋场填埋处置。</w:t>
            </w:r>
          </w:p>
          <w:p w14:paraId="1789DADA">
            <w:pPr>
              <w:pStyle w:val="65"/>
              <w:keepNext w:val="0"/>
              <w:keepLines w:val="0"/>
              <w:pageBreakBefore w:val="0"/>
              <w:widowControl w:val="0"/>
              <w:numPr>
                <w:ilvl w:val="0"/>
                <w:numId w:val="34"/>
              </w:numPr>
              <w:kinsoku/>
              <w:wordWrap/>
              <w:topLinePunct w:val="0"/>
              <w:autoSpaceDE/>
              <w:autoSpaceDN/>
              <w:bidi w:val="0"/>
              <w:adjustRightInd w:val="0"/>
              <w:snapToGrid w:val="0"/>
              <w:spacing w:line="360" w:lineRule="auto"/>
              <w:ind w:left="425" w:leftChars="0" w:hanging="425" w:firstLineChars="0"/>
              <w:textAlignment w:val="auto"/>
              <w:rPr>
                <w:rFonts w:hint="default" w:ascii="Times New Roman" w:hAnsi="Times New Roman" w:eastAsia="宋体" w:cs="Times New Roman"/>
                <w:color w:val="auto"/>
                <w:spacing w:val="-1"/>
                <w:kern w:val="2"/>
                <w:sz w:val="24"/>
                <w:szCs w:val="24"/>
                <w:lang w:val="en-US" w:eastAsia="zh-CN" w:bidi="ar-SA"/>
              </w:rPr>
            </w:pPr>
            <w:r>
              <w:rPr>
                <w:rFonts w:hint="eastAsia" w:ascii="Times New Roman" w:hAnsi="Times New Roman" w:eastAsia="宋体" w:cs="Times New Roman"/>
                <w:color w:val="auto"/>
                <w:spacing w:val="-1"/>
                <w:kern w:val="2"/>
                <w:sz w:val="24"/>
                <w:szCs w:val="24"/>
                <w:lang w:val="en-US" w:eastAsia="zh-CN" w:bidi="ar-SA"/>
              </w:rPr>
              <w:t>施工人员生活</w:t>
            </w:r>
            <w:r>
              <w:rPr>
                <w:rFonts w:hint="default" w:ascii="Times New Roman" w:hAnsi="Times New Roman" w:eastAsia="宋体" w:cs="Times New Roman"/>
                <w:color w:val="auto"/>
                <w:spacing w:val="-1"/>
                <w:kern w:val="2"/>
                <w:sz w:val="24"/>
                <w:szCs w:val="24"/>
                <w:lang w:val="en-US" w:eastAsia="zh-CN" w:bidi="ar-SA"/>
              </w:rPr>
              <w:t>垃圾</w:t>
            </w:r>
          </w:p>
          <w:p w14:paraId="7BE62B7E">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6"/>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pacing w:val="-1"/>
                <w:kern w:val="2"/>
                <w:sz w:val="24"/>
                <w:szCs w:val="24"/>
                <w:lang w:val="en-US" w:eastAsia="zh-CN" w:bidi="ar-SA"/>
              </w:rPr>
              <w:t>在渠道工程建设施工活</w:t>
            </w:r>
            <w:r>
              <w:rPr>
                <w:rFonts w:hint="eastAsia" w:ascii="Times New Roman" w:hAnsi="Times New Roman" w:cs="Times New Roman"/>
                <w:color w:val="auto"/>
                <w:spacing w:val="-1"/>
                <w:kern w:val="2"/>
                <w:sz w:val="24"/>
                <w:szCs w:val="24"/>
                <w:lang w:val="en-US" w:eastAsia="zh-CN" w:bidi="ar-SA"/>
              </w:rPr>
              <w:t>动中</w:t>
            </w:r>
            <w:r>
              <w:rPr>
                <w:rFonts w:hint="default" w:ascii="Times New Roman" w:hAnsi="Times New Roman" w:eastAsia="宋体" w:cs="Times New Roman"/>
                <w:color w:val="auto"/>
                <w:spacing w:val="-1"/>
                <w:kern w:val="2"/>
                <w:sz w:val="24"/>
                <w:szCs w:val="24"/>
                <w:lang w:val="en-US" w:eastAsia="zh-CN" w:bidi="ar-SA"/>
              </w:rPr>
              <w:t>将产生弃土，施工过程中施工人员产生的生活垃圾。施工高峰期施工人数为155人，以每人每天产生按1kg计算，则产生量为155kg/d。</w:t>
            </w:r>
            <w:r>
              <w:rPr>
                <w:rFonts w:hint="default" w:ascii="Times New Roman" w:hAnsi="Times New Roman" w:eastAsia="宋体" w:cs="Times New Roman"/>
                <w:color w:val="auto"/>
                <w:sz w:val="24"/>
                <w:highlight w:val="none"/>
              </w:rPr>
              <w:t>由各施工单位集中袋装收集后交由环卫部门清运至奇台县生活垃圾填埋场处理。</w:t>
            </w:r>
          </w:p>
          <w:p w14:paraId="584CB78F">
            <w:pPr>
              <w:pStyle w:val="65"/>
              <w:numPr>
                <w:ilvl w:val="0"/>
                <w:numId w:val="28"/>
              </w:numPr>
              <w:spacing w:before="40" w:line="360" w:lineRule="auto"/>
              <w:ind w:left="425" w:leftChars="0" w:hanging="425" w:firstLineChars="0"/>
              <w:rPr>
                <w:b/>
                <w:bCs/>
                <w:color w:val="auto"/>
                <w:spacing w:val="-3"/>
                <w:sz w:val="24"/>
                <w:szCs w:val="24"/>
              </w:rPr>
            </w:pPr>
            <w:r>
              <w:rPr>
                <w:b/>
                <w:bCs/>
                <w:color w:val="auto"/>
                <w:spacing w:val="-3"/>
                <w:sz w:val="24"/>
                <w:szCs w:val="24"/>
              </w:rPr>
              <w:t>生态环境影响评价</w:t>
            </w:r>
          </w:p>
          <w:p w14:paraId="640CC67E">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9"/>
              <w:textAlignment w:val="auto"/>
              <w:rPr>
                <w:color w:val="auto"/>
                <w:sz w:val="24"/>
                <w:szCs w:val="24"/>
              </w:rPr>
            </w:pPr>
            <w:r>
              <w:rPr>
                <w:color w:val="auto"/>
                <w:spacing w:val="-1"/>
                <w:sz w:val="24"/>
                <w:szCs w:val="24"/>
              </w:rPr>
              <w:t>本项目为河道防洪</w:t>
            </w:r>
            <w:r>
              <w:rPr>
                <w:rFonts w:hint="eastAsia"/>
                <w:color w:val="auto"/>
                <w:spacing w:val="-1"/>
                <w:sz w:val="24"/>
                <w:szCs w:val="24"/>
                <w:lang w:val="en-US" w:eastAsia="zh-CN"/>
              </w:rPr>
              <w:t>治理项目</w:t>
            </w:r>
            <w:r>
              <w:rPr>
                <w:color w:val="auto"/>
                <w:spacing w:val="-1"/>
                <w:sz w:val="24"/>
                <w:szCs w:val="24"/>
              </w:rPr>
              <w:t>，</w:t>
            </w:r>
            <w:r>
              <w:rPr>
                <w:rFonts w:hint="eastAsia"/>
                <w:color w:val="auto"/>
                <w:spacing w:val="-1"/>
                <w:sz w:val="24"/>
                <w:szCs w:val="24"/>
                <w:lang w:val="en-US" w:eastAsia="zh-CN"/>
              </w:rPr>
              <w:t>项目施工工艺流程为土方清废、土方开挖、护岸填筑、格宾石笼施工、土方回填、竣工验收。</w:t>
            </w:r>
            <w:r>
              <w:rPr>
                <w:color w:val="auto"/>
                <w:spacing w:val="-1"/>
                <w:sz w:val="24"/>
                <w:szCs w:val="24"/>
              </w:rPr>
              <w:t>项目的建设及运营将不可避免地对区域</w:t>
            </w:r>
            <w:r>
              <w:rPr>
                <w:color w:val="auto"/>
                <w:spacing w:val="-2"/>
                <w:sz w:val="24"/>
                <w:szCs w:val="24"/>
              </w:rPr>
              <w:t>生态环境产生一定影响。</w:t>
            </w:r>
          </w:p>
          <w:p w14:paraId="1005FF61">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6"/>
              <w:jc w:val="both"/>
              <w:textAlignment w:val="auto"/>
              <w:rPr>
                <w:rFonts w:hint="eastAsia" w:ascii="Times New Roman" w:hAnsi="Times New Roman" w:cs="Times New Roman"/>
                <w:color w:val="auto"/>
                <w:spacing w:val="-1"/>
                <w:kern w:val="2"/>
                <w:sz w:val="24"/>
                <w:szCs w:val="24"/>
                <w:lang w:val="en-US" w:eastAsia="zh-CN" w:bidi="ar-SA"/>
              </w:rPr>
            </w:pPr>
            <w:r>
              <w:rPr>
                <w:rFonts w:hint="eastAsia" w:ascii="Times New Roman" w:hAnsi="Times New Roman" w:cs="Times New Roman"/>
                <w:color w:val="auto"/>
                <w:spacing w:val="-1"/>
                <w:kern w:val="2"/>
                <w:sz w:val="24"/>
                <w:szCs w:val="24"/>
                <w:lang w:val="en-US" w:eastAsia="zh-CN" w:bidi="ar-SA"/>
              </w:rPr>
              <w:t>本项目总占地面积561.59亩，其中永久用地面积308.64亩，临时用地面积252.95亩，项目的建设改变了土地利用现状。施工期的基础开挖等施工活动对生态环境的影响主要是对土壤、动植物、水生生态、区域景观的影响等。</w:t>
            </w:r>
          </w:p>
          <w:p w14:paraId="543259DC">
            <w:pPr>
              <w:pStyle w:val="65"/>
              <w:keepNext w:val="0"/>
              <w:keepLines w:val="0"/>
              <w:pageBreakBefore w:val="0"/>
              <w:widowControl w:val="0"/>
              <w:numPr>
                <w:ilvl w:val="0"/>
                <w:numId w:val="35"/>
              </w:numPr>
              <w:kinsoku/>
              <w:wordWrap/>
              <w:overflowPunct/>
              <w:topLinePunct w:val="0"/>
              <w:autoSpaceDE/>
              <w:autoSpaceDN/>
              <w:bidi w:val="0"/>
              <w:adjustRightInd w:val="0"/>
              <w:snapToGrid w:val="0"/>
              <w:spacing w:line="360" w:lineRule="auto"/>
              <w:ind w:left="425" w:leftChars="0" w:right="0" w:hanging="425" w:firstLineChars="0"/>
              <w:textAlignment w:val="auto"/>
              <w:rPr>
                <w:color w:val="auto"/>
                <w:sz w:val="24"/>
                <w:szCs w:val="24"/>
              </w:rPr>
            </w:pPr>
            <w:r>
              <w:rPr>
                <w:color w:val="auto"/>
                <w:spacing w:val="-2"/>
                <w:sz w:val="24"/>
                <w:szCs w:val="24"/>
              </w:rPr>
              <w:t>对水生生态的影响分析</w:t>
            </w:r>
          </w:p>
          <w:p w14:paraId="4A06240E">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8"/>
              <w:jc w:val="both"/>
              <w:textAlignment w:val="auto"/>
              <w:rPr>
                <w:rFonts w:hint="eastAsia"/>
                <w:color w:val="auto"/>
                <w:spacing w:val="-1"/>
                <w:sz w:val="24"/>
                <w:szCs w:val="24"/>
                <w:lang w:val="en-US" w:eastAsia="zh-CN"/>
              </w:rPr>
            </w:pPr>
            <w:r>
              <w:rPr>
                <w:rFonts w:hint="default" w:ascii="Times New Roman" w:hAnsi="Times New Roman" w:eastAsia="宋体" w:cs="Times New Roman"/>
                <w:bCs/>
                <w:color w:val="auto"/>
                <w:sz w:val="24"/>
                <w:lang w:eastAsia="zh-CN"/>
              </w:rPr>
              <w:t>项目施工期均选择在</w:t>
            </w:r>
            <w:r>
              <w:rPr>
                <w:rFonts w:hint="eastAsia" w:ascii="Times New Roman" w:hAnsi="Times New Roman" w:eastAsia="宋体" w:cs="Times New Roman"/>
                <w:bCs/>
                <w:color w:val="auto"/>
                <w:sz w:val="24"/>
                <w:lang w:eastAsia="zh-CN"/>
              </w:rPr>
              <w:t>枯水</w:t>
            </w:r>
            <w:r>
              <w:rPr>
                <w:rFonts w:hint="default" w:ascii="Times New Roman" w:hAnsi="Times New Roman" w:eastAsia="宋体" w:cs="Times New Roman"/>
                <w:bCs/>
                <w:color w:val="auto"/>
                <w:sz w:val="24"/>
                <w:lang w:eastAsia="zh-CN"/>
              </w:rPr>
              <w:t>期，渠道内无水流通过，施工废水经沉淀处理后回用或用于场地洒水抑尘，不排入地表水体。</w:t>
            </w:r>
            <w:r>
              <w:rPr>
                <w:rFonts w:hint="eastAsia"/>
                <w:color w:val="auto"/>
                <w:spacing w:val="-1"/>
                <w:sz w:val="24"/>
                <w:szCs w:val="24"/>
                <w:lang w:val="en-US" w:eastAsia="zh-CN"/>
              </w:rPr>
              <w:t>河道应该在施工中严格控制占地，减少对周围生态环境的扰动，降低施工活动对河道内水生生态受到影响，施工期间属于</w:t>
            </w:r>
            <w:r>
              <w:rPr>
                <w:rFonts w:hint="eastAsia" w:ascii="Times New Roman" w:hAnsi="Times New Roman" w:eastAsia="宋体" w:cs="Times New Roman"/>
                <w:bCs/>
                <w:color w:val="auto"/>
                <w:sz w:val="24"/>
                <w:lang w:eastAsia="zh-CN"/>
              </w:rPr>
              <w:t>枯水</w:t>
            </w:r>
            <w:r>
              <w:rPr>
                <w:rFonts w:hint="default" w:ascii="Times New Roman" w:hAnsi="Times New Roman" w:eastAsia="宋体" w:cs="Times New Roman"/>
                <w:bCs/>
                <w:color w:val="auto"/>
                <w:sz w:val="24"/>
                <w:lang w:eastAsia="zh-CN"/>
              </w:rPr>
              <w:t>期</w:t>
            </w:r>
            <w:r>
              <w:rPr>
                <w:rFonts w:hint="eastAsia"/>
                <w:color w:val="auto"/>
                <w:spacing w:val="-1"/>
                <w:sz w:val="24"/>
                <w:szCs w:val="24"/>
                <w:lang w:val="en-US" w:eastAsia="zh-CN"/>
              </w:rPr>
              <w:t>，加上疏挖作业持续时间相对较短，本项目对水生生态的影响相对较小，施工期结束后，水生生态的生存环境将逐渐得到恢复和改善。</w:t>
            </w:r>
          </w:p>
          <w:p w14:paraId="6A64AAC4">
            <w:pPr>
              <w:pStyle w:val="65"/>
              <w:keepNext w:val="0"/>
              <w:keepLines w:val="0"/>
              <w:pageBreakBefore w:val="0"/>
              <w:widowControl w:val="0"/>
              <w:numPr>
                <w:ilvl w:val="0"/>
                <w:numId w:val="35"/>
              </w:numPr>
              <w:kinsoku/>
              <w:wordWrap/>
              <w:overflowPunct/>
              <w:topLinePunct w:val="0"/>
              <w:autoSpaceDE/>
              <w:autoSpaceDN/>
              <w:bidi w:val="0"/>
              <w:adjustRightInd w:val="0"/>
              <w:snapToGrid w:val="0"/>
              <w:spacing w:line="360" w:lineRule="auto"/>
              <w:ind w:left="425" w:leftChars="0" w:right="0" w:hanging="425" w:firstLineChars="0"/>
              <w:textAlignment w:val="auto"/>
              <w:rPr>
                <w:color w:val="auto"/>
                <w:spacing w:val="-2"/>
                <w:sz w:val="24"/>
                <w:szCs w:val="24"/>
              </w:rPr>
            </w:pPr>
            <w:r>
              <w:rPr>
                <w:color w:val="auto"/>
                <w:spacing w:val="-2"/>
                <w:sz w:val="24"/>
                <w:szCs w:val="24"/>
              </w:rPr>
              <w:t>对水质、泥沙影响分析</w:t>
            </w:r>
          </w:p>
          <w:p w14:paraId="3CD155C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8"/>
              <w:jc w:val="both"/>
              <w:textAlignment w:val="auto"/>
              <w:rPr>
                <w:rFonts w:hint="eastAsia"/>
                <w:color w:val="auto"/>
                <w:spacing w:val="-1"/>
                <w:sz w:val="24"/>
                <w:szCs w:val="24"/>
                <w:lang w:val="en-US" w:eastAsia="zh-CN"/>
              </w:rPr>
            </w:pPr>
            <w:r>
              <w:rPr>
                <w:rFonts w:hint="eastAsia"/>
                <w:color w:val="auto"/>
                <w:spacing w:val="-1"/>
                <w:sz w:val="24"/>
                <w:szCs w:val="24"/>
                <w:lang w:val="en-US" w:eastAsia="zh-CN"/>
              </w:rPr>
              <w:t>土方清废、土方开挖、护岸填筑、格宾石笼施工、土方回填及桥梁施工不可避免地对河道进行开挖压占扰动，造成施工区土壤松散，在大雨时段内造成大量泥沙进入河道，但项目施工期间选在枯水期，属于非汛期，河道内无地表径流，不会对河流水质造成影响。施工期间应做好防护措施，避免施工废水溢流及随意排放对沿线河道及周围环境造成影响。</w:t>
            </w:r>
          </w:p>
          <w:p w14:paraId="066FCB3C">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8"/>
              <w:jc w:val="both"/>
              <w:textAlignment w:val="auto"/>
              <w:rPr>
                <w:rFonts w:hint="eastAsia"/>
                <w:color w:val="auto"/>
                <w:spacing w:val="-1"/>
                <w:sz w:val="24"/>
                <w:szCs w:val="24"/>
                <w:lang w:val="en-US" w:eastAsia="zh-CN"/>
              </w:rPr>
            </w:pPr>
            <w:r>
              <w:rPr>
                <w:rFonts w:hint="eastAsia"/>
                <w:color w:val="auto"/>
                <w:spacing w:val="-1"/>
                <w:sz w:val="24"/>
                <w:szCs w:val="24"/>
                <w:lang w:val="en-US" w:eastAsia="zh-CN"/>
              </w:rPr>
              <w:t>施工活动期间对河道及附近土壤造成扰动，可能会导致河道内泥沙的流失，同时施工活动破坏植被和地貌，可能造成河道内的水土流失，导致底部不稳定，容易发生河岸滑坡等问题。但这种影响只是暂时的，随着天气好转及施工结束，这种影响也将消失，在工程施工过程中应严格控制施工范围，尽量减少对河道的扰动，做好水土保持工作。施工生产废水严禁排入河道，避免对周围环境的影响。</w:t>
            </w:r>
          </w:p>
          <w:p w14:paraId="685D9708">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8"/>
              <w:jc w:val="both"/>
              <w:textAlignment w:val="auto"/>
              <w:rPr>
                <w:rFonts w:hint="eastAsia"/>
                <w:color w:val="auto"/>
                <w:spacing w:val="-1"/>
                <w:sz w:val="24"/>
                <w:szCs w:val="24"/>
                <w:lang w:val="en-US" w:eastAsia="zh-CN"/>
              </w:rPr>
            </w:pPr>
            <w:r>
              <w:rPr>
                <w:rFonts w:hint="eastAsia"/>
                <w:color w:val="auto"/>
                <w:spacing w:val="-1"/>
                <w:sz w:val="24"/>
                <w:szCs w:val="24"/>
                <w:lang w:val="en-US" w:eastAsia="zh-CN"/>
              </w:rPr>
              <w:t>工程施工期间仅在大雨时可能存在少量的地表径流，可禁止在雨天进行施工活动，降低施工对河道周围环境的影响。</w:t>
            </w:r>
          </w:p>
          <w:p w14:paraId="0D03CE65">
            <w:pPr>
              <w:pStyle w:val="65"/>
              <w:keepNext w:val="0"/>
              <w:keepLines w:val="0"/>
              <w:pageBreakBefore w:val="0"/>
              <w:widowControl w:val="0"/>
              <w:numPr>
                <w:ilvl w:val="0"/>
                <w:numId w:val="35"/>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2"/>
                <w:sz w:val="24"/>
                <w:szCs w:val="24"/>
                <w:lang w:val="en-US" w:eastAsia="zh-CN"/>
              </w:rPr>
            </w:pPr>
            <w:r>
              <w:rPr>
                <w:rFonts w:hint="eastAsia"/>
                <w:color w:val="auto"/>
                <w:spacing w:val="-2"/>
                <w:sz w:val="24"/>
                <w:szCs w:val="24"/>
                <w:lang w:val="en-US" w:eastAsia="zh-CN"/>
              </w:rPr>
              <w:t>土壤影响分析</w:t>
            </w:r>
          </w:p>
          <w:p w14:paraId="68933698">
            <w:pPr>
              <w:pStyle w:val="6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76" w:firstLineChars="200"/>
              <w:jc w:val="both"/>
              <w:textAlignment w:val="auto"/>
              <w:rPr>
                <w:rFonts w:hint="default"/>
                <w:color w:val="auto"/>
                <w:spacing w:val="-1"/>
                <w:sz w:val="24"/>
                <w:szCs w:val="24"/>
                <w:lang w:val="en-US" w:eastAsia="zh-CN"/>
              </w:rPr>
            </w:pPr>
            <w:r>
              <w:rPr>
                <w:rFonts w:hint="default"/>
                <w:color w:val="auto"/>
                <w:spacing w:val="-1"/>
                <w:sz w:val="24"/>
                <w:szCs w:val="24"/>
                <w:lang w:val="en-US" w:eastAsia="zh-CN"/>
              </w:rPr>
              <w:t>本工程施工期对土壤环境的影响，主要表现为</w:t>
            </w:r>
            <w:r>
              <w:rPr>
                <w:rFonts w:hint="eastAsia"/>
                <w:color w:val="auto"/>
                <w:spacing w:val="-1"/>
                <w:sz w:val="24"/>
                <w:szCs w:val="24"/>
                <w:lang w:val="en-US" w:eastAsia="zh-CN"/>
              </w:rPr>
              <w:t>土方清废、土方开挖、土方回填等</w:t>
            </w:r>
            <w:r>
              <w:rPr>
                <w:rFonts w:hint="default"/>
                <w:color w:val="auto"/>
                <w:spacing w:val="-1"/>
                <w:sz w:val="24"/>
                <w:szCs w:val="24"/>
                <w:lang w:val="en-US" w:eastAsia="zh-CN"/>
              </w:rPr>
              <w:t>施工活动期的渠道工程和施工生产生</w:t>
            </w:r>
            <w:r>
              <w:rPr>
                <w:rFonts w:hint="eastAsia"/>
                <w:color w:val="auto"/>
                <w:spacing w:val="-1"/>
                <w:sz w:val="24"/>
                <w:szCs w:val="24"/>
                <w:lang w:val="en-US" w:eastAsia="zh-CN"/>
              </w:rPr>
              <w:t>活</w:t>
            </w:r>
            <w:r>
              <w:rPr>
                <w:rFonts w:hint="default"/>
                <w:color w:val="auto"/>
                <w:spacing w:val="-1"/>
                <w:sz w:val="24"/>
                <w:szCs w:val="24"/>
                <w:lang w:val="en-US" w:eastAsia="zh-CN"/>
              </w:rPr>
              <w:t>区占地对土壤环境的影响。临时生产、生活区占地将破坏土壤表层，从而使其变得疏松，受多风天气和降雨的影响，易发生风蚀、水蚀，造成水土流失，使土壤及其养分流失。</w:t>
            </w:r>
          </w:p>
          <w:p w14:paraId="14B9DCCA">
            <w:pPr>
              <w:pStyle w:val="65"/>
              <w:keepNext w:val="0"/>
              <w:keepLines w:val="0"/>
              <w:pageBreakBefore w:val="0"/>
              <w:widowControl w:val="0"/>
              <w:numPr>
                <w:ilvl w:val="0"/>
                <w:numId w:val="35"/>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2"/>
                <w:sz w:val="24"/>
                <w:szCs w:val="24"/>
                <w:lang w:val="en-US" w:eastAsia="zh-CN"/>
              </w:rPr>
            </w:pPr>
            <w:r>
              <w:rPr>
                <w:rFonts w:hint="eastAsia"/>
                <w:color w:val="auto"/>
                <w:spacing w:val="-2"/>
                <w:sz w:val="24"/>
                <w:szCs w:val="24"/>
                <w:lang w:val="en-US" w:eastAsia="zh-CN"/>
              </w:rPr>
              <w:t>水文情势影响分析</w:t>
            </w:r>
          </w:p>
          <w:p w14:paraId="6652C54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auto"/>
              <w:rPr>
                <w:color w:val="auto"/>
                <w:spacing w:val="-1"/>
                <w:sz w:val="24"/>
                <w:szCs w:val="24"/>
              </w:rPr>
            </w:pPr>
            <w:r>
              <w:rPr>
                <w:rFonts w:hint="eastAsia"/>
                <w:color w:val="auto"/>
                <w:spacing w:val="-1"/>
                <w:sz w:val="24"/>
                <w:szCs w:val="24"/>
                <w:lang w:val="en-US" w:eastAsia="zh-CN"/>
              </w:rPr>
              <w:t>本工程施工期选择在枯水期，河道内少许水量部分可由上游河道的吉布库河渠首引走，本工程施工期选择在枯水期，河道内少许水量部分可由上游河道的吉布库河渠首引走，河道内基本无水，因此不需导流，无需设置导流措施</w:t>
            </w:r>
            <w:r>
              <w:rPr>
                <w:rFonts w:hint="default"/>
                <w:color w:val="auto"/>
                <w:spacing w:val="-1"/>
                <w:sz w:val="24"/>
                <w:szCs w:val="24"/>
                <w:lang w:val="en-US" w:eastAsia="zh-CN"/>
              </w:rPr>
              <w:t>，对河道水文情势无影响。</w:t>
            </w:r>
          </w:p>
          <w:p w14:paraId="3A9102B5">
            <w:pPr>
              <w:pStyle w:val="65"/>
              <w:keepNext w:val="0"/>
              <w:keepLines w:val="0"/>
              <w:pageBreakBefore w:val="0"/>
              <w:widowControl w:val="0"/>
              <w:numPr>
                <w:ilvl w:val="0"/>
                <w:numId w:val="35"/>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2"/>
                <w:sz w:val="24"/>
                <w:szCs w:val="24"/>
                <w:lang w:val="en-US" w:eastAsia="zh-CN"/>
              </w:rPr>
            </w:pPr>
            <w:r>
              <w:rPr>
                <w:rFonts w:hint="eastAsia"/>
                <w:color w:val="auto"/>
                <w:spacing w:val="-2"/>
                <w:sz w:val="24"/>
                <w:szCs w:val="24"/>
                <w:lang w:val="en-US" w:eastAsia="zh-CN"/>
              </w:rPr>
              <w:t>工程占地对生态环境影响</w:t>
            </w:r>
          </w:p>
          <w:p w14:paraId="78BC7656">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auto"/>
              <w:rPr>
                <w:rFonts w:hint="default" w:ascii="Times New Roman" w:hAnsi="Times New Roman" w:cs="Times New Roman"/>
                <w:color w:val="auto"/>
                <w:spacing w:val="-1"/>
                <w:sz w:val="24"/>
                <w:szCs w:val="24"/>
                <w:lang w:val="en-US" w:eastAsia="zh-CN"/>
              </w:rPr>
            </w:pPr>
            <w:r>
              <w:rPr>
                <w:rFonts w:hint="default" w:ascii="Times New Roman" w:hAnsi="Times New Roman" w:cs="Times New Roman"/>
                <w:color w:val="auto"/>
                <w:spacing w:val="-1"/>
                <w:sz w:val="24"/>
                <w:szCs w:val="24"/>
                <w:lang w:val="en-US" w:eastAsia="zh-CN"/>
              </w:rPr>
              <w:t>项目占地类型主要包括林地、天然草场、人工草场、水利设施用地、其他土地，本项目总占地面积561.59亩，其中永久用地面积308.64亩，临时用地面积252.95亩，在建设过程中将破坏地表植被，并对其进行占压和扰动，防洪堤建成后将使原有植被和土壤环境彻底丧失或严重受损，原有覆盖部分被硬化地面所代替。对土壤环境而言，本项目在施工时会对土壤进行占压和扰动，对土壤结构、肥力、物理性质破坏的影响。</w:t>
            </w:r>
          </w:p>
          <w:p w14:paraId="02C3674E">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auto"/>
              <w:rPr>
                <w:rFonts w:hint="default" w:ascii="Times New Roman" w:hAnsi="Times New Roman" w:cs="Times New Roman"/>
                <w:color w:val="auto"/>
                <w:spacing w:val="-1"/>
                <w:sz w:val="24"/>
                <w:szCs w:val="24"/>
              </w:rPr>
            </w:pPr>
            <w:r>
              <w:rPr>
                <w:rFonts w:hint="default" w:ascii="Times New Roman" w:hAnsi="Times New Roman" w:cs="Times New Roman"/>
                <w:color w:val="auto"/>
                <w:spacing w:val="-1"/>
                <w:sz w:val="24"/>
                <w:szCs w:val="24"/>
              </w:rPr>
              <w:t>工程对土壤的影响主要是对土壤扰动破坏。主要影响有以下几点：</w:t>
            </w:r>
          </w:p>
          <w:p w14:paraId="57B4DBD7">
            <w:pPr>
              <w:pStyle w:val="65"/>
              <w:keepNext w:val="0"/>
              <w:keepLines w:val="0"/>
              <w:pageBreakBefore w:val="0"/>
              <w:widowControl w:val="0"/>
              <w:numPr>
                <w:ilvl w:val="0"/>
                <w:numId w:val="36"/>
              </w:numPr>
              <w:kinsoku/>
              <w:wordWrap/>
              <w:overflowPunct/>
              <w:topLinePunct w:val="0"/>
              <w:autoSpaceDE/>
              <w:autoSpaceDN/>
              <w:bidi w:val="0"/>
              <w:adjustRightInd w:val="0"/>
              <w:snapToGrid w:val="0"/>
              <w:spacing w:line="360" w:lineRule="auto"/>
              <w:ind w:left="0" w:right="0" w:firstLine="476" w:firstLineChars="200"/>
              <w:jc w:val="both"/>
              <w:textAlignment w:val="auto"/>
              <w:rPr>
                <w:rFonts w:hint="default" w:ascii="Times New Roman" w:hAnsi="Times New Roman" w:cs="Times New Roman"/>
                <w:color w:val="auto"/>
                <w:spacing w:val="-1"/>
                <w:sz w:val="24"/>
                <w:szCs w:val="24"/>
              </w:rPr>
            </w:pPr>
            <w:r>
              <w:rPr>
                <w:rFonts w:hint="default" w:ascii="Times New Roman" w:hAnsi="Times New Roman" w:cs="Times New Roman"/>
                <w:color w:val="auto"/>
                <w:spacing w:val="-1"/>
                <w:sz w:val="24"/>
                <w:szCs w:val="24"/>
              </w:rPr>
              <w:t>原来适宜于植被生长的表层土壤结构破坏，土壤变得较为紧实，土壤中的有机质的分解作用增强，微生物数量及营养元素流失。</w:t>
            </w:r>
          </w:p>
          <w:p w14:paraId="384041D9">
            <w:pPr>
              <w:pStyle w:val="65"/>
              <w:keepNext w:val="0"/>
              <w:keepLines w:val="0"/>
              <w:pageBreakBefore w:val="0"/>
              <w:widowControl w:val="0"/>
              <w:numPr>
                <w:ilvl w:val="0"/>
                <w:numId w:val="36"/>
              </w:numPr>
              <w:kinsoku/>
              <w:wordWrap/>
              <w:overflowPunct/>
              <w:topLinePunct w:val="0"/>
              <w:autoSpaceDE/>
              <w:autoSpaceDN/>
              <w:bidi w:val="0"/>
              <w:adjustRightInd w:val="0"/>
              <w:snapToGrid w:val="0"/>
              <w:spacing w:line="360" w:lineRule="auto"/>
              <w:ind w:left="0" w:right="0" w:firstLine="476" w:firstLineChars="200"/>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pacing w:val="-1"/>
                <w:sz w:val="24"/>
                <w:szCs w:val="24"/>
              </w:rPr>
              <w:t>一旦地表植被遭到破坏，土壤在暴雨洪水或其他地表径流以及风力的作用下，发生水土流失。施工结束后，这些占地区域的地表会得到恢复和保护，土壤功能可以得到逐步恢复，恢复程度和</w:t>
            </w:r>
            <w:r>
              <w:rPr>
                <w:rFonts w:hint="default" w:ascii="Times New Roman" w:hAnsi="Times New Roman" w:cs="Times New Roman"/>
                <w:color w:val="auto"/>
                <w:spacing w:val="-3"/>
                <w:sz w:val="24"/>
                <w:szCs w:val="24"/>
              </w:rPr>
              <w:t>周期与扰动程度、恢复措施等有关。</w:t>
            </w:r>
          </w:p>
          <w:p w14:paraId="70006D65">
            <w:pPr>
              <w:pStyle w:val="65"/>
              <w:keepNext w:val="0"/>
              <w:keepLines w:val="0"/>
              <w:pageBreakBefore w:val="0"/>
              <w:widowControl w:val="0"/>
              <w:numPr>
                <w:ilvl w:val="0"/>
                <w:numId w:val="35"/>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2"/>
                <w:sz w:val="24"/>
                <w:szCs w:val="24"/>
                <w:lang w:val="en-US" w:eastAsia="zh-CN"/>
              </w:rPr>
            </w:pPr>
            <w:r>
              <w:rPr>
                <w:rFonts w:hint="eastAsia"/>
                <w:color w:val="auto"/>
                <w:spacing w:val="-2"/>
                <w:sz w:val="24"/>
                <w:szCs w:val="24"/>
                <w:lang w:val="en-US" w:eastAsia="zh-CN"/>
              </w:rPr>
              <w:t>对陆生动物的影响分析</w:t>
            </w:r>
          </w:p>
          <w:p w14:paraId="2B307B53">
            <w:pPr>
              <w:pStyle w:val="65"/>
              <w:keepNext w:val="0"/>
              <w:keepLines w:val="0"/>
              <w:pageBreakBefore w:val="0"/>
              <w:widowControl w:val="0"/>
              <w:numPr>
                <w:ilvl w:val="0"/>
                <w:numId w:val="37"/>
              </w:numPr>
              <w:kinsoku/>
              <w:wordWrap/>
              <w:overflowPunct/>
              <w:topLinePunct w:val="0"/>
              <w:autoSpaceDE/>
              <w:autoSpaceDN/>
              <w:bidi w:val="0"/>
              <w:adjustRightInd w:val="0"/>
              <w:snapToGrid w:val="0"/>
              <w:spacing w:line="360" w:lineRule="auto"/>
              <w:ind w:left="0" w:leftChars="0" w:right="0" w:firstLine="472" w:firstLineChars="200"/>
              <w:textAlignment w:val="auto"/>
              <w:rPr>
                <w:color w:val="auto"/>
                <w:sz w:val="24"/>
                <w:szCs w:val="24"/>
              </w:rPr>
            </w:pPr>
            <w:r>
              <w:rPr>
                <w:color w:val="auto"/>
                <w:spacing w:val="-2"/>
                <w:sz w:val="24"/>
                <w:szCs w:val="24"/>
              </w:rPr>
              <w:t>对兽类的影响</w:t>
            </w:r>
          </w:p>
          <w:p w14:paraId="642B2DE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textAlignment w:val="auto"/>
              <w:rPr>
                <w:rFonts w:hint="eastAsia"/>
                <w:color w:val="auto"/>
                <w:spacing w:val="-1"/>
                <w:sz w:val="24"/>
                <w:szCs w:val="24"/>
                <w:lang w:val="en-US" w:eastAsia="zh-CN"/>
              </w:rPr>
            </w:pPr>
            <w:r>
              <w:rPr>
                <w:rFonts w:hint="eastAsia"/>
                <w:color w:val="auto"/>
                <w:spacing w:val="-1"/>
                <w:sz w:val="24"/>
                <w:szCs w:val="24"/>
                <w:lang w:val="en-US" w:eastAsia="zh-CN"/>
              </w:rPr>
              <w:t>评价区域兽类动物比较少，主要为啮齿类等常见的野生小型兽类动物。</w:t>
            </w:r>
          </w:p>
          <w:p w14:paraId="2293628C">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textAlignment w:val="auto"/>
              <w:rPr>
                <w:rFonts w:hint="eastAsia"/>
                <w:color w:val="auto"/>
                <w:spacing w:val="-1"/>
                <w:sz w:val="24"/>
                <w:szCs w:val="24"/>
                <w:lang w:val="en-US" w:eastAsia="zh-CN"/>
              </w:rPr>
            </w:pPr>
            <w:r>
              <w:rPr>
                <w:rFonts w:hint="eastAsia"/>
                <w:color w:val="auto"/>
                <w:spacing w:val="-1"/>
                <w:sz w:val="24"/>
                <w:szCs w:val="24"/>
                <w:lang w:val="en-US" w:eastAsia="zh-CN"/>
              </w:rPr>
              <w:t>工程施工占地、土方清废、土方开挖、土方回填产生的噪声、灯光、振动、施工人员的扰动将使部分陆生动物的活动区域、觅食范围受到一定限制，但由于动物具有迁徙性，会在工程施工时离开施工区域，工程结束后返回原栖息地或逐渐适应新的环境，并在新的环境中繁衍生息。工程土方开挖、机械噪声、施工人员干扰等会直接影响和破坏评价区域部分哺乳动物的栖息、觅食等活动；同时，由于施工破坏部分植被群落，也会间接影响到哺乳动物的取食。但是不会影响哺乳动物的组成、数量和分布格局。</w:t>
            </w:r>
          </w:p>
          <w:p w14:paraId="026B3452">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textAlignment w:val="auto"/>
              <w:rPr>
                <w:rFonts w:hint="eastAsia"/>
                <w:color w:val="auto"/>
                <w:spacing w:val="-1"/>
                <w:sz w:val="24"/>
                <w:szCs w:val="24"/>
                <w:lang w:val="en-US" w:eastAsia="zh-CN"/>
              </w:rPr>
            </w:pPr>
            <w:r>
              <w:rPr>
                <w:rFonts w:hint="eastAsia"/>
                <w:color w:val="auto"/>
                <w:spacing w:val="-1"/>
                <w:sz w:val="24"/>
                <w:szCs w:val="24"/>
                <w:lang w:val="en-US" w:eastAsia="zh-CN"/>
              </w:rPr>
              <w:t>因此，工程施工不会对哺乳类动物生存环境造成明显的不利影响，也不会引起区域动物物种和数量减少。</w:t>
            </w:r>
          </w:p>
          <w:p w14:paraId="4C3747B4">
            <w:pPr>
              <w:pStyle w:val="65"/>
              <w:keepNext w:val="0"/>
              <w:keepLines w:val="0"/>
              <w:pageBreakBefore w:val="0"/>
              <w:widowControl w:val="0"/>
              <w:numPr>
                <w:ilvl w:val="0"/>
                <w:numId w:val="37"/>
              </w:numPr>
              <w:kinsoku/>
              <w:wordWrap/>
              <w:overflowPunct/>
              <w:topLinePunct w:val="0"/>
              <w:autoSpaceDE/>
              <w:autoSpaceDN/>
              <w:bidi w:val="0"/>
              <w:adjustRightInd w:val="0"/>
              <w:snapToGrid w:val="0"/>
              <w:spacing w:line="360" w:lineRule="auto"/>
              <w:ind w:left="0" w:leftChars="0" w:right="0" w:firstLine="472" w:firstLineChars="200"/>
              <w:textAlignment w:val="auto"/>
              <w:rPr>
                <w:color w:val="auto"/>
                <w:spacing w:val="-2"/>
                <w:sz w:val="24"/>
                <w:szCs w:val="24"/>
              </w:rPr>
            </w:pPr>
            <w:r>
              <w:rPr>
                <w:color w:val="auto"/>
                <w:spacing w:val="-2"/>
                <w:sz w:val="24"/>
                <w:szCs w:val="24"/>
              </w:rPr>
              <w:t>对两栖类、爬行类的影响</w:t>
            </w:r>
          </w:p>
          <w:p w14:paraId="0A7E36E4">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textAlignment w:val="auto"/>
              <w:rPr>
                <w:color w:val="auto"/>
                <w:spacing w:val="-1"/>
                <w:sz w:val="24"/>
                <w:szCs w:val="24"/>
              </w:rPr>
            </w:pPr>
            <w:r>
              <w:rPr>
                <w:color w:val="auto"/>
                <w:spacing w:val="-1"/>
                <w:sz w:val="24"/>
                <w:szCs w:val="24"/>
              </w:rPr>
              <w:t>评价区两栖类动物比较少，主要为蛙类和蟾蜍类，分布在河岸边的草地和林地内。爬行类常分布在</w:t>
            </w:r>
            <w:r>
              <w:rPr>
                <w:rFonts w:hint="eastAsia"/>
                <w:color w:val="auto"/>
                <w:spacing w:val="-1"/>
                <w:sz w:val="24"/>
                <w:szCs w:val="24"/>
                <w:lang w:eastAsia="zh-CN"/>
              </w:rPr>
              <w:t>吉布库河</w:t>
            </w:r>
            <w:r>
              <w:rPr>
                <w:color w:val="auto"/>
                <w:spacing w:val="-1"/>
                <w:sz w:val="24"/>
                <w:szCs w:val="24"/>
              </w:rPr>
              <w:t>沿岸的荒草地、林地内，以及村庄。</w:t>
            </w:r>
            <w:r>
              <w:rPr>
                <w:rFonts w:hint="eastAsia"/>
                <w:color w:val="auto"/>
                <w:spacing w:val="-1"/>
                <w:sz w:val="24"/>
                <w:szCs w:val="24"/>
                <w:lang w:val="en-US" w:eastAsia="zh-CN"/>
              </w:rPr>
              <w:t>工程施工占地、土方清废、土方开挖、土方回填产生的噪声、灯光、振动</w:t>
            </w:r>
            <w:r>
              <w:rPr>
                <w:color w:val="auto"/>
                <w:spacing w:val="-1"/>
                <w:sz w:val="24"/>
                <w:szCs w:val="24"/>
              </w:rPr>
              <w:t>及施工人员的扰动会栖息在河岸边的草地和林地的两栖和爬行动物产生一定的影响。但评价区内现有的两栖、爬行动物都属于我国常见的广布种，生境分布广泛，且工程</w:t>
            </w:r>
            <w:r>
              <w:rPr>
                <w:rFonts w:hint="eastAsia"/>
                <w:color w:val="auto"/>
                <w:spacing w:val="-1"/>
                <w:sz w:val="24"/>
                <w:szCs w:val="24"/>
                <w:lang w:val="en-US" w:eastAsia="zh-CN"/>
              </w:rPr>
              <w:t>永久</w:t>
            </w:r>
            <w:r>
              <w:rPr>
                <w:color w:val="auto"/>
                <w:spacing w:val="-1"/>
                <w:sz w:val="24"/>
                <w:szCs w:val="24"/>
              </w:rPr>
              <w:t>占地面积较小，因此工程不会对这些动物的组成、数量和分布格局产生明显不利影响。</w:t>
            </w:r>
          </w:p>
          <w:p w14:paraId="3CD5BFD4">
            <w:pPr>
              <w:pStyle w:val="65"/>
              <w:keepNext w:val="0"/>
              <w:keepLines w:val="0"/>
              <w:pageBreakBefore w:val="0"/>
              <w:widowControl w:val="0"/>
              <w:numPr>
                <w:ilvl w:val="0"/>
                <w:numId w:val="37"/>
              </w:numPr>
              <w:kinsoku/>
              <w:wordWrap/>
              <w:overflowPunct/>
              <w:topLinePunct w:val="0"/>
              <w:autoSpaceDE/>
              <w:autoSpaceDN/>
              <w:bidi w:val="0"/>
              <w:adjustRightInd w:val="0"/>
              <w:snapToGrid w:val="0"/>
              <w:spacing w:line="360" w:lineRule="auto"/>
              <w:ind w:left="0" w:leftChars="0" w:right="0" w:firstLine="472" w:firstLineChars="200"/>
              <w:textAlignment w:val="auto"/>
              <w:rPr>
                <w:color w:val="auto"/>
                <w:spacing w:val="-2"/>
                <w:sz w:val="24"/>
                <w:szCs w:val="24"/>
              </w:rPr>
            </w:pPr>
            <w:r>
              <w:rPr>
                <w:color w:val="auto"/>
                <w:spacing w:val="-2"/>
                <w:sz w:val="24"/>
                <w:szCs w:val="24"/>
              </w:rPr>
              <w:t>对鸟类的影响</w:t>
            </w:r>
          </w:p>
          <w:p w14:paraId="5DA0490B">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textAlignment w:val="auto"/>
              <w:rPr>
                <w:color w:val="auto"/>
                <w:sz w:val="24"/>
                <w:szCs w:val="24"/>
              </w:rPr>
            </w:pPr>
            <w:r>
              <w:rPr>
                <w:color w:val="auto"/>
                <w:spacing w:val="-1"/>
                <w:sz w:val="24"/>
                <w:szCs w:val="24"/>
              </w:rPr>
              <w:t>工程施工期间，</w:t>
            </w:r>
            <w:r>
              <w:rPr>
                <w:rFonts w:hint="eastAsia"/>
                <w:color w:val="auto"/>
                <w:spacing w:val="-1"/>
                <w:sz w:val="24"/>
                <w:szCs w:val="24"/>
                <w:lang w:val="en-US" w:eastAsia="zh-CN"/>
              </w:rPr>
              <w:t>工程施工占地、土方清废、土方开挖、土方回填产生的噪声、灯光、振动</w:t>
            </w:r>
            <w:r>
              <w:rPr>
                <w:color w:val="auto"/>
                <w:spacing w:val="-1"/>
                <w:sz w:val="24"/>
                <w:szCs w:val="24"/>
              </w:rPr>
              <w:t>及施工人员的扰动，有可能干扰甚至破坏野生动物的栖息环境。根据现场踏勘及有关资料的调查，项目区域内没有大型哺乳动物，仅有一些常见鸟类少量存在，如家麻雀等，施工噪声会使生活在较为安静环境中的鸟类的正常生活受到暂时的轻微干扰，但由于这些鸟类是广布种，对于人类活动适应性强，因此，在施工及运营过程中对其影响甚微。</w:t>
            </w:r>
          </w:p>
          <w:p w14:paraId="7ADCE451">
            <w:pPr>
              <w:pStyle w:val="65"/>
              <w:keepNext w:val="0"/>
              <w:keepLines w:val="0"/>
              <w:pageBreakBefore w:val="0"/>
              <w:widowControl w:val="0"/>
              <w:numPr>
                <w:ilvl w:val="0"/>
                <w:numId w:val="35"/>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2"/>
                <w:sz w:val="24"/>
                <w:szCs w:val="24"/>
                <w:lang w:val="en-US" w:eastAsia="zh-CN"/>
              </w:rPr>
            </w:pPr>
            <w:r>
              <w:rPr>
                <w:rFonts w:hint="eastAsia"/>
                <w:color w:val="auto"/>
                <w:spacing w:val="-2"/>
                <w:sz w:val="24"/>
                <w:szCs w:val="24"/>
                <w:lang w:val="en-US" w:eastAsia="zh-CN"/>
              </w:rPr>
              <w:t>对植被的影响分析</w:t>
            </w:r>
          </w:p>
          <w:p w14:paraId="4DB295C4">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1"/>
              <w:jc w:val="both"/>
              <w:textAlignment w:val="auto"/>
              <w:rPr>
                <w:color w:val="auto"/>
                <w:spacing w:val="-6"/>
                <w:sz w:val="24"/>
                <w:szCs w:val="24"/>
              </w:rPr>
            </w:pPr>
            <w:r>
              <w:rPr>
                <w:color w:val="auto"/>
                <w:spacing w:val="-6"/>
                <w:sz w:val="24"/>
                <w:szCs w:val="24"/>
              </w:rPr>
              <w:t>本工程永久占地中包括林地、天然草场、人工草场、水利设施用地、其他土地，在施工区域内</w:t>
            </w:r>
            <w:r>
              <w:rPr>
                <w:rFonts w:hint="eastAsia"/>
                <w:color w:val="auto"/>
                <w:spacing w:val="-6"/>
                <w:sz w:val="24"/>
                <w:szCs w:val="24"/>
                <w:lang w:val="en-US" w:eastAsia="zh-CN"/>
              </w:rPr>
              <w:t>分布有</w:t>
            </w:r>
            <w:r>
              <w:rPr>
                <w:rFonts w:hint="eastAsia" w:ascii="Times New Roman" w:hAnsi="Times New Roman" w:cs="Times New Roman"/>
                <w:color w:val="auto"/>
                <w:spacing w:val="-4"/>
                <w:sz w:val="24"/>
                <w:szCs w:val="24"/>
                <w:lang w:val="en-US" w:eastAsia="zh-CN"/>
              </w:rPr>
              <w:t>树、杨树、伊犁绢蒿、驼绒藜等植被</w:t>
            </w:r>
            <w:r>
              <w:rPr>
                <w:color w:val="auto"/>
                <w:spacing w:val="-6"/>
                <w:sz w:val="24"/>
                <w:szCs w:val="24"/>
              </w:rPr>
              <w:t>，如果不对施工区域进行管理，将对项目区及周边植物造成破坏。项目永久占地为林地、人工草场、水利设施用地、其他土地，有少量灌木在周边，现将原有部分被硬化地面所代替，破坏原有植被。临时占地，在施工中将破坏原有植被。在施工期间需严格明确施工用地范围，禁止施工人员、车辆进入非施工占地区域。施工结束后应将工程临时占地范围进行土地平整，按照《中华人民共和国森林法》及《中华人民共和国草原法》《中华人民共和国土地管理法</w:t>
            </w:r>
            <w:r>
              <w:rPr>
                <w:rFonts w:hint="eastAsia"/>
                <w:color w:val="auto"/>
                <w:spacing w:val="-6"/>
                <w:sz w:val="24"/>
                <w:szCs w:val="24"/>
                <w:lang w:eastAsia="zh-CN"/>
              </w:rPr>
              <w:t>》等</w:t>
            </w:r>
            <w:r>
              <w:rPr>
                <w:color w:val="auto"/>
                <w:spacing w:val="-6"/>
                <w:sz w:val="24"/>
                <w:szCs w:val="24"/>
              </w:rPr>
              <w:t>办理相关手续，并进行恢复及补偿，草地和林地按照当地植被进行恢复，补偿面积与占用面积相同、质量对等，满足“占一补一”的要求，以减缓工程建设对项目区植被的影响。因此，防洪工程的修建对河岸外侧的植被影响是暂时的，影响较小。</w:t>
            </w:r>
          </w:p>
          <w:p w14:paraId="49CCB2A8">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color w:val="auto"/>
                <w:sz w:val="24"/>
                <w:szCs w:val="24"/>
              </w:rPr>
            </w:pPr>
            <w:r>
              <w:rPr>
                <w:color w:val="auto"/>
                <w:spacing w:val="-1"/>
                <w:sz w:val="24"/>
                <w:szCs w:val="24"/>
              </w:rPr>
              <w:t>项目沿河地带分布有以高地下水为生长水源的天然林草，项目工程实施后增加了混凝土防洪堤，将汛期河水束缚在河道内，减少了河流地表水对河道沿岸的地下水补给及河道沿线林地及草地的灌溉。在汛期灌溉季节</w:t>
            </w:r>
            <w:r>
              <w:rPr>
                <w:rFonts w:hint="eastAsia"/>
                <w:color w:val="auto"/>
                <w:spacing w:val="-1"/>
                <w:sz w:val="24"/>
                <w:szCs w:val="24"/>
                <w:lang w:eastAsia="zh-CN"/>
              </w:rPr>
              <w:t>吉布库河</w:t>
            </w:r>
            <w:r>
              <w:rPr>
                <w:color w:val="auto"/>
                <w:spacing w:val="-1"/>
                <w:sz w:val="24"/>
                <w:szCs w:val="24"/>
              </w:rPr>
              <w:t>沿线的天然林地及草地可以得到</w:t>
            </w:r>
            <w:r>
              <w:rPr>
                <w:rFonts w:hint="eastAsia"/>
                <w:color w:val="auto"/>
                <w:spacing w:val="-1"/>
                <w:sz w:val="24"/>
                <w:szCs w:val="24"/>
                <w:lang w:eastAsia="zh-CN"/>
              </w:rPr>
              <w:t>吉布库河</w:t>
            </w:r>
            <w:r>
              <w:rPr>
                <w:color w:val="auto"/>
                <w:spacing w:val="-1"/>
                <w:sz w:val="24"/>
                <w:szCs w:val="24"/>
              </w:rPr>
              <w:t>水的补给，本项目施工完成后，对沿线的天然林及草地影响较小。</w:t>
            </w:r>
          </w:p>
          <w:p w14:paraId="188B3F1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7"/>
              <w:jc w:val="both"/>
              <w:textAlignment w:val="auto"/>
              <w:rPr>
                <w:rFonts w:hint="default" w:ascii="Times New Roman" w:hAnsi="Times New Roman" w:cs="Times New Roman"/>
                <w:color w:val="auto"/>
                <w:spacing w:val="-11"/>
                <w:sz w:val="24"/>
                <w:szCs w:val="24"/>
              </w:rPr>
            </w:pPr>
            <w:r>
              <w:rPr>
                <w:rFonts w:hint="default" w:ascii="Times New Roman" w:hAnsi="Times New Roman" w:cs="Times New Roman"/>
                <w:color w:val="auto"/>
                <w:spacing w:val="-6"/>
                <w:sz w:val="24"/>
                <w:szCs w:val="24"/>
              </w:rPr>
              <w:t>生物量是评价植被变化的重要指标，</w:t>
            </w:r>
            <w:r>
              <w:rPr>
                <w:rFonts w:hint="default" w:ascii="Times New Roman" w:hAnsi="Times New Roman" w:cs="Times New Roman"/>
                <w:color w:val="auto"/>
                <w:spacing w:val="-11"/>
                <w:sz w:val="24"/>
                <w:szCs w:val="24"/>
              </w:rPr>
              <w:t>本项目生物损失量约为</w:t>
            </w:r>
            <w:r>
              <w:rPr>
                <w:rFonts w:hint="default" w:ascii="Times New Roman" w:hAnsi="Times New Roman" w:eastAsia="宋体" w:cs="Times New Roman"/>
                <w:color w:val="auto"/>
                <w:sz w:val="24"/>
                <w:szCs w:val="24"/>
                <w:lang w:val="en-US" w:eastAsia="zh-CN"/>
              </w:rPr>
              <w:t>34.01</w:t>
            </w:r>
            <w:r>
              <w:rPr>
                <w:rFonts w:hint="default" w:ascii="Times New Roman" w:hAnsi="Times New Roman" w:eastAsia="Times New Roman" w:cs="Times New Roman"/>
                <w:color w:val="auto"/>
                <w:spacing w:val="-11"/>
                <w:sz w:val="24"/>
                <w:szCs w:val="24"/>
              </w:rPr>
              <w:t>t</w:t>
            </w:r>
            <w:r>
              <w:rPr>
                <w:rFonts w:hint="default" w:ascii="Times New Roman" w:hAnsi="Times New Roman" w:cs="Times New Roman"/>
                <w:color w:val="auto"/>
                <w:spacing w:val="-11"/>
                <w:sz w:val="24"/>
                <w:szCs w:val="24"/>
              </w:rPr>
              <w:t>，</w:t>
            </w:r>
            <w:r>
              <w:rPr>
                <w:rFonts w:hint="default" w:ascii="Times New Roman" w:hAnsi="Times New Roman" w:cs="Times New Roman"/>
                <w:color w:val="auto"/>
                <w:spacing w:val="-2"/>
                <w:sz w:val="24"/>
                <w:szCs w:val="24"/>
              </w:rPr>
              <w:t>统计表详见下表。</w:t>
            </w:r>
          </w:p>
          <w:p w14:paraId="012FFA77">
            <w:pPr>
              <w:pStyle w:val="65"/>
              <w:numPr>
                <w:ilvl w:val="0"/>
                <w:numId w:val="31"/>
              </w:numPr>
              <w:spacing w:before="1" w:line="227" w:lineRule="auto"/>
              <w:ind w:left="0" w:leftChars="0" w:firstLine="0" w:firstLineChars="0"/>
              <w:jc w:val="center"/>
              <w:rPr>
                <w:b/>
                <w:bCs/>
                <w:color w:val="auto"/>
                <w:spacing w:val="4"/>
                <w:sz w:val="24"/>
                <w:szCs w:val="24"/>
              </w:rPr>
            </w:pPr>
            <w:r>
              <w:rPr>
                <w:b/>
                <w:bCs/>
                <w:color w:val="auto"/>
                <w:spacing w:val="4"/>
                <w:sz w:val="24"/>
                <w:szCs w:val="24"/>
              </w:rPr>
              <w:t>生物量统计表</w:t>
            </w:r>
          </w:p>
          <w:tbl>
            <w:tblPr>
              <w:tblStyle w:val="54"/>
              <w:tblW w:w="76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80"/>
              <w:gridCol w:w="1956"/>
              <w:gridCol w:w="1941"/>
              <w:gridCol w:w="1921"/>
            </w:tblGrid>
            <w:tr w14:paraId="6C9E3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jc w:val="center"/>
              </w:trPr>
              <w:tc>
                <w:tcPr>
                  <w:tcW w:w="1880" w:type="dxa"/>
                  <w:vAlign w:val="center"/>
                </w:tcPr>
                <w:p w14:paraId="23018B9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3"/>
                      <w:sz w:val="21"/>
                      <w:szCs w:val="21"/>
                    </w:rPr>
                    <w:t>占地类型</w:t>
                  </w:r>
                </w:p>
              </w:tc>
              <w:tc>
                <w:tcPr>
                  <w:tcW w:w="1956" w:type="dxa"/>
                  <w:vAlign w:val="center"/>
                </w:tcPr>
                <w:p w14:paraId="498758C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6"/>
                      <w:sz w:val="21"/>
                      <w:szCs w:val="21"/>
                    </w:rPr>
                    <w:t>平均生物量（</w:t>
                  </w:r>
                  <w:r>
                    <w:rPr>
                      <w:rFonts w:ascii="Times New Roman" w:hAnsi="Times New Roman" w:eastAsia="Times New Roman" w:cs="Times New Roman"/>
                      <w:b/>
                      <w:bCs/>
                      <w:color w:val="auto"/>
                      <w:spacing w:val="6"/>
                      <w:sz w:val="21"/>
                      <w:szCs w:val="21"/>
                    </w:rPr>
                    <w:t>t/</w:t>
                  </w:r>
                  <w:r>
                    <w:rPr>
                      <w:rFonts w:ascii="Times New Roman" w:hAnsi="Times New Roman" w:eastAsia="Times New Roman" w:cs="Times New Roman"/>
                      <w:b/>
                      <w:bCs/>
                      <w:color w:val="auto"/>
                      <w:sz w:val="21"/>
                      <w:szCs w:val="21"/>
                    </w:rPr>
                    <w:t>hm</w:t>
                  </w:r>
                  <w:r>
                    <w:rPr>
                      <w:rFonts w:ascii="Times New Roman" w:hAnsi="Times New Roman" w:eastAsia="Times New Roman" w:cs="Times New Roman"/>
                      <w:b/>
                      <w:bCs/>
                      <w:color w:val="auto"/>
                      <w:spacing w:val="6"/>
                      <w:position w:val="1"/>
                      <w:sz w:val="21"/>
                      <w:szCs w:val="21"/>
                      <w:vertAlign w:val="superscript"/>
                    </w:rPr>
                    <w:t>2</w:t>
                  </w:r>
                  <w:r>
                    <w:rPr>
                      <w:b/>
                      <w:bCs/>
                      <w:color w:val="auto"/>
                      <w:spacing w:val="6"/>
                      <w:position w:val="1"/>
                      <w:sz w:val="21"/>
                      <w:szCs w:val="21"/>
                    </w:rPr>
                    <w:t>）</w:t>
                  </w:r>
                </w:p>
              </w:tc>
              <w:tc>
                <w:tcPr>
                  <w:tcW w:w="1941" w:type="dxa"/>
                  <w:vAlign w:val="center"/>
                </w:tcPr>
                <w:p w14:paraId="521900A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6"/>
                      <w:sz w:val="21"/>
                      <w:szCs w:val="21"/>
                    </w:rPr>
                    <w:t>工程占地（</w:t>
                  </w:r>
                  <w:r>
                    <w:rPr>
                      <w:rFonts w:ascii="Times New Roman" w:hAnsi="Times New Roman" w:eastAsia="Times New Roman" w:cs="Times New Roman"/>
                      <w:b/>
                      <w:bCs/>
                      <w:color w:val="auto"/>
                      <w:sz w:val="21"/>
                      <w:szCs w:val="21"/>
                    </w:rPr>
                    <w:t>hm</w:t>
                  </w:r>
                  <w:r>
                    <w:rPr>
                      <w:rFonts w:ascii="Times New Roman" w:hAnsi="Times New Roman" w:eastAsia="Times New Roman" w:cs="Times New Roman"/>
                      <w:b/>
                      <w:bCs/>
                      <w:color w:val="auto"/>
                      <w:spacing w:val="6"/>
                      <w:sz w:val="21"/>
                      <w:szCs w:val="21"/>
                      <w:vertAlign w:val="superscript"/>
                    </w:rPr>
                    <w:t>2</w:t>
                  </w:r>
                  <w:r>
                    <w:rPr>
                      <w:b/>
                      <w:bCs/>
                      <w:color w:val="auto"/>
                      <w:spacing w:val="6"/>
                      <w:sz w:val="21"/>
                      <w:szCs w:val="21"/>
                    </w:rPr>
                    <w:t>）</w:t>
                  </w:r>
                </w:p>
              </w:tc>
              <w:tc>
                <w:tcPr>
                  <w:tcW w:w="1921" w:type="dxa"/>
                  <w:vAlign w:val="center"/>
                </w:tcPr>
                <w:p w14:paraId="0DC7D7A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5"/>
                      <w:sz w:val="21"/>
                      <w:szCs w:val="21"/>
                    </w:rPr>
                    <w:t>生物损失量（</w:t>
                  </w:r>
                  <w:r>
                    <w:rPr>
                      <w:rFonts w:ascii="Times New Roman" w:hAnsi="Times New Roman" w:eastAsia="Times New Roman" w:cs="Times New Roman"/>
                      <w:b/>
                      <w:bCs/>
                      <w:color w:val="auto"/>
                      <w:spacing w:val="5"/>
                      <w:sz w:val="21"/>
                      <w:szCs w:val="21"/>
                    </w:rPr>
                    <w:t>t</w:t>
                  </w:r>
                  <w:r>
                    <w:rPr>
                      <w:b/>
                      <w:bCs/>
                      <w:color w:val="auto"/>
                      <w:spacing w:val="5"/>
                      <w:sz w:val="21"/>
                      <w:szCs w:val="21"/>
                    </w:rPr>
                    <w:t>）</w:t>
                  </w:r>
                </w:p>
              </w:tc>
            </w:tr>
            <w:tr w14:paraId="55720D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0" w:hRule="atLeast"/>
                <w:jc w:val="center"/>
              </w:trPr>
              <w:tc>
                <w:tcPr>
                  <w:tcW w:w="1880" w:type="dxa"/>
                  <w:vAlign w:val="center"/>
                </w:tcPr>
                <w:p w14:paraId="49343DE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4"/>
                      <w:sz w:val="21"/>
                      <w:szCs w:val="21"/>
                    </w:rPr>
                    <w:t>林地</w:t>
                  </w:r>
                </w:p>
              </w:tc>
              <w:tc>
                <w:tcPr>
                  <w:tcW w:w="1956" w:type="dxa"/>
                  <w:vAlign w:val="center"/>
                </w:tcPr>
                <w:p w14:paraId="7AAF0141">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3"/>
                      <w:sz w:val="21"/>
                      <w:szCs w:val="21"/>
                    </w:rPr>
                    <w:t>4.95</w:t>
                  </w:r>
                </w:p>
              </w:tc>
              <w:tc>
                <w:tcPr>
                  <w:tcW w:w="1941" w:type="dxa"/>
                  <w:vAlign w:val="center"/>
                </w:tcPr>
                <w:p w14:paraId="74B7E94B">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2.15</w:t>
                  </w:r>
                </w:p>
              </w:tc>
              <w:tc>
                <w:tcPr>
                  <w:tcW w:w="1921" w:type="dxa"/>
                  <w:vAlign w:val="center"/>
                </w:tcPr>
                <w:p w14:paraId="61D3798F">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10.64</w:t>
                  </w:r>
                </w:p>
              </w:tc>
            </w:tr>
            <w:tr w14:paraId="20C4F1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0" w:hRule="atLeast"/>
                <w:jc w:val="center"/>
              </w:trPr>
              <w:tc>
                <w:tcPr>
                  <w:tcW w:w="1880" w:type="dxa"/>
                  <w:vAlign w:val="center"/>
                </w:tcPr>
                <w:p w14:paraId="150EFF84">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3"/>
                      <w:sz w:val="21"/>
                      <w:szCs w:val="21"/>
                    </w:rPr>
                    <w:t>草地</w:t>
                  </w:r>
                </w:p>
              </w:tc>
              <w:tc>
                <w:tcPr>
                  <w:tcW w:w="1956" w:type="dxa"/>
                  <w:vAlign w:val="center"/>
                </w:tcPr>
                <w:p w14:paraId="042179C4">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4.1</w:t>
                  </w:r>
                </w:p>
              </w:tc>
              <w:tc>
                <w:tcPr>
                  <w:tcW w:w="1941" w:type="dxa"/>
                  <w:vAlign w:val="center"/>
                </w:tcPr>
                <w:p w14:paraId="4A020725">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5.70</w:t>
                  </w:r>
                </w:p>
              </w:tc>
              <w:tc>
                <w:tcPr>
                  <w:tcW w:w="1921" w:type="dxa"/>
                  <w:vAlign w:val="center"/>
                </w:tcPr>
                <w:p w14:paraId="1BB786D8">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23.37</w:t>
                  </w:r>
                </w:p>
              </w:tc>
            </w:tr>
            <w:tr w14:paraId="52049B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jc w:val="center"/>
              </w:trPr>
              <w:tc>
                <w:tcPr>
                  <w:tcW w:w="1880" w:type="dxa"/>
                  <w:vAlign w:val="center"/>
                </w:tcPr>
                <w:p w14:paraId="5957C21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4"/>
                      <w:sz w:val="21"/>
                      <w:szCs w:val="21"/>
                    </w:rPr>
                    <w:t>合计</w:t>
                  </w:r>
                </w:p>
              </w:tc>
              <w:tc>
                <w:tcPr>
                  <w:tcW w:w="1956" w:type="dxa"/>
                  <w:vAlign w:val="center"/>
                </w:tcPr>
                <w:p w14:paraId="5356C03C">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w:t>
                  </w:r>
                </w:p>
              </w:tc>
              <w:tc>
                <w:tcPr>
                  <w:tcW w:w="1941" w:type="dxa"/>
                  <w:vAlign w:val="center"/>
                </w:tcPr>
                <w:p w14:paraId="34ECFE82">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7.85</w:t>
                  </w:r>
                </w:p>
              </w:tc>
              <w:tc>
                <w:tcPr>
                  <w:tcW w:w="1921" w:type="dxa"/>
                  <w:vAlign w:val="center"/>
                </w:tcPr>
                <w:p w14:paraId="601727AD">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34.01</w:t>
                  </w:r>
                </w:p>
              </w:tc>
            </w:tr>
          </w:tbl>
          <w:p w14:paraId="0B86AB09">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22" w:firstLineChars="203"/>
              <w:textAlignment w:val="auto"/>
              <w:rPr>
                <w:rFonts w:hint="default" w:ascii="Times New Roman" w:hAnsi="Times New Roman" w:cs="Times New Roman"/>
                <w:color w:val="auto"/>
                <w:spacing w:val="-1"/>
                <w:sz w:val="21"/>
                <w:szCs w:val="21"/>
              </w:rPr>
            </w:pPr>
            <w:r>
              <w:rPr>
                <w:rFonts w:hint="default" w:ascii="Times New Roman" w:hAnsi="Times New Roman" w:cs="Times New Roman"/>
                <w:color w:val="auto"/>
                <w:spacing w:val="-1"/>
                <w:sz w:val="21"/>
                <w:szCs w:val="21"/>
              </w:rPr>
              <w:t>注：表中自然植被生物量参照黄玫等《中国区域植被地上与地下生物量模拟》(生态学报</w:t>
            </w:r>
            <w:r>
              <w:rPr>
                <w:rFonts w:hint="eastAsia" w:ascii="Times New Roman" w:hAnsi="Times New Roman" w:cs="Times New Roman"/>
                <w:color w:val="auto"/>
                <w:spacing w:val="-1"/>
                <w:sz w:val="21"/>
                <w:szCs w:val="21"/>
                <w:lang w:eastAsia="zh-CN"/>
              </w:rPr>
              <w:t>，</w:t>
            </w:r>
            <w:r>
              <w:rPr>
                <w:rFonts w:hint="default" w:ascii="Times New Roman" w:hAnsi="Times New Roman" w:cs="Times New Roman"/>
                <w:color w:val="auto"/>
                <w:spacing w:val="-1"/>
                <w:sz w:val="21"/>
                <w:szCs w:val="21"/>
              </w:rPr>
              <w:t>2016(12):41564163)确定。</w:t>
            </w:r>
          </w:p>
          <w:p w14:paraId="630A2DAC">
            <w:pPr>
              <w:pStyle w:val="65"/>
              <w:keepNext w:val="0"/>
              <w:keepLines w:val="0"/>
              <w:pageBreakBefore w:val="0"/>
              <w:widowControl w:val="0"/>
              <w:numPr>
                <w:ilvl w:val="0"/>
                <w:numId w:val="35"/>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2"/>
                <w:sz w:val="24"/>
                <w:szCs w:val="24"/>
                <w:lang w:val="en-US" w:eastAsia="zh-CN"/>
              </w:rPr>
            </w:pPr>
            <w:r>
              <w:rPr>
                <w:rFonts w:hint="eastAsia"/>
                <w:color w:val="auto"/>
                <w:spacing w:val="-2"/>
                <w:sz w:val="24"/>
                <w:szCs w:val="24"/>
                <w:lang w:val="en-US" w:eastAsia="zh-CN"/>
              </w:rPr>
              <w:t>水土流失影响</w:t>
            </w:r>
          </w:p>
          <w:p w14:paraId="3A7038A4">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firstLineChars="203"/>
              <w:textAlignment w:val="auto"/>
              <w:rPr>
                <w:color w:val="auto"/>
                <w:sz w:val="24"/>
                <w:szCs w:val="24"/>
              </w:rPr>
            </w:pPr>
            <w:r>
              <w:rPr>
                <w:color w:val="auto"/>
                <w:spacing w:val="-1"/>
                <w:sz w:val="24"/>
                <w:szCs w:val="24"/>
              </w:rPr>
              <w:t>工程建设施工期是水土流失的重点时段，工程施工过程中，防洪堤基础开</w:t>
            </w:r>
            <w:r>
              <w:rPr>
                <w:color w:val="auto"/>
                <w:spacing w:val="-5"/>
                <w:sz w:val="24"/>
                <w:szCs w:val="24"/>
              </w:rPr>
              <w:t>挖及临时道路等开挖作业将破坏原有的地表结构，土方的调运、</w:t>
            </w:r>
            <w:r>
              <w:rPr>
                <w:color w:val="auto"/>
                <w:spacing w:val="-6"/>
                <w:sz w:val="24"/>
                <w:szCs w:val="24"/>
              </w:rPr>
              <w:t>临时堆放在风、</w:t>
            </w:r>
            <w:r>
              <w:rPr>
                <w:color w:val="auto"/>
                <w:spacing w:val="-1"/>
                <w:sz w:val="24"/>
                <w:szCs w:val="24"/>
              </w:rPr>
              <w:t>雨的侵蚀下，将不可避免地产生水土流失。工程建设过程中地表土壤的开挖、占压，扰动地表植被，破坏原地貌形态、土壤结构和地表植被，使经过多年培肥或自然熟化才形成的植被附着层被严重破坏或不复存在。该工程扰动和破坏原地表状况、植被，降低了原地貌的水土保持功能，削弱了其抗蚀能力。若不及时恢复，必将为水土流失提供新的物质来源。施工结束后，临时建筑物的拆除、废弃，形成一定范围的废弃地，为水土流失发生提供了物质来源，若不加以处理，在暴雨径流携带下，会形成水土流失，导致土地退化，毁坏周边林地草地；河流淤积，加剧洪涝灾害等。</w:t>
            </w:r>
          </w:p>
          <w:p w14:paraId="0EA93AE0">
            <w:pPr>
              <w:pStyle w:val="65"/>
              <w:keepNext w:val="0"/>
              <w:keepLines w:val="0"/>
              <w:pageBreakBefore w:val="0"/>
              <w:widowControl w:val="0"/>
              <w:numPr>
                <w:ilvl w:val="0"/>
                <w:numId w:val="35"/>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2"/>
                <w:sz w:val="24"/>
                <w:szCs w:val="24"/>
                <w:lang w:val="en-US" w:eastAsia="zh-CN"/>
              </w:rPr>
            </w:pPr>
            <w:r>
              <w:rPr>
                <w:rFonts w:hint="eastAsia"/>
                <w:color w:val="auto"/>
                <w:spacing w:val="-2"/>
                <w:sz w:val="24"/>
                <w:szCs w:val="24"/>
                <w:lang w:val="en-US" w:eastAsia="zh-CN"/>
              </w:rPr>
              <w:t>对区域景观的影响</w:t>
            </w:r>
          </w:p>
          <w:p w14:paraId="4EB4792C">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firstLineChars="203"/>
              <w:textAlignment w:val="auto"/>
              <w:rPr>
                <w:color w:val="auto"/>
                <w:spacing w:val="-1"/>
                <w:sz w:val="24"/>
                <w:szCs w:val="24"/>
              </w:rPr>
            </w:pPr>
            <w:r>
              <w:rPr>
                <w:color w:val="auto"/>
                <w:spacing w:val="-1"/>
                <w:sz w:val="24"/>
                <w:szCs w:val="24"/>
              </w:rPr>
              <w:t>由于项目施工开挖等活动，会因为地表植被不同程度的破坏，在短期内成为与原有生态景观不协调的“裸地”或“疮疤”斑块，工程施工造成土地利用格局的暂时性改变，景观破碎化增加，景观</w:t>
            </w:r>
            <w:r>
              <w:rPr>
                <w:rFonts w:hint="eastAsia"/>
                <w:color w:val="auto"/>
                <w:spacing w:val="-1"/>
                <w:sz w:val="24"/>
                <w:szCs w:val="24"/>
                <w:lang w:eastAsia="zh-CN"/>
              </w:rPr>
              <w:t>比例</w:t>
            </w:r>
            <w:r>
              <w:rPr>
                <w:color w:val="auto"/>
                <w:spacing w:val="-1"/>
                <w:sz w:val="24"/>
                <w:szCs w:val="24"/>
              </w:rPr>
              <w:t>略有降低，连通度稍有降低。另外施工现场的暴露、工程余土的堆存也影响区域景观，对整体生态景观形成不和谐的视觉效果，造成较为明显的不利影响。</w:t>
            </w:r>
          </w:p>
          <w:p w14:paraId="77BD10E5">
            <w:pPr>
              <w:pStyle w:val="65"/>
              <w:keepNext w:val="0"/>
              <w:keepLines w:val="0"/>
              <w:pageBreakBefore w:val="0"/>
              <w:widowControl w:val="0"/>
              <w:numPr>
                <w:ilvl w:val="0"/>
                <w:numId w:val="35"/>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2"/>
                <w:sz w:val="24"/>
                <w:szCs w:val="24"/>
                <w:lang w:val="en-US" w:eastAsia="zh-CN"/>
              </w:rPr>
            </w:pPr>
            <w:r>
              <w:rPr>
                <w:rFonts w:hint="eastAsia"/>
                <w:color w:val="auto"/>
                <w:spacing w:val="-2"/>
                <w:sz w:val="24"/>
                <w:szCs w:val="24"/>
                <w:lang w:val="en-US" w:eastAsia="zh-CN"/>
              </w:rPr>
              <w:t>区域完整性和稳定性分析</w:t>
            </w:r>
          </w:p>
          <w:p w14:paraId="1703A682">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firstLineChars="203"/>
              <w:textAlignment w:val="auto"/>
              <w:rPr>
                <w:color w:val="auto"/>
                <w:spacing w:val="-1"/>
                <w:sz w:val="24"/>
                <w:szCs w:val="24"/>
              </w:rPr>
            </w:pPr>
            <w:r>
              <w:rPr>
                <w:color w:val="auto"/>
                <w:spacing w:val="-1"/>
                <w:sz w:val="24"/>
                <w:szCs w:val="24"/>
              </w:rPr>
              <w:t>本项目在施工过程中会破坏区域的完</w:t>
            </w:r>
            <w:r>
              <w:rPr>
                <w:rFonts w:hint="eastAsia"/>
                <w:color w:val="auto"/>
                <w:spacing w:val="-1"/>
                <w:sz w:val="24"/>
                <w:szCs w:val="24"/>
                <w:lang w:eastAsia="zh-CN"/>
              </w:rPr>
              <w:t>整性</w:t>
            </w:r>
            <w:r>
              <w:rPr>
                <w:color w:val="auto"/>
                <w:spacing w:val="-1"/>
                <w:sz w:val="24"/>
                <w:szCs w:val="24"/>
              </w:rPr>
              <w:t>，并打破原有自然生态的稳定，但如果本项目不建设，后期河流的侵蚀将会对周边草场、林地及居民区造成更大的破坏，相比之下施工期</w:t>
            </w:r>
            <w:r>
              <w:rPr>
                <w:rFonts w:hint="eastAsia"/>
                <w:color w:val="auto"/>
                <w:spacing w:val="-1"/>
                <w:sz w:val="24"/>
                <w:szCs w:val="24"/>
                <w:lang w:eastAsia="zh-CN"/>
              </w:rPr>
              <w:t>对</w:t>
            </w:r>
            <w:r>
              <w:rPr>
                <w:color w:val="auto"/>
                <w:spacing w:val="-1"/>
                <w:sz w:val="24"/>
                <w:szCs w:val="24"/>
              </w:rPr>
              <w:t>区域的完整性及稳定性影响较小。</w:t>
            </w:r>
          </w:p>
          <w:p w14:paraId="724E8BA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firstLineChars="203"/>
              <w:textAlignment w:val="auto"/>
              <w:rPr>
                <w:color w:val="auto"/>
                <w:spacing w:val="-1"/>
                <w:sz w:val="24"/>
                <w:szCs w:val="24"/>
              </w:rPr>
            </w:pPr>
            <w:r>
              <w:rPr>
                <w:color w:val="auto"/>
                <w:spacing w:val="-1"/>
                <w:sz w:val="24"/>
                <w:szCs w:val="24"/>
              </w:rPr>
              <w:t>综上所述，施工活动将对环境产生一定程度的不利影响，在采取相应的防治措施后，其影响程度将大大减轻并局限在一定范围之内，同时绝大多数不利影响将随着工程施工活动的结束而消失。</w:t>
            </w:r>
          </w:p>
          <w:p w14:paraId="34B3F272">
            <w:pPr>
              <w:pStyle w:val="65"/>
              <w:keepNext w:val="0"/>
              <w:keepLines w:val="0"/>
              <w:pageBreakBefore w:val="0"/>
              <w:widowControl w:val="0"/>
              <w:numPr>
                <w:ilvl w:val="0"/>
                <w:numId w:val="35"/>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2"/>
                <w:sz w:val="24"/>
                <w:szCs w:val="24"/>
                <w:lang w:val="en-US" w:eastAsia="zh-CN"/>
              </w:rPr>
            </w:pPr>
            <w:r>
              <w:rPr>
                <w:rFonts w:hint="eastAsia"/>
                <w:color w:val="auto"/>
                <w:spacing w:val="-2"/>
                <w:sz w:val="24"/>
                <w:szCs w:val="24"/>
                <w:lang w:val="en-US" w:eastAsia="zh-CN"/>
              </w:rPr>
              <w:t>对生物多样性的影响</w:t>
            </w:r>
          </w:p>
          <w:p w14:paraId="5C26121B">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firstLineChars="203"/>
              <w:textAlignment w:val="auto"/>
              <w:rPr>
                <w:color w:val="auto"/>
                <w:spacing w:val="-1"/>
                <w:sz w:val="24"/>
                <w:szCs w:val="24"/>
              </w:rPr>
            </w:pPr>
            <w:r>
              <w:rPr>
                <w:color w:val="auto"/>
                <w:spacing w:val="-1"/>
                <w:sz w:val="24"/>
                <w:szCs w:val="24"/>
              </w:rPr>
              <w:t>该项目建设过程中必然会对区域内的陆栖野生动物、昆虫产生影响，以穴居和地面活动为主要活动方式的动物和昆虫将远离施工现场，同时高强度的施工噪音，也将使鸟类远离施工区，使局部地区的植物、动物、昆虫、微生物的生态循环系统遭受不同程度的影响。但这种影响是暂时的，待项目建设完工后，项目区的生物多样性可得到自然修复。</w:t>
            </w:r>
          </w:p>
          <w:p w14:paraId="5FAEBFAE">
            <w:pPr>
              <w:pStyle w:val="65"/>
              <w:keepNext w:val="0"/>
              <w:keepLines w:val="0"/>
              <w:pageBreakBefore w:val="0"/>
              <w:widowControl w:val="0"/>
              <w:numPr>
                <w:ilvl w:val="0"/>
                <w:numId w:val="35"/>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2"/>
                <w:sz w:val="24"/>
                <w:szCs w:val="24"/>
                <w:lang w:val="en-US" w:eastAsia="zh-CN"/>
              </w:rPr>
            </w:pPr>
            <w:r>
              <w:rPr>
                <w:rFonts w:hint="eastAsia"/>
                <w:color w:val="auto"/>
                <w:spacing w:val="-2"/>
                <w:sz w:val="24"/>
                <w:szCs w:val="24"/>
                <w:lang w:val="en-US" w:eastAsia="zh-CN"/>
              </w:rPr>
              <w:t>对生态效能的影响</w:t>
            </w:r>
          </w:p>
          <w:p w14:paraId="1A21D37C">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firstLineChars="203"/>
              <w:textAlignment w:val="auto"/>
              <w:rPr>
                <w:color w:val="auto"/>
                <w:spacing w:val="-1"/>
                <w:sz w:val="24"/>
                <w:szCs w:val="24"/>
              </w:rPr>
            </w:pPr>
            <w:r>
              <w:rPr>
                <w:color w:val="auto"/>
                <w:spacing w:val="-1"/>
                <w:sz w:val="24"/>
                <w:szCs w:val="24"/>
              </w:rPr>
              <w:t>该项目建设必然导致用地区域植被及微区域地表状态发生改变，扰动原生地貌，使原有的植被遭到破坏，对区域生态环境造成不同程度的影响，现有的植被将被碾压破坏，土地表层将由原来透水吸水性能良好的土壤、植被转变为透水性差的地表。因此，该项目的建设将使用地范围内的土壤、植被遭到破坏，地表裸露，局部蒸发量加大，土壤理化性质和土壤结构改变，用地范围内林地的生态防护效能将暂时丧失，为此，项目建设单</w:t>
            </w:r>
            <w:r>
              <w:rPr>
                <w:rFonts w:hint="eastAsia"/>
                <w:color w:val="auto"/>
                <w:spacing w:val="-1"/>
                <w:sz w:val="24"/>
                <w:szCs w:val="24"/>
                <w:lang w:eastAsia="zh-CN"/>
              </w:rPr>
              <w:t>位在</w:t>
            </w:r>
            <w:r>
              <w:rPr>
                <w:color w:val="auto"/>
                <w:spacing w:val="-1"/>
                <w:sz w:val="24"/>
                <w:szCs w:val="24"/>
              </w:rPr>
              <w:t>施工时尽量减少工程建设对周边区域植被和林木的干扰和影响，使工程建设对区域林地生态效能所产生的影响降到最小。</w:t>
            </w:r>
          </w:p>
          <w:p w14:paraId="26678EB4">
            <w:pPr>
              <w:pStyle w:val="65"/>
              <w:numPr>
                <w:ilvl w:val="0"/>
                <w:numId w:val="28"/>
              </w:numPr>
              <w:spacing w:before="40" w:line="360" w:lineRule="auto"/>
              <w:ind w:left="425" w:leftChars="0" w:hanging="425" w:firstLineChars="0"/>
              <w:rPr>
                <w:rFonts w:hint="default" w:ascii="宋体" w:hAnsi="宋体" w:eastAsia="宋体" w:cs="宋体"/>
                <w:b/>
                <w:bCs/>
                <w:color w:val="auto"/>
                <w:spacing w:val="-3"/>
                <w:sz w:val="24"/>
                <w:szCs w:val="24"/>
                <w:lang w:val="en-US" w:eastAsia="zh-CN"/>
              </w:rPr>
            </w:pPr>
            <w:r>
              <w:rPr>
                <w:rFonts w:hint="default" w:ascii="宋体" w:hAnsi="宋体" w:eastAsia="宋体" w:cs="宋体"/>
                <w:b/>
                <w:bCs/>
                <w:color w:val="auto"/>
                <w:spacing w:val="-3"/>
                <w:sz w:val="24"/>
                <w:szCs w:val="24"/>
                <w:lang w:val="en-US" w:eastAsia="zh-CN"/>
              </w:rPr>
              <w:t>水土流失影响分析</w:t>
            </w:r>
          </w:p>
          <w:p w14:paraId="1CAA435B">
            <w:pPr>
              <w:pageBreakBefore w:val="0"/>
              <w:kinsoku/>
              <w:wordWrap/>
              <w:overflowPunct/>
              <w:bidi w:val="0"/>
              <w:spacing w:line="360" w:lineRule="auto"/>
              <w:ind w:left="0" w:leftChars="0" w:right="0" w:rightChars="0" w:firstLine="480"/>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本工程建设过程中，由于施工人员践踏、机械作业等，对地表植被及土壤结构造成破坏，形成一定面积的裸地，遇到雨天将会造成水土流失，开挖的土石方将占用一定的土地，对占地范围产生扰动、植被破坏，开挖土石方堆存易发生水土流失。工程建设新增水土流失产生于以下方面：</w:t>
            </w:r>
          </w:p>
          <w:p w14:paraId="0B52C745">
            <w:pPr>
              <w:pageBreakBefore w:val="0"/>
              <w:kinsoku/>
              <w:wordWrap/>
              <w:overflowPunct/>
              <w:bidi w:val="0"/>
              <w:spacing w:line="360" w:lineRule="auto"/>
              <w:ind w:left="0" w:leftChars="0" w:right="0" w:rightChars="0" w:firstLine="480"/>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①工程实施期间，由于场地开拓及平整地基土层的填挖、施工临时生产区、施工道路的布置等，均有可能造成原生地表植被的破坏，引发和加剧水土流失。</w:t>
            </w:r>
          </w:p>
          <w:p w14:paraId="7CA5C0C1">
            <w:pPr>
              <w:pageBreakBefore w:val="0"/>
              <w:kinsoku/>
              <w:wordWrap/>
              <w:overflowPunct/>
              <w:bidi w:val="0"/>
              <w:spacing w:line="360" w:lineRule="auto"/>
              <w:ind w:left="0" w:leftChars="0" w:right="0" w:rightChars="0" w:firstLine="480"/>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②临时的土方堆放被风蚀的可能性较大，若堆放或保护措施不当，将会在大风作用下产生水土流失。</w:t>
            </w:r>
          </w:p>
          <w:p w14:paraId="1CC1F2A4">
            <w:pPr>
              <w:pageBreakBefore w:val="0"/>
              <w:kinsoku/>
              <w:wordWrap/>
              <w:overflowPunct/>
              <w:bidi w:val="0"/>
              <w:spacing w:line="360" w:lineRule="auto"/>
              <w:ind w:left="0" w:leftChars="0" w:right="0" w:rightChars="0" w:firstLine="480"/>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从本工程建设性质来看，主体工程及其配套设施建设将扰动原地貌，改变地形地貌，破坏植被，工程建设对占地范围内的土地产生扰动，本次提出严格控制施工占地，对临时堆土采取防尘网苫盖措施，施工结束后恢复原有地貌，采取以上措施后，对项目区周边水土流失的影响不大。</w:t>
            </w:r>
          </w:p>
          <w:p w14:paraId="19576328">
            <w:pPr>
              <w:pStyle w:val="65"/>
              <w:numPr>
                <w:ilvl w:val="0"/>
                <w:numId w:val="28"/>
              </w:numPr>
              <w:spacing w:before="40" w:line="360" w:lineRule="auto"/>
              <w:ind w:left="425" w:leftChars="0" w:hanging="425" w:firstLineChars="0"/>
              <w:rPr>
                <w:rFonts w:hint="default" w:ascii="宋体" w:hAnsi="宋体" w:eastAsia="宋体" w:cs="宋体"/>
                <w:b/>
                <w:bCs/>
                <w:color w:val="auto"/>
                <w:spacing w:val="-3"/>
                <w:sz w:val="24"/>
                <w:szCs w:val="24"/>
                <w:lang w:val="en-US" w:eastAsia="zh-CN"/>
              </w:rPr>
            </w:pPr>
            <w:r>
              <w:rPr>
                <w:rFonts w:hint="eastAsia" w:ascii="宋体" w:hAnsi="宋体" w:eastAsia="宋体" w:cs="宋体"/>
                <w:b/>
                <w:bCs/>
                <w:color w:val="auto"/>
                <w:spacing w:val="-3"/>
                <w:sz w:val="24"/>
                <w:szCs w:val="24"/>
                <w:lang w:val="en-US" w:eastAsia="zh-CN"/>
              </w:rPr>
              <w:t>对土地沙化</w:t>
            </w:r>
            <w:r>
              <w:rPr>
                <w:rFonts w:hint="default" w:ascii="宋体" w:hAnsi="宋体" w:eastAsia="宋体" w:cs="宋体"/>
                <w:b/>
                <w:bCs/>
                <w:color w:val="auto"/>
                <w:spacing w:val="-3"/>
                <w:sz w:val="24"/>
                <w:szCs w:val="24"/>
                <w:lang w:val="en-US" w:eastAsia="zh-CN"/>
              </w:rPr>
              <w:t>影响分析</w:t>
            </w:r>
          </w:p>
          <w:p w14:paraId="4EBE3A85">
            <w:pPr>
              <w:pageBreakBefore w:val="0"/>
              <w:kinsoku/>
              <w:wordWrap/>
              <w:overflowPunct/>
              <w:bidi w:val="0"/>
              <w:spacing w:line="360" w:lineRule="auto"/>
              <w:ind w:left="0" w:leftChars="0" w:right="0" w:rightChars="0" w:firstLine="480"/>
              <w:rPr>
                <w:rFonts w:hint="default" w:ascii="Times New Roman" w:hAnsi="Times New Roman" w:eastAsia="宋体" w:cs="Times New Roman"/>
                <w:bCs/>
                <w:color w:val="auto"/>
                <w:sz w:val="24"/>
              </w:rPr>
            </w:pPr>
            <w:r>
              <w:rPr>
                <w:rFonts w:hint="eastAsia" w:ascii="Times New Roman" w:hAnsi="Times New Roman" w:eastAsia="宋体" w:cs="Times New Roman"/>
                <w:bCs/>
                <w:color w:val="auto"/>
                <w:sz w:val="24"/>
                <w:lang w:val="en-US" w:eastAsia="zh-CN"/>
              </w:rPr>
              <w:t>本项目施工期间开挖、土石方工程、车辆碾压等将破坏原有地表植被和土壤结构，导致项目永久占地区植被全部被破坏。施工便道临时占地面积为44600m</w:t>
            </w:r>
            <w:r>
              <w:rPr>
                <w:rFonts w:hint="eastAsia" w:ascii="Times New Roman" w:hAnsi="Times New Roman" w:eastAsia="宋体" w:cs="Times New Roman"/>
                <w:bCs/>
                <w:color w:val="auto"/>
                <w:sz w:val="24"/>
                <w:vertAlign w:val="superscript"/>
                <w:lang w:val="en-US" w:eastAsia="zh-CN"/>
              </w:rPr>
              <w:t>2</w:t>
            </w:r>
            <w:r>
              <w:rPr>
                <w:rFonts w:hint="eastAsia" w:ascii="Times New Roman" w:hAnsi="Times New Roman" w:eastAsia="宋体" w:cs="Times New Roman"/>
                <w:bCs/>
                <w:color w:val="auto"/>
                <w:sz w:val="24"/>
                <w:vertAlign w:val="baseline"/>
                <w:lang w:val="en-US" w:eastAsia="zh-CN"/>
              </w:rPr>
              <w:t>。</w:t>
            </w:r>
            <w:r>
              <w:rPr>
                <w:rFonts w:hint="eastAsia" w:ascii="Times New Roman" w:hAnsi="Times New Roman" w:eastAsia="宋体" w:cs="Times New Roman"/>
                <w:bCs/>
                <w:color w:val="auto"/>
                <w:sz w:val="24"/>
                <w:lang w:val="en-US" w:eastAsia="zh-CN"/>
              </w:rPr>
              <w:t>施工便道、物料堆放、修筑围墙等将临时占用场外少量用地，施工区域及周边土壤受到扰动，地表植被覆盖降低，成为土地沙化的极敏感因子。如果在人为干扰而植被不能恢复的情况下，评价区的土地荒漠化敏感性将会上升。因此，在区域开发过程中必须重视裸露地表的及时恢复，不然就有可能在局部地区发生土壤荒漠化的加剧。</w:t>
            </w:r>
          </w:p>
          <w:p w14:paraId="1DDAC55D">
            <w:pPr>
              <w:pageBreakBefore w:val="0"/>
              <w:kinsoku/>
              <w:wordWrap/>
              <w:overflowPunct/>
              <w:bidi w:val="0"/>
              <w:spacing w:line="360" w:lineRule="auto"/>
              <w:ind w:left="0" w:leftChars="0" w:right="0" w:rightChars="0" w:firstLine="480"/>
              <w:rPr>
                <w:rFonts w:hint="default"/>
                <w:color w:val="auto"/>
                <w:spacing w:val="-1"/>
                <w:sz w:val="24"/>
                <w:szCs w:val="24"/>
                <w:lang w:val="en-US" w:eastAsia="zh-CN"/>
              </w:rPr>
            </w:pPr>
            <w:r>
              <w:rPr>
                <w:rFonts w:hint="eastAsia" w:ascii="Times New Roman" w:hAnsi="Times New Roman" w:eastAsia="宋体" w:cs="Times New Roman"/>
                <w:bCs/>
                <w:color w:val="auto"/>
                <w:sz w:val="24"/>
                <w:lang w:val="en-US" w:eastAsia="zh-CN"/>
              </w:rPr>
              <w:t>综上所述，工程所在区域周边无风景名胜区、自然保护区及文化遗产等特殊保护目标，生态环境不属于敏感区。建设、施工单位在建设过程中完善相关水土保持措施建设，</w:t>
            </w:r>
            <w:r>
              <w:rPr>
                <w:rFonts w:hint="eastAsia" w:cs="Times New Roman"/>
                <w:bCs/>
                <w:color w:val="auto"/>
                <w:sz w:val="24"/>
                <w:lang w:val="en-US" w:eastAsia="zh-CN"/>
              </w:rPr>
              <w:t>尽量减少</w:t>
            </w:r>
            <w:r>
              <w:rPr>
                <w:rFonts w:hint="eastAsia" w:ascii="Times New Roman" w:hAnsi="Times New Roman" w:eastAsia="宋体" w:cs="Times New Roman"/>
                <w:bCs/>
                <w:color w:val="auto"/>
                <w:sz w:val="24"/>
                <w:lang w:val="en-US" w:eastAsia="zh-CN"/>
              </w:rPr>
              <w:t>水土流失对项目生产运行和周边生态环境的影响。</w:t>
            </w:r>
          </w:p>
        </w:tc>
      </w:tr>
      <w:tr w14:paraId="176C45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063" w:type="dxa"/>
            <w:noWrap w:val="0"/>
            <w:tcMar>
              <w:left w:w="28" w:type="dxa"/>
              <w:right w:w="28" w:type="dxa"/>
            </w:tcMar>
            <w:vAlign w:val="center"/>
          </w:tcPr>
          <w:p w14:paraId="33F12693">
            <w:pPr>
              <w:adjustRightInd w:val="0"/>
              <w:snapToGrid w:val="0"/>
              <w:spacing w:line="240" w:lineRule="auto"/>
              <w:jc w:val="both"/>
              <w:rPr>
                <w:rFonts w:hint="default" w:ascii="Times New Roman" w:hAnsi="Times New Roman" w:eastAsia="宋体" w:cs="Times New Roman"/>
                <w:bCs/>
                <w:color w:val="auto"/>
                <w:spacing w:val="0"/>
                <w:position w:val="0"/>
                <w:sz w:val="21"/>
                <w:szCs w:val="21"/>
                <w:highlight w:val="none"/>
              </w:rPr>
            </w:pPr>
            <w:r>
              <w:rPr>
                <w:color w:val="auto"/>
                <w:spacing w:val="10"/>
                <w:sz w:val="24"/>
                <w:szCs w:val="32"/>
              </w:rPr>
              <w:t>运营期生态环境影响</w:t>
            </w:r>
            <w:r>
              <w:rPr>
                <w:color w:val="auto"/>
                <w:spacing w:val="3"/>
                <w:sz w:val="24"/>
                <w:szCs w:val="32"/>
              </w:rPr>
              <w:t>分析</w:t>
            </w:r>
          </w:p>
        </w:tc>
        <w:tc>
          <w:tcPr>
            <w:tcW w:w="7918" w:type="dxa"/>
            <w:noWrap w:val="0"/>
            <w:vAlign w:val="center"/>
          </w:tcPr>
          <w:p w14:paraId="2B434EF6">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textAlignment w:val="auto"/>
              <w:rPr>
                <w:color w:val="auto"/>
                <w:sz w:val="24"/>
                <w:szCs w:val="24"/>
              </w:rPr>
            </w:pPr>
            <w:r>
              <w:rPr>
                <w:color w:val="auto"/>
                <w:spacing w:val="-1"/>
                <w:sz w:val="24"/>
                <w:szCs w:val="24"/>
              </w:rPr>
              <w:t>本工程运行期间不产生废气及噪声影响，因此不进行评价，运营期主要环境影响为工程建成后对河道河势和水文情势的</w:t>
            </w:r>
            <w:r>
              <w:rPr>
                <w:color w:val="auto"/>
                <w:spacing w:val="-2"/>
                <w:sz w:val="24"/>
                <w:szCs w:val="24"/>
              </w:rPr>
              <w:t>影响。</w:t>
            </w:r>
          </w:p>
          <w:p w14:paraId="4EE25FE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color w:val="auto"/>
                <w:sz w:val="24"/>
                <w:szCs w:val="24"/>
              </w:rPr>
            </w:pPr>
            <w:r>
              <w:rPr>
                <w:b/>
                <w:bCs/>
                <w:color w:val="auto"/>
                <w:spacing w:val="-9"/>
                <w:sz w:val="24"/>
                <w:szCs w:val="24"/>
              </w:rPr>
              <w:t>一、对河道河势的影响分析</w:t>
            </w:r>
          </w:p>
          <w:p w14:paraId="3FFB5101">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textAlignment w:val="auto"/>
              <w:rPr>
                <w:color w:val="auto"/>
                <w:sz w:val="24"/>
                <w:szCs w:val="24"/>
              </w:rPr>
            </w:pPr>
            <w:r>
              <w:rPr>
                <w:color w:val="auto"/>
                <w:spacing w:val="-1"/>
                <w:sz w:val="24"/>
                <w:szCs w:val="24"/>
              </w:rPr>
              <w:t>本项目为护岸建设工程，基本按照</w:t>
            </w:r>
            <w:r>
              <w:rPr>
                <w:rFonts w:hint="eastAsia"/>
                <w:color w:val="auto"/>
                <w:spacing w:val="-1"/>
                <w:sz w:val="24"/>
                <w:szCs w:val="24"/>
                <w:lang w:eastAsia="zh-CN"/>
              </w:rPr>
              <w:t>吉布库河</w:t>
            </w:r>
            <w:r>
              <w:rPr>
                <w:color w:val="auto"/>
                <w:spacing w:val="-1"/>
                <w:sz w:val="24"/>
                <w:szCs w:val="24"/>
              </w:rPr>
              <w:t>原有河道岸坎进行布置，基本不</w:t>
            </w:r>
            <w:r>
              <w:rPr>
                <w:color w:val="auto"/>
                <w:spacing w:val="-3"/>
                <w:sz w:val="24"/>
                <w:szCs w:val="24"/>
              </w:rPr>
              <w:t>束窄河道。</w:t>
            </w:r>
          </w:p>
          <w:p w14:paraId="74C643F7">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textAlignment w:val="auto"/>
              <w:rPr>
                <w:rFonts w:hint="default" w:ascii="Times New Roman" w:hAnsi="Times New Roman" w:cs="Times New Roman"/>
                <w:color w:val="auto"/>
                <w:spacing w:val="-1"/>
                <w:sz w:val="24"/>
                <w:szCs w:val="24"/>
              </w:rPr>
            </w:pPr>
            <w:r>
              <w:rPr>
                <w:rFonts w:hint="default" w:ascii="Times New Roman" w:hAnsi="Times New Roman" w:cs="Times New Roman"/>
                <w:color w:val="auto"/>
                <w:spacing w:val="-1"/>
                <w:sz w:val="24"/>
                <w:szCs w:val="24"/>
                <w:lang w:val="en-US" w:eastAsia="zh-CN"/>
              </w:rPr>
              <w:t>根据可研报告，工程沿线的已建建筑物主要有16座交通桥。2～16#交通桥的过流能力均能满足要求，1#交通桥过流能力不满足要求需改造，2～16#交通桥拟全部保留。1#交通桥改造后</w:t>
            </w:r>
            <w:r>
              <w:rPr>
                <w:rFonts w:hint="default" w:ascii="Times New Roman" w:hAnsi="Times New Roman" w:cs="Times New Roman"/>
                <w:color w:val="auto"/>
                <w:spacing w:val="-1"/>
                <w:sz w:val="24"/>
                <w:szCs w:val="24"/>
              </w:rPr>
              <w:t>，上述河段可满足防洪需求。</w:t>
            </w:r>
          </w:p>
          <w:p w14:paraId="3A1DECD0">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4"/>
              <w:jc w:val="both"/>
              <w:textAlignment w:val="auto"/>
              <w:rPr>
                <w:color w:val="auto"/>
                <w:sz w:val="24"/>
                <w:szCs w:val="24"/>
              </w:rPr>
            </w:pPr>
            <w:r>
              <w:rPr>
                <w:color w:val="auto"/>
                <w:spacing w:val="-1"/>
                <w:sz w:val="24"/>
                <w:szCs w:val="24"/>
              </w:rPr>
              <w:t>项目沿</w:t>
            </w:r>
            <w:r>
              <w:rPr>
                <w:rFonts w:hint="eastAsia"/>
                <w:color w:val="auto"/>
                <w:spacing w:val="-1"/>
                <w:sz w:val="24"/>
                <w:szCs w:val="24"/>
                <w:lang w:eastAsia="zh-CN"/>
              </w:rPr>
              <w:t>吉布库河</w:t>
            </w:r>
            <w:r>
              <w:rPr>
                <w:color w:val="auto"/>
                <w:spacing w:val="-1"/>
                <w:sz w:val="24"/>
                <w:szCs w:val="24"/>
              </w:rPr>
              <w:t>河道岸坎布设，堤距满足规划河宽、稳定河宽要求，对流速影响较小。工程建设后对原行洪断面改变较小，对洪水流态改变较小，河段基</w:t>
            </w:r>
            <w:r>
              <w:rPr>
                <w:color w:val="auto"/>
                <w:spacing w:val="-6"/>
                <w:sz w:val="24"/>
                <w:szCs w:val="24"/>
              </w:rPr>
              <w:t>本维持了现有的水流形势，不会造成本河道水流流态和河相关系有较大的变化，</w:t>
            </w:r>
            <w:r>
              <w:rPr>
                <w:color w:val="auto"/>
                <w:spacing w:val="-7"/>
                <w:sz w:val="24"/>
                <w:szCs w:val="24"/>
              </w:rPr>
              <w:t>不会引起河床再造床过程，不会发生较大的河</w:t>
            </w:r>
            <w:r>
              <w:rPr>
                <w:color w:val="auto"/>
                <w:spacing w:val="-8"/>
                <w:sz w:val="24"/>
                <w:szCs w:val="24"/>
              </w:rPr>
              <w:t>床演变，故工程河段不会发生大的</w:t>
            </w:r>
            <w:r>
              <w:rPr>
                <w:color w:val="auto"/>
                <w:spacing w:val="-4"/>
                <w:sz w:val="24"/>
                <w:szCs w:val="24"/>
              </w:rPr>
              <w:t>河势变化。</w:t>
            </w:r>
          </w:p>
          <w:p w14:paraId="7669EDF0">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textAlignment w:val="auto"/>
              <w:rPr>
                <w:color w:val="auto"/>
                <w:sz w:val="24"/>
                <w:szCs w:val="24"/>
              </w:rPr>
            </w:pPr>
            <w:r>
              <w:rPr>
                <w:color w:val="auto"/>
                <w:spacing w:val="-2"/>
                <w:sz w:val="24"/>
                <w:szCs w:val="24"/>
              </w:rPr>
              <w:t>综上所述，本工程运行后对</w:t>
            </w:r>
            <w:r>
              <w:rPr>
                <w:rFonts w:hint="eastAsia"/>
                <w:color w:val="auto"/>
                <w:spacing w:val="-2"/>
                <w:sz w:val="24"/>
                <w:szCs w:val="24"/>
                <w:lang w:eastAsia="zh-CN"/>
              </w:rPr>
              <w:t>吉布库河</w:t>
            </w:r>
            <w:r>
              <w:rPr>
                <w:color w:val="auto"/>
                <w:spacing w:val="-2"/>
                <w:sz w:val="24"/>
                <w:szCs w:val="24"/>
              </w:rPr>
              <w:t>的生态环境影响是有</w:t>
            </w:r>
            <w:r>
              <w:rPr>
                <w:color w:val="auto"/>
                <w:spacing w:val="-3"/>
                <w:sz w:val="24"/>
                <w:szCs w:val="24"/>
              </w:rPr>
              <w:t>利的。</w:t>
            </w:r>
          </w:p>
          <w:p w14:paraId="77CA3CA0">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b/>
                <w:bCs/>
                <w:color w:val="auto"/>
                <w:spacing w:val="-9"/>
                <w:sz w:val="24"/>
                <w:szCs w:val="24"/>
                <w:lang w:eastAsia="zh-CN"/>
              </w:rPr>
            </w:pPr>
            <w:r>
              <w:rPr>
                <w:rFonts w:hint="eastAsia"/>
                <w:b/>
                <w:bCs/>
                <w:color w:val="auto"/>
                <w:spacing w:val="-9"/>
                <w:sz w:val="24"/>
                <w:szCs w:val="24"/>
                <w:lang w:eastAsia="zh-CN"/>
              </w:rPr>
              <w:t>二、对水环境水质、水文情势的影响分析</w:t>
            </w:r>
          </w:p>
          <w:p w14:paraId="7407967E">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textAlignment w:val="auto"/>
              <w:rPr>
                <w:rFonts w:hint="eastAsia"/>
                <w:color w:val="auto"/>
                <w:spacing w:val="-2"/>
                <w:sz w:val="24"/>
                <w:szCs w:val="24"/>
                <w:lang w:eastAsia="zh-CN"/>
              </w:rPr>
            </w:pPr>
            <w:r>
              <w:rPr>
                <w:rFonts w:hint="eastAsia"/>
                <w:color w:val="auto"/>
                <w:spacing w:val="-2"/>
                <w:sz w:val="24"/>
                <w:szCs w:val="24"/>
                <w:lang w:eastAsia="zh-CN"/>
              </w:rPr>
              <w:t>项目基本按照吉布库河原有河道岸坎进行布置，仅为护岸建设，可有效防止河水冲刷岸边及洪水期洪水翻岸，区段径流及洪峰时段径流流速加快。由于本项目仅涉及河段为吉布库河，且项目防洪堤规模不大，不涉及引流及储水，故对径流流速、河流水位、水深影响不大。</w:t>
            </w:r>
          </w:p>
          <w:p w14:paraId="2C0158E6">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textAlignment w:val="auto"/>
              <w:rPr>
                <w:rFonts w:hint="eastAsia"/>
                <w:color w:val="auto"/>
                <w:spacing w:val="-2"/>
                <w:sz w:val="24"/>
                <w:szCs w:val="24"/>
                <w:lang w:eastAsia="zh-CN"/>
              </w:rPr>
            </w:pPr>
            <w:r>
              <w:rPr>
                <w:rFonts w:hint="eastAsia"/>
                <w:color w:val="auto"/>
                <w:spacing w:val="-2"/>
                <w:sz w:val="24"/>
                <w:szCs w:val="24"/>
                <w:lang w:eastAsia="zh-CN"/>
              </w:rPr>
              <w:t>本项目自身基本不产生污染物，吉布库河水质及水量在项目运营期间无影响，且项目运行过程中未阻断河道，对水环境水质、水文情势影响不大。</w:t>
            </w:r>
          </w:p>
          <w:p w14:paraId="1A0C1D5C">
            <w:pPr>
              <w:pStyle w:val="13"/>
              <w:numPr>
                <w:ilvl w:val="0"/>
                <w:numId w:val="38"/>
              </w:numPr>
              <w:spacing w:line="360" w:lineRule="auto"/>
              <w:rPr>
                <w:rFonts w:hint="eastAsia" w:ascii="宋体" w:hAnsi="宋体" w:eastAsia="宋体" w:cs="宋体"/>
                <w:b/>
                <w:bCs/>
                <w:color w:val="auto"/>
                <w:spacing w:val="-9"/>
                <w:kern w:val="2"/>
                <w:sz w:val="24"/>
                <w:szCs w:val="24"/>
                <w:lang w:val="en-US" w:eastAsia="zh-CN" w:bidi="ar-SA"/>
              </w:rPr>
            </w:pPr>
            <w:r>
              <w:rPr>
                <w:rFonts w:hint="eastAsia" w:ascii="宋体" w:hAnsi="宋体" w:eastAsia="宋体" w:cs="宋体"/>
                <w:b/>
                <w:bCs/>
                <w:color w:val="auto"/>
                <w:spacing w:val="-9"/>
                <w:kern w:val="2"/>
                <w:sz w:val="24"/>
                <w:szCs w:val="24"/>
                <w:lang w:val="en-US" w:eastAsia="zh-CN" w:bidi="ar-SA"/>
              </w:rPr>
              <w:t>对水生态的影响分析</w:t>
            </w:r>
          </w:p>
          <w:p w14:paraId="59E7C443">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jc w:val="both"/>
              <w:textAlignment w:val="auto"/>
              <w:rPr>
                <w:rFonts w:hint="eastAsia" w:ascii="宋体" w:hAnsi="宋体" w:eastAsia="宋体" w:cs="宋体"/>
                <w:color w:val="auto"/>
                <w:spacing w:val="-2"/>
                <w:kern w:val="2"/>
                <w:sz w:val="24"/>
                <w:szCs w:val="24"/>
                <w:lang w:val="en-US" w:eastAsia="zh-CN" w:bidi="ar-SA"/>
              </w:rPr>
            </w:pPr>
            <w:r>
              <w:rPr>
                <w:rFonts w:hint="eastAsia" w:ascii="宋体" w:hAnsi="宋体" w:eastAsia="宋体" w:cs="宋体"/>
                <w:color w:val="auto"/>
                <w:spacing w:val="-2"/>
                <w:kern w:val="2"/>
                <w:sz w:val="24"/>
                <w:szCs w:val="24"/>
                <w:lang w:val="en-US" w:eastAsia="zh-CN" w:bidi="ar-SA"/>
              </w:rPr>
              <w:t>本项目为防洪护岸建设，项目运行过程中未阻断河道，但由于防洪堤改变了原有河道岸坎形式，项目建设未对全河道进行衬砌，流速变化程度不大，径流特性变化不明显，项目运行对河道内水生态、水生生态环境影响不大。</w:t>
            </w:r>
          </w:p>
          <w:p w14:paraId="0F758B29">
            <w:pPr>
              <w:pStyle w:val="65"/>
              <w:keepNext w:val="0"/>
              <w:keepLines w:val="0"/>
              <w:pageBreakBefore w:val="0"/>
              <w:widowControl w:val="0"/>
              <w:kinsoku/>
              <w:wordWrap/>
              <w:overflowPunct/>
              <w:topLinePunct w:val="0"/>
              <w:autoSpaceDE/>
              <w:autoSpaceDN/>
              <w:bidi w:val="0"/>
              <w:spacing w:line="360" w:lineRule="auto"/>
              <w:ind w:left="610"/>
              <w:textAlignment w:val="auto"/>
              <w:rPr>
                <w:rFonts w:hint="eastAsia" w:ascii="宋体" w:hAnsi="宋体" w:eastAsia="宋体" w:cs="宋体"/>
                <w:b/>
                <w:bCs/>
                <w:color w:val="auto"/>
                <w:spacing w:val="-9"/>
                <w:kern w:val="2"/>
                <w:sz w:val="24"/>
                <w:szCs w:val="24"/>
                <w:lang w:val="en-US" w:eastAsia="zh-CN" w:bidi="ar-SA"/>
              </w:rPr>
            </w:pPr>
            <w:r>
              <w:rPr>
                <w:rFonts w:hint="eastAsia" w:ascii="宋体" w:hAnsi="宋体" w:eastAsia="宋体" w:cs="宋体"/>
                <w:b/>
                <w:bCs/>
                <w:color w:val="auto"/>
                <w:spacing w:val="-9"/>
                <w:kern w:val="2"/>
                <w:sz w:val="24"/>
                <w:szCs w:val="24"/>
                <w:lang w:val="en-US" w:eastAsia="zh-CN" w:bidi="ar-SA"/>
              </w:rPr>
              <w:t>四、对植被的影响分析</w:t>
            </w:r>
          </w:p>
          <w:p w14:paraId="6E49A439">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jc w:val="both"/>
              <w:textAlignment w:val="auto"/>
              <w:rPr>
                <w:rFonts w:hint="eastAsia" w:ascii="宋体" w:hAnsi="宋体" w:eastAsia="宋体" w:cs="宋体"/>
                <w:color w:val="auto"/>
                <w:spacing w:val="-2"/>
                <w:kern w:val="2"/>
                <w:sz w:val="24"/>
                <w:szCs w:val="24"/>
                <w:lang w:val="en-US" w:eastAsia="zh-CN" w:bidi="ar-SA"/>
              </w:rPr>
            </w:pPr>
            <w:r>
              <w:rPr>
                <w:rFonts w:hint="eastAsia" w:ascii="宋体" w:hAnsi="宋体" w:eastAsia="宋体" w:cs="宋体"/>
                <w:color w:val="auto"/>
                <w:spacing w:val="-2"/>
                <w:kern w:val="2"/>
                <w:sz w:val="24"/>
                <w:szCs w:val="24"/>
                <w:lang w:val="en-US" w:eastAsia="zh-CN" w:bidi="ar-SA"/>
              </w:rPr>
              <w:t>项目所在河段两岸植被生长主要依靠自然降水、地表水和地下水补给生长，工程建设河段内无支流汇入，两岸为村镇、耕地等，无保护类植物。</w:t>
            </w:r>
          </w:p>
          <w:p w14:paraId="455EFE22">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jc w:val="both"/>
              <w:textAlignment w:val="auto"/>
              <w:rPr>
                <w:rFonts w:hint="eastAsia" w:ascii="宋体" w:hAnsi="宋体" w:eastAsia="宋体" w:cs="宋体"/>
                <w:color w:val="auto"/>
                <w:spacing w:val="-2"/>
                <w:kern w:val="2"/>
                <w:sz w:val="24"/>
                <w:szCs w:val="24"/>
                <w:lang w:val="en-US" w:eastAsia="zh-CN" w:bidi="ar-SA"/>
              </w:rPr>
            </w:pPr>
            <w:r>
              <w:rPr>
                <w:rFonts w:hint="eastAsia" w:ascii="宋体" w:hAnsi="宋体" w:eastAsia="宋体" w:cs="宋体"/>
                <w:color w:val="auto"/>
                <w:spacing w:val="-2"/>
                <w:kern w:val="2"/>
                <w:sz w:val="24"/>
                <w:szCs w:val="24"/>
                <w:lang w:val="en-US" w:eastAsia="zh-CN" w:bidi="ar-SA"/>
              </w:rPr>
              <w:t>由于河道防洪堤建设，会清除一部分河道滩地上自然生植被，但由于工程建设减轻了河道岸线的冲刷，防止河道岸线坍塌，避免水土流失，在一定程度上有利于沿线植被生长，同时对防洪护岸背水坡面进行植被恢复，增加项目建成后的植被覆盖度。现浇砼板护岸可减缓水流速度，降低土壤侵蚀模数，减少水土流失。</w:t>
            </w:r>
          </w:p>
          <w:p w14:paraId="678B334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2"/>
              <w:jc w:val="both"/>
              <w:textAlignment w:val="auto"/>
              <w:rPr>
                <w:rFonts w:hint="eastAsia" w:ascii="宋体" w:hAnsi="宋体" w:eastAsia="宋体" w:cs="宋体"/>
                <w:color w:val="auto"/>
                <w:spacing w:val="-2"/>
                <w:kern w:val="2"/>
                <w:sz w:val="24"/>
                <w:szCs w:val="24"/>
                <w:lang w:val="en-US" w:eastAsia="zh-CN" w:bidi="ar-SA"/>
              </w:rPr>
            </w:pPr>
            <w:r>
              <w:rPr>
                <w:rFonts w:hint="eastAsia" w:ascii="宋体" w:hAnsi="宋体" w:eastAsia="宋体" w:cs="宋体"/>
                <w:color w:val="auto"/>
                <w:spacing w:val="-2"/>
                <w:kern w:val="2"/>
                <w:sz w:val="24"/>
                <w:szCs w:val="24"/>
                <w:lang w:val="en-US" w:eastAsia="zh-CN" w:bidi="ar-SA"/>
              </w:rPr>
              <w:t>因此，本工程运行对河岸两岸植被影响较小。</w:t>
            </w:r>
          </w:p>
          <w:p w14:paraId="10A57A8B">
            <w:pPr>
              <w:pStyle w:val="65"/>
              <w:keepNext w:val="0"/>
              <w:keepLines w:val="0"/>
              <w:pageBreakBefore w:val="0"/>
              <w:widowControl w:val="0"/>
              <w:kinsoku/>
              <w:wordWrap/>
              <w:overflowPunct/>
              <w:topLinePunct w:val="0"/>
              <w:autoSpaceDE/>
              <w:autoSpaceDN/>
              <w:bidi w:val="0"/>
              <w:spacing w:line="360" w:lineRule="auto"/>
              <w:ind w:left="610"/>
              <w:textAlignment w:val="auto"/>
              <w:rPr>
                <w:rFonts w:hint="eastAsia" w:ascii="宋体" w:hAnsi="宋体" w:eastAsia="宋体" w:cs="宋体"/>
                <w:b/>
                <w:bCs/>
                <w:color w:val="auto"/>
                <w:spacing w:val="-9"/>
                <w:kern w:val="2"/>
                <w:sz w:val="24"/>
                <w:szCs w:val="24"/>
                <w:lang w:val="en-US" w:eastAsia="zh-CN" w:bidi="ar-SA"/>
              </w:rPr>
            </w:pPr>
            <w:r>
              <w:rPr>
                <w:rFonts w:hint="eastAsia" w:ascii="宋体" w:hAnsi="宋体" w:eastAsia="宋体" w:cs="宋体"/>
                <w:b/>
                <w:bCs/>
                <w:color w:val="auto"/>
                <w:spacing w:val="-9"/>
                <w:kern w:val="2"/>
                <w:sz w:val="24"/>
                <w:szCs w:val="24"/>
                <w:lang w:val="en-US" w:eastAsia="zh-CN" w:bidi="ar-SA"/>
              </w:rPr>
              <w:t>五、对土壤的影响</w:t>
            </w:r>
          </w:p>
          <w:p w14:paraId="28C1B9F9">
            <w:pPr>
              <w:pStyle w:val="13"/>
              <w:numPr>
                <w:ilvl w:val="0"/>
                <w:numId w:val="0"/>
              </w:numPr>
              <w:spacing w:line="360" w:lineRule="auto"/>
              <w:ind w:firstLine="472" w:firstLineChars="200"/>
              <w:rPr>
                <w:rFonts w:hint="default"/>
                <w:b/>
                <w:bCs/>
                <w:color w:val="auto"/>
                <w:spacing w:val="-3"/>
              </w:rPr>
            </w:pPr>
            <w:r>
              <w:rPr>
                <w:rFonts w:hint="default" w:ascii="Times New Roman" w:hAnsi="Times New Roman" w:eastAsia="宋体" w:cs="Times New Roman"/>
                <w:color w:val="auto"/>
                <w:spacing w:val="-2"/>
                <w:kern w:val="2"/>
                <w:sz w:val="24"/>
                <w:szCs w:val="24"/>
                <w:lang w:val="en-US" w:eastAsia="zh-CN" w:bidi="ar-SA"/>
              </w:rPr>
              <w:t>本项目属于防洪除涝工程，不具备蓄水功能，本项目建成后，不会造成地下水位上升，新建护岸22.184km，其中左岸护岸长11.126km，右岸护岸长11.058km。对土壤盐碱化影响较小，本项目不会造成区域土壤盐化。</w:t>
            </w:r>
          </w:p>
        </w:tc>
      </w:tr>
      <w:tr w14:paraId="7DDA73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063" w:type="dxa"/>
            <w:noWrap w:val="0"/>
            <w:tcMar>
              <w:left w:w="28" w:type="dxa"/>
              <w:right w:w="28" w:type="dxa"/>
            </w:tcMar>
            <w:vAlign w:val="center"/>
          </w:tcPr>
          <w:p w14:paraId="30B9ADFA">
            <w:pPr>
              <w:adjustRightInd w:val="0"/>
              <w:snapToGrid w:val="0"/>
              <w:spacing w:line="240" w:lineRule="auto"/>
              <w:jc w:val="both"/>
              <w:rPr>
                <w:color w:val="auto"/>
                <w:spacing w:val="10"/>
                <w:sz w:val="24"/>
                <w:szCs w:val="32"/>
              </w:rPr>
            </w:pPr>
            <w:r>
              <w:rPr>
                <w:color w:val="auto"/>
                <w:spacing w:val="10"/>
                <w:sz w:val="24"/>
                <w:szCs w:val="32"/>
              </w:rPr>
              <w:t>选址选线环境合理性分析</w:t>
            </w:r>
          </w:p>
        </w:tc>
        <w:tc>
          <w:tcPr>
            <w:tcW w:w="7918" w:type="dxa"/>
            <w:noWrap w:val="0"/>
            <w:vAlign w:val="center"/>
          </w:tcPr>
          <w:p w14:paraId="245DF207">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（1）主体工程设计路线合理性分析</w:t>
            </w:r>
          </w:p>
          <w:p w14:paraId="5A1FE147">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textAlignment w:val="auto"/>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本工程为防洪除涝工程，项目区位于</w:t>
            </w:r>
            <w:r>
              <w:rPr>
                <w:rFonts w:hint="eastAsia" w:ascii="Times New Roman" w:hAnsi="Times New Roman" w:eastAsia="宋体" w:cs="Times New Roman"/>
                <w:color w:val="auto"/>
                <w:spacing w:val="-2"/>
                <w:kern w:val="2"/>
                <w:sz w:val="24"/>
                <w:szCs w:val="24"/>
                <w:lang w:val="en-US" w:eastAsia="zh-CN" w:bidi="ar-SA"/>
              </w:rPr>
              <w:t>吉布库河</w:t>
            </w:r>
            <w:r>
              <w:rPr>
                <w:rFonts w:hint="default" w:ascii="Times New Roman" w:hAnsi="Times New Roman" w:eastAsia="宋体" w:cs="Times New Roman"/>
                <w:color w:val="auto"/>
                <w:spacing w:val="-2"/>
                <w:kern w:val="2"/>
                <w:sz w:val="24"/>
                <w:szCs w:val="24"/>
                <w:lang w:val="en-US" w:eastAsia="zh-CN" w:bidi="ar-SA"/>
              </w:rPr>
              <w:t>河段，项目基本按照</w:t>
            </w:r>
            <w:r>
              <w:rPr>
                <w:rFonts w:hint="eastAsia" w:ascii="Times New Roman" w:hAnsi="Times New Roman" w:eastAsia="宋体" w:cs="Times New Roman"/>
                <w:color w:val="auto"/>
                <w:spacing w:val="-2"/>
                <w:kern w:val="2"/>
                <w:sz w:val="24"/>
                <w:szCs w:val="24"/>
                <w:lang w:val="en-US" w:eastAsia="zh-CN" w:bidi="ar-SA"/>
              </w:rPr>
              <w:t>吉布库河</w:t>
            </w:r>
            <w:r>
              <w:rPr>
                <w:rFonts w:hint="default" w:ascii="Times New Roman" w:hAnsi="Times New Roman" w:eastAsia="宋体" w:cs="Times New Roman"/>
                <w:color w:val="auto"/>
                <w:spacing w:val="-2"/>
                <w:kern w:val="2"/>
                <w:sz w:val="24"/>
                <w:szCs w:val="24"/>
                <w:lang w:val="en-US" w:eastAsia="zh-CN" w:bidi="ar-SA"/>
              </w:rPr>
              <w:t>原有河道岸坎进行布置，河道蜿蜒曲折，主流不稳定，具有游荡型河道的特征，易发生集中冲刷、淤积或冲水现象。</w:t>
            </w:r>
          </w:p>
          <w:p w14:paraId="750C6E2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工程实施后，将有效地保护堤防段不受洪水冲蚀，避免水土流失，改善生态环境，符合保护生态，防治水土流失的要求，也促进了当地全面系统地开展河流防洪工作，对于促进当地经济的繁荣和社会的发展有积极的作用。</w:t>
            </w:r>
          </w:p>
          <w:p w14:paraId="0C7B7D81">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jc w:val="both"/>
              <w:textAlignment w:val="auto"/>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本工程建设范围及周边区域无特殊保护文物古迹、自然保护区和特殊环境制约因素，工程占地主要为林地、天然草场、人工草场、水利设施用地、其他土地，</w:t>
            </w:r>
            <w:r>
              <w:rPr>
                <w:rFonts w:hint="eastAsia" w:ascii="Times New Roman" w:hAnsi="Times New Roman" w:cs="Times New Roman"/>
                <w:color w:val="auto"/>
                <w:spacing w:val="-2"/>
                <w:kern w:val="2"/>
                <w:sz w:val="24"/>
                <w:szCs w:val="24"/>
                <w:lang w:val="en-US" w:eastAsia="zh-CN" w:bidi="ar-SA"/>
              </w:rPr>
              <w:t>根据</w:t>
            </w:r>
            <w:r>
              <w:rPr>
                <w:rFonts w:hint="default" w:ascii="Times New Roman" w:hAnsi="Times New Roman" w:eastAsia="宋体" w:cs="Times New Roman"/>
                <w:color w:val="auto"/>
                <w:spacing w:val="-2"/>
                <w:kern w:val="2"/>
                <w:sz w:val="24"/>
                <w:szCs w:val="24"/>
                <w:lang w:val="en-US" w:eastAsia="zh-CN" w:bidi="ar-SA"/>
              </w:rPr>
              <w:t>奇台县自然资源局</w:t>
            </w:r>
            <w:r>
              <w:rPr>
                <w:rFonts w:hint="eastAsia" w:ascii="Times New Roman" w:hAnsi="Times New Roman" w:cs="Times New Roman"/>
                <w:color w:val="auto"/>
                <w:spacing w:val="-2"/>
                <w:kern w:val="2"/>
                <w:sz w:val="24"/>
                <w:szCs w:val="24"/>
                <w:lang w:val="en-US" w:eastAsia="zh-CN" w:bidi="ar-SA"/>
              </w:rPr>
              <w:t>出具的《关于新疆昌吉州奇台县吉布库河城区段中小河流治理工程用地情况的复函》，</w:t>
            </w:r>
            <w:r>
              <w:rPr>
                <w:rFonts w:hint="default" w:ascii="Times New Roman" w:hAnsi="Times New Roman" w:eastAsia="宋体" w:cs="Times New Roman"/>
                <w:color w:val="auto"/>
                <w:spacing w:val="-2"/>
                <w:kern w:val="2"/>
                <w:sz w:val="24"/>
                <w:szCs w:val="24"/>
                <w:lang w:val="en-US" w:eastAsia="zh-CN" w:bidi="ar-SA"/>
              </w:rPr>
              <w:t>该项目在原河道管理范围内，不涉及新增</w:t>
            </w:r>
            <w:r>
              <w:rPr>
                <w:rFonts w:hint="eastAsia" w:cs="Times New Roman"/>
                <w:color w:val="auto"/>
                <w:sz w:val="24"/>
                <w:szCs w:val="24"/>
                <w:highlight w:val="none"/>
                <w:lang w:val="en-US" w:eastAsia="zh-CN"/>
              </w:rPr>
              <w:t>水利设施</w:t>
            </w:r>
            <w:r>
              <w:rPr>
                <w:rFonts w:hint="default" w:ascii="Times New Roman" w:hAnsi="Times New Roman" w:eastAsia="宋体" w:cs="Times New Roman"/>
                <w:color w:val="auto"/>
                <w:sz w:val="24"/>
                <w:szCs w:val="24"/>
                <w:highlight w:val="none"/>
              </w:rPr>
              <w:t>用地</w:t>
            </w:r>
            <w:r>
              <w:rPr>
                <w:rFonts w:hint="default" w:ascii="Times New Roman" w:hAnsi="Times New Roman" w:eastAsia="宋体" w:cs="Times New Roman"/>
                <w:color w:val="auto"/>
                <w:spacing w:val="-2"/>
                <w:kern w:val="2"/>
                <w:sz w:val="24"/>
                <w:szCs w:val="24"/>
                <w:lang w:val="en-US" w:eastAsia="zh-CN" w:bidi="ar-SA"/>
              </w:rPr>
              <w:t>，无需办理用地预审和选址意见书。综上本项目选址、选线是合理可行的。</w:t>
            </w:r>
          </w:p>
          <w:p w14:paraId="33BFCEA6">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（2）料场及弃渣场的选址合理性分析</w:t>
            </w:r>
          </w:p>
          <w:p w14:paraId="77DCCDC6">
            <w:pPr>
              <w:pStyle w:val="21"/>
              <w:spacing w:line="360" w:lineRule="auto"/>
              <w:ind w:firstLine="472" w:firstLineChars="200"/>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根据可研可知，本次所选卵石料、砂砾石料料场位于吉布库河右岸大奇高速南部商品料场，地理位置</w:t>
            </w:r>
            <w:r>
              <w:rPr>
                <w:rFonts w:hint="eastAsia" w:ascii="Times New Roman" w:hAnsi="Times New Roman" w:cs="Times New Roman"/>
                <w:color w:val="auto"/>
                <w:spacing w:val="-2"/>
                <w:kern w:val="2"/>
                <w:sz w:val="24"/>
                <w:szCs w:val="24"/>
                <w:lang w:val="en-US" w:eastAsia="zh-CN" w:bidi="ar-SA"/>
              </w:rPr>
              <w:t>坐标</w:t>
            </w:r>
            <w:r>
              <w:rPr>
                <w:rFonts w:hint="default" w:ascii="Times New Roman" w:hAnsi="Times New Roman" w:eastAsia="宋体" w:cs="Times New Roman"/>
                <w:color w:val="auto"/>
                <w:spacing w:val="-2"/>
                <w:kern w:val="2"/>
                <w:sz w:val="24"/>
                <w:szCs w:val="24"/>
                <w:lang w:val="en-US" w:eastAsia="zh-CN" w:bidi="ar-SA"/>
              </w:rPr>
              <w:t>为:E89°34'</w:t>
            </w:r>
            <w:r>
              <w:rPr>
                <w:rFonts w:hint="eastAsia" w:ascii="Times New Roman" w:hAnsi="Times New Roman" w:cs="Times New Roman"/>
                <w:color w:val="auto"/>
                <w:spacing w:val="-2"/>
                <w:kern w:val="2"/>
                <w:sz w:val="24"/>
                <w:szCs w:val="24"/>
                <w:lang w:val="en-US" w:eastAsia="zh-CN" w:bidi="ar-SA"/>
              </w:rPr>
              <w:t xml:space="preserve"> </w:t>
            </w:r>
            <w:r>
              <w:rPr>
                <w:rFonts w:hint="default" w:ascii="Times New Roman" w:hAnsi="Times New Roman" w:eastAsia="宋体" w:cs="Times New Roman"/>
                <w:color w:val="auto"/>
                <w:spacing w:val="-2"/>
                <w:kern w:val="2"/>
                <w:sz w:val="24"/>
                <w:szCs w:val="24"/>
                <w:lang w:val="en-US" w:eastAsia="zh-CN" w:bidi="ar-SA"/>
              </w:rPr>
              <w:t>34"</w:t>
            </w:r>
            <w:r>
              <w:rPr>
                <w:rFonts w:hint="eastAsia" w:ascii="Times New Roman" w:hAnsi="Times New Roman" w:cs="Times New Roman"/>
                <w:color w:val="auto"/>
                <w:spacing w:val="-2"/>
                <w:kern w:val="2"/>
                <w:sz w:val="24"/>
                <w:szCs w:val="24"/>
                <w:lang w:val="en-US" w:eastAsia="zh-CN" w:bidi="ar-SA"/>
              </w:rPr>
              <w:t>，</w:t>
            </w:r>
            <w:r>
              <w:rPr>
                <w:rFonts w:hint="default" w:ascii="Times New Roman" w:hAnsi="Times New Roman" w:eastAsia="宋体" w:cs="Times New Roman"/>
                <w:color w:val="auto"/>
                <w:spacing w:val="-2"/>
                <w:kern w:val="2"/>
                <w:sz w:val="24"/>
                <w:szCs w:val="24"/>
                <w:lang w:val="en-US" w:eastAsia="zh-CN" w:bidi="ar-SA"/>
              </w:rPr>
              <w:t>N43°52'</w:t>
            </w:r>
            <w:r>
              <w:rPr>
                <w:rFonts w:hint="eastAsia" w:ascii="Times New Roman" w:hAnsi="Times New Roman" w:cs="Times New Roman"/>
                <w:color w:val="auto"/>
                <w:spacing w:val="-2"/>
                <w:kern w:val="2"/>
                <w:sz w:val="24"/>
                <w:szCs w:val="24"/>
                <w:lang w:val="en-US" w:eastAsia="zh-CN" w:bidi="ar-SA"/>
              </w:rPr>
              <w:t xml:space="preserve"> </w:t>
            </w:r>
            <w:r>
              <w:rPr>
                <w:rFonts w:hint="default" w:ascii="Times New Roman" w:hAnsi="Times New Roman" w:eastAsia="宋体" w:cs="Times New Roman"/>
                <w:color w:val="auto"/>
                <w:spacing w:val="-2"/>
                <w:kern w:val="2"/>
                <w:sz w:val="24"/>
                <w:szCs w:val="24"/>
                <w:lang w:val="en-US" w:eastAsia="zh-CN" w:bidi="ar-SA"/>
              </w:rPr>
              <w:t>53"，平均运距约15km。石料场位于奇台县腰站子村商品料场，地理位置</w:t>
            </w:r>
            <w:r>
              <w:rPr>
                <w:rFonts w:hint="eastAsia" w:ascii="Times New Roman" w:hAnsi="Times New Roman" w:cs="Times New Roman"/>
                <w:color w:val="auto"/>
                <w:spacing w:val="-2"/>
                <w:kern w:val="2"/>
                <w:sz w:val="24"/>
                <w:szCs w:val="24"/>
                <w:lang w:val="en-US" w:eastAsia="zh-CN" w:bidi="ar-SA"/>
              </w:rPr>
              <w:t>坐标</w:t>
            </w:r>
            <w:r>
              <w:rPr>
                <w:rFonts w:hint="default" w:ascii="Times New Roman" w:hAnsi="Times New Roman" w:eastAsia="宋体" w:cs="Times New Roman"/>
                <w:color w:val="auto"/>
                <w:spacing w:val="-2"/>
                <w:kern w:val="2"/>
                <w:sz w:val="24"/>
                <w:szCs w:val="24"/>
                <w:lang w:val="en-US" w:eastAsia="zh-CN" w:bidi="ar-SA"/>
              </w:rPr>
              <w:t>为:E89°43'</w:t>
            </w:r>
            <w:r>
              <w:rPr>
                <w:rFonts w:hint="eastAsia" w:ascii="Times New Roman" w:hAnsi="Times New Roman" w:cs="Times New Roman"/>
                <w:color w:val="auto"/>
                <w:spacing w:val="-2"/>
                <w:kern w:val="2"/>
                <w:sz w:val="24"/>
                <w:szCs w:val="24"/>
                <w:lang w:val="en-US" w:eastAsia="zh-CN" w:bidi="ar-SA"/>
              </w:rPr>
              <w:t xml:space="preserve"> </w:t>
            </w:r>
            <w:r>
              <w:rPr>
                <w:rFonts w:hint="default" w:ascii="Times New Roman" w:hAnsi="Times New Roman" w:eastAsia="宋体" w:cs="Times New Roman"/>
                <w:color w:val="auto"/>
                <w:spacing w:val="-2"/>
                <w:kern w:val="2"/>
                <w:sz w:val="24"/>
                <w:szCs w:val="24"/>
                <w:lang w:val="en-US" w:eastAsia="zh-CN" w:bidi="ar-SA"/>
              </w:rPr>
              <w:t>12.19"，N43°</w:t>
            </w:r>
            <w:r>
              <w:rPr>
                <w:rFonts w:hint="eastAsia" w:ascii="Times New Roman" w:hAnsi="Times New Roman" w:cs="Times New Roman"/>
                <w:color w:val="auto"/>
                <w:spacing w:val="-2"/>
                <w:kern w:val="2"/>
                <w:sz w:val="24"/>
                <w:szCs w:val="24"/>
                <w:lang w:val="en-US" w:eastAsia="zh-CN" w:bidi="ar-SA"/>
              </w:rPr>
              <w:t xml:space="preserve"> </w:t>
            </w:r>
            <w:r>
              <w:rPr>
                <w:rFonts w:hint="default" w:ascii="Times New Roman" w:hAnsi="Times New Roman" w:eastAsia="宋体" w:cs="Times New Roman"/>
                <w:color w:val="auto"/>
                <w:spacing w:val="-2"/>
                <w:kern w:val="2"/>
                <w:sz w:val="24"/>
                <w:szCs w:val="24"/>
                <w:lang w:val="en-US" w:eastAsia="zh-CN" w:bidi="ar-SA"/>
              </w:rPr>
              <w:t>48'</w:t>
            </w:r>
            <w:r>
              <w:rPr>
                <w:rFonts w:hint="eastAsia" w:ascii="Times New Roman" w:hAnsi="Times New Roman" w:cs="Times New Roman"/>
                <w:color w:val="auto"/>
                <w:spacing w:val="-2"/>
                <w:kern w:val="2"/>
                <w:sz w:val="24"/>
                <w:szCs w:val="24"/>
                <w:lang w:val="en-US" w:eastAsia="zh-CN" w:bidi="ar-SA"/>
              </w:rPr>
              <w:t xml:space="preserve"> </w:t>
            </w:r>
            <w:r>
              <w:rPr>
                <w:rFonts w:hint="default" w:ascii="Times New Roman" w:hAnsi="Times New Roman" w:eastAsia="宋体" w:cs="Times New Roman"/>
                <w:color w:val="auto"/>
                <w:spacing w:val="-2"/>
                <w:kern w:val="2"/>
                <w:sz w:val="24"/>
                <w:szCs w:val="24"/>
                <w:lang w:val="en-US" w:eastAsia="zh-CN" w:bidi="ar-SA"/>
              </w:rPr>
              <w:t>35.68"，平均运距约30km，其卵石料、砂砾石料料场</w:t>
            </w:r>
            <w:r>
              <w:rPr>
                <w:rFonts w:hint="eastAsia" w:ascii="Times New Roman" w:hAnsi="Times New Roman" w:cs="Times New Roman"/>
                <w:color w:val="auto"/>
                <w:spacing w:val="-2"/>
                <w:kern w:val="2"/>
                <w:sz w:val="24"/>
                <w:szCs w:val="24"/>
                <w:lang w:val="en-US" w:eastAsia="zh-CN" w:bidi="ar-SA"/>
              </w:rPr>
              <w:t>，</w:t>
            </w:r>
            <w:r>
              <w:rPr>
                <w:rFonts w:hint="default" w:ascii="Times New Roman" w:hAnsi="Times New Roman" w:eastAsia="宋体" w:cs="Times New Roman"/>
                <w:color w:val="auto"/>
                <w:spacing w:val="-2"/>
                <w:kern w:val="2"/>
                <w:sz w:val="24"/>
                <w:szCs w:val="24"/>
                <w:lang w:val="en-US" w:eastAsia="zh-CN" w:bidi="ar-SA"/>
              </w:rPr>
              <w:t>石料场周围至项目沿线均分布有简易道路，交通运输较为便利。</w:t>
            </w:r>
            <w:r>
              <w:rPr>
                <w:rFonts w:hint="default" w:ascii="Times New Roman" w:hAnsi="Times New Roman" w:eastAsia="宋体" w:cs="Times New Roman"/>
                <w:color w:val="auto"/>
                <w:sz w:val="24"/>
                <w:szCs w:val="24"/>
                <w:lang w:val="en-US" w:eastAsia="zh-CN"/>
              </w:rPr>
              <w:t>本项目选用砂石料均从奇台县有合法水土保持备案手续的砂石料场采购。砂石料外购协议由施工单位与料场签订。</w:t>
            </w:r>
          </w:p>
          <w:p w14:paraId="180752F9">
            <w:pPr>
              <w:pStyle w:val="1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right="0" w:firstLine="472" w:firstLineChars="200"/>
              <w:textAlignment w:val="auto"/>
              <w:rPr>
                <w:rFonts w:hint="default"/>
                <w:color w:val="auto"/>
                <w:spacing w:val="-1"/>
                <w:lang w:val="en-US"/>
              </w:rPr>
            </w:pPr>
            <w:r>
              <w:rPr>
                <w:rFonts w:hint="eastAsia" w:ascii="Times New Roman" w:hAnsi="Times New Roman" w:cs="Times New Roman"/>
                <w:color w:val="auto"/>
                <w:spacing w:val="-2"/>
                <w:kern w:val="2"/>
                <w:sz w:val="24"/>
                <w:szCs w:val="24"/>
                <w:lang w:val="en-US" w:eastAsia="zh-CN" w:bidi="ar-SA"/>
              </w:rPr>
              <w:t>本项目未单独设置弃渣场，施工产生的建筑垃圾及弃土拉运至相关政府部门指定的建筑垃圾填埋场及弃渣场处置。综上，</w:t>
            </w:r>
            <w:r>
              <w:rPr>
                <w:rFonts w:hint="default" w:ascii="Times New Roman" w:hAnsi="Times New Roman" w:eastAsia="宋体" w:cs="Times New Roman"/>
                <w:color w:val="auto"/>
                <w:spacing w:val="-2"/>
                <w:kern w:val="2"/>
                <w:sz w:val="24"/>
                <w:szCs w:val="24"/>
                <w:lang w:val="en-US" w:eastAsia="zh-CN" w:bidi="ar-SA"/>
              </w:rPr>
              <w:t>料场及弃渣场的选址合理</w:t>
            </w:r>
            <w:r>
              <w:rPr>
                <w:rFonts w:hint="eastAsia" w:ascii="Times New Roman" w:hAnsi="Times New Roman" w:cs="Times New Roman"/>
                <w:color w:val="auto"/>
                <w:spacing w:val="-2"/>
                <w:kern w:val="2"/>
                <w:sz w:val="24"/>
                <w:szCs w:val="24"/>
                <w:lang w:val="en-US" w:eastAsia="zh-CN" w:bidi="ar-SA"/>
              </w:rPr>
              <w:t>。</w:t>
            </w:r>
          </w:p>
        </w:tc>
      </w:tr>
    </w:tbl>
    <w:p w14:paraId="498E91D0">
      <w:pPr>
        <w:adjustRightInd w:val="0"/>
        <w:snapToGrid w:val="0"/>
        <w:spacing w:line="360" w:lineRule="auto"/>
        <w:rPr>
          <w:rFonts w:hint="eastAsia" w:ascii="宋体" w:cs="宋体"/>
          <w:b/>
          <w:color w:val="auto"/>
          <w:kern w:val="0"/>
          <w:sz w:val="28"/>
          <w:szCs w:val="28"/>
        </w:rPr>
        <w:sectPr>
          <w:pgSz w:w="11907" w:h="16840"/>
          <w:pgMar w:top="1701" w:right="1531" w:bottom="2127" w:left="1531" w:header="851" w:footer="851" w:gutter="0"/>
          <w:pgBorders>
            <w:top w:val="none" w:sz="0" w:space="0"/>
            <w:left w:val="none" w:sz="0" w:space="0"/>
            <w:bottom w:val="none" w:sz="0" w:space="0"/>
            <w:right w:val="none" w:sz="0" w:space="0"/>
          </w:pgBorders>
          <w:cols w:space="720" w:num="1"/>
          <w:docGrid w:linePitch="312" w:charSpace="0"/>
        </w:sectPr>
      </w:pPr>
    </w:p>
    <w:p w14:paraId="7861E40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outlineLvl w:val="0"/>
        <w:rPr>
          <w:rFonts w:ascii="微软雅黑" w:hAnsi="微软雅黑" w:eastAsia="微软雅黑" w:cs="微软雅黑"/>
          <w:spacing w:val="-6"/>
          <w:sz w:val="30"/>
          <w:szCs w:val="30"/>
        </w:rPr>
      </w:pPr>
      <w:bookmarkStart w:id="41" w:name="_Toc16556"/>
      <w:bookmarkStart w:id="42" w:name="_Toc13981"/>
      <w:r>
        <w:rPr>
          <w:rFonts w:ascii="微软雅黑" w:hAnsi="微软雅黑" w:eastAsia="微软雅黑" w:cs="微软雅黑"/>
          <w:spacing w:val="-6"/>
          <w:sz w:val="30"/>
          <w:szCs w:val="30"/>
        </w:rPr>
        <w:t>五、主要生态环境保护措施</w:t>
      </w:r>
      <w:bookmarkEnd w:id="41"/>
      <w:bookmarkEnd w:id="42"/>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
        <w:gridCol w:w="8058"/>
      </w:tblGrid>
      <w:tr w14:paraId="14B85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3" w:type="dxa"/>
            <w:vAlign w:val="center"/>
          </w:tcPr>
          <w:p w14:paraId="3A19862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0"/>
              <w:rPr>
                <w:rFonts w:hint="default" w:ascii="Arial" w:hAnsi="Arial" w:eastAsia="微软雅黑" w:cs="Arial"/>
                <w:color w:val="auto"/>
                <w:spacing w:val="-6"/>
                <w:sz w:val="24"/>
                <w:szCs w:val="24"/>
                <w:vertAlign w:val="baseline"/>
              </w:rPr>
            </w:pPr>
            <w:bookmarkStart w:id="43" w:name="_Toc16429"/>
            <w:bookmarkStart w:id="44" w:name="_Toc21936"/>
            <w:r>
              <w:rPr>
                <w:color w:val="auto"/>
                <w:spacing w:val="5"/>
                <w:sz w:val="24"/>
                <w:szCs w:val="32"/>
              </w:rPr>
              <w:t>施工期生态环境保护措施</w:t>
            </w:r>
            <w:bookmarkEnd w:id="43"/>
            <w:bookmarkEnd w:id="44"/>
          </w:p>
        </w:tc>
        <w:tc>
          <w:tcPr>
            <w:tcW w:w="8167" w:type="dxa"/>
          </w:tcPr>
          <w:p w14:paraId="6402E858">
            <w:pPr>
              <w:pStyle w:val="65"/>
              <w:keepNext w:val="0"/>
              <w:keepLines w:val="0"/>
              <w:pageBreakBefore w:val="0"/>
              <w:widowControl w:val="0"/>
              <w:numPr>
                <w:ilvl w:val="0"/>
                <w:numId w:val="39"/>
              </w:numPr>
              <w:kinsoku/>
              <w:wordWrap/>
              <w:overflowPunct/>
              <w:topLinePunct w:val="0"/>
              <w:autoSpaceDE/>
              <w:autoSpaceDN/>
              <w:bidi w:val="0"/>
              <w:adjustRightInd w:val="0"/>
              <w:snapToGrid w:val="0"/>
              <w:spacing w:line="360" w:lineRule="auto"/>
              <w:ind w:left="425" w:leftChars="0" w:right="0" w:hanging="425" w:firstLineChars="0"/>
              <w:textAlignment w:val="auto"/>
              <w:rPr>
                <w:color w:val="auto"/>
                <w:sz w:val="24"/>
                <w:szCs w:val="24"/>
              </w:rPr>
            </w:pPr>
            <w:r>
              <w:rPr>
                <w:b/>
                <w:bCs/>
                <w:color w:val="auto"/>
                <w:spacing w:val="-5"/>
                <w:sz w:val="24"/>
                <w:szCs w:val="24"/>
              </w:rPr>
              <w:t>施工期大气环境保护措施</w:t>
            </w:r>
          </w:p>
          <w:p w14:paraId="2524B859">
            <w:pPr>
              <w:pStyle w:val="65"/>
              <w:keepNext w:val="0"/>
              <w:keepLines w:val="0"/>
              <w:pageBreakBefore w:val="0"/>
              <w:widowControl w:val="0"/>
              <w:numPr>
                <w:ilvl w:val="0"/>
                <w:numId w:val="40"/>
              </w:numPr>
              <w:kinsoku/>
              <w:wordWrap/>
              <w:overflowPunct/>
              <w:topLinePunct w:val="0"/>
              <w:autoSpaceDE/>
              <w:autoSpaceDN/>
              <w:bidi w:val="0"/>
              <w:adjustRightInd w:val="0"/>
              <w:snapToGrid w:val="0"/>
              <w:spacing w:line="360" w:lineRule="auto"/>
              <w:ind w:left="425" w:leftChars="0" w:right="0" w:hanging="425" w:firstLineChars="0"/>
              <w:textAlignment w:val="auto"/>
              <w:rPr>
                <w:color w:val="auto"/>
                <w:sz w:val="24"/>
                <w:szCs w:val="24"/>
              </w:rPr>
            </w:pPr>
            <w:r>
              <w:rPr>
                <w:rFonts w:hint="eastAsia"/>
                <w:color w:val="auto"/>
                <w:spacing w:val="-3"/>
                <w:sz w:val="24"/>
                <w:szCs w:val="24"/>
              </w:rPr>
              <w:t>土石方挖装扬尘</w:t>
            </w:r>
          </w:p>
          <w:p w14:paraId="346C5433">
            <w:pPr>
              <w:pStyle w:val="65"/>
              <w:keepNext w:val="0"/>
              <w:keepLines w:val="0"/>
              <w:pageBreakBefore w:val="0"/>
              <w:widowControl w:val="0"/>
              <w:numPr>
                <w:ilvl w:val="0"/>
                <w:numId w:val="41"/>
              </w:numPr>
              <w:kinsoku/>
              <w:wordWrap/>
              <w:overflowPunct/>
              <w:topLinePunct w:val="0"/>
              <w:autoSpaceDE/>
              <w:autoSpaceDN/>
              <w:bidi w:val="0"/>
              <w:adjustRightInd w:val="0"/>
              <w:snapToGrid w:val="0"/>
              <w:spacing w:line="360" w:lineRule="auto"/>
              <w:ind w:left="0" w:leftChars="0" w:right="0" w:firstLine="476" w:firstLineChars="200"/>
              <w:textAlignment w:val="auto"/>
              <w:rPr>
                <w:rFonts w:hint="default" w:ascii="Times New Roman" w:hAnsi="Times New Roman" w:cs="Times New Roman"/>
                <w:color w:val="auto"/>
                <w:spacing w:val="-1"/>
                <w:sz w:val="24"/>
                <w:szCs w:val="24"/>
              </w:rPr>
            </w:pPr>
            <w:r>
              <w:rPr>
                <w:rFonts w:hint="default" w:ascii="Times New Roman" w:hAnsi="Times New Roman" w:cs="Times New Roman"/>
                <w:color w:val="auto"/>
                <w:spacing w:val="-1"/>
                <w:sz w:val="24"/>
                <w:szCs w:val="24"/>
              </w:rPr>
              <w:t>工地周边围挡、物料堆放覆盖、土方开挖湿法作业、施工现场地面硬化、出入车辆清洗、渣土车辆密闭运输“六个百分百”。施工工区地面进行硬化或压实处理，在工区面向敏感目标的方向设立简易隔离围挡，高度不低于2.5m的施工围挡，位于建成区、临近居民点的施工工区，应将围挡高度加高到3m以上。围挡应封闭严密，并结合周边环境加以修饰，保持整洁完整。</w:t>
            </w:r>
          </w:p>
          <w:p w14:paraId="152611CD">
            <w:pPr>
              <w:pStyle w:val="65"/>
              <w:keepNext w:val="0"/>
              <w:keepLines w:val="0"/>
              <w:pageBreakBefore w:val="0"/>
              <w:widowControl w:val="0"/>
              <w:numPr>
                <w:ilvl w:val="0"/>
                <w:numId w:val="41"/>
              </w:numPr>
              <w:kinsoku/>
              <w:wordWrap/>
              <w:overflowPunct/>
              <w:topLinePunct w:val="0"/>
              <w:autoSpaceDE/>
              <w:autoSpaceDN/>
              <w:bidi w:val="0"/>
              <w:adjustRightInd w:val="0"/>
              <w:snapToGrid w:val="0"/>
              <w:spacing w:line="360" w:lineRule="auto"/>
              <w:ind w:left="0" w:leftChars="0" w:right="0" w:firstLine="476" w:firstLineChars="200"/>
              <w:textAlignment w:val="auto"/>
              <w:rPr>
                <w:rFonts w:hint="default" w:ascii="Times New Roman" w:hAnsi="Times New Roman" w:cs="Times New Roman"/>
                <w:color w:val="auto"/>
                <w:spacing w:val="-1"/>
                <w:sz w:val="24"/>
                <w:szCs w:val="24"/>
              </w:rPr>
            </w:pPr>
            <w:r>
              <w:rPr>
                <w:rFonts w:hint="default" w:ascii="Times New Roman" w:hAnsi="Times New Roman" w:cs="Times New Roman"/>
                <w:color w:val="auto"/>
                <w:spacing w:val="-1"/>
                <w:sz w:val="24"/>
                <w:szCs w:val="24"/>
              </w:rPr>
              <w:t>尽量避免在大风（风速大于17m/s）、暴雨（24h暴雨强大于20mm）天气下施工。</w:t>
            </w:r>
          </w:p>
          <w:p w14:paraId="52881456">
            <w:pPr>
              <w:pStyle w:val="65"/>
              <w:keepNext w:val="0"/>
              <w:keepLines w:val="0"/>
              <w:pageBreakBefore w:val="0"/>
              <w:widowControl w:val="0"/>
              <w:numPr>
                <w:ilvl w:val="0"/>
                <w:numId w:val="41"/>
              </w:numPr>
              <w:kinsoku/>
              <w:wordWrap/>
              <w:overflowPunct/>
              <w:topLinePunct w:val="0"/>
              <w:autoSpaceDE/>
              <w:autoSpaceDN/>
              <w:bidi w:val="0"/>
              <w:adjustRightInd w:val="0"/>
              <w:snapToGrid w:val="0"/>
              <w:spacing w:line="360" w:lineRule="auto"/>
              <w:ind w:left="0" w:leftChars="0" w:right="0" w:firstLine="476" w:firstLineChars="200"/>
              <w:textAlignment w:val="auto"/>
              <w:rPr>
                <w:rFonts w:hint="default" w:ascii="Times New Roman" w:hAnsi="Times New Roman" w:cs="Times New Roman"/>
                <w:color w:val="auto"/>
                <w:spacing w:val="-1"/>
                <w:sz w:val="24"/>
                <w:szCs w:val="24"/>
              </w:rPr>
            </w:pPr>
            <w:r>
              <w:rPr>
                <w:rFonts w:hint="default" w:ascii="Times New Roman" w:hAnsi="Times New Roman" w:cs="Times New Roman"/>
                <w:color w:val="auto"/>
                <w:spacing w:val="-1"/>
                <w:sz w:val="24"/>
                <w:szCs w:val="24"/>
              </w:rPr>
              <w:t>土方开挖、清运清杂垃圾等作业时，应当采取洒水、喷淋等湿法作业，存放超过48h以上的临时存放的土方、清杂垃圾应采用防尘网覆盖。风速达到5级及以上时，应暂停土方开挖、土方回填、灰土拌合、摊铺整平、路面基层清理等。因大风、空气重污染，按照相关规定停止产生扬尘污染的施工作业后采取定时洒水、覆盖等降尘措施，并对施工现场内可能被大风损坏的围挡，覆盖等措施进行巡检，及时修复。</w:t>
            </w:r>
          </w:p>
          <w:p w14:paraId="28218D94">
            <w:pPr>
              <w:pStyle w:val="65"/>
              <w:keepNext w:val="0"/>
              <w:keepLines w:val="0"/>
              <w:pageBreakBefore w:val="0"/>
              <w:widowControl w:val="0"/>
              <w:numPr>
                <w:ilvl w:val="0"/>
                <w:numId w:val="40"/>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3"/>
                <w:sz w:val="24"/>
                <w:szCs w:val="24"/>
              </w:rPr>
            </w:pPr>
            <w:r>
              <w:rPr>
                <w:rFonts w:hint="eastAsia"/>
                <w:color w:val="auto"/>
                <w:spacing w:val="-3"/>
                <w:sz w:val="24"/>
                <w:szCs w:val="24"/>
              </w:rPr>
              <w:t>车辆运输扬尘</w:t>
            </w:r>
          </w:p>
          <w:p w14:paraId="11E64BB4">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79"/>
              <w:textAlignment w:val="auto"/>
              <w:rPr>
                <w:color w:val="auto"/>
                <w:sz w:val="24"/>
                <w:szCs w:val="24"/>
              </w:rPr>
            </w:pPr>
            <w:r>
              <w:rPr>
                <w:rFonts w:hint="eastAsia" w:ascii="Times New Roman" w:hAnsi="Times New Roman" w:cs="Times New Roman"/>
                <w:color w:val="auto"/>
                <w:spacing w:val="-1"/>
                <w:sz w:val="24"/>
                <w:szCs w:val="24"/>
              </w:rPr>
              <w:t>装载多尘物料时，应对物料适当加湿或用篷布遮盖</w:t>
            </w:r>
            <w:r>
              <w:rPr>
                <w:rFonts w:hint="eastAsia" w:ascii="Times New Roman" w:hAnsi="Times New Roman" w:cs="Times New Roman"/>
                <w:color w:val="auto"/>
                <w:spacing w:val="-1"/>
                <w:sz w:val="24"/>
                <w:szCs w:val="24"/>
                <w:lang w:eastAsia="zh-CN"/>
              </w:rPr>
              <w:t>；</w:t>
            </w:r>
            <w:r>
              <w:rPr>
                <w:rFonts w:hint="eastAsia" w:ascii="Times New Roman" w:hAnsi="Times New Roman" w:cs="Times New Roman"/>
                <w:color w:val="auto"/>
                <w:spacing w:val="-1"/>
                <w:sz w:val="24"/>
                <w:szCs w:val="24"/>
              </w:rPr>
              <w:t>运送水泥细颗粒材料的车辆应采用密封储罐车</w:t>
            </w:r>
            <w:r>
              <w:rPr>
                <w:rFonts w:hint="eastAsia" w:ascii="Times New Roman" w:hAnsi="Times New Roman" w:cs="Times New Roman"/>
                <w:color w:val="auto"/>
                <w:spacing w:val="-1"/>
                <w:sz w:val="24"/>
                <w:szCs w:val="24"/>
                <w:lang w:eastAsia="zh-CN"/>
              </w:rPr>
              <w:t>；</w:t>
            </w:r>
            <w:r>
              <w:rPr>
                <w:rFonts w:hint="eastAsia" w:ascii="Times New Roman" w:hAnsi="Times New Roman" w:cs="Times New Roman"/>
                <w:color w:val="auto"/>
                <w:spacing w:val="-1"/>
                <w:sz w:val="24"/>
                <w:szCs w:val="24"/>
              </w:rPr>
              <w:t>装卸、堆放中应防止物料流散并经常清洗运输车辆。对施工道路进行定期养护，保持路面平整，车速不得超过30km/h，路边应安装限速标志。</w:t>
            </w:r>
            <w:r>
              <w:rPr>
                <w:color w:val="auto"/>
                <w:spacing w:val="1"/>
                <w:sz w:val="24"/>
                <w:szCs w:val="24"/>
              </w:rPr>
              <w:t>临时料场或施工出入口配备车辆清洗装置</w:t>
            </w:r>
            <w:r>
              <w:rPr>
                <w:color w:val="auto"/>
                <w:sz w:val="24"/>
                <w:szCs w:val="24"/>
              </w:rPr>
              <w:t>或采取其他控制措施，</w:t>
            </w:r>
            <w:r>
              <w:rPr>
                <w:color w:val="auto"/>
                <w:spacing w:val="-6"/>
                <w:sz w:val="24"/>
                <w:szCs w:val="24"/>
              </w:rPr>
              <w:t>确保出场车辆清洁、运输不起尘。施工道路硬化，平整</w:t>
            </w:r>
            <w:r>
              <w:rPr>
                <w:color w:val="auto"/>
                <w:spacing w:val="-7"/>
                <w:sz w:val="24"/>
                <w:szCs w:val="24"/>
              </w:rPr>
              <w:t>无破损、无积尘，</w:t>
            </w:r>
            <w:r>
              <w:rPr>
                <w:color w:val="auto"/>
                <w:spacing w:val="-1"/>
                <w:sz w:val="24"/>
                <w:szCs w:val="24"/>
              </w:rPr>
              <w:t>对车辆行驶比较频繁的路面以及工地上所有裸露地面应经常洒水，使其</w:t>
            </w:r>
            <w:r>
              <w:rPr>
                <w:color w:val="auto"/>
                <w:spacing w:val="-2"/>
                <w:sz w:val="24"/>
                <w:szCs w:val="24"/>
              </w:rPr>
              <w:t>保持一定的湿度。施工现场设专人负责保洁工作，每个施工段安排</w:t>
            </w:r>
            <w:r>
              <w:rPr>
                <w:rFonts w:ascii="Times New Roman" w:hAnsi="Times New Roman" w:eastAsia="Times New Roman" w:cs="Times New Roman"/>
                <w:color w:val="auto"/>
                <w:spacing w:val="-2"/>
                <w:sz w:val="24"/>
                <w:szCs w:val="24"/>
              </w:rPr>
              <w:t>1</w:t>
            </w:r>
            <w:r>
              <w:rPr>
                <w:color w:val="auto"/>
                <w:spacing w:val="-2"/>
                <w:sz w:val="24"/>
                <w:szCs w:val="24"/>
              </w:rPr>
              <w:t>名</w:t>
            </w:r>
            <w:r>
              <w:rPr>
                <w:color w:val="auto"/>
                <w:spacing w:val="-1"/>
                <w:sz w:val="24"/>
                <w:szCs w:val="24"/>
              </w:rPr>
              <w:t>员工对施工场地和运输车辆行驶路面进行洒水和清扫。洒水次数根据天气情况而定，原则上</w:t>
            </w:r>
            <w:r>
              <w:rPr>
                <w:color w:val="auto"/>
                <w:spacing w:val="-3"/>
                <w:sz w:val="24"/>
                <w:szCs w:val="24"/>
              </w:rPr>
              <w:t>每天早（</w:t>
            </w:r>
            <w:r>
              <w:rPr>
                <w:rFonts w:ascii="Times New Roman" w:hAnsi="Times New Roman" w:eastAsia="Times New Roman" w:cs="Times New Roman"/>
                <w:color w:val="auto"/>
                <w:spacing w:val="-3"/>
                <w:sz w:val="24"/>
                <w:szCs w:val="24"/>
              </w:rPr>
              <w:t>9:30</w:t>
            </w:r>
            <w:r>
              <w:rPr>
                <w:color w:val="auto"/>
                <w:spacing w:val="-3"/>
                <w:sz w:val="24"/>
                <w:szCs w:val="24"/>
              </w:rPr>
              <w:t>～</w:t>
            </w:r>
            <w:r>
              <w:rPr>
                <w:rFonts w:ascii="Times New Roman" w:hAnsi="Times New Roman" w:eastAsia="Times New Roman" w:cs="Times New Roman"/>
                <w:color w:val="auto"/>
                <w:spacing w:val="-3"/>
                <w:sz w:val="24"/>
                <w:szCs w:val="24"/>
              </w:rPr>
              <w:t>11:00</w:t>
            </w:r>
            <w:r>
              <w:rPr>
                <w:color w:val="auto"/>
                <w:spacing w:val="-3"/>
                <w:sz w:val="24"/>
                <w:szCs w:val="24"/>
              </w:rPr>
              <w:t>）晚（</w:t>
            </w:r>
            <w:r>
              <w:rPr>
                <w:rFonts w:ascii="Times New Roman" w:hAnsi="Times New Roman" w:eastAsia="Times New Roman" w:cs="Times New Roman"/>
                <w:color w:val="auto"/>
                <w:spacing w:val="-3"/>
                <w:sz w:val="24"/>
                <w:szCs w:val="24"/>
              </w:rPr>
              <w:t>18:30</w:t>
            </w:r>
            <w:r>
              <w:rPr>
                <w:color w:val="auto"/>
                <w:spacing w:val="-3"/>
                <w:sz w:val="24"/>
                <w:szCs w:val="24"/>
              </w:rPr>
              <w:t>～</w:t>
            </w:r>
            <w:r>
              <w:rPr>
                <w:rFonts w:ascii="Times New Roman" w:hAnsi="Times New Roman" w:eastAsia="Times New Roman" w:cs="Times New Roman"/>
                <w:color w:val="auto"/>
                <w:spacing w:val="-3"/>
                <w:sz w:val="24"/>
                <w:szCs w:val="24"/>
              </w:rPr>
              <w:t>21:00</w:t>
            </w:r>
            <w:r>
              <w:rPr>
                <w:color w:val="auto"/>
                <w:spacing w:val="-3"/>
                <w:sz w:val="24"/>
                <w:szCs w:val="24"/>
              </w:rPr>
              <w:t>）上下班高峰期以及中（</w:t>
            </w:r>
            <w:r>
              <w:rPr>
                <w:rFonts w:ascii="Times New Roman" w:hAnsi="Times New Roman" w:eastAsia="Times New Roman" w:cs="Times New Roman"/>
                <w:color w:val="auto"/>
                <w:spacing w:val="-3"/>
                <w:sz w:val="24"/>
                <w:szCs w:val="24"/>
              </w:rPr>
              <w:t>14:00</w:t>
            </w:r>
            <w:r>
              <w:rPr>
                <w:color w:val="auto"/>
                <w:spacing w:val="-3"/>
                <w:sz w:val="24"/>
                <w:szCs w:val="24"/>
              </w:rPr>
              <w:t>～</w:t>
            </w:r>
            <w:r>
              <w:rPr>
                <w:rFonts w:ascii="Times New Roman" w:hAnsi="Times New Roman" w:eastAsia="Times New Roman" w:cs="Times New Roman"/>
                <w:color w:val="auto"/>
                <w:spacing w:val="-3"/>
                <w:sz w:val="24"/>
                <w:szCs w:val="24"/>
              </w:rPr>
              <w:t>15:00</w:t>
            </w:r>
            <w:r>
              <w:rPr>
                <w:color w:val="auto"/>
                <w:spacing w:val="-3"/>
                <w:sz w:val="24"/>
                <w:szCs w:val="24"/>
              </w:rPr>
              <w:t>）各洒水一次，当风速大于</w:t>
            </w:r>
            <w:r>
              <w:rPr>
                <w:rFonts w:ascii="Times New Roman" w:hAnsi="Times New Roman" w:eastAsia="Times New Roman" w:cs="Times New Roman"/>
                <w:color w:val="auto"/>
                <w:spacing w:val="-3"/>
                <w:sz w:val="24"/>
                <w:szCs w:val="24"/>
              </w:rPr>
              <w:t>5</w:t>
            </w:r>
            <w:r>
              <w:rPr>
                <w:color w:val="auto"/>
                <w:spacing w:val="-3"/>
                <w:sz w:val="24"/>
                <w:szCs w:val="24"/>
              </w:rPr>
              <w:t>级、夏季晴好天气每隔</w:t>
            </w:r>
            <w:r>
              <w:rPr>
                <w:rFonts w:ascii="Times New Roman" w:hAnsi="Times New Roman" w:eastAsia="Times New Roman" w:cs="Times New Roman"/>
                <w:color w:val="auto"/>
                <w:spacing w:val="-3"/>
                <w:sz w:val="24"/>
                <w:szCs w:val="24"/>
              </w:rPr>
              <w:t>2</w:t>
            </w:r>
            <w:r>
              <w:rPr>
                <w:color w:val="auto"/>
                <w:spacing w:val="-3"/>
                <w:sz w:val="24"/>
                <w:szCs w:val="24"/>
              </w:rPr>
              <w:t>个小时洒水</w:t>
            </w:r>
            <w:r>
              <w:rPr>
                <w:color w:val="auto"/>
                <w:spacing w:val="-4"/>
                <w:sz w:val="24"/>
                <w:szCs w:val="24"/>
              </w:rPr>
              <w:t>一次。</w:t>
            </w:r>
          </w:p>
          <w:p w14:paraId="1801F344">
            <w:pPr>
              <w:pStyle w:val="65"/>
              <w:keepNext w:val="0"/>
              <w:keepLines w:val="0"/>
              <w:pageBreakBefore w:val="0"/>
              <w:widowControl w:val="0"/>
              <w:numPr>
                <w:ilvl w:val="0"/>
                <w:numId w:val="40"/>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3"/>
                <w:sz w:val="24"/>
                <w:szCs w:val="24"/>
                <w:lang w:val="en-US" w:eastAsia="zh-CN"/>
              </w:rPr>
            </w:pPr>
            <w:r>
              <w:rPr>
                <w:rFonts w:hint="eastAsia" w:ascii="Times New Roman" w:hAnsi="Times New Roman" w:eastAsia="宋体" w:cs="Times New Roman"/>
                <w:color w:val="auto"/>
                <w:spacing w:val="-2"/>
                <w:sz w:val="24"/>
                <w:szCs w:val="24"/>
                <w:lang w:val="en-US" w:eastAsia="zh-CN"/>
              </w:rPr>
              <w:t>临时</w:t>
            </w:r>
            <w:r>
              <w:rPr>
                <w:rFonts w:hint="default" w:ascii="Times New Roman" w:hAnsi="Times New Roman" w:eastAsia="Times New Roman" w:cs="Times New Roman"/>
                <w:color w:val="auto"/>
                <w:spacing w:val="-2"/>
                <w:sz w:val="24"/>
                <w:szCs w:val="24"/>
              </w:rPr>
              <w:t>拌和站</w:t>
            </w:r>
            <w:r>
              <w:rPr>
                <w:rFonts w:hint="eastAsia"/>
                <w:color w:val="auto"/>
                <w:spacing w:val="-3"/>
                <w:sz w:val="24"/>
                <w:szCs w:val="24"/>
                <w:lang w:val="en-US" w:eastAsia="zh-CN"/>
              </w:rPr>
              <w:t>粉尘</w:t>
            </w:r>
          </w:p>
          <w:p w14:paraId="294FA48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textAlignment w:val="auto"/>
              <w:rPr>
                <w:rFonts w:hint="default"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lang w:val="en-US" w:eastAsia="zh-CN"/>
              </w:rPr>
              <w:t>临时生产区的砼拌合系统中的移动式拌合机上料会有少量颗粒物产生，要求移动式混凝土拌合机所用骨料仓封闭，砂石骨料定期洒水润湿，封闭水泥筒仓上料过程产生的粉尘采用仓顶自带袋式除尘器除尘后有组织排放，粉尘排放浓度相对较低，能达到《大气污染物综合排放标准》（GB16297-1996）中最高允许排放浓度（120mg/m</w:t>
            </w:r>
            <w:r>
              <w:rPr>
                <w:rFonts w:hint="eastAsia" w:ascii="Times New Roman" w:hAnsi="Times New Roman" w:eastAsia="Times New Roman" w:cs="Times New Roman"/>
                <w:color w:val="auto"/>
                <w:spacing w:val="-3"/>
                <w:sz w:val="24"/>
                <w:szCs w:val="24"/>
                <w:vertAlign w:val="superscript"/>
                <w:lang w:val="en-US" w:eastAsia="zh-CN"/>
              </w:rPr>
              <w:t>3</w:t>
            </w:r>
            <w:r>
              <w:rPr>
                <w:rFonts w:hint="eastAsia" w:ascii="Times New Roman" w:hAnsi="Times New Roman" w:eastAsia="Times New Roman" w:cs="Times New Roman"/>
                <w:color w:val="auto"/>
                <w:spacing w:val="-3"/>
                <w:sz w:val="24"/>
                <w:szCs w:val="24"/>
                <w:lang w:val="en-US" w:eastAsia="zh-CN"/>
              </w:rPr>
              <w:t>）要求，搅拌机区域同时进行洒水降尘，不会对区域环境空气质量产生大的影响。</w:t>
            </w:r>
          </w:p>
          <w:p w14:paraId="67E5B082">
            <w:pPr>
              <w:pStyle w:val="65"/>
              <w:keepNext w:val="0"/>
              <w:keepLines w:val="0"/>
              <w:pageBreakBefore w:val="0"/>
              <w:widowControl w:val="0"/>
              <w:numPr>
                <w:ilvl w:val="0"/>
                <w:numId w:val="40"/>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3"/>
                <w:sz w:val="24"/>
                <w:szCs w:val="24"/>
                <w:lang w:val="en-US" w:eastAsia="zh-CN"/>
              </w:rPr>
            </w:pPr>
            <w:r>
              <w:rPr>
                <w:rFonts w:hint="eastAsia"/>
                <w:color w:val="auto"/>
                <w:spacing w:val="-3"/>
                <w:sz w:val="24"/>
                <w:szCs w:val="24"/>
                <w:lang w:val="en-US" w:eastAsia="zh-CN"/>
              </w:rPr>
              <w:t>木材加工粉尘</w:t>
            </w:r>
          </w:p>
          <w:p w14:paraId="5BC4AF55">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0"/>
              <w:textAlignment w:val="auto"/>
              <w:rPr>
                <w:rFonts w:hint="eastAsia"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lang w:val="en-US" w:eastAsia="zh-CN"/>
              </w:rPr>
              <w:t>车间产尘区域设置防风隔断、软帘围挡、彩钢围挡，划分密闭除尘区；原料、木片、锯末堆场全覆盖密目防尘网，堆放规整，减少风蚀起尘；厂区外围设置2.5m以上防风围挡，阻挡外来风扩散粉尘。</w:t>
            </w:r>
          </w:p>
          <w:p w14:paraId="52ABFDB5">
            <w:pPr>
              <w:pStyle w:val="65"/>
              <w:keepNext w:val="0"/>
              <w:keepLines w:val="0"/>
              <w:pageBreakBefore w:val="0"/>
              <w:widowControl w:val="0"/>
              <w:numPr>
                <w:ilvl w:val="0"/>
                <w:numId w:val="40"/>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3"/>
                <w:sz w:val="24"/>
                <w:szCs w:val="24"/>
                <w:lang w:val="en-US" w:eastAsia="zh-CN"/>
              </w:rPr>
            </w:pPr>
            <w:r>
              <w:rPr>
                <w:rFonts w:hint="eastAsia"/>
                <w:color w:val="auto"/>
                <w:spacing w:val="-3"/>
                <w:sz w:val="24"/>
                <w:szCs w:val="24"/>
                <w:lang w:val="en-US" w:eastAsia="zh-CN"/>
              </w:rPr>
              <w:t>砂石料堆场粉尘</w:t>
            </w:r>
          </w:p>
          <w:p w14:paraId="39AE9155">
            <w:pPr>
              <w:pStyle w:val="6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firstLine="468" w:firstLineChars="200"/>
              <w:textAlignment w:val="auto"/>
              <w:rPr>
                <w:rFonts w:hint="eastAsia"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lang w:val="en-US" w:eastAsia="zh-CN"/>
              </w:rPr>
              <w:t>砂石料堆场全覆盖高密度防尘密目网，严禁露天裸露堆放。堆场周边设置不低于2.5m硬质防风防尘围挡，阻断风力起尘与粉尘横向扩散。料棚内、装卸料区域设置高压喷雾/干雾抑尘系统，装卸、大风、干燥时段常态化开启；堆场地面定期洒水保湿，抑制积尘起扬。物料装卸、铲车投料、落料点位降低落差，设置缓冲装置；限定作业区域，采取局部围挡、软帘隔离，减少翻动扬尘；禁止野蛮装卸、高空抛洒。</w:t>
            </w:r>
          </w:p>
          <w:p w14:paraId="0EBE5E31">
            <w:pPr>
              <w:pStyle w:val="65"/>
              <w:keepNext w:val="0"/>
              <w:keepLines w:val="0"/>
              <w:pageBreakBefore w:val="0"/>
              <w:widowControl w:val="0"/>
              <w:numPr>
                <w:ilvl w:val="0"/>
                <w:numId w:val="40"/>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3"/>
                <w:sz w:val="24"/>
                <w:szCs w:val="24"/>
                <w:lang w:val="en-US" w:eastAsia="zh-CN"/>
              </w:rPr>
            </w:pPr>
            <w:r>
              <w:rPr>
                <w:rFonts w:hint="eastAsia"/>
                <w:color w:val="auto"/>
                <w:spacing w:val="-3"/>
                <w:sz w:val="24"/>
                <w:szCs w:val="24"/>
                <w:lang w:val="en-US" w:eastAsia="zh-CN"/>
              </w:rPr>
              <w:t>运输车辆及作业机械尾气</w:t>
            </w:r>
          </w:p>
          <w:p w14:paraId="6D9364FD">
            <w:pPr>
              <w:pStyle w:val="6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firstLine="468" w:firstLineChars="200"/>
              <w:textAlignment w:val="auto"/>
              <w:rPr>
                <w:rFonts w:hint="default" w:ascii="Times New Roman" w:hAnsi="Times New Roman" w:eastAsia="Times New Roman" w:cs="Times New Roman"/>
                <w:color w:val="auto"/>
                <w:spacing w:val="-3"/>
                <w:sz w:val="24"/>
                <w:szCs w:val="24"/>
                <w:lang w:val="en-US" w:eastAsia="zh-CN"/>
              </w:rPr>
            </w:pPr>
            <w:r>
              <w:rPr>
                <w:rFonts w:hint="default" w:ascii="Times New Roman" w:hAnsi="Times New Roman" w:eastAsia="Times New Roman" w:cs="Times New Roman"/>
                <w:color w:val="auto"/>
                <w:spacing w:val="-3"/>
                <w:sz w:val="24"/>
                <w:szCs w:val="24"/>
                <w:lang w:val="en-US" w:eastAsia="zh-CN"/>
              </w:rPr>
              <w:t>施工单位应选用符合国家有关卫生标准的施工机械和运输工具，使用符合标准的油料或清洁能源，使其排放的废气能够达到国家标准。施工期间，往来车辆多为燃用柴油的大型运输车辆，尾气排放量与污染物含量均较燃用汽油车辆高，合理安排车辆运输次数与作业的时间段。加强施工机械和车辆的维护与保养。配合有关部门规划好施工期间周边道路的道路情况，避免因施工造成交通堵塞，减少交通堵塞产生的怠速尾气排放。</w:t>
            </w:r>
          </w:p>
          <w:p w14:paraId="153C0480">
            <w:pPr>
              <w:pStyle w:val="65"/>
              <w:keepNext w:val="0"/>
              <w:keepLines w:val="0"/>
              <w:pageBreakBefore w:val="0"/>
              <w:widowControl w:val="0"/>
              <w:numPr>
                <w:ilvl w:val="0"/>
                <w:numId w:val="40"/>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color w:val="auto"/>
                <w:spacing w:val="-3"/>
                <w:sz w:val="24"/>
                <w:szCs w:val="24"/>
                <w:lang w:val="en-US" w:eastAsia="zh-CN"/>
              </w:rPr>
            </w:pPr>
            <w:r>
              <w:rPr>
                <w:rFonts w:hint="eastAsia"/>
                <w:color w:val="auto"/>
                <w:spacing w:val="-3"/>
                <w:sz w:val="24"/>
                <w:szCs w:val="24"/>
                <w:lang w:val="en-US" w:eastAsia="zh-CN"/>
              </w:rPr>
              <w:t>柴油发电机尾气</w:t>
            </w:r>
          </w:p>
          <w:p w14:paraId="0A4ECCE3">
            <w:pPr>
              <w:pStyle w:val="6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right="0" w:rightChars="0" w:firstLine="468" w:firstLineChars="200"/>
              <w:textAlignment w:val="auto"/>
              <w:rPr>
                <w:rFonts w:hint="eastAsia"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lang w:val="en-US" w:eastAsia="zh-CN"/>
              </w:rPr>
              <w:t>选用国三及以上、低排放达标柴油发电机组，优先节能低噪机型，禁止老旧高污染设备。燃料使用合规普通柴油，严禁劣质油、非标重油，降低硫、氮氧化物、颗粒物产生量。合理配置机组容量，避免长期低负荷、超负荷运行，减少不完全燃烧废气。</w:t>
            </w:r>
          </w:p>
          <w:p w14:paraId="6DB1E338">
            <w:pPr>
              <w:pStyle w:val="6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textAlignment w:val="auto"/>
              <w:rPr>
                <w:rFonts w:hint="eastAsia"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lang w:val="en-US" w:eastAsia="zh-CN"/>
              </w:rPr>
              <w:t>（9）钢筋焊接、钢模板焊接工位设置移动式焊烟净化器，就近收集净化。焊接作业在封闭加工棚内进行，保持通风，禁止露天焊接。</w:t>
            </w:r>
          </w:p>
          <w:p w14:paraId="0B27A6D2">
            <w:pPr>
              <w:pStyle w:val="65"/>
              <w:keepNext w:val="0"/>
              <w:keepLines w:val="0"/>
              <w:pageBreakBefore w:val="0"/>
              <w:widowControl w:val="0"/>
              <w:numPr>
                <w:ilvl w:val="0"/>
                <w:numId w:val="39"/>
              </w:numPr>
              <w:kinsoku/>
              <w:wordWrap/>
              <w:overflowPunct/>
              <w:topLinePunct w:val="0"/>
              <w:autoSpaceDE/>
              <w:autoSpaceDN/>
              <w:bidi w:val="0"/>
              <w:adjustRightInd w:val="0"/>
              <w:snapToGrid w:val="0"/>
              <w:spacing w:line="360" w:lineRule="auto"/>
              <w:ind w:left="425" w:leftChars="0" w:right="0" w:hanging="425" w:firstLineChars="0"/>
              <w:textAlignment w:val="auto"/>
              <w:rPr>
                <w:b/>
                <w:bCs/>
                <w:color w:val="auto"/>
                <w:spacing w:val="-5"/>
                <w:sz w:val="24"/>
                <w:szCs w:val="24"/>
              </w:rPr>
            </w:pPr>
            <w:r>
              <w:rPr>
                <w:b/>
                <w:bCs/>
                <w:color w:val="auto"/>
                <w:spacing w:val="-5"/>
                <w:sz w:val="24"/>
                <w:szCs w:val="24"/>
              </w:rPr>
              <w:t>施工期水环境保护措施</w:t>
            </w:r>
          </w:p>
          <w:p w14:paraId="7925C941">
            <w:pPr>
              <w:pStyle w:val="65"/>
              <w:keepNext w:val="0"/>
              <w:keepLines w:val="0"/>
              <w:pageBreakBefore w:val="0"/>
              <w:widowControl w:val="0"/>
              <w:numPr>
                <w:ilvl w:val="0"/>
                <w:numId w:val="42"/>
              </w:numPr>
              <w:kinsoku/>
              <w:wordWrap/>
              <w:overflowPunct/>
              <w:topLinePunct w:val="0"/>
              <w:autoSpaceDE/>
              <w:autoSpaceDN/>
              <w:bidi w:val="0"/>
              <w:adjustRightInd w:val="0"/>
              <w:snapToGrid w:val="0"/>
              <w:spacing w:line="360" w:lineRule="auto"/>
              <w:ind w:left="425" w:leftChars="0" w:right="0" w:rightChars="0" w:hanging="425" w:firstLineChars="0"/>
              <w:textAlignment w:val="auto"/>
              <w:rPr>
                <w:rFonts w:hint="default" w:ascii="Times New Roman" w:hAnsi="Times New Roman" w:eastAsia="Times New Roman" w:cs="Times New Roman"/>
                <w:color w:val="auto"/>
                <w:spacing w:val="-2"/>
                <w:sz w:val="24"/>
                <w:szCs w:val="24"/>
              </w:rPr>
            </w:pPr>
            <w:r>
              <w:rPr>
                <w:rFonts w:hint="eastAsia" w:ascii="Times New Roman" w:hAnsi="Times New Roman" w:cs="Times New Roman"/>
                <w:color w:val="auto"/>
                <w:spacing w:val="-2"/>
                <w:sz w:val="24"/>
                <w:szCs w:val="24"/>
                <w:lang w:val="en-US" w:eastAsia="zh-CN"/>
              </w:rPr>
              <w:t>混凝土</w:t>
            </w:r>
            <w:r>
              <w:rPr>
                <w:rFonts w:hint="eastAsia" w:ascii="Times New Roman" w:hAnsi="Times New Roman" w:eastAsia="宋体" w:cs="Times New Roman"/>
                <w:color w:val="auto"/>
                <w:spacing w:val="-2"/>
                <w:sz w:val="24"/>
                <w:szCs w:val="24"/>
                <w:lang w:val="en-US" w:eastAsia="zh-CN"/>
              </w:rPr>
              <w:t>临时</w:t>
            </w:r>
            <w:r>
              <w:rPr>
                <w:rFonts w:hint="default" w:ascii="Times New Roman" w:hAnsi="Times New Roman" w:eastAsia="Times New Roman" w:cs="Times New Roman"/>
                <w:color w:val="auto"/>
                <w:spacing w:val="-2"/>
                <w:sz w:val="24"/>
                <w:szCs w:val="24"/>
              </w:rPr>
              <w:t>拌和站</w:t>
            </w:r>
            <w:r>
              <w:rPr>
                <w:rFonts w:hint="eastAsia" w:ascii="Times New Roman" w:hAnsi="Times New Roman" w:eastAsia="宋体" w:cs="Times New Roman"/>
                <w:color w:val="auto"/>
                <w:spacing w:val="-2"/>
                <w:sz w:val="24"/>
                <w:szCs w:val="24"/>
                <w:lang w:val="en-US" w:eastAsia="zh-CN"/>
              </w:rPr>
              <w:t>拌合</w:t>
            </w:r>
            <w:r>
              <w:rPr>
                <w:rFonts w:hint="default" w:ascii="Times New Roman" w:hAnsi="Times New Roman" w:eastAsia="Times New Roman" w:cs="Times New Roman"/>
                <w:color w:val="auto"/>
                <w:spacing w:val="-2"/>
                <w:sz w:val="24"/>
                <w:szCs w:val="24"/>
              </w:rPr>
              <w:t>废水</w:t>
            </w:r>
            <w:r>
              <w:rPr>
                <w:rFonts w:hint="eastAsia" w:ascii="Times New Roman" w:hAnsi="Times New Roman" w:eastAsia="宋体" w:cs="Times New Roman"/>
                <w:color w:val="auto"/>
                <w:spacing w:val="-2"/>
                <w:sz w:val="24"/>
                <w:szCs w:val="24"/>
                <w:lang w:val="en-US" w:eastAsia="zh-CN"/>
              </w:rPr>
              <w:t>和</w:t>
            </w:r>
            <w:r>
              <w:rPr>
                <w:rFonts w:hint="default" w:ascii="Times New Roman" w:hAnsi="Times New Roman" w:eastAsia="Times New Roman" w:cs="Times New Roman"/>
                <w:color w:val="auto"/>
                <w:spacing w:val="-2"/>
                <w:sz w:val="24"/>
                <w:szCs w:val="24"/>
              </w:rPr>
              <w:t>清洁废水</w:t>
            </w:r>
          </w:p>
          <w:p w14:paraId="6078679E">
            <w:pPr>
              <w:pStyle w:val="6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68" w:firstLineChars="200"/>
              <w:textAlignment w:val="auto"/>
              <w:rPr>
                <w:rFonts w:hint="default" w:ascii="Times New Roman" w:hAnsi="Times New Roman" w:eastAsia="Times New Roman" w:cs="Times New Roman"/>
                <w:color w:val="auto"/>
                <w:spacing w:val="-3"/>
                <w:sz w:val="24"/>
                <w:szCs w:val="24"/>
                <w:lang w:val="en-US" w:eastAsia="zh-CN"/>
              </w:rPr>
            </w:pPr>
            <w:r>
              <w:rPr>
                <w:rFonts w:hint="default" w:ascii="Times New Roman" w:hAnsi="Times New Roman" w:eastAsia="Times New Roman" w:cs="Times New Roman"/>
                <w:color w:val="auto"/>
                <w:spacing w:val="-3"/>
                <w:sz w:val="24"/>
                <w:szCs w:val="24"/>
                <w:lang w:val="en-US" w:eastAsia="zh-CN"/>
              </w:rPr>
              <w:t>在</w:t>
            </w:r>
            <w:r>
              <w:rPr>
                <w:rFonts w:hint="eastAsia" w:ascii="Times New Roman" w:hAnsi="Times New Roman" w:eastAsia="Times New Roman" w:cs="Times New Roman"/>
                <w:color w:val="auto"/>
                <w:spacing w:val="-3"/>
                <w:sz w:val="24"/>
                <w:szCs w:val="24"/>
                <w:lang w:val="en-US" w:eastAsia="zh-CN"/>
              </w:rPr>
              <w:t>混凝土临时</w:t>
            </w:r>
            <w:r>
              <w:rPr>
                <w:rFonts w:hint="default" w:ascii="Times New Roman" w:hAnsi="Times New Roman" w:eastAsia="Times New Roman" w:cs="Times New Roman"/>
                <w:color w:val="auto"/>
                <w:spacing w:val="-3"/>
                <w:sz w:val="24"/>
                <w:szCs w:val="24"/>
                <w:lang w:val="en-US" w:eastAsia="zh-CN"/>
              </w:rPr>
              <w:t>拌和站</w:t>
            </w:r>
            <w:r>
              <w:rPr>
                <w:rFonts w:hint="eastAsia" w:ascii="Times New Roman" w:hAnsi="Times New Roman" w:eastAsia="Times New Roman" w:cs="Times New Roman"/>
                <w:color w:val="auto"/>
                <w:spacing w:val="-3"/>
                <w:sz w:val="24"/>
                <w:szCs w:val="24"/>
                <w:lang w:val="en-US" w:eastAsia="zh-CN"/>
              </w:rPr>
              <w:t>设置1</w:t>
            </w:r>
            <w:r>
              <w:rPr>
                <w:rFonts w:hint="default" w:ascii="Times New Roman" w:hAnsi="Times New Roman" w:eastAsia="Times New Roman" w:cs="Times New Roman"/>
                <w:color w:val="auto"/>
                <w:spacing w:val="-3"/>
                <w:sz w:val="24"/>
                <w:szCs w:val="24"/>
                <w:lang w:val="en-US" w:eastAsia="zh-CN"/>
              </w:rPr>
              <w:t>个沉淀池和</w:t>
            </w:r>
            <w:r>
              <w:rPr>
                <w:rFonts w:hint="eastAsia" w:ascii="Times New Roman" w:hAnsi="Times New Roman" w:eastAsia="Times New Roman" w:cs="Times New Roman"/>
                <w:color w:val="auto"/>
                <w:spacing w:val="-3"/>
                <w:sz w:val="24"/>
                <w:szCs w:val="24"/>
                <w:lang w:val="en-US" w:eastAsia="zh-CN"/>
              </w:rPr>
              <w:t>1</w:t>
            </w:r>
            <w:r>
              <w:rPr>
                <w:rFonts w:hint="default" w:ascii="Times New Roman" w:hAnsi="Times New Roman" w:eastAsia="Times New Roman" w:cs="Times New Roman"/>
                <w:color w:val="auto"/>
                <w:spacing w:val="-3"/>
                <w:sz w:val="24"/>
                <w:szCs w:val="24"/>
                <w:lang w:val="en-US" w:eastAsia="zh-CN"/>
              </w:rPr>
              <w:t>蓄水池。</w:t>
            </w:r>
            <w:r>
              <w:rPr>
                <w:rFonts w:hint="eastAsia" w:ascii="Times New Roman" w:hAnsi="Times New Roman" w:eastAsia="Times New Roman" w:cs="Times New Roman"/>
                <w:color w:val="auto"/>
                <w:spacing w:val="-3"/>
                <w:sz w:val="24"/>
                <w:szCs w:val="24"/>
                <w:lang w:val="en-US" w:eastAsia="zh-CN"/>
              </w:rPr>
              <w:t>单个容积为2m</w:t>
            </w:r>
            <w:r>
              <w:rPr>
                <w:rFonts w:hint="eastAsia" w:ascii="Times New Roman" w:hAnsi="Times New Roman" w:eastAsia="Times New Roman" w:cs="Times New Roman"/>
                <w:color w:val="auto"/>
                <w:spacing w:val="-3"/>
                <w:sz w:val="24"/>
                <w:szCs w:val="24"/>
                <w:vertAlign w:val="superscript"/>
                <w:lang w:val="en-US" w:eastAsia="zh-CN"/>
              </w:rPr>
              <w:t>3</w:t>
            </w:r>
            <w:r>
              <w:rPr>
                <w:rFonts w:hint="eastAsia" w:ascii="Times New Roman" w:hAnsi="Times New Roman" w:eastAsia="Times New Roman" w:cs="Times New Roman"/>
                <w:color w:val="auto"/>
                <w:spacing w:val="-3"/>
                <w:sz w:val="24"/>
                <w:szCs w:val="24"/>
                <w:lang w:val="en-US" w:eastAsia="zh-CN"/>
              </w:rPr>
              <w:t>，单个尺寸为2m</w:t>
            </w:r>
            <w:r>
              <w:rPr>
                <w:rFonts w:hint="default" w:ascii="Times New Roman" w:hAnsi="Times New Roman" w:eastAsia="Times New Roman" w:cs="Times New Roman"/>
                <w:color w:val="auto"/>
                <w:spacing w:val="-3"/>
                <w:sz w:val="24"/>
                <w:szCs w:val="24"/>
                <w:lang w:val="en-US" w:eastAsia="zh-CN"/>
              </w:rPr>
              <w:t>×</w:t>
            </w:r>
            <w:r>
              <w:rPr>
                <w:rFonts w:hint="eastAsia" w:ascii="Times New Roman" w:hAnsi="Times New Roman" w:eastAsia="Times New Roman" w:cs="Times New Roman"/>
                <w:color w:val="auto"/>
                <w:spacing w:val="-3"/>
                <w:sz w:val="24"/>
                <w:szCs w:val="24"/>
                <w:lang w:val="en-US" w:eastAsia="zh-CN"/>
              </w:rPr>
              <w:t>1m</w:t>
            </w:r>
            <w:r>
              <w:rPr>
                <w:rFonts w:hint="default" w:ascii="Times New Roman" w:hAnsi="Times New Roman" w:eastAsia="Times New Roman" w:cs="Times New Roman"/>
                <w:color w:val="auto"/>
                <w:spacing w:val="-3"/>
                <w:sz w:val="24"/>
                <w:szCs w:val="24"/>
                <w:lang w:val="en-US" w:eastAsia="zh-CN"/>
              </w:rPr>
              <w:t>×</w:t>
            </w:r>
            <w:r>
              <w:rPr>
                <w:rFonts w:hint="eastAsia" w:ascii="Times New Roman" w:hAnsi="Times New Roman" w:eastAsia="Times New Roman" w:cs="Times New Roman"/>
                <w:color w:val="auto"/>
                <w:spacing w:val="-3"/>
                <w:sz w:val="24"/>
                <w:szCs w:val="24"/>
                <w:lang w:val="en-US" w:eastAsia="zh-CN"/>
              </w:rPr>
              <w:t>1.3m。混凝土拌和清洁废水，排放进入沉淀池，静置沉淀，处理后的废水自流入蓄水池，循环用于混凝土拌和或是洒水降尘。根据废水处理效果，必要时投加絮凝剂。沉淀池的出水口设置为活动板，打开活动板后废水可自流进入蓄水池。拌合</w:t>
            </w:r>
            <w:r>
              <w:rPr>
                <w:rFonts w:hint="default" w:ascii="Times New Roman" w:hAnsi="Times New Roman" w:eastAsia="Times New Roman" w:cs="Times New Roman"/>
                <w:color w:val="auto"/>
                <w:spacing w:val="-3"/>
                <w:sz w:val="24"/>
                <w:szCs w:val="24"/>
                <w:lang w:val="en-US" w:eastAsia="zh-CN"/>
              </w:rPr>
              <w:t>废水</w:t>
            </w:r>
            <w:r>
              <w:rPr>
                <w:rFonts w:hint="eastAsia" w:ascii="Times New Roman" w:hAnsi="Times New Roman" w:eastAsia="Times New Roman" w:cs="Times New Roman"/>
                <w:color w:val="auto"/>
                <w:spacing w:val="-3"/>
                <w:sz w:val="24"/>
                <w:szCs w:val="24"/>
                <w:lang w:val="en-US" w:eastAsia="zh-CN"/>
              </w:rPr>
              <w:t>和</w:t>
            </w:r>
            <w:r>
              <w:rPr>
                <w:rFonts w:hint="default" w:ascii="Times New Roman" w:hAnsi="Times New Roman" w:eastAsia="Times New Roman" w:cs="Times New Roman"/>
                <w:color w:val="auto"/>
                <w:spacing w:val="-3"/>
                <w:sz w:val="24"/>
                <w:szCs w:val="24"/>
                <w:lang w:val="en-US" w:eastAsia="zh-CN"/>
              </w:rPr>
              <w:t>清洁废水</w:t>
            </w:r>
            <w:r>
              <w:rPr>
                <w:rFonts w:hint="eastAsia" w:ascii="Times New Roman" w:hAnsi="Times New Roman" w:eastAsia="Times New Roman" w:cs="Times New Roman"/>
                <w:color w:val="auto"/>
                <w:spacing w:val="-3"/>
                <w:sz w:val="24"/>
                <w:szCs w:val="24"/>
                <w:lang w:val="en-US" w:eastAsia="zh-CN"/>
              </w:rPr>
              <w:t>经处理回用于拌合站用水。</w:t>
            </w:r>
          </w:p>
          <w:p w14:paraId="68D8AE46">
            <w:pPr>
              <w:pStyle w:val="6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68" w:firstLineChars="200"/>
              <w:textAlignment w:val="auto"/>
              <w:rPr>
                <w:rFonts w:hint="eastAsia"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lang w:val="en-US" w:eastAsia="zh-CN"/>
              </w:rPr>
              <w:t>生活污水</w:t>
            </w:r>
          </w:p>
          <w:p w14:paraId="0AF77A76">
            <w:pPr>
              <w:pStyle w:val="65"/>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68" w:firstLineChars="200"/>
              <w:textAlignment w:val="auto"/>
              <w:rPr>
                <w:rFonts w:hint="default"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lang w:val="en-US" w:eastAsia="zh-CN"/>
              </w:rPr>
              <w:t>在生活区设置化粪池，施工人员生活污水经化粪池处理后，委托环卫部门清运，不外排。</w:t>
            </w:r>
          </w:p>
          <w:p w14:paraId="6252F50F">
            <w:pPr>
              <w:pStyle w:val="65"/>
              <w:keepNext w:val="0"/>
              <w:keepLines w:val="0"/>
              <w:pageBreakBefore w:val="0"/>
              <w:widowControl w:val="0"/>
              <w:numPr>
                <w:ilvl w:val="0"/>
                <w:numId w:val="39"/>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b/>
                <w:bCs/>
                <w:color w:val="auto"/>
                <w:spacing w:val="-5"/>
                <w:sz w:val="24"/>
                <w:szCs w:val="24"/>
                <w:lang w:val="en-US" w:eastAsia="zh-CN"/>
              </w:rPr>
            </w:pPr>
            <w:r>
              <w:rPr>
                <w:rFonts w:hint="eastAsia"/>
                <w:b/>
                <w:bCs/>
                <w:color w:val="auto"/>
                <w:spacing w:val="-5"/>
                <w:sz w:val="24"/>
                <w:szCs w:val="24"/>
                <w:lang w:val="en-US" w:eastAsia="zh-CN"/>
              </w:rPr>
              <w:t>施工期噪声污染防治措施</w:t>
            </w:r>
          </w:p>
          <w:p w14:paraId="6C9DFEC8">
            <w:pPr>
              <w:pStyle w:val="65"/>
              <w:spacing w:line="359" w:lineRule="auto"/>
              <w:ind w:left="109" w:right="40" w:firstLine="490"/>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从源头上降低噪声源强。必须选用符合国家噪声标准的设备，尽可能选用低噪声施工机械和工艺。加强设备的维护和保养，保持设备良好运转状态，降低设备运行噪声。在距离施工作业点较近</w:t>
            </w:r>
            <w:r>
              <w:rPr>
                <w:rFonts w:hint="eastAsia" w:ascii="Times New Roman" w:hAnsi="Times New Roman" w:cs="Times New Roman"/>
                <w:b w:val="0"/>
                <w:bCs w:val="0"/>
                <w:color w:val="auto"/>
                <w:kern w:val="2"/>
                <w:sz w:val="24"/>
                <w:szCs w:val="24"/>
                <w:lang w:val="en-US" w:eastAsia="zh-CN" w:bidi="ar-SA"/>
              </w:rPr>
              <w:t>声环境保护目标</w:t>
            </w:r>
            <w:r>
              <w:rPr>
                <w:rFonts w:hint="eastAsia" w:ascii="Times New Roman" w:hAnsi="Times New Roman" w:eastAsia="宋体" w:cs="Times New Roman"/>
                <w:b w:val="0"/>
                <w:bCs w:val="0"/>
                <w:color w:val="auto"/>
                <w:kern w:val="2"/>
                <w:sz w:val="24"/>
                <w:szCs w:val="24"/>
                <w:lang w:val="en-US" w:eastAsia="zh-CN" w:bidi="ar-SA"/>
              </w:rPr>
              <w:t>段</w:t>
            </w:r>
            <w:r>
              <w:rPr>
                <w:rFonts w:hint="eastAsia" w:ascii="Times New Roman" w:hAnsi="Times New Roman" w:cs="Times New Roman"/>
                <w:b w:val="0"/>
                <w:bCs w:val="0"/>
                <w:color w:val="auto"/>
                <w:kern w:val="2"/>
                <w:sz w:val="24"/>
                <w:szCs w:val="24"/>
                <w:lang w:val="en-US" w:eastAsia="zh-CN" w:bidi="ar-SA"/>
              </w:rPr>
              <w:t>（西湾村三队、奇台福州中学等），</w:t>
            </w:r>
            <w:r>
              <w:rPr>
                <w:rFonts w:hint="eastAsia" w:ascii="Times New Roman" w:hAnsi="Times New Roman" w:eastAsia="宋体" w:cs="Times New Roman"/>
                <w:b w:val="0"/>
                <w:bCs w:val="0"/>
                <w:color w:val="auto"/>
                <w:kern w:val="2"/>
                <w:sz w:val="24"/>
                <w:szCs w:val="24"/>
                <w:lang w:val="en-US" w:eastAsia="zh-CN" w:bidi="ar-SA"/>
              </w:rPr>
              <w:t>应设置简易挡墙或移动式围挡，隔离施工作业场地，对高噪声设备应设置隔声罩并增加阻尼金属减振器或橡胶减振垫以减少施工噪声对上述敏感点的影响。合理安排施工时间，禁止夜间（24:00~08:00）和午休时间（14:00~16:00）在敏感点集中区域进行产生环境噪声污染的建筑施工作业。在居民区周围不得从事产生或者可能产生噪声污染的活动。</w:t>
            </w:r>
          </w:p>
          <w:p w14:paraId="1FF480A4">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91"/>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柴油发电机降噪措施：为满足柴油发电机组运行时所需的冷却风和燃烧空气量，机房采用机械</w:t>
            </w:r>
            <w:r>
              <w:rPr>
                <w:rFonts w:hint="eastAsia" w:ascii="Times New Roman" w:hAnsi="Times New Roman" w:cs="Times New Roman"/>
                <w:b w:val="0"/>
                <w:bCs w:val="0"/>
                <w:color w:val="auto"/>
                <w:kern w:val="2"/>
                <w:sz w:val="24"/>
                <w:szCs w:val="24"/>
                <w:lang w:val="en-US" w:eastAsia="zh-CN" w:bidi="ar-SA"/>
              </w:rPr>
              <w:t>通风</w:t>
            </w:r>
            <w:r>
              <w:rPr>
                <w:rFonts w:hint="eastAsia" w:ascii="Times New Roman" w:hAnsi="Times New Roman" w:eastAsia="宋体" w:cs="Times New Roman"/>
                <w:b w:val="0"/>
                <w:bCs w:val="0"/>
                <w:color w:val="auto"/>
                <w:kern w:val="2"/>
                <w:sz w:val="24"/>
                <w:szCs w:val="24"/>
                <w:lang w:val="en-US" w:eastAsia="zh-CN" w:bidi="ar-SA"/>
              </w:rPr>
              <w:t>方式通风；进风道、排风道内安装消声器，吸收气流噪声和机械噪声；机房内设置</w:t>
            </w:r>
            <w:r>
              <w:rPr>
                <w:rFonts w:hint="eastAsia" w:ascii="Times New Roman" w:hAnsi="Times New Roman" w:cs="Times New Roman"/>
                <w:b w:val="0"/>
                <w:bCs w:val="0"/>
                <w:color w:val="auto"/>
                <w:kern w:val="2"/>
                <w:sz w:val="24"/>
                <w:szCs w:val="24"/>
                <w:lang w:val="en-US" w:eastAsia="zh-CN" w:bidi="ar-SA"/>
              </w:rPr>
              <w:t>吸声材料</w:t>
            </w:r>
            <w:r>
              <w:rPr>
                <w:rFonts w:hint="eastAsia" w:ascii="Times New Roman" w:hAnsi="Times New Roman" w:eastAsia="宋体" w:cs="Times New Roman"/>
                <w:b w:val="0"/>
                <w:bCs w:val="0"/>
                <w:color w:val="auto"/>
                <w:kern w:val="2"/>
                <w:sz w:val="24"/>
                <w:szCs w:val="24"/>
                <w:lang w:val="en-US" w:eastAsia="zh-CN" w:bidi="ar-SA"/>
              </w:rPr>
              <w:t>。</w:t>
            </w:r>
          </w:p>
          <w:p w14:paraId="43B6619F">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为了有效地控制施工噪声影响，除落实有关的控制措施外，还必须加强施工环境管理，由环保部门实施统一的监督管理，建设单位与施工单位在工程承包时，应将环境保护内容列入承包合同，落实各项施工噪声的控制措施和有关主管部门的要求。因此，在加强施工噪声管理之后施工噪声对周围环境影响可以接受。</w:t>
            </w:r>
          </w:p>
          <w:p w14:paraId="6DE8312F">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钢筋切断机、弯曲机、套丝机、木工锯、切割机等高噪声设备置于封闭加工棚内，基础设减振垫。严禁夜间(22:00-06:00)高噪声作业，确需施工须办理夜间许可。加工区远离宿舍、办公区及场外敏感点布置。</w:t>
            </w:r>
          </w:p>
          <w:p w14:paraId="7C1642C5">
            <w:pPr>
              <w:pStyle w:val="65"/>
              <w:keepNext w:val="0"/>
              <w:keepLines w:val="0"/>
              <w:pageBreakBefore w:val="0"/>
              <w:widowControl w:val="0"/>
              <w:numPr>
                <w:ilvl w:val="0"/>
                <w:numId w:val="39"/>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b/>
                <w:bCs/>
                <w:color w:val="auto"/>
                <w:spacing w:val="-5"/>
                <w:sz w:val="24"/>
                <w:szCs w:val="24"/>
                <w:lang w:val="en-US" w:eastAsia="zh-CN"/>
              </w:rPr>
            </w:pPr>
            <w:r>
              <w:rPr>
                <w:rFonts w:hint="eastAsia"/>
                <w:b/>
                <w:bCs/>
                <w:color w:val="auto"/>
                <w:spacing w:val="-5"/>
                <w:sz w:val="24"/>
                <w:szCs w:val="24"/>
                <w:lang w:val="en-US" w:eastAsia="zh-CN"/>
              </w:rPr>
              <w:t>固体废物环境保护措施</w:t>
            </w:r>
          </w:p>
          <w:p w14:paraId="22DE0F14">
            <w:pPr>
              <w:pStyle w:val="65"/>
              <w:keepNext w:val="0"/>
              <w:keepLines w:val="0"/>
              <w:pageBreakBefore w:val="0"/>
              <w:widowControl w:val="0"/>
              <w:numPr>
                <w:ilvl w:val="0"/>
                <w:numId w:val="43"/>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弃土</w:t>
            </w:r>
          </w:p>
          <w:p w14:paraId="1BF740E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弃土方应严格按照《城市建筑垃圾管理规定》</w:t>
            </w:r>
            <w:r>
              <w:rPr>
                <w:rFonts w:hint="eastAsia" w:ascii="Times New Roman" w:hAnsi="Times New Roman" w:cs="Times New Roman"/>
                <w:b w:val="0"/>
                <w:bCs w:val="0"/>
                <w:color w:val="auto"/>
                <w:kern w:val="2"/>
                <w:sz w:val="24"/>
                <w:szCs w:val="24"/>
                <w:lang w:val="en-US" w:eastAsia="zh-CN" w:bidi="ar-SA"/>
              </w:rPr>
              <w:t>，优先用于项目自身，剩余土方拉至相关政府部门指定弃渣场</w:t>
            </w:r>
            <w:r>
              <w:rPr>
                <w:rFonts w:hint="eastAsia" w:ascii="Times New Roman" w:hAnsi="Times New Roman" w:eastAsia="宋体" w:cs="Times New Roman"/>
                <w:b w:val="0"/>
                <w:bCs w:val="0"/>
                <w:color w:val="auto"/>
                <w:kern w:val="2"/>
                <w:sz w:val="24"/>
                <w:szCs w:val="24"/>
                <w:lang w:val="en-US" w:eastAsia="zh-CN" w:bidi="ar-SA"/>
              </w:rPr>
              <w:t>。</w:t>
            </w:r>
          </w:p>
          <w:p w14:paraId="6C4FD467">
            <w:pPr>
              <w:pStyle w:val="65"/>
              <w:keepNext w:val="0"/>
              <w:keepLines w:val="0"/>
              <w:pageBreakBefore w:val="0"/>
              <w:widowControl w:val="0"/>
              <w:numPr>
                <w:ilvl w:val="0"/>
                <w:numId w:val="43"/>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建筑垃圾</w:t>
            </w:r>
          </w:p>
          <w:p w14:paraId="277266B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对施工过程中产生的建筑垃圾，应进行分类收集、分类管理，能够回收利用的尽量回收综合利用，以节约资源；对于不能回收利用的要进行收集</w:t>
            </w:r>
            <w:r>
              <w:rPr>
                <w:rFonts w:hint="eastAsia" w:ascii="Times New Roman" w:hAnsi="Times New Roman" w:cs="Times New Roman"/>
                <w:b w:val="0"/>
                <w:bCs w:val="0"/>
                <w:color w:val="auto"/>
                <w:kern w:val="2"/>
                <w:sz w:val="24"/>
                <w:szCs w:val="24"/>
                <w:lang w:val="en-US" w:eastAsia="zh-CN" w:bidi="ar-SA"/>
              </w:rPr>
              <w:t>并在</w:t>
            </w:r>
            <w:r>
              <w:rPr>
                <w:rFonts w:hint="default" w:ascii="Times New Roman" w:hAnsi="Times New Roman" w:eastAsia="宋体" w:cs="Times New Roman"/>
                <w:b w:val="0"/>
                <w:bCs w:val="0"/>
                <w:color w:val="auto"/>
                <w:kern w:val="2"/>
                <w:sz w:val="24"/>
                <w:szCs w:val="24"/>
                <w:lang w:val="en-US" w:eastAsia="zh-CN" w:bidi="ar-SA"/>
              </w:rPr>
              <w:t>固定地点集中暂存，分段施工完成后及时处理，拉运至奇台县建筑垃圾填埋场处置。</w:t>
            </w:r>
          </w:p>
          <w:p w14:paraId="3159A1E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钢筋头、铁屑、废钢模板集中堆放，定期外售综合利用。木屑、废模板集中收集，严禁露天焚烧，交由合规单位处置。</w:t>
            </w:r>
          </w:p>
          <w:p w14:paraId="35EBF6E6">
            <w:pPr>
              <w:pStyle w:val="65"/>
              <w:keepNext w:val="0"/>
              <w:keepLines w:val="0"/>
              <w:pageBreakBefore w:val="0"/>
              <w:widowControl w:val="0"/>
              <w:numPr>
                <w:ilvl w:val="0"/>
                <w:numId w:val="39"/>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b/>
                <w:bCs/>
                <w:color w:val="auto"/>
                <w:spacing w:val="-5"/>
                <w:sz w:val="24"/>
                <w:szCs w:val="24"/>
                <w:lang w:val="en-US" w:eastAsia="zh-CN"/>
              </w:rPr>
            </w:pPr>
            <w:r>
              <w:rPr>
                <w:rFonts w:hint="eastAsia"/>
                <w:b/>
                <w:bCs/>
                <w:color w:val="auto"/>
                <w:spacing w:val="-5"/>
                <w:sz w:val="24"/>
                <w:szCs w:val="24"/>
                <w:lang w:val="en-US" w:eastAsia="zh-CN"/>
              </w:rPr>
              <w:t>土壤保护措施</w:t>
            </w:r>
          </w:p>
          <w:p w14:paraId="0B541379">
            <w:pPr>
              <w:spacing w:line="360" w:lineRule="auto"/>
              <w:ind w:firstLine="480" w:firstLineChars="200"/>
              <w:rPr>
                <w:rFonts w:hint="eastAsia" w:eastAsia="宋体"/>
                <w:color w:val="auto"/>
                <w:lang w:eastAsia="zh-CN"/>
              </w:rPr>
            </w:pPr>
            <w:r>
              <w:rPr>
                <w:rFonts w:hint="eastAsia" w:ascii="Times New Roman" w:hAnsi="Times New Roman" w:eastAsia="宋体" w:cs="Times New Roman"/>
                <w:color w:val="auto"/>
                <w:kern w:val="0"/>
                <w:sz w:val="24"/>
                <w:lang w:eastAsia="zh-CN" w:bidi="ar"/>
              </w:rPr>
              <w:t>严控施工范围</w:t>
            </w:r>
            <w:r>
              <w:rPr>
                <w:rFonts w:hint="eastAsia" w:cs="Times New Roman"/>
                <w:color w:val="auto"/>
                <w:kern w:val="0"/>
                <w:sz w:val="24"/>
                <w:lang w:eastAsia="zh-CN" w:bidi="ar"/>
              </w:rPr>
              <w:t>，</w:t>
            </w:r>
            <w:r>
              <w:rPr>
                <w:rFonts w:hint="eastAsia" w:ascii="Times New Roman" w:hAnsi="Times New Roman" w:eastAsia="宋体" w:cs="Times New Roman"/>
                <w:color w:val="auto"/>
                <w:kern w:val="0"/>
                <w:sz w:val="24"/>
                <w:lang w:eastAsia="zh-CN" w:bidi="ar"/>
              </w:rPr>
              <w:t>按施工红线作业，严禁超范围施工和违规占地，减少土壤扰动与植被破坏。优化施工布局，规划便道、堆场等位置，避免重复扰动，减少土壤压实板结。优化施工时序，避开大风、暴雨时段，降低风蚀、水蚀风险。</w:t>
            </w:r>
          </w:p>
          <w:p w14:paraId="4B50372B">
            <w:pPr>
              <w:spacing w:line="360" w:lineRule="auto"/>
              <w:ind w:firstLine="480" w:firstLineChars="200"/>
              <w:rPr>
                <w:rFonts w:hint="eastAsia" w:eastAsia="宋体"/>
                <w:color w:val="auto"/>
                <w:lang w:eastAsia="zh-CN"/>
              </w:rPr>
            </w:pPr>
            <w:r>
              <w:rPr>
                <w:rFonts w:hint="eastAsia" w:ascii="Times New Roman" w:hAnsi="Times New Roman" w:eastAsia="宋体" w:cs="Times New Roman"/>
                <w:color w:val="auto"/>
                <w:kern w:val="0"/>
                <w:sz w:val="24"/>
                <w:lang w:eastAsia="zh-CN" w:bidi="ar"/>
              </w:rPr>
              <w:t>施工时区分表层耕作土与深部含盐土层，不将高含盐底层土铺至地表。及时清理基坑和作业区废水，防盐分富集。土方回填分层压实，减少盐分上移，严控盐化加重风险。</w:t>
            </w:r>
          </w:p>
          <w:p w14:paraId="579A3ECA">
            <w:pPr>
              <w:spacing w:line="360" w:lineRule="auto"/>
              <w:ind w:firstLine="480" w:firstLineChars="200"/>
              <w:rPr>
                <w:rFonts w:hint="eastAsia" w:eastAsia="宋体"/>
                <w:color w:val="auto"/>
                <w:lang w:eastAsia="zh-CN"/>
              </w:rPr>
            </w:pPr>
            <w:r>
              <w:rPr>
                <w:rFonts w:hint="eastAsia" w:ascii="Times New Roman" w:hAnsi="Times New Roman" w:eastAsia="宋体" w:cs="Times New Roman"/>
                <w:color w:val="auto"/>
                <w:kern w:val="0"/>
                <w:sz w:val="24"/>
                <w:lang w:eastAsia="zh-CN" w:bidi="ar"/>
              </w:rPr>
              <w:t>定期检修施工设备，规范油料加注</w:t>
            </w:r>
            <w:r>
              <w:rPr>
                <w:rFonts w:hint="eastAsia" w:cs="Times New Roman"/>
                <w:color w:val="auto"/>
                <w:kern w:val="0"/>
                <w:sz w:val="24"/>
                <w:lang w:eastAsia="zh-CN" w:bidi="ar"/>
              </w:rPr>
              <w:t>，</w:t>
            </w:r>
            <w:r>
              <w:rPr>
                <w:rFonts w:hint="eastAsia" w:cs="Times New Roman"/>
                <w:color w:val="auto"/>
                <w:kern w:val="0"/>
                <w:sz w:val="24"/>
                <w:lang w:val="en-US" w:eastAsia="zh-CN" w:bidi="ar"/>
              </w:rPr>
              <w:t>不在施工现场</w:t>
            </w:r>
            <w:r>
              <w:rPr>
                <w:rFonts w:hint="eastAsia" w:ascii="Times New Roman" w:hAnsi="Times New Roman" w:eastAsia="宋体" w:cs="Times New Roman"/>
                <w:color w:val="auto"/>
                <w:kern w:val="0"/>
                <w:sz w:val="24"/>
                <w:lang w:eastAsia="zh-CN" w:bidi="ar"/>
              </w:rPr>
              <w:t>维修作业，</w:t>
            </w:r>
            <w:r>
              <w:rPr>
                <w:rFonts w:hint="eastAsia" w:cs="Times New Roman"/>
                <w:color w:val="auto"/>
                <w:kern w:val="0"/>
                <w:sz w:val="24"/>
                <w:lang w:val="en-US" w:eastAsia="zh-CN" w:bidi="ar"/>
              </w:rPr>
              <w:t>防止</w:t>
            </w:r>
            <w:r>
              <w:rPr>
                <w:rFonts w:hint="eastAsia" w:ascii="Times New Roman" w:hAnsi="Times New Roman" w:eastAsia="宋体" w:cs="Times New Roman"/>
                <w:color w:val="auto"/>
                <w:kern w:val="0"/>
                <w:sz w:val="24"/>
                <w:lang w:eastAsia="zh-CN" w:bidi="ar"/>
              </w:rPr>
              <w:t>机油等泄漏。建材集中搅拌、规范取用，及时清理散落物料。施工垃圾等分类收集、集中存放，统一外运处置，防土壤点状污染。</w:t>
            </w:r>
          </w:p>
          <w:p w14:paraId="2BD73C55">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default"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color w:val="auto"/>
                <w:kern w:val="0"/>
                <w:sz w:val="24"/>
                <w:lang w:eastAsia="zh-CN" w:bidi="ar"/>
              </w:rPr>
              <w:t>施工结束后，拆除临时设施，清理垃圾废弃物。对板结土壤松土改良，恢复孔隙结构。结合区域特点，选耐旱、耐盐碱乡土植被覆绿，恢复植被覆盖，修复土壤生态。</w:t>
            </w:r>
          </w:p>
          <w:p w14:paraId="0D537EEE">
            <w:pPr>
              <w:pStyle w:val="65"/>
              <w:keepNext w:val="0"/>
              <w:keepLines w:val="0"/>
              <w:pageBreakBefore w:val="0"/>
              <w:widowControl w:val="0"/>
              <w:numPr>
                <w:ilvl w:val="0"/>
                <w:numId w:val="39"/>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b/>
                <w:bCs/>
                <w:color w:val="auto"/>
                <w:spacing w:val="-5"/>
                <w:sz w:val="24"/>
                <w:szCs w:val="24"/>
                <w:lang w:val="en-US" w:eastAsia="zh-CN"/>
              </w:rPr>
            </w:pPr>
            <w:r>
              <w:rPr>
                <w:rFonts w:hint="eastAsia"/>
                <w:b/>
                <w:bCs/>
                <w:color w:val="auto"/>
                <w:spacing w:val="-5"/>
                <w:sz w:val="24"/>
                <w:szCs w:val="24"/>
                <w:lang w:val="en-US" w:eastAsia="zh-CN"/>
              </w:rPr>
              <w:t>施工期生态环境保护措施</w:t>
            </w:r>
          </w:p>
          <w:p w14:paraId="5E03D955">
            <w:pPr>
              <w:pStyle w:val="65"/>
              <w:keepNext w:val="0"/>
              <w:keepLines w:val="0"/>
              <w:pageBreakBefore w:val="0"/>
              <w:widowControl w:val="0"/>
              <w:numPr>
                <w:ilvl w:val="0"/>
                <w:numId w:val="44"/>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水生生态保护措施</w:t>
            </w:r>
          </w:p>
          <w:p w14:paraId="2D5C96A8">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工程施工段河道内无国家级和地方级保护鱼种和大型鱼类，施工区域及下游无鱼类三场分布。施工期扰动水体对河段内的水生生态形成惊扰，会迫使原栖息在此的动物离开工程区河段，进入其他河段栖息。但上述影响仅局限于施工期和工程区范围内，随着施工的结束，这种影响随之消失。项目施工期间无洪水下泄，由于项目施工时间较短，随着施工结束，产生的暂时性影响也随之消失。为进一步降低项目施工对水生态影响，提出以下措施：</w:t>
            </w:r>
          </w:p>
          <w:p w14:paraId="4E4D0CCD">
            <w:pPr>
              <w:pStyle w:val="65"/>
              <w:keepNext w:val="0"/>
              <w:keepLines w:val="0"/>
              <w:pageBreakBefore w:val="0"/>
              <w:widowControl w:val="0"/>
              <w:numPr>
                <w:ilvl w:val="0"/>
                <w:numId w:val="45"/>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施工期间不得利用非施工侧河道布置施工机械、设备，禁止采挖施工范围以外河床，减少项目施工对现状河道扰动。</w:t>
            </w:r>
          </w:p>
          <w:p w14:paraId="3A79029B">
            <w:pPr>
              <w:pStyle w:val="65"/>
              <w:keepNext w:val="0"/>
              <w:keepLines w:val="0"/>
              <w:pageBreakBefore w:val="0"/>
              <w:widowControl w:val="0"/>
              <w:numPr>
                <w:ilvl w:val="0"/>
                <w:numId w:val="45"/>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及时恢复河床原貌，不得在河道内临时、永久堆置土方、砂石料，破坏河道，影响河道行洪。</w:t>
            </w:r>
          </w:p>
          <w:p w14:paraId="1F43F9BD">
            <w:pPr>
              <w:pStyle w:val="65"/>
              <w:keepNext w:val="0"/>
              <w:keepLines w:val="0"/>
              <w:pageBreakBefore w:val="0"/>
              <w:widowControl w:val="0"/>
              <w:numPr>
                <w:ilvl w:val="0"/>
                <w:numId w:val="45"/>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施工期间加强施工人员教育、管理，禁止破坏生态环境。</w:t>
            </w:r>
          </w:p>
          <w:p w14:paraId="4F941C3A">
            <w:pPr>
              <w:pStyle w:val="65"/>
              <w:keepNext w:val="0"/>
              <w:keepLines w:val="0"/>
              <w:pageBreakBefore w:val="0"/>
              <w:widowControl w:val="0"/>
              <w:numPr>
                <w:ilvl w:val="0"/>
                <w:numId w:val="45"/>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在施工过程中禁止向河内排放污染物，常年禁止一切渔业活动。</w:t>
            </w:r>
          </w:p>
          <w:p w14:paraId="6FDE6E48">
            <w:pPr>
              <w:pStyle w:val="65"/>
              <w:keepNext w:val="0"/>
              <w:keepLines w:val="0"/>
              <w:pageBreakBefore w:val="0"/>
              <w:widowControl w:val="0"/>
              <w:numPr>
                <w:ilvl w:val="0"/>
                <w:numId w:val="45"/>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加强施工管理，强调合理有序施工，优化施工组织，同一施工段实行同向逐步推进施工，相邻施工段错开施工高峰期。</w:t>
            </w:r>
          </w:p>
          <w:p w14:paraId="208D34CA">
            <w:pPr>
              <w:pStyle w:val="65"/>
              <w:keepNext w:val="0"/>
              <w:keepLines w:val="0"/>
              <w:pageBreakBefore w:val="0"/>
              <w:widowControl w:val="0"/>
              <w:numPr>
                <w:ilvl w:val="0"/>
                <w:numId w:val="45"/>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本项目施工期间为枯水期，施工涉及的河段内无地表径流。</w:t>
            </w:r>
          </w:p>
          <w:p w14:paraId="006FDE3F">
            <w:pPr>
              <w:pStyle w:val="65"/>
              <w:keepNext w:val="0"/>
              <w:keepLines w:val="0"/>
              <w:pageBreakBefore w:val="0"/>
              <w:widowControl w:val="0"/>
              <w:numPr>
                <w:ilvl w:val="0"/>
                <w:numId w:val="44"/>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水质保护措施</w:t>
            </w:r>
          </w:p>
          <w:p w14:paraId="4EBADA2B">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在工程施工过程中应严格控制施工范围，尽量减少对河道的扰动，做好水土保持工作。施工生产废水严禁排入河道，避免对地表水污染。</w:t>
            </w:r>
          </w:p>
          <w:p w14:paraId="22743A9A">
            <w:pPr>
              <w:pStyle w:val="65"/>
              <w:keepNext w:val="0"/>
              <w:keepLines w:val="0"/>
              <w:pageBreakBefore w:val="0"/>
              <w:widowControl w:val="0"/>
              <w:numPr>
                <w:ilvl w:val="0"/>
                <w:numId w:val="44"/>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水文情势保护措施</w:t>
            </w:r>
          </w:p>
          <w:p w14:paraId="1765F94C">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在施工过程中严格按照施工图对项</w:t>
            </w:r>
            <w:bookmarkStart w:id="91" w:name="_GoBack"/>
            <w:bookmarkEnd w:id="91"/>
            <w:r>
              <w:rPr>
                <w:rFonts w:hint="eastAsia" w:ascii="Times New Roman" w:hAnsi="Times New Roman" w:cs="Times New Roman"/>
                <w:b w:val="0"/>
                <w:bCs w:val="0"/>
                <w:color w:val="auto"/>
                <w:kern w:val="2"/>
                <w:sz w:val="24"/>
                <w:szCs w:val="24"/>
                <w:lang w:val="en-US" w:eastAsia="zh-CN" w:bidi="ar-SA"/>
              </w:rPr>
              <w:t>目进行施工，在</w:t>
            </w:r>
            <w:r>
              <w:rPr>
                <w:rFonts w:hint="default" w:ascii="Times New Roman" w:hAnsi="Times New Roman" w:cs="Times New Roman"/>
                <w:color w:val="auto"/>
                <w:spacing w:val="-1"/>
                <w:sz w:val="24"/>
                <w:szCs w:val="24"/>
                <w:lang w:val="en-US" w:eastAsia="zh-CN"/>
              </w:rPr>
              <w:t>1#交通桥</w:t>
            </w:r>
            <w:r>
              <w:rPr>
                <w:rFonts w:hint="eastAsia" w:ascii="Times New Roman" w:hAnsi="Times New Roman" w:cs="Times New Roman"/>
                <w:b w:val="0"/>
                <w:bCs w:val="0"/>
                <w:color w:val="auto"/>
                <w:kern w:val="2"/>
                <w:sz w:val="24"/>
                <w:szCs w:val="24"/>
                <w:lang w:val="en-US" w:eastAsia="zh-CN" w:bidi="ar-SA"/>
              </w:rPr>
              <w:t>采取围堰施工方式，严禁设置挡水设施。</w:t>
            </w:r>
          </w:p>
          <w:p w14:paraId="5ACE58F4">
            <w:pPr>
              <w:pStyle w:val="65"/>
              <w:keepNext w:val="0"/>
              <w:keepLines w:val="0"/>
              <w:pageBreakBefore w:val="0"/>
              <w:widowControl w:val="0"/>
              <w:numPr>
                <w:ilvl w:val="0"/>
                <w:numId w:val="44"/>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工程占地及土壤的保护措施</w:t>
            </w:r>
          </w:p>
          <w:p w14:paraId="78C15EA0">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划定施工区域，强化施工管理，增强施工人员的环境保护意识，在保证施工顺利进行的前提下，严格控制施工人员、施工机械、临时占地范围，严禁随意扩大扰动范围；尽可能缩小施工作业面和减少扰动面积；以最大限度地控制地表土壤和植被的破坏程度和范围，减少地表扰动。在土方开挖施工时，应严格注意保护原有地表土壤层，按照原土层顺序回填及覆盖，做到分层开挖，分层堆放，分层回填，以利于植被自然恢复。</w:t>
            </w:r>
          </w:p>
          <w:p w14:paraId="41DEE4F1">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按照《中华人民共和国森林法》及《中华人民共和国草原法》《中华人民共和国土地管理法》办理相关手续，并进行恢复及补偿，草地、林地按照当地植被如</w:t>
            </w:r>
            <w:r>
              <w:rPr>
                <w:rFonts w:hint="eastAsia" w:ascii="Times New Roman" w:hAnsi="Times New Roman" w:cs="Times New Roman"/>
                <w:color w:val="auto"/>
                <w:spacing w:val="-4"/>
                <w:sz w:val="24"/>
                <w:szCs w:val="24"/>
                <w:lang w:val="en-US" w:eastAsia="zh-CN"/>
              </w:rPr>
              <w:t>树、杨树、伊犁绢蒿、驼绒藜等植被</w:t>
            </w:r>
            <w:r>
              <w:rPr>
                <w:rFonts w:hint="eastAsia" w:ascii="Times New Roman" w:hAnsi="Times New Roman" w:cs="Times New Roman"/>
                <w:b w:val="0"/>
                <w:bCs w:val="0"/>
                <w:color w:val="auto"/>
                <w:kern w:val="2"/>
                <w:sz w:val="24"/>
                <w:szCs w:val="24"/>
                <w:lang w:val="en-US" w:eastAsia="zh-CN" w:bidi="ar-SA"/>
              </w:rPr>
              <w:t>恢复，补偿面积与占用面积相同、满足“占一补一”的要求，以减缓工程建设对项目区植被的影响。</w:t>
            </w:r>
          </w:p>
          <w:p w14:paraId="36BF2266">
            <w:pPr>
              <w:pStyle w:val="65"/>
              <w:keepNext w:val="0"/>
              <w:keepLines w:val="0"/>
              <w:pageBreakBefore w:val="0"/>
              <w:widowControl w:val="0"/>
              <w:numPr>
                <w:ilvl w:val="0"/>
                <w:numId w:val="44"/>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动物保护措施</w:t>
            </w:r>
          </w:p>
          <w:p w14:paraId="53A7B42F">
            <w:pPr>
              <w:pStyle w:val="65"/>
              <w:keepNext w:val="0"/>
              <w:keepLines w:val="0"/>
              <w:pageBreakBefore w:val="0"/>
              <w:widowControl w:val="0"/>
              <w:numPr>
                <w:ilvl w:val="0"/>
                <w:numId w:val="46"/>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在施工期间对施工人员和附近居民加强生态保护宣传教育，以宣传册、标志牌等形式，对施工区工作生活人员特别是施工人员及时进行宣传教育，建立生态破坏惩罚制度，严禁施工人员非法猎捕当地野生动物，禁止施工人员捕食鸟类，以减轻施工对当地动物的影响。</w:t>
            </w:r>
          </w:p>
          <w:p w14:paraId="38DC94C3">
            <w:pPr>
              <w:pStyle w:val="65"/>
              <w:keepNext w:val="0"/>
              <w:keepLines w:val="0"/>
              <w:pageBreakBefore w:val="0"/>
              <w:widowControl w:val="0"/>
              <w:numPr>
                <w:ilvl w:val="0"/>
                <w:numId w:val="46"/>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根据施工总平面布置图，确定施工用地范围，进行标桩划界，禁止施工人员进入非施工占地区域；非施工区严禁烟火、狩猎和垂钓等活动。禁止施工人员野外用火，把对野生动物的干扰降至最低程度。</w:t>
            </w:r>
          </w:p>
          <w:p w14:paraId="272D95B5">
            <w:pPr>
              <w:pStyle w:val="65"/>
              <w:keepNext w:val="0"/>
              <w:keepLines w:val="0"/>
              <w:pageBreakBefore w:val="0"/>
              <w:widowControl w:val="0"/>
              <w:numPr>
                <w:ilvl w:val="0"/>
                <w:numId w:val="46"/>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积极采取有效措施，降低噪音、废水等对野生动物的影响。在工程建设期间，推土机、挖掘机、打桩机等施工机械及各种运输车辆运行将产生一定强度噪声，应加强施工管理、采取遮挡消声等措施使施工噪音降到最低程度。对于施工产生的废污水，严禁随意排放。</w:t>
            </w:r>
          </w:p>
          <w:p w14:paraId="62E62457">
            <w:pPr>
              <w:pStyle w:val="65"/>
              <w:keepNext w:val="0"/>
              <w:keepLines w:val="0"/>
              <w:pageBreakBefore w:val="0"/>
              <w:widowControl w:val="0"/>
              <w:numPr>
                <w:ilvl w:val="0"/>
                <w:numId w:val="44"/>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植被保护措施</w:t>
            </w:r>
          </w:p>
          <w:p w14:paraId="7C2CAB6D">
            <w:pPr>
              <w:pStyle w:val="65"/>
              <w:keepNext w:val="0"/>
              <w:keepLines w:val="0"/>
              <w:pageBreakBefore w:val="0"/>
              <w:widowControl w:val="0"/>
              <w:numPr>
                <w:ilvl w:val="0"/>
                <w:numId w:val="47"/>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为减少施工队伍对植被和土壤的影响，要标明施工活动区，严令禁止到非施工区域活动，严禁烟火等措施。</w:t>
            </w:r>
          </w:p>
          <w:p w14:paraId="4FCDF8F4">
            <w:pPr>
              <w:pStyle w:val="65"/>
              <w:keepNext w:val="0"/>
              <w:keepLines w:val="0"/>
              <w:pageBreakBefore w:val="0"/>
              <w:widowControl w:val="0"/>
              <w:numPr>
                <w:ilvl w:val="0"/>
                <w:numId w:val="47"/>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施工单位必须对施工人员进行环境保护法和相关法规、法律的教育，增强环境保护意识，预防火灾和乱砍林木，乱采（挖）植物的事件发生。</w:t>
            </w:r>
          </w:p>
          <w:p w14:paraId="63FEA190">
            <w:pPr>
              <w:pStyle w:val="65"/>
              <w:keepNext w:val="0"/>
              <w:keepLines w:val="0"/>
              <w:pageBreakBefore w:val="0"/>
              <w:widowControl w:val="0"/>
              <w:numPr>
                <w:ilvl w:val="0"/>
                <w:numId w:val="47"/>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施工过程中，严格限定施工的工作范围，采用彩条旗规范施工范围，严格行车路线，运输车辆不得随意驶离道路或施工便道。优化施工组织，尽量减少施工过程中动用的土石方数量，减少植被破坏量。</w:t>
            </w:r>
          </w:p>
          <w:p w14:paraId="2119D165">
            <w:pPr>
              <w:pStyle w:val="65"/>
              <w:keepNext w:val="0"/>
              <w:keepLines w:val="0"/>
              <w:pageBreakBefore w:val="0"/>
              <w:widowControl w:val="0"/>
              <w:numPr>
                <w:ilvl w:val="0"/>
                <w:numId w:val="47"/>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施工活动应严格限定在工程设计和用地红线范围内，严禁越界使用或随意侵占林地。通过设置施工界限围栏，固定施工便道，严禁施工人员越界活动和施工机械下道行驶，尽可能减少工程施工对自然地表和植被的扰动，严格控制施工人员数量、设备和施工作业时间，避免任意扩大施工作业面。车辆、机械应在规划的道路上行驶，严禁随意行驶碾压植被，严禁破坏与项目建设无关的植被，将植被损失降至最低。业主单位制定环境管理监控的规程、措施，不定期对施工单位进行监管检查，确保生态保护成效。</w:t>
            </w:r>
          </w:p>
          <w:p w14:paraId="5D8A22AC">
            <w:pPr>
              <w:pStyle w:val="65"/>
              <w:keepNext w:val="0"/>
              <w:keepLines w:val="0"/>
              <w:pageBreakBefore w:val="0"/>
              <w:widowControl w:val="0"/>
              <w:numPr>
                <w:ilvl w:val="0"/>
                <w:numId w:val="47"/>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施工结束后，及时拆除、清理临时生产设施，各类施工迹地应进行清理，平整场地，地表利用集中堆存的表层土恢复，使扰动过的地表与周围的景观相协调。对使用完堆放表层土的地方，应进行清理，使其恢复至原貌。</w:t>
            </w:r>
          </w:p>
          <w:p w14:paraId="08BA151B">
            <w:pPr>
              <w:pStyle w:val="65"/>
              <w:keepNext w:val="0"/>
              <w:keepLines w:val="0"/>
              <w:pageBreakBefore w:val="0"/>
              <w:widowControl w:val="0"/>
              <w:numPr>
                <w:ilvl w:val="0"/>
                <w:numId w:val="47"/>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生态护岸采用乔灌草护坡，保留水陆生态连通性。</w:t>
            </w:r>
          </w:p>
          <w:p w14:paraId="49785AE3">
            <w:pPr>
              <w:pStyle w:val="65"/>
              <w:keepNext w:val="0"/>
              <w:keepLines w:val="0"/>
              <w:pageBreakBefore w:val="0"/>
              <w:widowControl w:val="0"/>
              <w:numPr>
                <w:ilvl w:val="0"/>
                <w:numId w:val="47"/>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禁止采摘和随意践踏林地植被。施工中要尽量把对林地地表植被的破坏降低到最低限度，特别要加强对重点保护植物的保护，严禁发生乱采、滥挖野生植物的行为，最大限度减少对野生植物生长环境的扰动，施工中一旦发现珍稀保护植物应就地保护或及时移植。本项目占用林地均为地方公益林地，在施工期间临时占地尽量避免占用地方公益林地，在无法避让时采用原地或异地补偿种植同类树种。</w:t>
            </w:r>
          </w:p>
          <w:p w14:paraId="6C7C2BCA">
            <w:pPr>
              <w:pStyle w:val="65"/>
              <w:keepNext w:val="0"/>
              <w:keepLines w:val="0"/>
              <w:pageBreakBefore w:val="0"/>
              <w:widowControl w:val="0"/>
              <w:numPr>
                <w:ilvl w:val="0"/>
                <w:numId w:val="47"/>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加强植被恢复。对工程建设占地造成的植被损失，通过原址恢复和异地植被恢复造林措施进一步加强植被恢复。</w:t>
            </w:r>
          </w:p>
          <w:p w14:paraId="142C2EF7">
            <w:pPr>
              <w:pStyle w:val="65"/>
              <w:keepNext w:val="0"/>
              <w:keepLines w:val="0"/>
              <w:pageBreakBefore w:val="0"/>
              <w:widowControl w:val="0"/>
              <w:numPr>
                <w:ilvl w:val="0"/>
                <w:numId w:val="47"/>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在工程施工过程中，要按照生态保护要求制定科学合理的工程施工方案，严格执行工程施工管理制度，做好工程施工管理。要规范施工过程，严格按照施工工序进行施工，防止因为赶工期和赶进度而造成人为的生态干扰和破坏。施工过程中产生的建筑垃圾、废料、废水、施工人员生活垃圾、污水应集中处理及时清运，严禁直接倾倒排放至河道、农田中，造成污染；同时应采取减小鸣笛、洒水降尘等措施，减轻施工噪音、扬尘等对环境的影响。</w:t>
            </w:r>
          </w:p>
          <w:p w14:paraId="38AF503D">
            <w:pPr>
              <w:pStyle w:val="65"/>
              <w:keepNext w:val="0"/>
              <w:keepLines w:val="0"/>
              <w:pageBreakBefore w:val="0"/>
              <w:widowControl w:val="0"/>
              <w:numPr>
                <w:ilvl w:val="0"/>
                <w:numId w:val="44"/>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生态保护及水土保持措施</w:t>
            </w:r>
          </w:p>
          <w:p w14:paraId="5E6AFD5F">
            <w:pPr>
              <w:pStyle w:val="65"/>
              <w:keepNext w:val="0"/>
              <w:keepLines w:val="0"/>
              <w:pageBreakBefore w:val="0"/>
              <w:widowControl w:val="0"/>
              <w:numPr>
                <w:ilvl w:val="0"/>
                <w:numId w:val="48"/>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临时道路，施工生产区等水土保持措施</w:t>
            </w:r>
          </w:p>
          <w:p w14:paraId="44C35FBD">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1）工程措施</w:t>
            </w:r>
          </w:p>
          <w:p w14:paraId="785985B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主要是施工结束后，对临时堆土区，临时道路，施工生产区等进行土地平整，土地平整面积约为19.28hm</w:t>
            </w:r>
            <w:r>
              <w:rPr>
                <w:rFonts w:hint="eastAsia" w:ascii="Times New Roman" w:hAnsi="Times New Roman" w:cs="Times New Roman"/>
                <w:b w:val="0"/>
                <w:bCs w:val="0"/>
                <w:color w:val="auto"/>
                <w:kern w:val="2"/>
                <w:sz w:val="24"/>
                <w:szCs w:val="24"/>
                <w:vertAlign w:val="superscript"/>
                <w:lang w:val="en-US" w:eastAsia="zh-CN" w:bidi="ar-SA"/>
              </w:rPr>
              <w:t>2</w:t>
            </w:r>
            <w:r>
              <w:rPr>
                <w:rFonts w:hint="eastAsia" w:ascii="Times New Roman" w:hAnsi="Times New Roman" w:cs="Times New Roman"/>
                <w:b w:val="0"/>
                <w:bCs w:val="0"/>
                <w:color w:val="auto"/>
                <w:kern w:val="2"/>
                <w:sz w:val="24"/>
                <w:szCs w:val="24"/>
                <w:lang w:val="en-US" w:eastAsia="zh-CN" w:bidi="ar-SA"/>
              </w:rPr>
              <w:t>。</w:t>
            </w:r>
          </w:p>
          <w:p w14:paraId="709A8520">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2）临时措施</w:t>
            </w:r>
          </w:p>
          <w:p w14:paraId="1B342914">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防尘网苫盖：临时堆土区采取防尘网苫盖措施减少水土流失，经计算防尘网苫盖的面积30000m</w:t>
            </w:r>
            <w:r>
              <w:rPr>
                <w:rFonts w:hint="eastAsia" w:ascii="Times New Roman" w:hAnsi="Times New Roman" w:cs="Times New Roman"/>
                <w:b w:val="0"/>
                <w:bCs w:val="0"/>
                <w:color w:val="auto"/>
                <w:kern w:val="2"/>
                <w:sz w:val="24"/>
                <w:szCs w:val="24"/>
                <w:vertAlign w:val="superscript"/>
                <w:lang w:val="en-US" w:eastAsia="zh-CN" w:bidi="ar-SA"/>
              </w:rPr>
              <w:t>2</w:t>
            </w:r>
            <w:r>
              <w:rPr>
                <w:rFonts w:hint="eastAsia" w:ascii="Times New Roman" w:hAnsi="Times New Roman" w:cs="Times New Roman"/>
                <w:b w:val="0"/>
                <w:bCs w:val="0"/>
                <w:color w:val="auto"/>
                <w:kern w:val="2"/>
                <w:sz w:val="24"/>
                <w:szCs w:val="24"/>
                <w:lang w:val="en-US" w:eastAsia="zh-CN" w:bidi="ar-SA"/>
              </w:rPr>
              <w:t>。</w:t>
            </w:r>
          </w:p>
          <w:p w14:paraId="2FA3E725">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洒水：针对临时堆土区，临时道路，施工生产区等，为减少施工车辆拉运土方造成的水土流失，采取洒水措施降低施工期间的水土流失，每天洒水一次。</w:t>
            </w:r>
          </w:p>
          <w:p w14:paraId="3C2BDB5F">
            <w:pPr>
              <w:pStyle w:val="65"/>
              <w:keepNext w:val="0"/>
              <w:keepLines w:val="0"/>
              <w:pageBreakBefore w:val="0"/>
              <w:widowControl w:val="0"/>
              <w:numPr>
                <w:ilvl w:val="0"/>
                <w:numId w:val="48"/>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水土保持管理措施</w:t>
            </w:r>
          </w:p>
          <w:p w14:paraId="1CC7FF14">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1）施工结束后，及时拆除、清理临时生产设施、围堰等各类施工迹地，平整场地，将施工围堰土方及时回填于防洪堤工程区，使扰动过的地表与周围的景观相协调，使其恢复至原貌。</w:t>
            </w:r>
          </w:p>
          <w:p w14:paraId="35B6945F">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2）挖掘的土方合理堆放，及时回填，及时恢复挖方段的植被覆盖。</w:t>
            </w:r>
          </w:p>
          <w:p w14:paraId="0296A920">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3）为了保护项目区的生态，工程挖方、回填采取分左右岸、分段集中施工的原则，及时用于已施工完毕的地段进行覆盖恢复，极大地保持施工段景观的自然性。</w:t>
            </w:r>
          </w:p>
          <w:p w14:paraId="13E7AB47">
            <w:pPr>
              <w:pStyle w:val="65"/>
              <w:keepNext w:val="0"/>
              <w:keepLines w:val="0"/>
              <w:pageBreakBefore w:val="0"/>
              <w:widowControl w:val="0"/>
              <w:numPr>
                <w:ilvl w:val="0"/>
                <w:numId w:val="44"/>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防风固沙措施</w:t>
            </w:r>
          </w:p>
          <w:p w14:paraId="4CEE49CE">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本次评价要求建设单位严格按照《中华人民共和国防沙治沙法》及《关于加强沙区建设项目环境影响评价工作的通知》（新环环评发〔2020〕138号）中有关规定，执行以下防沙治沙措施：</w:t>
            </w:r>
          </w:p>
          <w:p w14:paraId="0F9D4151">
            <w:pPr>
              <w:pStyle w:val="65"/>
              <w:keepNext w:val="0"/>
              <w:keepLines w:val="0"/>
              <w:pageBreakBefore w:val="0"/>
              <w:widowControl w:val="0"/>
              <w:numPr>
                <w:ilvl w:val="0"/>
                <w:numId w:val="49"/>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土地临时使用过程中发现土地沙化或者沙化程度加重的，应当及时报告当地人民政府。</w:t>
            </w:r>
          </w:p>
          <w:p w14:paraId="395F337C">
            <w:pPr>
              <w:pStyle w:val="65"/>
              <w:keepNext w:val="0"/>
              <w:keepLines w:val="0"/>
              <w:pageBreakBefore w:val="0"/>
              <w:widowControl w:val="0"/>
              <w:numPr>
                <w:ilvl w:val="0"/>
                <w:numId w:val="49"/>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大力宣传《中华人民共和国防沙治沙法》，使施工人员知法、懂法、守法，自觉保护林草植被，自觉履行防治义务。禁止在沙化土地砍挖灌木、药材及其他固沙植物。</w:t>
            </w:r>
          </w:p>
          <w:p w14:paraId="36080072">
            <w:pPr>
              <w:pStyle w:val="65"/>
              <w:keepNext w:val="0"/>
              <w:keepLines w:val="0"/>
              <w:pageBreakBefore w:val="0"/>
              <w:widowControl w:val="0"/>
              <w:numPr>
                <w:ilvl w:val="0"/>
                <w:numId w:val="49"/>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施工结束后对占地进行平整，清运现场遗留的污染物，涉及占用天然牧草地的按照林草部门规定给予补偿。</w:t>
            </w:r>
          </w:p>
          <w:p w14:paraId="6D040A80">
            <w:pPr>
              <w:pStyle w:val="65"/>
              <w:keepNext w:val="0"/>
              <w:keepLines w:val="0"/>
              <w:pageBreakBefore w:val="0"/>
              <w:widowControl w:val="0"/>
              <w:numPr>
                <w:ilvl w:val="0"/>
                <w:numId w:val="49"/>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严格控制施工活动范围，严禁乱碾乱轧，避免对项目占地范围外的区域造成扰动。</w:t>
            </w:r>
          </w:p>
          <w:p w14:paraId="5F5FDC70">
            <w:pPr>
              <w:pStyle w:val="65"/>
              <w:keepNext w:val="0"/>
              <w:keepLines w:val="0"/>
              <w:pageBreakBefore w:val="0"/>
              <w:widowControl w:val="0"/>
              <w:numPr>
                <w:ilvl w:val="0"/>
                <w:numId w:val="49"/>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优化施工组织，缩短施工时间，开挖的土方应分层开挖、分层堆放、分层回填，避免在大风天气作业，以免造成土壤风蚀影响。</w:t>
            </w:r>
          </w:p>
          <w:p w14:paraId="497388D7">
            <w:pPr>
              <w:pStyle w:val="65"/>
              <w:keepNext w:val="0"/>
              <w:keepLines w:val="0"/>
              <w:pageBreakBefore w:val="0"/>
              <w:widowControl w:val="0"/>
              <w:numPr>
                <w:ilvl w:val="0"/>
                <w:numId w:val="49"/>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施工结束后对场地进行清理、平整并压实，场站实施场地硬化，避免水土流失影响。</w:t>
            </w:r>
          </w:p>
          <w:p w14:paraId="10CD1AFA">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采取上述措施，项目施工过程对周围生态环境的破坏可降低至可接受水平。</w:t>
            </w:r>
          </w:p>
          <w:p w14:paraId="1D67D2EE">
            <w:pPr>
              <w:pStyle w:val="65"/>
              <w:keepNext w:val="0"/>
              <w:keepLines w:val="0"/>
              <w:pageBreakBefore w:val="0"/>
              <w:widowControl w:val="0"/>
              <w:numPr>
                <w:ilvl w:val="0"/>
                <w:numId w:val="44"/>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景观保护措施</w:t>
            </w:r>
          </w:p>
          <w:p w14:paraId="3A6DA648">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施工结束后，需对临时占用土地的恢复及采取绿化美化等措施消除干扰斑块。</w:t>
            </w:r>
          </w:p>
          <w:p w14:paraId="1389FCA5">
            <w:pPr>
              <w:pStyle w:val="65"/>
              <w:keepNext w:val="0"/>
              <w:keepLines w:val="0"/>
              <w:pageBreakBefore w:val="0"/>
              <w:widowControl w:val="0"/>
              <w:numPr>
                <w:ilvl w:val="0"/>
                <w:numId w:val="39"/>
              </w:numPr>
              <w:kinsoku/>
              <w:wordWrap/>
              <w:overflowPunct/>
              <w:topLinePunct w:val="0"/>
              <w:autoSpaceDE/>
              <w:autoSpaceDN/>
              <w:bidi w:val="0"/>
              <w:adjustRightInd w:val="0"/>
              <w:snapToGrid w:val="0"/>
              <w:spacing w:line="360" w:lineRule="auto"/>
              <w:ind w:left="425" w:leftChars="0" w:right="0" w:hanging="425" w:firstLineChars="0"/>
              <w:textAlignment w:val="auto"/>
              <w:rPr>
                <w:rFonts w:hint="eastAsia" w:ascii="宋体" w:hAnsi="宋体" w:eastAsia="宋体" w:cs="宋体"/>
                <w:b/>
                <w:bCs/>
                <w:color w:val="auto"/>
                <w:spacing w:val="-5"/>
                <w:sz w:val="24"/>
                <w:szCs w:val="24"/>
                <w:lang w:val="en-US" w:eastAsia="zh-CN"/>
              </w:rPr>
            </w:pPr>
            <w:r>
              <w:rPr>
                <w:rFonts w:hint="eastAsia" w:ascii="宋体" w:hAnsi="宋体" w:eastAsia="宋体" w:cs="宋体"/>
                <w:b/>
                <w:bCs/>
                <w:color w:val="auto"/>
                <w:spacing w:val="-5"/>
                <w:sz w:val="24"/>
                <w:szCs w:val="24"/>
                <w:lang w:val="en-US" w:eastAsia="zh-CN"/>
              </w:rPr>
              <w:t>防风固沙措施</w:t>
            </w:r>
          </w:p>
          <w:p w14:paraId="134F68F5">
            <w:pPr>
              <w:widowControl/>
              <w:spacing w:line="360" w:lineRule="auto"/>
              <w:ind w:firstLine="480" w:firstLineChars="200"/>
              <w:rPr>
                <w:rFonts w:hint="default" w:ascii="Times New Roman" w:hAnsi="Times New Roman" w:eastAsia="宋体" w:cs="Times New Roman"/>
                <w:color w:val="auto"/>
                <w:kern w:val="0"/>
                <w:sz w:val="24"/>
                <w:lang w:eastAsia="zh-CN" w:bidi="ar"/>
              </w:rPr>
            </w:pPr>
            <w:r>
              <w:rPr>
                <w:rFonts w:hint="default" w:ascii="Times New Roman" w:hAnsi="Times New Roman" w:eastAsia="宋体" w:cs="Times New Roman"/>
                <w:color w:val="auto"/>
                <w:kern w:val="0"/>
                <w:sz w:val="24"/>
                <w:lang w:eastAsia="zh-CN" w:bidi="ar"/>
              </w:rPr>
              <w:t>本次评价要求建设单位严格按照《中华人民共和国防沙治沙法》（2018）及《关于加强沙区</w:t>
            </w:r>
            <w:r>
              <w:rPr>
                <w:rFonts w:hint="eastAsia" w:ascii="Times New Roman" w:hAnsi="Times New Roman" w:eastAsia="宋体" w:cs="Times New Roman"/>
                <w:color w:val="auto"/>
                <w:kern w:val="0"/>
                <w:sz w:val="24"/>
                <w:lang w:eastAsia="zh-CN" w:bidi="ar"/>
              </w:rPr>
              <w:t>建设</w:t>
            </w:r>
            <w:r>
              <w:rPr>
                <w:rFonts w:hint="default" w:ascii="Times New Roman" w:hAnsi="Times New Roman" w:eastAsia="宋体" w:cs="Times New Roman"/>
                <w:color w:val="auto"/>
                <w:kern w:val="0"/>
                <w:sz w:val="24"/>
                <w:lang w:eastAsia="zh-CN" w:bidi="ar"/>
              </w:rPr>
              <w:t>项目环境影响评价工作的通知》（新环环评发</w:t>
            </w:r>
            <w:r>
              <w:rPr>
                <w:rFonts w:hint="eastAsia" w:ascii="Times New Roman" w:hAnsi="Times New Roman" w:eastAsia="宋体" w:cs="Times New Roman"/>
                <w:color w:val="auto"/>
                <w:kern w:val="0"/>
                <w:sz w:val="24"/>
                <w:lang w:eastAsia="zh-CN" w:bidi="ar"/>
              </w:rPr>
              <w:t>〔2020〕138号</w:t>
            </w:r>
            <w:r>
              <w:rPr>
                <w:rFonts w:hint="default" w:ascii="Times New Roman" w:hAnsi="Times New Roman" w:eastAsia="宋体" w:cs="Times New Roman"/>
                <w:color w:val="auto"/>
                <w:kern w:val="0"/>
                <w:sz w:val="24"/>
                <w:lang w:eastAsia="zh-CN" w:bidi="ar"/>
              </w:rPr>
              <w:t>）中有关规定，执行以下防沙治沙措施：</w:t>
            </w:r>
          </w:p>
          <w:p w14:paraId="0E0C55F3">
            <w:pPr>
              <w:widowControl/>
              <w:spacing w:line="360" w:lineRule="auto"/>
              <w:ind w:firstLine="480" w:firstLineChars="200"/>
              <w:rPr>
                <w:rFonts w:hint="default" w:ascii="Times New Roman" w:hAnsi="Times New Roman" w:eastAsia="宋体" w:cs="Times New Roman"/>
                <w:color w:val="auto"/>
                <w:kern w:val="0"/>
                <w:sz w:val="24"/>
                <w:lang w:eastAsia="zh-CN" w:bidi="ar"/>
              </w:rPr>
            </w:pPr>
            <w:r>
              <w:rPr>
                <w:rFonts w:hint="default" w:ascii="Times New Roman" w:hAnsi="Times New Roman" w:eastAsia="宋体" w:cs="Times New Roman"/>
                <w:color w:val="auto"/>
                <w:kern w:val="0"/>
                <w:sz w:val="24"/>
                <w:lang w:eastAsia="zh-CN" w:bidi="ar"/>
              </w:rPr>
              <w:t>①土地临时使用过程中发现土地沙化或者沙化程度加重的，应当及时报告当地人民政府。</w:t>
            </w:r>
          </w:p>
          <w:p w14:paraId="46104D60">
            <w:pPr>
              <w:widowControl/>
              <w:spacing w:line="360" w:lineRule="auto"/>
              <w:ind w:firstLine="480" w:firstLineChars="200"/>
              <w:rPr>
                <w:rFonts w:hint="default" w:ascii="Times New Roman" w:hAnsi="Times New Roman" w:eastAsia="宋体" w:cs="Times New Roman"/>
                <w:color w:val="auto"/>
                <w:kern w:val="0"/>
                <w:sz w:val="24"/>
                <w:lang w:eastAsia="zh-CN" w:bidi="ar"/>
              </w:rPr>
            </w:pPr>
            <w:r>
              <w:rPr>
                <w:rFonts w:hint="default" w:ascii="Times New Roman" w:hAnsi="Times New Roman" w:eastAsia="宋体" w:cs="Times New Roman"/>
                <w:color w:val="auto"/>
                <w:kern w:val="0"/>
                <w:sz w:val="24"/>
                <w:lang w:eastAsia="zh-CN" w:bidi="ar"/>
              </w:rPr>
              <w:t>②大力宣传《</w:t>
            </w:r>
            <w:r>
              <w:rPr>
                <w:rFonts w:hint="eastAsia" w:ascii="Times New Roman" w:hAnsi="Times New Roman" w:eastAsia="宋体" w:cs="Times New Roman"/>
                <w:color w:val="auto"/>
                <w:kern w:val="0"/>
                <w:sz w:val="24"/>
                <w:lang w:eastAsia="zh-CN" w:bidi="ar"/>
              </w:rPr>
              <w:t>中华人民共和国防沙治沙法</w:t>
            </w:r>
            <w:r>
              <w:rPr>
                <w:rFonts w:hint="default" w:ascii="Times New Roman" w:hAnsi="Times New Roman" w:eastAsia="宋体" w:cs="Times New Roman"/>
                <w:color w:val="auto"/>
                <w:kern w:val="0"/>
                <w:sz w:val="24"/>
                <w:lang w:eastAsia="zh-CN" w:bidi="ar"/>
              </w:rPr>
              <w:t>》，使施工人员知法、懂法、守法，自觉保护林草植被，自觉履行防治义务。禁止在沙化土地砍挖灌木、药材及其他固沙植物。</w:t>
            </w:r>
          </w:p>
          <w:p w14:paraId="4696E013">
            <w:pPr>
              <w:widowControl/>
              <w:spacing w:line="360" w:lineRule="auto"/>
              <w:ind w:firstLine="480" w:firstLineChars="200"/>
              <w:rPr>
                <w:rFonts w:hint="default" w:ascii="Times New Roman" w:hAnsi="Times New Roman" w:eastAsia="宋体" w:cs="Times New Roman"/>
                <w:color w:val="auto"/>
                <w:kern w:val="0"/>
                <w:sz w:val="24"/>
                <w:lang w:eastAsia="zh-CN" w:bidi="ar"/>
              </w:rPr>
            </w:pPr>
            <w:r>
              <w:rPr>
                <w:rFonts w:hint="default" w:ascii="Times New Roman" w:hAnsi="Times New Roman" w:eastAsia="宋体" w:cs="Times New Roman"/>
                <w:color w:val="auto"/>
                <w:kern w:val="0"/>
                <w:sz w:val="24"/>
                <w:lang w:eastAsia="zh-CN" w:bidi="ar"/>
              </w:rPr>
              <w:t>③施工结束后对占地进行平整，清运现场遗留的污染物，</w:t>
            </w:r>
            <w:r>
              <w:rPr>
                <w:rFonts w:hint="eastAsia" w:ascii="Times New Roman" w:hAnsi="Times New Roman" w:eastAsia="宋体" w:cs="Times New Roman"/>
                <w:color w:val="auto"/>
                <w:kern w:val="0"/>
                <w:sz w:val="24"/>
                <w:lang w:eastAsia="zh-CN" w:bidi="ar"/>
              </w:rPr>
              <w:t>涉及占用天然牧草地的按照林草部门规定给予补偿</w:t>
            </w:r>
            <w:r>
              <w:rPr>
                <w:rFonts w:hint="default" w:ascii="Times New Roman" w:hAnsi="Times New Roman" w:eastAsia="宋体" w:cs="Times New Roman"/>
                <w:color w:val="auto"/>
                <w:kern w:val="0"/>
                <w:sz w:val="24"/>
                <w:lang w:eastAsia="zh-CN" w:bidi="ar"/>
              </w:rPr>
              <w:t>。</w:t>
            </w:r>
          </w:p>
          <w:p w14:paraId="410B63E4">
            <w:pPr>
              <w:widowControl/>
              <w:spacing w:line="360" w:lineRule="auto"/>
              <w:ind w:firstLine="480" w:firstLineChars="200"/>
              <w:rPr>
                <w:rFonts w:hint="default" w:ascii="Times New Roman" w:hAnsi="Times New Roman" w:eastAsia="宋体" w:cs="Times New Roman"/>
                <w:color w:val="auto"/>
                <w:kern w:val="0"/>
                <w:sz w:val="24"/>
                <w:lang w:eastAsia="zh-CN" w:bidi="ar"/>
              </w:rPr>
            </w:pPr>
            <w:r>
              <w:rPr>
                <w:rFonts w:hint="default" w:ascii="Times New Roman" w:hAnsi="Times New Roman" w:eastAsia="宋体" w:cs="Times New Roman"/>
                <w:color w:val="auto"/>
                <w:kern w:val="0"/>
                <w:sz w:val="24"/>
                <w:lang w:eastAsia="zh-CN" w:bidi="ar"/>
              </w:rPr>
              <w:t>④严格控制施工活动范围，严禁乱碾乱轧，避免对项目占地范围外的区域造成扰动。</w:t>
            </w:r>
          </w:p>
          <w:p w14:paraId="2015C4F1">
            <w:pPr>
              <w:widowControl/>
              <w:spacing w:line="360" w:lineRule="auto"/>
              <w:ind w:firstLine="480" w:firstLineChars="200"/>
              <w:rPr>
                <w:rFonts w:hint="default" w:ascii="Times New Roman" w:hAnsi="Times New Roman" w:eastAsia="宋体" w:cs="Times New Roman"/>
                <w:color w:val="auto"/>
                <w:kern w:val="0"/>
                <w:sz w:val="24"/>
                <w:lang w:eastAsia="zh-CN" w:bidi="ar"/>
              </w:rPr>
            </w:pPr>
            <w:r>
              <w:rPr>
                <w:rFonts w:hint="default" w:ascii="Times New Roman" w:hAnsi="Times New Roman" w:eastAsia="宋体" w:cs="Times New Roman"/>
                <w:color w:val="auto"/>
                <w:kern w:val="0"/>
                <w:sz w:val="24"/>
                <w:lang w:eastAsia="zh-CN" w:bidi="ar"/>
              </w:rPr>
              <w:t>⑤优化施工组织，缩短施工时间，开挖的土方应分层开挖、分层堆放、分层回填，避免在风天气作业，以免造成土壤风蚀影响。</w:t>
            </w:r>
          </w:p>
          <w:p w14:paraId="4960AF5D">
            <w:pPr>
              <w:widowControl/>
              <w:spacing w:line="360" w:lineRule="auto"/>
              <w:ind w:firstLine="480" w:firstLineChars="200"/>
              <w:rPr>
                <w:rFonts w:hint="default" w:ascii="Times New Roman" w:hAnsi="Times New Roman" w:eastAsia="宋体" w:cs="Times New Roman"/>
                <w:color w:val="auto"/>
                <w:kern w:val="0"/>
                <w:sz w:val="24"/>
                <w:lang w:eastAsia="zh-CN" w:bidi="ar"/>
              </w:rPr>
            </w:pPr>
            <w:r>
              <w:rPr>
                <w:rFonts w:hint="default" w:ascii="Times New Roman" w:hAnsi="Times New Roman" w:eastAsia="宋体" w:cs="Times New Roman"/>
                <w:color w:val="auto"/>
                <w:kern w:val="0"/>
                <w:sz w:val="24"/>
                <w:lang w:eastAsia="zh-CN" w:bidi="ar"/>
              </w:rPr>
              <w:t>⑥施工结束后对场地进行清理、平整并压实，场站实施场地硬化，避免水土流失影响。</w:t>
            </w:r>
          </w:p>
          <w:p w14:paraId="27EE5E45">
            <w:pPr>
              <w:widowControl/>
              <w:spacing w:line="360" w:lineRule="auto"/>
              <w:ind w:firstLine="480" w:firstLineChars="200"/>
              <w:rPr>
                <w:rFonts w:hint="default" w:ascii="Times New Roman" w:hAnsi="Times New Roman" w:cs="Times New Roman"/>
                <w:b w:val="0"/>
                <w:bCs w:val="0"/>
                <w:color w:val="auto"/>
                <w:kern w:val="2"/>
                <w:sz w:val="24"/>
                <w:szCs w:val="24"/>
                <w:lang w:val="en-US" w:eastAsia="zh-CN" w:bidi="ar-SA"/>
              </w:rPr>
            </w:pPr>
            <w:r>
              <w:rPr>
                <w:rFonts w:hint="default" w:ascii="Times New Roman" w:hAnsi="Times New Roman" w:eastAsia="宋体" w:cs="Times New Roman"/>
                <w:color w:val="auto"/>
                <w:kern w:val="0"/>
                <w:sz w:val="24"/>
                <w:lang w:eastAsia="zh-CN" w:bidi="ar"/>
              </w:rPr>
              <w:t>采取上述措施，项目施工过程对周围生态环境的破坏可降低至可接受水平。</w:t>
            </w:r>
          </w:p>
        </w:tc>
      </w:tr>
      <w:tr w14:paraId="71E88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3" w:type="dxa"/>
            <w:vAlign w:val="center"/>
          </w:tcPr>
          <w:p w14:paraId="334FE2B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0"/>
              <w:rPr>
                <w:color w:val="auto"/>
                <w:spacing w:val="5"/>
                <w:sz w:val="24"/>
                <w:szCs w:val="32"/>
              </w:rPr>
            </w:pPr>
            <w:bookmarkStart w:id="45" w:name="_Toc7568"/>
            <w:bookmarkStart w:id="46" w:name="_Toc19884"/>
            <w:r>
              <w:rPr>
                <w:rFonts w:hint="eastAsia" w:ascii="Times New Roman" w:hAnsi="Times New Roman" w:eastAsia="宋体" w:cs="Times New Roman"/>
                <w:b w:val="0"/>
                <w:bCs w:val="0"/>
                <w:color w:val="auto"/>
                <w:kern w:val="2"/>
                <w:sz w:val="24"/>
                <w:szCs w:val="24"/>
                <w:lang w:val="en-US" w:eastAsia="zh-CN" w:bidi="ar-SA"/>
              </w:rPr>
              <w:t>运营期生态环境保护措施</w:t>
            </w:r>
            <w:bookmarkEnd w:id="45"/>
            <w:bookmarkEnd w:id="46"/>
          </w:p>
        </w:tc>
        <w:tc>
          <w:tcPr>
            <w:tcW w:w="8167" w:type="dxa"/>
          </w:tcPr>
          <w:p w14:paraId="746110A6">
            <w:pPr>
              <w:pStyle w:val="65"/>
              <w:keepNext w:val="0"/>
              <w:keepLines w:val="0"/>
              <w:pageBreakBefore w:val="0"/>
              <w:widowControl w:val="0"/>
              <w:numPr>
                <w:ilvl w:val="0"/>
                <w:numId w:val="50"/>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环境保护措施</w:t>
            </w:r>
          </w:p>
          <w:p w14:paraId="4ECBFCB2">
            <w:pPr>
              <w:pStyle w:val="65"/>
              <w:keepNext w:val="0"/>
              <w:keepLines w:val="0"/>
              <w:pageBreakBefore w:val="0"/>
              <w:widowControl w:val="0"/>
              <w:numPr>
                <w:ilvl w:val="0"/>
                <w:numId w:val="51"/>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加强宣传教育，增强居民的环境保护意识，加强项目工程管理，防火、防虫，禁止砍伐作业范围外沿线树木，禁止破坏植被。</w:t>
            </w:r>
          </w:p>
          <w:p w14:paraId="2E7BF52C">
            <w:pPr>
              <w:pStyle w:val="65"/>
              <w:keepNext w:val="0"/>
              <w:keepLines w:val="0"/>
              <w:pageBreakBefore w:val="0"/>
              <w:widowControl w:val="0"/>
              <w:numPr>
                <w:ilvl w:val="0"/>
                <w:numId w:val="51"/>
              </w:numPr>
              <w:kinsoku/>
              <w:wordWrap/>
              <w:overflowPunct/>
              <w:topLinePunct w:val="0"/>
              <w:autoSpaceDE/>
              <w:autoSpaceDN/>
              <w:bidi w:val="0"/>
              <w:adjustRightInd w:val="0"/>
              <w:snapToGrid w:val="0"/>
              <w:spacing w:line="360" w:lineRule="auto"/>
              <w:ind w:left="0" w:leftChars="0" w:right="0" w:firstLine="480" w:firstLineChars="20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加强对周边区域生态环境实地监控，及时发现不良地质隐患点，采取防治措施以杜绝地质灾害的发生。</w:t>
            </w:r>
          </w:p>
          <w:p w14:paraId="22808FE4">
            <w:pPr>
              <w:pStyle w:val="65"/>
              <w:keepNext w:val="0"/>
              <w:keepLines w:val="0"/>
              <w:pageBreakBefore w:val="0"/>
              <w:widowControl w:val="0"/>
              <w:numPr>
                <w:ilvl w:val="0"/>
                <w:numId w:val="50"/>
              </w:numPr>
              <w:kinsoku/>
              <w:wordWrap/>
              <w:overflowPunct/>
              <w:topLinePunct w:val="0"/>
              <w:autoSpaceDE/>
              <w:autoSpaceDN/>
              <w:bidi w:val="0"/>
              <w:adjustRightInd w:val="0"/>
              <w:snapToGrid w:val="0"/>
              <w:spacing w:line="360" w:lineRule="auto"/>
              <w:ind w:left="425" w:leftChars="0" w:right="0" w:hanging="425" w:firstLineChars="0"/>
              <w:jc w:val="both"/>
              <w:textAlignment w:val="auto"/>
              <w:rPr>
                <w:rFonts w:hint="eastAsia" w:ascii="Times New Roman" w:hAnsi="Times New Roman" w:cs="Times New Roman"/>
                <w:b w:val="0"/>
                <w:bCs w:val="0"/>
                <w:color w:val="auto"/>
                <w:kern w:val="2"/>
                <w:sz w:val="24"/>
                <w:szCs w:val="24"/>
                <w:lang w:val="en-US" w:eastAsia="zh-CN" w:bidi="ar-SA"/>
              </w:rPr>
            </w:pPr>
            <w:r>
              <w:rPr>
                <w:rFonts w:hint="eastAsia" w:ascii="Times New Roman" w:hAnsi="Times New Roman" w:cs="Times New Roman"/>
                <w:b w:val="0"/>
                <w:bCs w:val="0"/>
                <w:color w:val="auto"/>
                <w:kern w:val="2"/>
                <w:sz w:val="24"/>
                <w:szCs w:val="24"/>
                <w:lang w:val="en-US" w:eastAsia="zh-CN" w:bidi="ar-SA"/>
              </w:rPr>
              <w:t>生态保护措施</w:t>
            </w:r>
          </w:p>
          <w:p w14:paraId="5D0769A9">
            <w:pPr>
              <w:pStyle w:val="65"/>
              <w:keepNext w:val="0"/>
              <w:keepLines w:val="0"/>
              <w:pageBreakBefore w:val="0"/>
              <w:widowControl w:val="0"/>
              <w:kinsoku/>
              <w:wordWrap/>
              <w:overflowPunct/>
              <w:topLinePunct w:val="0"/>
              <w:autoSpaceDE/>
              <w:autoSpaceDN/>
              <w:bidi w:val="0"/>
              <w:adjustRightInd w:val="0"/>
              <w:snapToGrid w:val="0"/>
              <w:spacing w:line="360" w:lineRule="auto"/>
              <w:ind w:left="0" w:right="0" w:firstLine="483"/>
              <w:jc w:val="both"/>
              <w:textAlignment w:val="auto"/>
              <w:rPr>
                <w:color w:val="auto"/>
                <w:spacing w:val="-15"/>
              </w:rPr>
            </w:pPr>
            <w:r>
              <w:rPr>
                <w:rFonts w:hint="eastAsia" w:ascii="Times New Roman" w:hAnsi="Times New Roman" w:cs="Times New Roman"/>
                <w:b w:val="0"/>
                <w:bCs w:val="0"/>
                <w:color w:val="auto"/>
                <w:kern w:val="2"/>
                <w:sz w:val="24"/>
                <w:szCs w:val="24"/>
                <w:lang w:val="en-US" w:eastAsia="zh-CN" w:bidi="ar-SA"/>
              </w:rPr>
              <w:t>工程运行后，各项水土保持措施的实施将有效减少工程区的水土流失，增加项目区的绿地面积和植被覆盖率，工程区的生态环境将有一定的改善和提高。</w:t>
            </w:r>
          </w:p>
        </w:tc>
      </w:tr>
      <w:tr w14:paraId="653A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Align w:val="center"/>
          </w:tcPr>
          <w:p w14:paraId="0BAF223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0"/>
              <w:rPr>
                <w:color w:val="auto"/>
                <w:spacing w:val="4"/>
              </w:rPr>
            </w:pPr>
            <w:bookmarkStart w:id="47" w:name="_Toc3987"/>
            <w:bookmarkStart w:id="48" w:name="_Toc21724"/>
            <w:r>
              <w:rPr>
                <w:rFonts w:hint="eastAsia" w:ascii="Times New Roman" w:hAnsi="Times New Roman" w:eastAsia="宋体" w:cs="Times New Roman"/>
                <w:b w:val="0"/>
                <w:bCs w:val="0"/>
                <w:color w:val="auto"/>
                <w:kern w:val="2"/>
                <w:sz w:val="24"/>
                <w:szCs w:val="24"/>
                <w:lang w:val="en-US" w:eastAsia="zh-CN" w:bidi="ar-SA"/>
              </w:rPr>
              <w:t>其他</w:t>
            </w:r>
            <w:bookmarkEnd w:id="47"/>
            <w:bookmarkEnd w:id="48"/>
          </w:p>
        </w:tc>
        <w:tc>
          <w:tcPr>
            <w:tcW w:w="8167" w:type="dxa"/>
          </w:tcPr>
          <w:p w14:paraId="5F9E9894">
            <w:pPr>
              <w:pStyle w:val="65"/>
              <w:keepNext w:val="0"/>
              <w:keepLines w:val="0"/>
              <w:pageBreakBefore w:val="0"/>
              <w:widowControl w:val="0"/>
              <w:numPr>
                <w:ilvl w:val="0"/>
                <w:numId w:val="52"/>
              </w:numPr>
              <w:kinsoku/>
              <w:wordWrap/>
              <w:overflowPunct/>
              <w:topLinePunct w:val="0"/>
              <w:autoSpaceDE/>
              <w:autoSpaceDN/>
              <w:bidi w:val="0"/>
              <w:adjustRightInd w:val="0"/>
              <w:snapToGrid w:val="0"/>
              <w:spacing w:line="360" w:lineRule="auto"/>
              <w:ind w:left="425" w:leftChars="0" w:right="0" w:hanging="425" w:firstLineChars="0"/>
              <w:textAlignment w:val="auto"/>
              <w:rPr>
                <w:b/>
                <w:bCs/>
                <w:color w:val="auto"/>
                <w:sz w:val="24"/>
                <w:szCs w:val="24"/>
              </w:rPr>
            </w:pPr>
            <w:r>
              <w:rPr>
                <w:b/>
                <w:bCs/>
                <w:color w:val="auto"/>
                <w:spacing w:val="-3"/>
                <w:sz w:val="24"/>
                <w:szCs w:val="24"/>
              </w:rPr>
              <w:t>环境管理</w:t>
            </w:r>
          </w:p>
          <w:p w14:paraId="4B2EE7DA">
            <w:pPr>
              <w:pStyle w:val="65"/>
              <w:keepNext w:val="0"/>
              <w:keepLines w:val="0"/>
              <w:pageBreakBefore w:val="0"/>
              <w:widowControl w:val="0"/>
              <w:numPr>
                <w:ilvl w:val="0"/>
                <w:numId w:val="53"/>
              </w:numPr>
              <w:kinsoku/>
              <w:wordWrap/>
              <w:overflowPunct/>
              <w:topLinePunct w:val="0"/>
              <w:autoSpaceDE/>
              <w:autoSpaceDN/>
              <w:bidi w:val="0"/>
              <w:adjustRightInd w:val="0"/>
              <w:snapToGrid w:val="0"/>
              <w:spacing w:line="360" w:lineRule="auto"/>
              <w:ind w:left="0" w:leftChars="0" w:right="0" w:rightChars="0" w:firstLine="567" w:firstLineChars="0"/>
              <w:jc w:val="both"/>
              <w:textAlignment w:val="auto"/>
              <w:rPr>
                <w:rFonts w:ascii="Times New Roman" w:hAnsi="Times New Roman" w:eastAsia="Times New Roman" w:cs="Times New Roman"/>
                <w:color w:val="auto"/>
                <w:spacing w:val="5"/>
                <w:kern w:val="2"/>
                <w:sz w:val="24"/>
                <w:szCs w:val="24"/>
                <w:lang w:val="en-US" w:eastAsia="en-US" w:bidi="ar-SA"/>
              </w:rPr>
            </w:pPr>
            <w:r>
              <w:rPr>
                <w:rFonts w:ascii="Times New Roman" w:hAnsi="Times New Roman" w:eastAsia="Times New Roman" w:cs="Times New Roman"/>
                <w:color w:val="auto"/>
                <w:spacing w:val="5"/>
                <w:kern w:val="2"/>
                <w:sz w:val="24"/>
                <w:szCs w:val="24"/>
                <w:lang w:val="en-US" w:eastAsia="en-US" w:bidi="ar-SA"/>
              </w:rPr>
              <w:t>在该工程施工方案中应有环境保护的条款，施工方应严格执行设计和环境影响评价中提出的影响防治措施</w:t>
            </w:r>
            <w:r>
              <w:rPr>
                <w:rFonts w:hint="eastAsia" w:ascii="Times New Roman" w:hAnsi="Times New Roman" w:eastAsia="宋体" w:cs="Times New Roman"/>
                <w:color w:val="auto"/>
                <w:spacing w:val="5"/>
                <w:kern w:val="2"/>
                <w:sz w:val="24"/>
                <w:szCs w:val="24"/>
                <w:lang w:val="en-US" w:eastAsia="zh-CN" w:bidi="ar-SA"/>
              </w:rPr>
              <w:t>。</w:t>
            </w:r>
          </w:p>
          <w:p w14:paraId="039B3511">
            <w:pPr>
              <w:pStyle w:val="65"/>
              <w:keepNext w:val="0"/>
              <w:keepLines w:val="0"/>
              <w:pageBreakBefore w:val="0"/>
              <w:widowControl w:val="0"/>
              <w:numPr>
                <w:ilvl w:val="0"/>
                <w:numId w:val="53"/>
              </w:numPr>
              <w:kinsoku/>
              <w:wordWrap/>
              <w:overflowPunct/>
              <w:topLinePunct w:val="0"/>
              <w:autoSpaceDE/>
              <w:autoSpaceDN/>
              <w:bidi w:val="0"/>
              <w:adjustRightInd w:val="0"/>
              <w:snapToGrid w:val="0"/>
              <w:spacing w:line="360" w:lineRule="auto"/>
              <w:ind w:left="0" w:leftChars="0" w:right="0" w:rightChars="0" w:firstLine="567" w:firstLineChars="0"/>
              <w:jc w:val="both"/>
              <w:textAlignment w:val="auto"/>
              <w:rPr>
                <w:rFonts w:ascii="Times New Roman" w:hAnsi="Times New Roman" w:eastAsia="Times New Roman" w:cs="Times New Roman"/>
                <w:color w:val="auto"/>
                <w:spacing w:val="5"/>
                <w:kern w:val="2"/>
                <w:sz w:val="24"/>
                <w:szCs w:val="24"/>
                <w:lang w:val="en-US" w:eastAsia="en-US" w:bidi="ar-SA"/>
              </w:rPr>
            </w:pPr>
            <w:r>
              <w:rPr>
                <w:rFonts w:ascii="Times New Roman" w:hAnsi="Times New Roman" w:eastAsia="Times New Roman" w:cs="Times New Roman"/>
                <w:color w:val="auto"/>
                <w:spacing w:val="5"/>
                <w:kern w:val="2"/>
                <w:sz w:val="24"/>
                <w:szCs w:val="24"/>
                <w:lang w:val="en-US" w:eastAsia="en-US" w:bidi="ar-SA"/>
              </w:rPr>
              <w:t>认真贯彻国家和地方有关环境保护的方针、政策、法规、条例，接受上级部门的工作指导、管理和各级环保机构的监督；执行环保法规，落实环境影响评价、设计与环保工作计划中的每一项环保措施</w:t>
            </w:r>
            <w:r>
              <w:rPr>
                <w:rFonts w:hint="eastAsia" w:ascii="Times New Roman" w:hAnsi="Times New Roman" w:eastAsia="宋体" w:cs="Times New Roman"/>
                <w:color w:val="auto"/>
                <w:spacing w:val="5"/>
                <w:kern w:val="2"/>
                <w:sz w:val="24"/>
                <w:szCs w:val="24"/>
                <w:lang w:val="en-US" w:eastAsia="zh-CN" w:bidi="ar-SA"/>
              </w:rPr>
              <w:t>。</w:t>
            </w:r>
          </w:p>
          <w:p w14:paraId="63CA1D2C">
            <w:pPr>
              <w:pStyle w:val="65"/>
              <w:keepNext w:val="0"/>
              <w:keepLines w:val="0"/>
              <w:pageBreakBefore w:val="0"/>
              <w:widowControl w:val="0"/>
              <w:numPr>
                <w:ilvl w:val="0"/>
                <w:numId w:val="53"/>
              </w:numPr>
              <w:kinsoku/>
              <w:wordWrap/>
              <w:overflowPunct/>
              <w:topLinePunct w:val="0"/>
              <w:autoSpaceDE/>
              <w:autoSpaceDN/>
              <w:bidi w:val="0"/>
              <w:adjustRightInd w:val="0"/>
              <w:snapToGrid w:val="0"/>
              <w:spacing w:line="360" w:lineRule="auto"/>
              <w:ind w:left="0" w:leftChars="0" w:right="0" w:rightChars="0" w:firstLine="567" w:firstLineChars="0"/>
              <w:jc w:val="both"/>
              <w:textAlignment w:val="auto"/>
              <w:rPr>
                <w:rFonts w:ascii="Times New Roman" w:hAnsi="Times New Roman" w:eastAsia="Times New Roman" w:cs="Times New Roman"/>
                <w:color w:val="auto"/>
                <w:spacing w:val="5"/>
                <w:kern w:val="2"/>
                <w:sz w:val="24"/>
                <w:szCs w:val="24"/>
                <w:lang w:val="en-US" w:eastAsia="en-US" w:bidi="ar-SA"/>
              </w:rPr>
            </w:pPr>
            <w:r>
              <w:rPr>
                <w:rFonts w:ascii="Times New Roman" w:hAnsi="Times New Roman" w:eastAsia="Times New Roman" w:cs="Times New Roman"/>
                <w:color w:val="auto"/>
                <w:spacing w:val="5"/>
                <w:kern w:val="2"/>
                <w:sz w:val="24"/>
                <w:szCs w:val="24"/>
                <w:lang w:val="en-US" w:eastAsia="en-US" w:bidi="ar-SA"/>
              </w:rPr>
              <w:t>加强施工单位人员的环保教育，按照环保要求文明施工、规范作业</w:t>
            </w:r>
            <w:r>
              <w:rPr>
                <w:rFonts w:hint="eastAsia" w:ascii="Times New Roman" w:hAnsi="Times New Roman" w:eastAsia="宋体" w:cs="Times New Roman"/>
                <w:color w:val="auto"/>
                <w:spacing w:val="5"/>
                <w:kern w:val="2"/>
                <w:sz w:val="24"/>
                <w:szCs w:val="24"/>
                <w:lang w:val="en-US" w:eastAsia="zh-CN" w:bidi="ar-SA"/>
              </w:rPr>
              <w:t>。</w:t>
            </w:r>
          </w:p>
          <w:p w14:paraId="2A1FFC88">
            <w:pPr>
              <w:pStyle w:val="65"/>
              <w:keepNext w:val="0"/>
              <w:keepLines w:val="0"/>
              <w:pageBreakBefore w:val="0"/>
              <w:widowControl w:val="0"/>
              <w:numPr>
                <w:ilvl w:val="0"/>
                <w:numId w:val="53"/>
              </w:numPr>
              <w:kinsoku/>
              <w:wordWrap/>
              <w:overflowPunct/>
              <w:topLinePunct w:val="0"/>
              <w:autoSpaceDE/>
              <w:autoSpaceDN/>
              <w:bidi w:val="0"/>
              <w:adjustRightInd w:val="0"/>
              <w:snapToGrid w:val="0"/>
              <w:spacing w:line="360" w:lineRule="auto"/>
              <w:ind w:left="0" w:leftChars="0" w:right="0" w:rightChars="0" w:firstLine="567" w:firstLineChars="0"/>
              <w:jc w:val="both"/>
              <w:textAlignment w:val="auto"/>
              <w:rPr>
                <w:rFonts w:ascii="Times New Roman" w:hAnsi="Times New Roman" w:eastAsia="Times New Roman" w:cs="Times New Roman"/>
                <w:color w:val="auto"/>
                <w:spacing w:val="5"/>
                <w:kern w:val="2"/>
                <w:sz w:val="24"/>
                <w:szCs w:val="24"/>
                <w:lang w:val="en-US" w:eastAsia="en-US" w:bidi="ar-SA"/>
              </w:rPr>
            </w:pPr>
            <w:r>
              <w:rPr>
                <w:rFonts w:ascii="Times New Roman" w:hAnsi="Times New Roman" w:eastAsia="Times New Roman" w:cs="Times New Roman"/>
                <w:color w:val="auto"/>
                <w:spacing w:val="5"/>
                <w:kern w:val="2"/>
                <w:sz w:val="24"/>
                <w:szCs w:val="24"/>
                <w:lang w:val="en-US" w:eastAsia="en-US" w:bidi="ar-SA"/>
              </w:rPr>
              <w:t>环境管理机构人员应对施工活动进行全过程环境监督，以保证施工期环境保护措施的全面落实。</w:t>
            </w:r>
          </w:p>
          <w:p w14:paraId="3B327F4F">
            <w:pPr>
              <w:pStyle w:val="65"/>
              <w:keepNext w:val="0"/>
              <w:keepLines w:val="0"/>
              <w:pageBreakBefore w:val="0"/>
              <w:widowControl w:val="0"/>
              <w:numPr>
                <w:ilvl w:val="0"/>
                <w:numId w:val="52"/>
              </w:numPr>
              <w:kinsoku/>
              <w:wordWrap/>
              <w:overflowPunct/>
              <w:topLinePunct w:val="0"/>
              <w:autoSpaceDE/>
              <w:autoSpaceDN/>
              <w:bidi w:val="0"/>
              <w:adjustRightInd w:val="0"/>
              <w:snapToGrid w:val="0"/>
              <w:spacing w:line="360" w:lineRule="auto"/>
              <w:ind w:left="425" w:leftChars="0" w:right="0" w:hanging="425" w:firstLineChars="0"/>
              <w:textAlignment w:val="auto"/>
              <w:rPr>
                <w:b/>
                <w:bCs/>
                <w:color w:val="auto"/>
                <w:spacing w:val="-3"/>
                <w:sz w:val="24"/>
                <w:szCs w:val="24"/>
              </w:rPr>
            </w:pPr>
            <w:r>
              <w:rPr>
                <w:b/>
                <w:bCs/>
                <w:color w:val="auto"/>
                <w:spacing w:val="-3"/>
                <w:sz w:val="24"/>
                <w:szCs w:val="24"/>
              </w:rPr>
              <w:t>监测计划</w:t>
            </w:r>
          </w:p>
          <w:p w14:paraId="5794BE92">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auto"/>
              <w:outlineLvl w:val="0"/>
              <w:rPr>
                <w:color w:val="auto"/>
                <w:spacing w:val="-3"/>
                <w:sz w:val="24"/>
                <w:szCs w:val="24"/>
              </w:rPr>
            </w:pPr>
            <w:bookmarkStart w:id="49" w:name="_Toc8059"/>
            <w:bookmarkStart w:id="50" w:name="_Toc18313"/>
            <w:r>
              <w:rPr>
                <w:color w:val="auto"/>
                <w:sz w:val="24"/>
                <w:szCs w:val="24"/>
              </w:rPr>
              <w:t>本项目施工期间可能产生的环境问题主要是施工机械产生的噪声，</w:t>
            </w:r>
            <w:r>
              <w:rPr>
                <w:color w:val="auto"/>
                <w:spacing w:val="-6"/>
                <w:sz w:val="24"/>
                <w:szCs w:val="24"/>
              </w:rPr>
              <w:t>施工场地产生的扬尘，施工对周围生态环境产生的影响，因此确定大气、</w:t>
            </w:r>
            <w:r>
              <w:rPr>
                <w:color w:val="auto"/>
                <w:spacing w:val="-1"/>
                <w:sz w:val="24"/>
                <w:szCs w:val="24"/>
              </w:rPr>
              <w:t>噪声为监测对象。项目建成后对项目区生态环境进行监测，本项目监测</w:t>
            </w:r>
            <w:r>
              <w:rPr>
                <w:color w:val="auto"/>
                <w:spacing w:val="-3"/>
                <w:sz w:val="24"/>
                <w:szCs w:val="24"/>
              </w:rPr>
              <w:t>计划见表</w:t>
            </w:r>
            <w:r>
              <w:rPr>
                <w:rFonts w:hint="eastAsia"/>
                <w:color w:val="auto"/>
                <w:spacing w:val="-3"/>
                <w:sz w:val="24"/>
                <w:szCs w:val="24"/>
                <w:lang w:val="en-US" w:eastAsia="zh-CN"/>
              </w:rPr>
              <w:t>5-1</w:t>
            </w:r>
            <w:r>
              <w:rPr>
                <w:color w:val="auto"/>
                <w:spacing w:val="-3"/>
                <w:sz w:val="24"/>
                <w:szCs w:val="24"/>
              </w:rPr>
              <w:t>。</w:t>
            </w:r>
            <w:bookmarkEnd w:id="49"/>
            <w:bookmarkEnd w:id="50"/>
          </w:p>
          <w:p w14:paraId="32B7D78B">
            <w:pPr>
              <w:pStyle w:val="65"/>
              <w:numPr>
                <w:ilvl w:val="0"/>
                <w:numId w:val="54"/>
              </w:numPr>
              <w:spacing w:before="27" w:line="228" w:lineRule="auto"/>
              <w:ind w:left="0" w:leftChars="0" w:firstLine="0" w:firstLineChars="0"/>
              <w:jc w:val="center"/>
              <w:rPr>
                <w:color w:val="auto"/>
                <w:sz w:val="24"/>
                <w:szCs w:val="24"/>
              </w:rPr>
            </w:pPr>
            <w:r>
              <w:rPr>
                <w:b/>
                <w:bCs/>
                <w:color w:val="auto"/>
                <w:spacing w:val="4"/>
                <w:sz w:val="24"/>
                <w:szCs w:val="24"/>
              </w:rPr>
              <w:t>监测一览表</w:t>
            </w:r>
          </w:p>
          <w:tbl>
            <w:tblPr>
              <w:tblStyle w:val="54"/>
              <w:tblW w:w="78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75"/>
              <w:gridCol w:w="1308"/>
              <w:gridCol w:w="1147"/>
              <w:gridCol w:w="1658"/>
              <w:gridCol w:w="2711"/>
            </w:tblGrid>
            <w:tr w14:paraId="0DAAE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75" w:type="dxa"/>
                  <w:vAlign w:val="center"/>
                </w:tcPr>
                <w:p w14:paraId="2006ECE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16"/>
                      <w:sz w:val="21"/>
                      <w:szCs w:val="21"/>
                    </w:rPr>
                    <w:t>环境要素</w:t>
                  </w:r>
                </w:p>
              </w:tc>
              <w:tc>
                <w:tcPr>
                  <w:tcW w:w="1308" w:type="dxa"/>
                  <w:vAlign w:val="center"/>
                </w:tcPr>
                <w:p w14:paraId="5ECD586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16"/>
                      <w:sz w:val="21"/>
                      <w:szCs w:val="21"/>
                    </w:rPr>
                    <w:t>监测点位</w:t>
                  </w:r>
                </w:p>
              </w:tc>
              <w:tc>
                <w:tcPr>
                  <w:tcW w:w="1147" w:type="dxa"/>
                  <w:vAlign w:val="center"/>
                </w:tcPr>
                <w:p w14:paraId="1773197B">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16"/>
                      <w:sz w:val="21"/>
                      <w:szCs w:val="21"/>
                    </w:rPr>
                    <w:t>监测因子</w:t>
                  </w:r>
                </w:p>
              </w:tc>
              <w:tc>
                <w:tcPr>
                  <w:tcW w:w="1658" w:type="dxa"/>
                  <w:vAlign w:val="center"/>
                </w:tcPr>
                <w:p w14:paraId="0EC3E0C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16"/>
                      <w:sz w:val="21"/>
                      <w:szCs w:val="21"/>
                    </w:rPr>
                    <w:t>监测频次</w:t>
                  </w:r>
                </w:p>
              </w:tc>
              <w:tc>
                <w:tcPr>
                  <w:tcW w:w="2711" w:type="dxa"/>
                  <w:vAlign w:val="center"/>
                </w:tcPr>
                <w:p w14:paraId="12B0212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b/>
                      <w:bCs/>
                      <w:color w:val="auto"/>
                      <w:spacing w:val="20"/>
                      <w:sz w:val="21"/>
                      <w:szCs w:val="21"/>
                    </w:rPr>
                    <w:t>执行标准</w:t>
                  </w:r>
                </w:p>
              </w:tc>
            </w:tr>
            <w:tr w14:paraId="6DC64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jc w:val="center"/>
              </w:trPr>
              <w:tc>
                <w:tcPr>
                  <w:tcW w:w="1075" w:type="dxa"/>
                  <w:vAlign w:val="center"/>
                </w:tcPr>
                <w:p w14:paraId="6C259EB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7"/>
                      <w:sz w:val="21"/>
                      <w:szCs w:val="21"/>
                    </w:rPr>
                    <w:t>大气</w:t>
                  </w:r>
                </w:p>
              </w:tc>
              <w:tc>
                <w:tcPr>
                  <w:tcW w:w="1308" w:type="dxa"/>
                  <w:vAlign w:val="center"/>
                </w:tcPr>
                <w:p w14:paraId="0964837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eastAsia="宋体"/>
                      <w:color w:val="auto"/>
                      <w:sz w:val="21"/>
                      <w:szCs w:val="21"/>
                      <w:lang w:val="en-US" w:eastAsia="zh-CN"/>
                    </w:rPr>
                  </w:pPr>
                  <w:r>
                    <w:rPr>
                      <w:rFonts w:hint="eastAsia" w:ascii="Times New Roman" w:hAnsi="Times New Roman" w:cs="Times New Roman"/>
                      <w:b w:val="0"/>
                      <w:bCs w:val="0"/>
                      <w:color w:val="auto"/>
                      <w:kern w:val="2"/>
                      <w:sz w:val="21"/>
                      <w:szCs w:val="21"/>
                      <w:lang w:val="en-US" w:eastAsia="zh-CN" w:bidi="ar-SA"/>
                    </w:rPr>
                    <w:t>临时堆土区，临时道路，施工生产区厂界</w:t>
                  </w:r>
                </w:p>
              </w:tc>
              <w:tc>
                <w:tcPr>
                  <w:tcW w:w="1147" w:type="dxa"/>
                  <w:vAlign w:val="center"/>
                </w:tcPr>
                <w:p w14:paraId="1F21ABC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ascii="Times New Roman" w:hAnsi="Times New Roman" w:eastAsia="Times New Roman" w:cs="Times New Roman"/>
                      <w:color w:val="auto"/>
                      <w:sz w:val="21"/>
                      <w:szCs w:val="21"/>
                    </w:rPr>
                    <w:t>TSP</w:t>
                  </w:r>
                </w:p>
              </w:tc>
              <w:tc>
                <w:tcPr>
                  <w:tcW w:w="1658" w:type="dxa"/>
                  <w:vAlign w:val="center"/>
                </w:tcPr>
                <w:p w14:paraId="2D672A6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hanging="78"/>
                    <w:jc w:val="center"/>
                    <w:textAlignment w:val="auto"/>
                    <w:rPr>
                      <w:rFonts w:ascii="Times New Roman" w:hAnsi="Times New Roman" w:eastAsia="Times New Roman" w:cs="Times New Roman"/>
                      <w:color w:val="auto"/>
                      <w:sz w:val="21"/>
                      <w:szCs w:val="21"/>
                    </w:rPr>
                  </w:pPr>
                  <w:r>
                    <w:rPr>
                      <w:rFonts w:hint="eastAsia" w:ascii="Times New Roman" w:hAnsi="Times New Roman" w:eastAsia="Times New Roman" w:cs="Times New Roman"/>
                      <w:color w:val="auto"/>
                      <w:sz w:val="21"/>
                      <w:szCs w:val="21"/>
                      <w:lang w:val="en-US" w:eastAsia="zh-CN"/>
                    </w:rPr>
                    <w:t>11</w:t>
                  </w:r>
                  <w:r>
                    <w:rPr>
                      <w:rFonts w:hint="eastAsia" w:ascii="Times New Roman" w:hAnsi="Times New Roman" w:eastAsia="Times New Roman" w:cs="Times New Roman"/>
                      <w:color w:val="auto"/>
                      <w:sz w:val="21"/>
                      <w:szCs w:val="21"/>
                    </w:rPr>
                    <w:t>次/月，每次2天</w:t>
                  </w:r>
                  <w:r>
                    <w:rPr>
                      <w:rFonts w:hint="eastAsia" w:ascii="Times New Roman" w:hAnsi="Times New Roman" w:eastAsia="宋体" w:cs="Times New Roman"/>
                      <w:color w:val="auto"/>
                      <w:sz w:val="21"/>
                      <w:szCs w:val="21"/>
                      <w:lang w:eastAsia="zh-CN"/>
                    </w:rPr>
                    <w:t>，</w:t>
                  </w:r>
                  <w:r>
                    <w:rPr>
                      <w:rFonts w:hint="eastAsia" w:ascii="Times New Roman" w:hAnsi="Times New Roman" w:eastAsia="Times New Roman" w:cs="Times New Roman"/>
                      <w:color w:val="auto"/>
                      <w:sz w:val="21"/>
                      <w:szCs w:val="21"/>
                    </w:rPr>
                    <w:t>大风、重污染天气加密至每日1次</w:t>
                  </w:r>
                </w:p>
              </w:tc>
              <w:tc>
                <w:tcPr>
                  <w:tcW w:w="2711" w:type="dxa"/>
                  <w:vAlign w:val="center"/>
                </w:tcPr>
                <w:p w14:paraId="00EEC59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ascii="Times New Roman" w:hAnsi="Times New Roman" w:eastAsia="Times New Roman" w:cs="Times New Roman"/>
                      <w:color w:val="auto"/>
                      <w:sz w:val="21"/>
                      <w:szCs w:val="21"/>
                    </w:rPr>
                  </w:pPr>
                  <w:r>
                    <w:rPr>
                      <w:color w:val="auto"/>
                      <w:spacing w:val="23"/>
                      <w:sz w:val="21"/>
                      <w:szCs w:val="21"/>
                    </w:rPr>
                    <w:t>《大气污染物综合排放标</w:t>
                  </w:r>
                  <w:r>
                    <w:rPr>
                      <w:color w:val="auto"/>
                      <w:spacing w:val="6"/>
                      <w:sz w:val="21"/>
                      <w:szCs w:val="21"/>
                    </w:rPr>
                    <w:t>准》</w:t>
                  </w:r>
                  <w:r>
                    <w:rPr>
                      <w:rFonts w:hint="eastAsia"/>
                      <w:color w:val="auto"/>
                      <w:spacing w:val="6"/>
                      <w:sz w:val="21"/>
                      <w:szCs w:val="21"/>
                      <w:lang w:eastAsia="zh-CN"/>
                    </w:rPr>
                    <w:t>（</w:t>
                  </w:r>
                  <w:r>
                    <w:rPr>
                      <w:rFonts w:ascii="Times New Roman" w:hAnsi="Times New Roman" w:eastAsia="Times New Roman" w:cs="Times New Roman"/>
                      <w:color w:val="auto"/>
                      <w:sz w:val="21"/>
                      <w:szCs w:val="21"/>
                    </w:rPr>
                    <w:t>GB</w:t>
                  </w:r>
                  <w:r>
                    <w:rPr>
                      <w:rFonts w:ascii="Times New Roman" w:hAnsi="Times New Roman" w:eastAsia="Times New Roman" w:cs="Times New Roman"/>
                      <w:color w:val="auto"/>
                      <w:spacing w:val="6"/>
                      <w:sz w:val="21"/>
                      <w:szCs w:val="21"/>
                    </w:rPr>
                    <w:t>16297-1996</w:t>
                  </w:r>
                  <w:r>
                    <w:rPr>
                      <w:rFonts w:hint="eastAsia"/>
                      <w:color w:val="auto"/>
                      <w:spacing w:val="6"/>
                      <w:sz w:val="21"/>
                      <w:szCs w:val="21"/>
                      <w:lang w:eastAsia="zh-CN"/>
                    </w:rPr>
                    <w:t>）</w:t>
                  </w:r>
                </w:p>
              </w:tc>
            </w:tr>
            <w:tr w14:paraId="24C38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jc w:val="center"/>
              </w:trPr>
              <w:tc>
                <w:tcPr>
                  <w:tcW w:w="1075" w:type="dxa"/>
                  <w:vMerge w:val="restart"/>
                  <w:tcBorders>
                    <w:bottom w:val="nil"/>
                  </w:tcBorders>
                  <w:vAlign w:val="center"/>
                </w:tcPr>
                <w:p w14:paraId="5479F54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1"/>
                      <w:sz w:val="21"/>
                      <w:szCs w:val="21"/>
                    </w:rPr>
                    <w:t>噪声</w:t>
                  </w:r>
                </w:p>
              </w:tc>
              <w:tc>
                <w:tcPr>
                  <w:tcW w:w="1308" w:type="dxa"/>
                  <w:vAlign w:val="center"/>
                </w:tcPr>
                <w:p w14:paraId="58E9102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rFonts w:hint="eastAsia" w:ascii="Times New Roman" w:hAnsi="Times New Roman" w:cs="Times New Roman"/>
                      <w:b w:val="0"/>
                      <w:bCs w:val="0"/>
                      <w:color w:val="auto"/>
                      <w:kern w:val="2"/>
                      <w:sz w:val="21"/>
                      <w:szCs w:val="21"/>
                      <w:lang w:val="en-US" w:eastAsia="zh-CN" w:bidi="ar-SA"/>
                    </w:rPr>
                    <w:t>临时堆土区，临时道路，施工生产区厂界</w:t>
                  </w:r>
                </w:p>
              </w:tc>
              <w:tc>
                <w:tcPr>
                  <w:tcW w:w="1147" w:type="dxa"/>
                  <w:vMerge w:val="restart"/>
                  <w:tcBorders>
                    <w:bottom w:val="nil"/>
                  </w:tcBorders>
                  <w:vAlign w:val="center"/>
                </w:tcPr>
                <w:p w14:paraId="4E37DB4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color w:val="auto"/>
                      <w:sz w:val="21"/>
                      <w:szCs w:val="21"/>
                    </w:rPr>
                  </w:pPr>
                  <w:r>
                    <w:rPr>
                      <w:color w:val="auto"/>
                      <w:spacing w:val="17"/>
                      <w:sz w:val="21"/>
                      <w:szCs w:val="21"/>
                    </w:rPr>
                    <w:t>等效连续</w:t>
                  </w:r>
                  <w:r>
                    <w:rPr>
                      <w:rFonts w:ascii="Times New Roman" w:hAnsi="Times New Roman" w:eastAsia="Times New Roman" w:cs="Times New Roman"/>
                      <w:color w:val="auto"/>
                      <w:spacing w:val="5"/>
                      <w:sz w:val="21"/>
                      <w:szCs w:val="21"/>
                    </w:rPr>
                    <w:t>A</w:t>
                  </w:r>
                  <w:r>
                    <w:rPr>
                      <w:color w:val="auto"/>
                      <w:spacing w:val="5"/>
                      <w:sz w:val="21"/>
                      <w:szCs w:val="21"/>
                    </w:rPr>
                    <w:t>声级</w:t>
                  </w:r>
                </w:p>
              </w:tc>
              <w:tc>
                <w:tcPr>
                  <w:tcW w:w="1658" w:type="dxa"/>
                  <w:vMerge w:val="restart"/>
                  <w:tcBorders>
                    <w:bottom w:val="nil"/>
                  </w:tcBorders>
                  <w:vAlign w:val="center"/>
                </w:tcPr>
                <w:p w14:paraId="7B0B867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color w:val="auto"/>
                      <w:sz w:val="21"/>
                      <w:szCs w:val="21"/>
                    </w:rPr>
                  </w:pPr>
                  <w:r>
                    <w:rPr>
                      <w:color w:val="auto"/>
                      <w:spacing w:val="10"/>
                      <w:sz w:val="21"/>
                      <w:szCs w:val="21"/>
                    </w:rPr>
                    <w:t>施工期间，连续</w:t>
                  </w:r>
                  <w:r>
                    <w:rPr>
                      <w:rFonts w:ascii="Times New Roman" w:hAnsi="Times New Roman" w:eastAsia="Times New Roman" w:cs="Times New Roman"/>
                      <w:color w:val="auto"/>
                      <w:spacing w:val="16"/>
                      <w:sz w:val="21"/>
                      <w:szCs w:val="21"/>
                    </w:rPr>
                    <w:t>20</w:t>
                  </w:r>
                  <w:r>
                    <w:rPr>
                      <w:rFonts w:ascii="Times New Roman" w:hAnsi="Times New Roman" w:eastAsia="Times New Roman" w:cs="Times New Roman"/>
                      <w:color w:val="auto"/>
                      <w:sz w:val="21"/>
                      <w:szCs w:val="21"/>
                    </w:rPr>
                    <w:t>min</w:t>
                  </w:r>
                  <w:r>
                    <w:rPr>
                      <w:color w:val="auto"/>
                      <w:spacing w:val="16"/>
                      <w:sz w:val="21"/>
                      <w:szCs w:val="21"/>
                    </w:rPr>
                    <w:t>等效声级</w:t>
                  </w:r>
                </w:p>
              </w:tc>
              <w:tc>
                <w:tcPr>
                  <w:tcW w:w="2711" w:type="dxa"/>
                  <w:vAlign w:val="center"/>
                </w:tcPr>
                <w:p w14:paraId="13DC169E">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rFonts w:ascii="Times New Roman" w:hAnsi="Times New Roman" w:eastAsia="Times New Roman" w:cs="Times New Roman"/>
                      <w:color w:val="auto"/>
                      <w:spacing w:val="-2"/>
                      <w:sz w:val="21"/>
                      <w:szCs w:val="21"/>
                    </w:rPr>
                    <w:t>《</w:t>
                  </w:r>
                  <w:r>
                    <w:rPr>
                      <w:rFonts w:hint="eastAsia" w:ascii="Times New Roman" w:hAnsi="Times New Roman" w:eastAsia="Times New Roman" w:cs="Times New Roman"/>
                      <w:color w:val="auto"/>
                      <w:spacing w:val="-2"/>
                      <w:sz w:val="21"/>
                      <w:szCs w:val="21"/>
                    </w:rPr>
                    <w:t>建筑施工噪声排放标准</w:t>
                  </w:r>
                  <w:r>
                    <w:rPr>
                      <w:rFonts w:ascii="Times New Roman" w:hAnsi="Times New Roman" w:eastAsia="Times New Roman" w:cs="Times New Roman"/>
                      <w:color w:val="auto"/>
                      <w:spacing w:val="-2"/>
                      <w:sz w:val="21"/>
                      <w:szCs w:val="21"/>
                    </w:rPr>
                    <w:t>》（GB12523-20</w:t>
                  </w:r>
                  <w:r>
                    <w:rPr>
                      <w:rFonts w:hint="eastAsia" w:ascii="Times New Roman" w:eastAsia="宋体" w:cs="Times New Roman"/>
                      <w:color w:val="auto"/>
                      <w:spacing w:val="-2"/>
                      <w:sz w:val="21"/>
                      <w:szCs w:val="21"/>
                      <w:lang w:val="en-US" w:eastAsia="zh-CN"/>
                    </w:rPr>
                    <w:t>25</w:t>
                  </w:r>
                  <w:r>
                    <w:rPr>
                      <w:rFonts w:ascii="Times New Roman" w:hAnsi="Times New Roman" w:eastAsia="Times New Roman" w:cs="Times New Roman"/>
                      <w:color w:val="auto"/>
                      <w:spacing w:val="-2"/>
                      <w:sz w:val="21"/>
                      <w:szCs w:val="21"/>
                    </w:rPr>
                    <w:t>）</w:t>
                  </w:r>
                </w:p>
              </w:tc>
            </w:tr>
            <w:tr w14:paraId="3DCBD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 w:hRule="atLeast"/>
                <w:jc w:val="center"/>
              </w:trPr>
              <w:tc>
                <w:tcPr>
                  <w:tcW w:w="1075" w:type="dxa"/>
                  <w:vMerge w:val="continue"/>
                  <w:tcBorders>
                    <w:top w:val="nil"/>
                  </w:tcBorders>
                  <w:vAlign w:val="center"/>
                </w:tcPr>
                <w:p w14:paraId="59AF4F21">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Arial"/>
                      <w:color w:val="auto"/>
                      <w:sz w:val="21"/>
                      <w:szCs w:val="21"/>
                    </w:rPr>
                  </w:pPr>
                </w:p>
              </w:tc>
              <w:tc>
                <w:tcPr>
                  <w:tcW w:w="1308" w:type="dxa"/>
                  <w:vAlign w:val="center"/>
                </w:tcPr>
                <w:p w14:paraId="7F1311B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eastAsia="宋体"/>
                      <w:color w:val="auto"/>
                      <w:sz w:val="21"/>
                      <w:szCs w:val="21"/>
                      <w:lang w:val="en-US" w:eastAsia="zh-CN"/>
                    </w:rPr>
                  </w:pPr>
                  <w:r>
                    <w:rPr>
                      <w:color w:val="auto"/>
                      <w:spacing w:val="19"/>
                      <w:sz w:val="21"/>
                      <w:szCs w:val="21"/>
                    </w:rPr>
                    <w:t>护岸两侧</w:t>
                  </w:r>
                  <w:r>
                    <w:rPr>
                      <w:rFonts w:hint="eastAsia"/>
                      <w:color w:val="auto"/>
                      <w:spacing w:val="16"/>
                      <w:sz w:val="21"/>
                      <w:szCs w:val="21"/>
                      <w:lang w:val="en-US" w:eastAsia="zh-CN"/>
                    </w:rPr>
                    <w:t>声环境保护目标</w:t>
                  </w:r>
                </w:p>
              </w:tc>
              <w:tc>
                <w:tcPr>
                  <w:tcW w:w="1147" w:type="dxa"/>
                  <w:vMerge w:val="continue"/>
                  <w:tcBorders>
                    <w:top w:val="nil"/>
                  </w:tcBorders>
                  <w:vAlign w:val="center"/>
                </w:tcPr>
                <w:p w14:paraId="2F9FE473">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Arial"/>
                      <w:color w:val="auto"/>
                      <w:sz w:val="21"/>
                      <w:szCs w:val="21"/>
                    </w:rPr>
                  </w:pPr>
                </w:p>
              </w:tc>
              <w:tc>
                <w:tcPr>
                  <w:tcW w:w="1658" w:type="dxa"/>
                  <w:vMerge w:val="continue"/>
                  <w:tcBorders>
                    <w:top w:val="nil"/>
                  </w:tcBorders>
                  <w:vAlign w:val="center"/>
                </w:tcPr>
                <w:p w14:paraId="08E7B586">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Arial"/>
                      <w:color w:val="auto"/>
                      <w:sz w:val="21"/>
                      <w:szCs w:val="21"/>
                    </w:rPr>
                  </w:pPr>
                </w:p>
              </w:tc>
              <w:tc>
                <w:tcPr>
                  <w:tcW w:w="2711" w:type="dxa"/>
                  <w:vAlign w:val="center"/>
                </w:tcPr>
                <w:p w14:paraId="6A49F57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7"/>
                      <w:sz w:val="21"/>
                      <w:szCs w:val="21"/>
                    </w:rPr>
                    <w:t>《声环境质量标准》</w:t>
                  </w:r>
                  <w:r>
                    <w:rPr>
                      <w:color w:val="auto"/>
                      <w:spacing w:val="3"/>
                      <w:sz w:val="21"/>
                      <w:szCs w:val="21"/>
                    </w:rPr>
                    <w:t>（</w:t>
                  </w:r>
                  <w:r>
                    <w:rPr>
                      <w:rFonts w:ascii="Times New Roman" w:hAnsi="Times New Roman" w:eastAsia="Times New Roman" w:cs="Times New Roman"/>
                      <w:color w:val="auto"/>
                      <w:sz w:val="21"/>
                      <w:szCs w:val="21"/>
                    </w:rPr>
                    <w:t>GB</w:t>
                  </w:r>
                  <w:r>
                    <w:rPr>
                      <w:rFonts w:ascii="Times New Roman" w:hAnsi="Times New Roman" w:eastAsia="Times New Roman" w:cs="Times New Roman"/>
                      <w:color w:val="auto"/>
                      <w:spacing w:val="3"/>
                      <w:sz w:val="21"/>
                      <w:szCs w:val="21"/>
                    </w:rPr>
                    <w:t>3096-2008</w:t>
                  </w:r>
                  <w:r>
                    <w:rPr>
                      <w:color w:val="auto"/>
                      <w:spacing w:val="3"/>
                      <w:sz w:val="21"/>
                      <w:szCs w:val="21"/>
                    </w:rPr>
                    <w:t>）中</w:t>
                  </w:r>
                  <w:r>
                    <w:rPr>
                      <w:rFonts w:hint="eastAsia" w:ascii="Times New Roman" w:hAnsi="Times New Roman" w:cs="Times New Roman"/>
                      <w:color w:val="auto"/>
                      <w:spacing w:val="3"/>
                      <w:sz w:val="21"/>
                      <w:szCs w:val="21"/>
                      <w:lang w:val="en-US" w:eastAsia="zh-CN"/>
                    </w:rPr>
                    <w:t>1</w:t>
                  </w:r>
                  <w:r>
                    <w:rPr>
                      <w:color w:val="auto"/>
                      <w:spacing w:val="3"/>
                      <w:sz w:val="21"/>
                      <w:szCs w:val="21"/>
                    </w:rPr>
                    <w:t>类标</w:t>
                  </w:r>
                  <w:r>
                    <w:rPr>
                      <w:color w:val="auto"/>
                      <w:sz w:val="21"/>
                      <w:szCs w:val="21"/>
                    </w:rPr>
                    <w:t>准</w:t>
                  </w:r>
                </w:p>
              </w:tc>
            </w:tr>
            <w:tr w14:paraId="12FB8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 w:hRule="atLeast"/>
                <w:jc w:val="center"/>
              </w:trPr>
              <w:tc>
                <w:tcPr>
                  <w:tcW w:w="1075" w:type="dxa"/>
                  <w:tcBorders>
                    <w:top w:val="nil"/>
                  </w:tcBorders>
                  <w:vAlign w:val="center"/>
                </w:tcPr>
                <w:p w14:paraId="503CB76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地表水</w:t>
                  </w:r>
                </w:p>
              </w:tc>
              <w:tc>
                <w:tcPr>
                  <w:tcW w:w="1308" w:type="dxa"/>
                  <w:vAlign w:val="center"/>
                </w:tcPr>
                <w:p w14:paraId="346DC5C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河道</w:t>
                  </w:r>
                </w:p>
              </w:tc>
              <w:tc>
                <w:tcPr>
                  <w:tcW w:w="1147" w:type="dxa"/>
                  <w:tcBorders>
                    <w:top w:val="nil"/>
                  </w:tcBorders>
                  <w:vAlign w:val="center"/>
                </w:tcPr>
                <w:p w14:paraId="59F8C30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pH值、溶解氧、高锰酸盐指数、化学需氧量、五日生化需氧量、氨氮、总磷</w:t>
                  </w:r>
                </w:p>
              </w:tc>
              <w:tc>
                <w:tcPr>
                  <w:tcW w:w="1658" w:type="dxa"/>
                  <w:tcBorders>
                    <w:top w:val="nil"/>
                  </w:tcBorders>
                  <w:vAlign w:val="center"/>
                </w:tcPr>
                <w:p w14:paraId="48143C5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1次/月</w:t>
                  </w:r>
                </w:p>
              </w:tc>
              <w:tc>
                <w:tcPr>
                  <w:tcW w:w="2711" w:type="dxa"/>
                  <w:vAlign w:val="center"/>
                </w:tcPr>
                <w:p w14:paraId="48C2D99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《地表水环境质量标准》（</w:t>
                  </w:r>
                  <w:r>
                    <w:rPr>
                      <w:rFonts w:hint="default" w:ascii="Times New Roman" w:hAnsi="Times New Roman" w:eastAsia="宋体" w:cs="Times New Roman"/>
                      <w:b w:val="0"/>
                      <w:bCs w:val="0"/>
                      <w:color w:val="auto"/>
                      <w:spacing w:val="6"/>
                      <w:kern w:val="0"/>
                      <w:sz w:val="21"/>
                      <w:szCs w:val="21"/>
                      <w:lang w:val="en-US" w:eastAsia="zh-CN" w:bidi="ar-SA"/>
                    </w:rPr>
                    <w:t>GB3838-2002</w:t>
                  </w:r>
                  <w:r>
                    <w:rPr>
                      <w:rFonts w:hint="eastAsia" w:ascii="Times New Roman" w:hAnsi="Times New Roman" w:eastAsia="宋体" w:cs="Times New Roman"/>
                      <w:b w:val="0"/>
                      <w:bCs w:val="0"/>
                      <w:color w:val="auto"/>
                      <w:spacing w:val="6"/>
                      <w:kern w:val="0"/>
                      <w:sz w:val="21"/>
                      <w:szCs w:val="21"/>
                      <w:lang w:val="en-US" w:eastAsia="zh-CN" w:bidi="ar-SA"/>
                    </w:rPr>
                    <w:t>）</w:t>
                  </w:r>
                  <w:r>
                    <w:rPr>
                      <w:rFonts w:hint="default" w:ascii="Times New Roman" w:hAnsi="Times New Roman" w:eastAsia="宋体" w:cs="Times New Roman"/>
                      <w:b w:val="0"/>
                      <w:bCs w:val="0"/>
                      <w:color w:val="auto"/>
                      <w:spacing w:val="6"/>
                      <w:kern w:val="0"/>
                      <w:sz w:val="21"/>
                      <w:szCs w:val="21"/>
                      <w:lang w:val="en-US" w:eastAsia="zh-CN" w:bidi="ar-SA"/>
                    </w:rPr>
                    <w:t>Ⅲ</w:t>
                  </w:r>
                  <w:r>
                    <w:rPr>
                      <w:rFonts w:hint="eastAsia" w:ascii="Times New Roman" w:hAnsi="Times New Roman" w:eastAsia="宋体" w:cs="Times New Roman"/>
                      <w:b w:val="0"/>
                      <w:bCs w:val="0"/>
                      <w:color w:val="auto"/>
                      <w:spacing w:val="6"/>
                      <w:kern w:val="0"/>
                      <w:sz w:val="21"/>
                      <w:szCs w:val="21"/>
                      <w:lang w:val="en-US" w:eastAsia="zh-CN" w:bidi="ar-SA"/>
                    </w:rPr>
                    <w:t>类标准</w:t>
                  </w:r>
                </w:p>
              </w:tc>
            </w:tr>
            <w:tr w14:paraId="08F63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 w:hRule="atLeast"/>
                <w:jc w:val="center"/>
              </w:trPr>
              <w:tc>
                <w:tcPr>
                  <w:tcW w:w="1075" w:type="dxa"/>
                  <w:tcBorders>
                    <w:top w:val="nil"/>
                  </w:tcBorders>
                  <w:vAlign w:val="center"/>
                </w:tcPr>
                <w:p w14:paraId="6947BA2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施工期废水</w:t>
                  </w:r>
                </w:p>
              </w:tc>
              <w:tc>
                <w:tcPr>
                  <w:tcW w:w="1308" w:type="dxa"/>
                  <w:vAlign w:val="center"/>
                </w:tcPr>
                <w:p w14:paraId="3C6888D8">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化粪池</w:t>
                  </w:r>
                </w:p>
              </w:tc>
              <w:tc>
                <w:tcPr>
                  <w:tcW w:w="1147" w:type="dxa"/>
                  <w:tcBorders>
                    <w:top w:val="nil"/>
                  </w:tcBorders>
                  <w:vAlign w:val="center"/>
                </w:tcPr>
                <w:p w14:paraId="53BADB8A">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pH值、化学需氧量、五日生化需氧量、氨氮、总磷</w:t>
                  </w:r>
                </w:p>
              </w:tc>
              <w:tc>
                <w:tcPr>
                  <w:tcW w:w="1658" w:type="dxa"/>
                  <w:tcBorders>
                    <w:top w:val="nil"/>
                  </w:tcBorders>
                  <w:vAlign w:val="center"/>
                </w:tcPr>
                <w:p w14:paraId="6113327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1次/月</w:t>
                  </w:r>
                </w:p>
              </w:tc>
              <w:tc>
                <w:tcPr>
                  <w:tcW w:w="2711" w:type="dxa"/>
                  <w:vAlign w:val="center"/>
                </w:tcPr>
                <w:p w14:paraId="388B4330">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《污水综合排放标准》(GB8978-1996)三级标准</w:t>
                  </w:r>
                </w:p>
              </w:tc>
            </w:tr>
            <w:tr w14:paraId="60445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jc w:val="center"/>
              </w:trPr>
              <w:tc>
                <w:tcPr>
                  <w:tcW w:w="1075" w:type="dxa"/>
                  <w:vMerge w:val="restart"/>
                  <w:tcBorders>
                    <w:bottom w:val="nil"/>
                  </w:tcBorders>
                  <w:vAlign w:val="center"/>
                </w:tcPr>
                <w:p w14:paraId="2BFD417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3"/>
                      <w:sz w:val="21"/>
                      <w:szCs w:val="21"/>
                    </w:rPr>
                    <w:t>生态</w:t>
                  </w:r>
                </w:p>
              </w:tc>
              <w:tc>
                <w:tcPr>
                  <w:tcW w:w="1308" w:type="dxa"/>
                  <w:vAlign w:val="center"/>
                </w:tcPr>
                <w:p w14:paraId="720C0E4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color w:val="auto"/>
                      <w:sz w:val="21"/>
                      <w:szCs w:val="21"/>
                    </w:rPr>
                  </w:pPr>
                  <w:r>
                    <w:rPr>
                      <w:color w:val="auto"/>
                      <w:spacing w:val="8"/>
                      <w:sz w:val="21"/>
                      <w:szCs w:val="21"/>
                    </w:rPr>
                    <w:t>施工临时占</w:t>
                  </w:r>
                  <w:r>
                    <w:rPr>
                      <w:color w:val="auto"/>
                      <w:spacing w:val="6"/>
                      <w:sz w:val="21"/>
                      <w:szCs w:val="21"/>
                    </w:rPr>
                    <w:t>地区域</w:t>
                  </w:r>
                </w:p>
              </w:tc>
              <w:tc>
                <w:tcPr>
                  <w:tcW w:w="1147" w:type="dxa"/>
                  <w:vAlign w:val="center"/>
                </w:tcPr>
                <w:p w14:paraId="4327580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8"/>
                      <w:sz w:val="21"/>
                      <w:szCs w:val="21"/>
                    </w:rPr>
                    <w:t>场地恢复及</w:t>
                  </w:r>
                  <w:r>
                    <w:rPr>
                      <w:color w:val="auto"/>
                      <w:spacing w:val="7"/>
                      <w:sz w:val="21"/>
                      <w:szCs w:val="21"/>
                    </w:rPr>
                    <w:t>植被恢复情</w:t>
                  </w:r>
                  <w:r>
                    <w:rPr>
                      <w:color w:val="auto"/>
                      <w:sz w:val="21"/>
                      <w:szCs w:val="21"/>
                    </w:rPr>
                    <w:t>况</w:t>
                  </w:r>
                </w:p>
              </w:tc>
              <w:tc>
                <w:tcPr>
                  <w:tcW w:w="1658" w:type="dxa"/>
                  <w:vAlign w:val="center"/>
                </w:tcPr>
                <w:p w14:paraId="45895C6C">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color w:val="auto"/>
                      <w:sz w:val="21"/>
                      <w:szCs w:val="21"/>
                    </w:rPr>
                  </w:pPr>
                  <w:r>
                    <w:rPr>
                      <w:color w:val="auto"/>
                      <w:spacing w:val="22"/>
                      <w:sz w:val="21"/>
                      <w:szCs w:val="21"/>
                    </w:rPr>
                    <w:t>施工结束后的</w:t>
                  </w:r>
                  <w:r>
                    <w:rPr>
                      <w:color w:val="auto"/>
                      <w:spacing w:val="12"/>
                      <w:sz w:val="21"/>
                      <w:szCs w:val="21"/>
                    </w:rPr>
                    <w:t>第一年</w:t>
                  </w:r>
                  <w:r>
                    <w:rPr>
                      <w:rFonts w:ascii="Times New Roman" w:hAnsi="Times New Roman" w:eastAsia="Times New Roman" w:cs="Times New Roman"/>
                      <w:color w:val="auto"/>
                      <w:spacing w:val="12"/>
                      <w:sz w:val="21"/>
                      <w:szCs w:val="21"/>
                    </w:rPr>
                    <w:t>8</w:t>
                  </w:r>
                  <w:r>
                    <w:rPr>
                      <w:color w:val="auto"/>
                      <w:spacing w:val="12"/>
                      <w:sz w:val="21"/>
                      <w:szCs w:val="21"/>
                    </w:rPr>
                    <w:t>月份监</w:t>
                  </w:r>
                  <w:r>
                    <w:rPr>
                      <w:color w:val="auto"/>
                      <w:spacing w:val="-6"/>
                      <w:sz w:val="21"/>
                      <w:szCs w:val="21"/>
                    </w:rPr>
                    <w:t>测</w:t>
                  </w:r>
                  <w:r>
                    <w:rPr>
                      <w:rFonts w:ascii="Times New Roman" w:hAnsi="Times New Roman" w:eastAsia="Times New Roman" w:cs="Times New Roman"/>
                      <w:color w:val="auto"/>
                      <w:spacing w:val="-6"/>
                      <w:sz w:val="21"/>
                      <w:szCs w:val="21"/>
                    </w:rPr>
                    <w:t>1</w:t>
                  </w:r>
                  <w:r>
                    <w:rPr>
                      <w:color w:val="auto"/>
                      <w:spacing w:val="-6"/>
                      <w:sz w:val="21"/>
                      <w:szCs w:val="21"/>
                    </w:rPr>
                    <w:t>次</w:t>
                  </w:r>
                </w:p>
              </w:tc>
              <w:tc>
                <w:tcPr>
                  <w:tcW w:w="2711" w:type="dxa"/>
                  <w:vAlign w:val="center"/>
                </w:tcPr>
                <w:p w14:paraId="13624D69">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w:t>
                  </w:r>
                </w:p>
              </w:tc>
            </w:tr>
            <w:tr w14:paraId="1CBB2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75" w:type="dxa"/>
                  <w:vMerge w:val="continue"/>
                  <w:tcBorders>
                    <w:top w:val="nil"/>
                  </w:tcBorders>
                  <w:vAlign w:val="center"/>
                </w:tcPr>
                <w:p w14:paraId="121E53BE">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Arial"/>
                      <w:color w:val="auto"/>
                      <w:sz w:val="21"/>
                      <w:szCs w:val="21"/>
                    </w:rPr>
                  </w:pPr>
                </w:p>
              </w:tc>
              <w:tc>
                <w:tcPr>
                  <w:tcW w:w="1308" w:type="dxa"/>
                  <w:vAlign w:val="center"/>
                </w:tcPr>
                <w:p w14:paraId="3FCB5116">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7"/>
                      <w:sz w:val="21"/>
                      <w:szCs w:val="21"/>
                    </w:rPr>
                    <w:t>河岸沿线</w:t>
                  </w:r>
                </w:p>
              </w:tc>
              <w:tc>
                <w:tcPr>
                  <w:tcW w:w="1147" w:type="dxa"/>
                  <w:vAlign w:val="center"/>
                </w:tcPr>
                <w:p w14:paraId="0F59905F">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color w:val="auto"/>
                      <w:sz w:val="21"/>
                      <w:szCs w:val="21"/>
                    </w:rPr>
                  </w:pPr>
                  <w:r>
                    <w:rPr>
                      <w:color w:val="auto"/>
                      <w:spacing w:val="8"/>
                      <w:sz w:val="21"/>
                      <w:szCs w:val="21"/>
                    </w:rPr>
                    <w:t>河岸周边林</w:t>
                  </w:r>
                  <w:r>
                    <w:rPr>
                      <w:color w:val="auto"/>
                      <w:spacing w:val="7"/>
                      <w:sz w:val="21"/>
                      <w:szCs w:val="21"/>
                    </w:rPr>
                    <w:t>草的恢复情</w:t>
                  </w:r>
                  <w:r>
                    <w:rPr>
                      <w:color w:val="auto"/>
                      <w:sz w:val="21"/>
                      <w:szCs w:val="21"/>
                    </w:rPr>
                    <w:t>况</w:t>
                  </w:r>
                </w:p>
              </w:tc>
              <w:tc>
                <w:tcPr>
                  <w:tcW w:w="1658" w:type="dxa"/>
                  <w:vAlign w:val="center"/>
                </w:tcPr>
                <w:p w14:paraId="27903EBD">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left"/>
                    <w:textAlignment w:val="auto"/>
                    <w:rPr>
                      <w:color w:val="auto"/>
                      <w:sz w:val="21"/>
                      <w:szCs w:val="21"/>
                    </w:rPr>
                  </w:pPr>
                  <w:r>
                    <w:rPr>
                      <w:color w:val="auto"/>
                      <w:spacing w:val="10"/>
                      <w:sz w:val="21"/>
                      <w:szCs w:val="21"/>
                    </w:rPr>
                    <w:t>项目竣工完成后至项目竣工</w:t>
                  </w:r>
                  <w:r>
                    <w:rPr>
                      <w:color w:val="auto"/>
                      <w:spacing w:val="19"/>
                      <w:sz w:val="21"/>
                      <w:szCs w:val="21"/>
                    </w:rPr>
                    <w:t>验收阶段</w:t>
                  </w:r>
                </w:p>
              </w:tc>
              <w:tc>
                <w:tcPr>
                  <w:tcW w:w="2711" w:type="dxa"/>
                  <w:vAlign w:val="center"/>
                </w:tcPr>
                <w:p w14:paraId="775361AB">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ascii="Times New Roman" w:hAnsi="Times New Roman" w:eastAsia="Times New Roman" w:cs="Times New Roman"/>
                      <w:color w:val="auto"/>
                      <w:sz w:val="21"/>
                      <w:szCs w:val="21"/>
                    </w:rPr>
                  </w:pPr>
                  <w:r>
                    <w:rPr>
                      <w:rFonts w:ascii="Times New Roman" w:hAnsi="Times New Roman" w:eastAsia="Times New Roman" w:cs="Times New Roman"/>
                      <w:color w:val="auto"/>
                      <w:spacing w:val="2"/>
                      <w:sz w:val="21"/>
                      <w:szCs w:val="21"/>
                    </w:rPr>
                    <w:t>/</w:t>
                  </w:r>
                </w:p>
              </w:tc>
            </w:tr>
          </w:tbl>
          <w:p w14:paraId="3BC738DD">
            <w:pPr>
              <w:keepNext w:val="0"/>
              <w:keepLines w:val="0"/>
              <w:pageBreakBefore w:val="0"/>
              <w:widowControl w:val="0"/>
              <w:kinsoku/>
              <w:wordWrap/>
              <w:overflowPunct/>
              <w:topLinePunct w:val="0"/>
              <w:autoSpaceDE/>
              <w:autoSpaceDN/>
              <w:bidi w:val="0"/>
              <w:adjustRightInd w:val="0"/>
              <w:snapToGrid w:val="0"/>
              <w:spacing w:line="360" w:lineRule="auto"/>
              <w:ind w:firstLine="484" w:firstLineChars="200"/>
              <w:jc w:val="both"/>
              <w:textAlignment w:val="auto"/>
              <w:outlineLvl w:val="0"/>
              <w:rPr>
                <w:color w:val="auto"/>
                <w:spacing w:val="-5"/>
                <w:sz w:val="24"/>
                <w:szCs w:val="32"/>
              </w:rPr>
            </w:pPr>
            <w:bookmarkStart w:id="51" w:name="_Toc13656"/>
            <w:bookmarkStart w:id="52" w:name="_Toc20735"/>
            <w:r>
              <w:rPr>
                <w:color w:val="auto"/>
                <w:spacing w:val="1"/>
                <w:sz w:val="24"/>
                <w:szCs w:val="32"/>
              </w:rPr>
              <w:t>同时项目建设单位应设立专职环境管理人员，对施工期</w:t>
            </w:r>
            <w:r>
              <w:rPr>
                <w:color w:val="auto"/>
                <w:sz w:val="24"/>
                <w:szCs w:val="32"/>
              </w:rPr>
              <w:t>环境保护、</w:t>
            </w:r>
            <w:r>
              <w:rPr>
                <w:color w:val="auto"/>
                <w:spacing w:val="2"/>
                <w:sz w:val="24"/>
                <w:szCs w:val="32"/>
              </w:rPr>
              <w:t>水土保持措施落实情况进行监督和管理，确保施工土方</w:t>
            </w:r>
            <w:r>
              <w:rPr>
                <w:color w:val="auto"/>
                <w:spacing w:val="1"/>
                <w:sz w:val="24"/>
                <w:szCs w:val="32"/>
              </w:rPr>
              <w:t>及时回填、</w:t>
            </w:r>
            <w:r>
              <w:rPr>
                <w:color w:val="auto"/>
                <w:spacing w:val="-5"/>
                <w:sz w:val="24"/>
                <w:szCs w:val="32"/>
              </w:rPr>
              <w:t>约束施工范围，明确责任，确保环保、水保措施有效实施。</w:t>
            </w:r>
            <w:bookmarkEnd w:id="51"/>
            <w:bookmarkEnd w:id="52"/>
          </w:p>
          <w:p w14:paraId="120EE7F5">
            <w:pPr>
              <w:pStyle w:val="65"/>
              <w:keepNext w:val="0"/>
              <w:keepLines w:val="0"/>
              <w:pageBreakBefore w:val="0"/>
              <w:widowControl w:val="0"/>
              <w:numPr>
                <w:ilvl w:val="0"/>
                <w:numId w:val="52"/>
              </w:numPr>
              <w:kinsoku/>
              <w:wordWrap/>
              <w:overflowPunct/>
              <w:topLinePunct w:val="0"/>
              <w:autoSpaceDE/>
              <w:autoSpaceDN/>
              <w:bidi w:val="0"/>
              <w:adjustRightInd w:val="0"/>
              <w:snapToGrid w:val="0"/>
              <w:spacing w:line="360" w:lineRule="auto"/>
              <w:ind w:left="425" w:leftChars="0" w:right="0" w:hanging="425" w:firstLineChars="0"/>
              <w:textAlignment w:val="auto"/>
              <w:rPr>
                <w:rFonts w:hint="default" w:ascii="宋体" w:hAnsi="宋体" w:eastAsia="宋体" w:cs="宋体"/>
                <w:b/>
                <w:bCs/>
                <w:color w:val="auto"/>
                <w:spacing w:val="-3"/>
                <w:sz w:val="24"/>
                <w:szCs w:val="24"/>
                <w:lang w:val="en-US" w:eastAsia="zh-CN"/>
              </w:rPr>
            </w:pPr>
            <w:r>
              <w:rPr>
                <w:rFonts w:hint="default" w:ascii="宋体" w:hAnsi="宋体" w:eastAsia="宋体" w:cs="宋体"/>
                <w:b/>
                <w:bCs/>
                <w:color w:val="auto"/>
                <w:spacing w:val="-3"/>
                <w:sz w:val="24"/>
                <w:szCs w:val="24"/>
                <w:lang w:val="en-US" w:eastAsia="zh-CN"/>
              </w:rPr>
              <w:t>“三同时”制度</w:t>
            </w:r>
          </w:p>
          <w:p w14:paraId="4D935B87">
            <w:pPr>
              <w:pStyle w:val="26"/>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480" w:firstLineChars="200"/>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t>根据《建设项目环境保护“三同时”管理办法》，工程建设过程中的污染防治措施必须与建设项目同时设计、同时施工、同时投入运行。建设项目与“三同时”污染防治措施业主必须自主验收合格后才能正式投入运行。防治污染的设施不得擅自拆除或闲置。</w:t>
            </w:r>
          </w:p>
          <w:p w14:paraId="264CC139">
            <w:pPr>
              <w:pStyle w:val="26"/>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480" w:firstLineChars="200"/>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t>环保“三同时”竣工验收见表</w:t>
            </w:r>
            <w:r>
              <w:rPr>
                <w:rFonts w:hint="default" w:ascii="Times New Roman" w:hAnsi="Times New Roman" w:eastAsia="宋体" w:cs="Times New Roman"/>
                <w:color w:val="auto"/>
                <w:lang w:val="en-US" w:eastAsia="zh-CN"/>
              </w:rPr>
              <w:t>5-</w:t>
            </w:r>
            <w:r>
              <w:rPr>
                <w:rFonts w:hint="eastAsia" w:eastAsia="宋体" w:cs="Times New Roman"/>
                <w:color w:val="auto"/>
                <w:lang w:val="en-US" w:eastAsia="zh-CN"/>
              </w:rPr>
              <w:t>4</w:t>
            </w:r>
            <w:r>
              <w:rPr>
                <w:rFonts w:hint="default" w:ascii="Times New Roman" w:hAnsi="Times New Roman" w:eastAsia="宋体" w:cs="Times New Roman"/>
                <w:color w:val="auto"/>
              </w:rPr>
              <w:t>。</w:t>
            </w:r>
          </w:p>
          <w:p w14:paraId="60F6FFD7">
            <w:pPr>
              <w:pStyle w:val="75"/>
              <w:keepNext w:val="0"/>
              <w:keepLines w:val="0"/>
              <w:pageBreakBefore w:val="0"/>
              <w:widowControl w:val="0"/>
              <w:kinsoku/>
              <w:wordWrap/>
              <w:overflowPunct/>
              <w:topLinePunct w:val="0"/>
              <w:autoSpaceDE/>
              <w:autoSpaceDN/>
              <w:bidi w:val="0"/>
              <w:adjustRightInd w:val="0"/>
              <w:snapToGrid/>
              <w:spacing w:before="0" w:after="0" w:line="240" w:lineRule="auto"/>
              <w:ind w:firstLine="0" w:firstLineChars="0"/>
              <w:textAlignment w:val="baseline"/>
              <w:rPr>
                <w:rFonts w:hint="default" w:ascii="Times New Roman" w:hAnsi="Times New Roman" w:eastAsia="黑体" w:cs="Times New Roman"/>
                <w:b/>
                <w:bCs w:val="0"/>
                <w:color w:val="auto"/>
                <w:spacing w:val="0"/>
                <w:kern w:val="2"/>
                <w:sz w:val="24"/>
                <w:szCs w:val="24"/>
                <w:lang w:val="en-US" w:eastAsia="zh-CN"/>
              </w:rPr>
            </w:pPr>
            <w:r>
              <w:rPr>
                <w:rFonts w:hint="default" w:ascii="Times New Roman" w:hAnsi="Times New Roman" w:eastAsia="宋体" w:cs="Times New Roman"/>
                <w:b/>
                <w:bCs w:val="0"/>
                <w:color w:val="auto"/>
                <w:spacing w:val="0"/>
                <w:kern w:val="2"/>
                <w:sz w:val="24"/>
                <w:szCs w:val="24"/>
                <w:lang w:val="en-US" w:eastAsia="zh-CN"/>
              </w:rPr>
              <w:t>表5-</w:t>
            </w:r>
            <w:r>
              <w:rPr>
                <w:rFonts w:hint="eastAsia" w:ascii="Times New Roman" w:hAnsi="Times New Roman" w:eastAsia="宋体" w:cs="Times New Roman"/>
                <w:b/>
                <w:bCs w:val="0"/>
                <w:color w:val="auto"/>
                <w:spacing w:val="0"/>
                <w:kern w:val="2"/>
                <w:sz w:val="24"/>
                <w:szCs w:val="24"/>
                <w:lang w:val="en-US" w:eastAsia="zh-CN"/>
              </w:rPr>
              <w:t>4</w:t>
            </w:r>
            <w:r>
              <w:rPr>
                <w:rFonts w:hint="default" w:ascii="Times New Roman" w:hAnsi="Times New Roman" w:eastAsia="宋体" w:cs="Times New Roman"/>
                <w:b/>
                <w:bCs w:val="0"/>
                <w:color w:val="auto"/>
                <w:spacing w:val="0"/>
                <w:kern w:val="2"/>
                <w:sz w:val="24"/>
                <w:szCs w:val="24"/>
                <w:lang w:val="en-US" w:eastAsia="zh-CN"/>
              </w:rPr>
              <w:t>“三同时”环保竣工验收内容</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0"/>
              <w:gridCol w:w="1764"/>
              <w:gridCol w:w="5568"/>
            </w:tblGrid>
            <w:tr w14:paraId="102C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19" w:type="pct"/>
                  <w:tcBorders>
                    <w:tl2br w:val="nil"/>
                    <w:tr2bl w:val="nil"/>
                  </w:tcBorders>
                  <w:noWrap w:val="0"/>
                  <w:vAlign w:val="center"/>
                </w:tcPr>
                <w:p w14:paraId="53530D2F">
                  <w:pPr>
                    <w:spacing w:line="240" w:lineRule="auto"/>
                    <w:jc w:val="center"/>
                    <w:rPr>
                      <w:rFonts w:hint="default" w:ascii="Times New Roman" w:hAnsi="Times New Roman" w:eastAsia="宋体" w:cs="Times New Roman"/>
                      <w:b/>
                      <w:bCs w:val="0"/>
                      <w:color w:val="auto"/>
                    </w:rPr>
                  </w:pPr>
                  <w:r>
                    <w:rPr>
                      <w:rFonts w:hint="default" w:ascii="Times New Roman" w:hAnsi="Times New Roman" w:eastAsia="宋体" w:cs="Times New Roman"/>
                      <w:b/>
                      <w:bCs w:val="0"/>
                      <w:color w:val="auto"/>
                    </w:rPr>
                    <w:t>序号</w:t>
                  </w:r>
                </w:p>
              </w:tc>
              <w:tc>
                <w:tcPr>
                  <w:tcW w:w="1126" w:type="pct"/>
                  <w:tcBorders>
                    <w:tl2br w:val="nil"/>
                    <w:tr2bl w:val="nil"/>
                  </w:tcBorders>
                  <w:noWrap w:val="0"/>
                  <w:vAlign w:val="center"/>
                </w:tcPr>
                <w:p w14:paraId="78DA3435">
                  <w:pPr>
                    <w:spacing w:line="240" w:lineRule="auto"/>
                    <w:jc w:val="center"/>
                    <w:rPr>
                      <w:rFonts w:hint="default" w:ascii="Times New Roman" w:hAnsi="Times New Roman" w:eastAsia="宋体" w:cs="Times New Roman"/>
                      <w:b/>
                      <w:bCs w:val="0"/>
                      <w:color w:val="auto"/>
                    </w:rPr>
                  </w:pPr>
                  <w:r>
                    <w:rPr>
                      <w:rFonts w:hint="default" w:ascii="Times New Roman" w:hAnsi="Times New Roman" w:eastAsia="宋体" w:cs="Times New Roman"/>
                      <w:b/>
                      <w:bCs w:val="0"/>
                      <w:color w:val="auto"/>
                    </w:rPr>
                    <w:t>验收调查项目</w:t>
                  </w:r>
                </w:p>
              </w:tc>
              <w:tc>
                <w:tcPr>
                  <w:tcW w:w="3554" w:type="pct"/>
                  <w:tcBorders>
                    <w:tl2br w:val="nil"/>
                    <w:tr2bl w:val="nil"/>
                  </w:tcBorders>
                  <w:noWrap w:val="0"/>
                  <w:vAlign w:val="center"/>
                </w:tcPr>
                <w:p w14:paraId="0FC75CA0">
                  <w:pPr>
                    <w:spacing w:line="240" w:lineRule="auto"/>
                    <w:jc w:val="center"/>
                    <w:rPr>
                      <w:rFonts w:hint="default" w:ascii="Times New Roman" w:hAnsi="Times New Roman" w:eastAsia="宋体" w:cs="Times New Roman"/>
                      <w:b/>
                      <w:bCs w:val="0"/>
                      <w:color w:val="auto"/>
                    </w:rPr>
                  </w:pPr>
                  <w:r>
                    <w:rPr>
                      <w:rFonts w:hint="default" w:ascii="Times New Roman" w:hAnsi="Times New Roman" w:eastAsia="宋体" w:cs="Times New Roman"/>
                      <w:b/>
                      <w:bCs w:val="0"/>
                      <w:color w:val="auto"/>
                    </w:rPr>
                    <w:t>竣工环境保护验收调查内容</w:t>
                  </w:r>
                </w:p>
              </w:tc>
            </w:tr>
            <w:tr w14:paraId="2EF65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9" w:type="pct"/>
                  <w:tcBorders>
                    <w:tl2br w:val="nil"/>
                    <w:tr2bl w:val="nil"/>
                  </w:tcBorders>
                  <w:noWrap w:val="0"/>
                  <w:vAlign w:val="center"/>
                </w:tcPr>
                <w:p w14:paraId="43E5BCC6">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1</w:t>
                  </w:r>
                </w:p>
              </w:tc>
              <w:tc>
                <w:tcPr>
                  <w:tcW w:w="1126" w:type="pct"/>
                  <w:tcBorders>
                    <w:tl2br w:val="nil"/>
                    <w:tr2bl w:val="nil"/>
                  </w:tcBorders>
                  <w:noWrap w:val="0"/>
                  <w:vAlign w:val="center"/>
                </w:tcPr>
                <w:p w14:paraId="5A7C8A84">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相关批复文件</w:t>
                  </w:r>
                </w:p>
              </w:tc>
              <w:tc>
                <w:tcPr>
                  <w:tcW w:w="3554" w:type="pct"/>
                  <w:tcBorders>
                    <w:tl2br w:val="nil"/>
                    <w:tr2bl w:val="nil"/>
                  </w:tcBorders>
                  <w:noWrap w:val="0"/>
                  <w:vAlign w:val="center"/>
                </w:tcPr>
                <w:p w14:paraId="4C578C56">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项目是否取得核准文件，相关批复文件是否齐备，项目是否具备开工条件。</w:t>
                  </w:r>
                </w:p>
              </w:tc>
            </w:tr>
            <w:tr w14:paraId="54DD1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9" w:type="pct"/>
                  <w:tcBorders>
                    <w:tl2br w:val="nil"/>
                    <w:tr2bl w:val="nil"/>
                  </w:tcBorders>
                  <w:noWrap w:val="0"/>
                  <w:vAlign w:val="center"/>
                </w:tcPr>
                <w:p w14:paraId="4B6D614C">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2</w:t>
                  </w:r>
                </w:p>
              </w:tc>
              <w:tc>
                <w:tcPr>
                  <w:tcW w:w="1126" w:type="pct"/>
                  <w:tcBorders>
                    <w:tl2br w:val="nil"/>
                    <w:tr2bl w:val="nil"/>
                  </w:tcBorders>
                  <w:noWrap w:val="0"/>
                  <w:vAlign w:val="center"/>
                </w:tcPr>
                <w:p w14:paraId="3BE1DB63">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工程建设与规划的相符性</w:t>
                  </w:r>
                </w:p>
              </w:tc>
              <w:tc>
                <w:tcPr>
                  <w:tcW w:w="3554" w:type="pct"/>
                  <w:tcBorders>
                    <w:tl2br w:val="nil"/>
                    <w:tr2bl w:val="nil"/>
                  </w:tcBorders>
                  <w:noWrap w:val="0"/>
                  <w:vAlign w:val="center"/>
                </w:tcPr>
                <w:p w14:paraId="14461F7A">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本项目的建设是否符合相关规划要求。</w:t>
                  </w:r>
                </w:p>
              </w:tc>
            </w:tr>
            <w:tr w14:paraId="23ABA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9" w:type="pct"/>
                  <w:tcBorders>
                    <w:tl2br w:val="nil"/>
                    <w:tr2bl w:val="nil"/>
                  </w:tcBorders>
                  <w:noWrap w:val="0"/>
                  <w:vAlign w:val="center"/>
                </w:tcPr>
                <w:p w14:paraId="19B75DD0">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3</w:t>
                  </w:r>
                </w:p>
              </w:tc>
              <w:tc>
                <w:tcPr>
                  <w:tcW w:w="1126" w:type="pct"/>
                  <w:tcBorders>
                    <w:tl2br w:val="nil"/>
                    <w:tr2bl w:val="nil"/>
                  </w:tcBorders>
                  <w:noWrap w:val="0"/>
                  <w:vAlign w:val="center"/>
                </w:tcPr>
                <w:p w14:paraId="38A15AC9">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工程建设内容与环评的相符性</w:t>
                  </w:r>
                </w:p>
              </w:tc>
              <w:tc>
                <w:tcPr>
                  <w:tcW w:w="3554" w:type="pct"/>
                  <w:tcBorders>
                    <w:tl2br w:val="nil"/>
                    <w:tr2bl w:val="nil"/>
                  </w:tcBorders>
                  <w:noWrap w:val="0"/>
                  <w:vAlign w:val="center"/>
                </w:tcPr>
                <w:p w14:paraId="52062121">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与环评报告及环评报告批复对比，若工程的场址、建设规模发生变更，应就变更情况以及变更原因进行说明。</w:t>
                  </w:r>
                </w:p>
              </w:tc>
            </w:tr>
            <w:tr w14:paraId="3616A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319" w:type="pct"/>
                  <w:tcBorders>
                    <w:tl2br w:val="nil"/>
                    <w:tr2bl w:val="nil"/>
                  </w:tcBorders>
                  <w:noWrap w:val="0"/>
                  <w:vAlign w:val="center"/>
                </w:tcPr>
                <w:p w14:paraId="066D1CBC">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4</w:t>
                  </w:r>
                </w:p>
              </w:tc>
              <w:tc>
                <w:tcPr>
                  <w:tcW w:w="1126" w:type="pct"/>
                  <w:tcBorders>
                    <w:tl2br w:val="nil"/>
                    <w:tr2bl w:val="nil"/>
                  </w:tcBorders>
                  <w:noWrap w:val="0"/>
                  <w:vAlign w:val="center"/>
                </w:tcPr>
                <w:p w14:paraId="50A32696">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敏感目标调查</w:t>
                  </w:r>
                </w:p>
              </w:tc>
              <w:tc>
                <w:tcPr>
                  <w:tcW w:w="3554" w:type="pct"/>
                  <w:tcBorders>
                    <w:tl2br w:val="nil"/>
                    <w:tr2bl w:val="nil"/>
                  </w:tcBorders>
                  <w:noWrap w:val="0"/>
                  <w:vAlign w:val="center"/>
                </w:tcPr>
                <w:p w14:paraId="6FC8474C">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调查工程周围生态影响评价范围内环境敏感区的分布情况；对比环评报告，说明生态保护目标的变化情况以及原因。</w:t>
                  </w:r>
                </w:p>
              </w:tc>
            </w:tr>
            <w:tr w14:paraId="5A6C0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319" w:type="pct"/>
                  <w:tcBorders>
                    <w:tl2br w:val="nil"/>
                    <w:tr2bl w:val="nil"/>
                  </w:tcBorders>
                  <w:noWrap w:val="0"/>
                  <w:vAlign w:val="center"/>
                </w:tcPr>
                <w:p w14:paraId="255CFE76">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5</w:t>
                  </w:r>
                </w:p>
              </w:tc>
              <w:tc>
                <w:tcPr>
                  <w:tcW w:w="1126" w:type="pct"/>
                  <w:tcBorders>
                    <w:tl2br w:val="nil"/>
                    <w:tr2bl w:val="nil"/>
                  </w:tcBorders>
                  <w:noWrap w:val="0"/>
                  <w:vAlign w:val="center"/>
                </w:tcPr>
                <w:p w14:paraId="78C65AA6">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施工期环保措施落实情况</w:t>
                  </w:r>
                </w:p>
              </w:tc>
              <w:tc>
                <w:tcPr>
                  <w:tcW w:w="3554" w:type="pct"/>
                  <w:tcBorders>
                    <w:tl2br w:val="nil"/>
                    <w:tr2bl w:val="nil"/>
                  </w:tcBorders>
                  <w:noWrap w:val="0"/>
                  <w:vAlign w:val="center"/>
                </w:tcPr>
                <w:p w14:paraId="0C3F5C63">
                  <w:pPr>
                    <w:spacing w:line="240" w:lineRule="auto"/>
                    <w:jc w:val="center"/>
                    <w:rPr>
                      <w:rFonts w:hint="default" w:ascii="Times New Roman" w:hAnsi="Times New Roman" w:eastAsia="宋体" w:cs="Times New Roman"/>
                      <w:bCs/>
                      <w:color w:val="auto"/>
                      <w:lang w:val="en-US" w:eastAsia="zh-CN"/>
                    </w:rPr>
                  </w:pPr>
                  <w:r>
                    <w:rPr>
                      <w:rFonts w:hint="default" w:ascii="Times New Roman" w:hAnsi="Times New Roman" w:eastAsia="宋体" w:cs="Times New Roman"/>
                      <w:bCs/>
                      <w:color w:val="auto"/>
                    </w:rPr>
                    <w:t>调查工程施工期废水处理措施；施工期固废处理处置方式，调查工程施工临时占地恢复情况及效果；分析采取相关措施的有效性及存在问题，针对存在问题提出整改、补救措施与建议。</w:t>
                  </w:r>
                  <w:r>
                    <w:rPr>
                      <w:rFonts w:hint="eastAsia" w:cs="Times New Roman"/>
                      <w:bCs/>
                      <w:color w:val="auto"/>
                      <w:lang w:val="en-US" w:eastAsia="zh-CN"/>
                    </w:rPr>
                    <w:t>设置化粪池、蓄水池、沉淀池，移动式焊烟净化器。噪声隔声，减振措施</w:t>
                  </w:r>
                </w:p>
              </w:tc>
            </w:tr>
            <w:tr w14:paraId="48ED5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319" w:type="pct"/>
                  <w:tcBorders>
                    <w:tl2br w:val="nil"/>
                    <w:tr2bl w:val="nil"/>
                  </w:tcBorders>
                  <w:noWrap w:val="0"/>
                  <w:vAlign w:val="center"/>
                </w:tcPr>
                <w:p w14:paraId="60BE6076">
                  <w:pPr>
                    <w:spacing w:line="240" w:lineRule="auto"/>
                    <w:jc w:val="center"/>
                    <w:rPr>
                      <w:rFonts w:hint="default" w:ascii="Times New Roman" w:hAnsi="Times New Roman" w:eastAsia="宋体" w:cs="Times New Roman"/>
                      <w:bCs/>
                      <w:color w:val="auto"/>
                      <w:lang w:eastAsia="zh-CN"/>
                    </w:rPr>
                  </w:pPr>
                  <w:r>
                    <w:rPr>
                      <w:rFonts w:hint="default" w:ascii="Times New Roman" w:hAnsi="Times New Roman" w:eastAsia="宋体" w:cs="Times New Roman"/>
                      <w:bCs/>
                      <w:color w:val="auto"/>
                      <w:lang w:val="en-US" w:eastAsia="zh-CN"/>
                    </w:rPr>
                    <w:t>6</w:t>
                  </w:r>
                </w:p>
              </w:tc>
              <w:tc>
                <w:tcPr>
                  <w:tcW w:w="1126" w:type="pct"/>
                  <w:tcBorders>
                    <w:tl2br w:val="nil"/>
                    <w:tr2bl w:val="nil"/>
                  </w:tcBorders>
                  <w:noWrap w:val="0"/>
                  <w:vAlign w:val="center"/>
                </w:tcPr>
                <w:p w14:paraId="29D6D13B">
                  <w:pPr>
                    <w:spacing w:line="240" w:lineRule="auto"/>
                    <w:jc w:val="center"/>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运行期噪声</w:t>
                  </w:r>
                </w:p>
              </w:tc>
              <w:tc>
                <w:tcPr>
                  <w:tcW w:w="3554" w:type="pct"/>
                  <w:tcBorders>
                    <w:tl2br w:val="nil"/>
                    <w:tr2bl w:val="nil"/>
                  </w:tcBorders>
                  <w:noWrap w:val="0"/>
                  <w:vAlign w:val="center"/>
                </w:tcPr>
                <w:p w14:paraId="2176E189">
                  <w:pPr>
                    <w:spacing w:line="240" w:lineRule="auto"/>
                    <w:jc w:val="center"/>
                    <w:rPr>
                      <w:rFonts w:hint="eastAsia" w:ascii="Times New Roman" w:hAnsi="Times New Roman" w:eastAsia="宋体" w:cs="Times New Roman"/>
                      <w:bCs/>
                      <w:color w:val="auto"/>
                      <w:highlight w:val="none"/>
                      <w:lang w:eastAsia="zh-CN"/>
                    </w:rPr>
                  </w:pPr>
                  <w:r>
                    <w:rPr>
                      <w:rFonts w:hint="default" w:ascii="Times New Roman" w:hAnsi="Times New Roman" w:eastAsia="宋体" w:cs="Times New Roman"/>
                      <w:bCs/>
                      <w:color w:val="auto"/>
                      <w:highlight w:val="none"/>
                    </w:rPr>
                    <w:t>选用低噪声设备，运行期噪声是否满足《</w:t>
                  </w:r>
                  <w:r>
                    <w:rPr>
                      <w:rFonts w:hint="default" w:ascii="Times New Roman" w:hAnsi="Times New Roman" w:eastAsia="宋体" w:cs="Times New Roman"/>
                      <w:bCs/>
                      <w:color w:val="auto"/>
                      <w:highlight w:val="none"/>
                      <w:lang w:eastAsia="zh-CN"/>
                    </w:rPr>
                    <w:t>工业企业厂界环境噪声排放标准</w:t>
                  </w:r>
                  <w:r>
                    <w:rPr>
                      <w:rFonts w:hint="default" w:ascii="Times New Roman" w:hAnsi="Times New Roman" w:eastAsia="宋体" w:cs="Times New Roman"/>
                      <w:bCs/>
                      <w:color w:val="auto"/>
                      <w:highlight w:val="none"/>
                    </w:rPr>
                    <w:t>》（GB12348-2008）</w:t>
                  </w:r>
                  <w:r>
                    <w:rPr>
                      <w:rFonts w:hint="eastAsia" w:cs="Times New Roman"/>
                      <w:bCs/>
                      <w:color w:val="auto"/>
                      <w:highlight w:val="none"/>
                      <w:lang w:val="en-US" w:eastAsia="zh-CN"/>
                    </w:rPr>
                    <w:t>1</w:t>
                  </w:r>
                  <w:r>
                    <w:rPr>
                      <w:rFonts w:hint="default" w:ascii="Times New Roman" w:hAnsi="Times New Roman" w:eastAsia="宋体" w:cs="Times New Roman"/>
                      <w:bCs/>
                      <w:color w:val="auto"/>
                      <w:highlight w:val="none"/>
                      <w:lang w:val="en-US" w:eastAsia="zh-CN"/>
                    </w:rPr>
                    <w:t>类声环境功能区对应的厂界噪声排放标准</w:t>
                  </w:r>
                  <w:r>
                    <w:rPr>
                      <w:rFonts w:hint="eastAsia" w:cs="Times New Roman"/>
                      <w:bCs/>
                      <w:color w:val="auto"/>
                      <w:highlight w:val="none"/>
                      <w:lang w:val="en-US" w:eastAsia="zh-CN"/>
                    </w:rPr>
                    <w:t>要求</w:t>
                  </w:r>
                  <w:r>
                    <w:rPr>
                      <w:rFonts w:hint="default" w:ascii="Times New Roman" w:hAnsi="Times New Roman" w:eastAsia="宋体" w:cs="Times New Roman"/>
                      <w:bCs/>
                      <w:color w:val="auto"/>
                      <w:highlight w:val="none"/>
                    </w:rPr>
                    <w:t>，如有超标，提出处置措施</w:t>
                  </w:r>
                  <w:r>
                    <w:rPr>
                      <w:rFonts w:hint="eastAsia" w:cs="Times New Roman"/>
                      <w:bCs/>
                      <w:color w:val="auto"/>
                      <w:highlight w:val="none"/>
                      <w:lang w:eastAsia="zh-CN"/>
                    </w:rPr>
                    <w:t>。</w:t>
                  </w:r>
                </w:p>
              </w:tc>
            </w:tr>
            <w:tr w14:paraId="772AB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9" w:type="pct"/>
                  <w:tcBorders>
                    <w:tl2br w:val="nil"/>
                    <w:tr2bl w:val="nil"/>
                  </w:tcBorders>
                  <w:noWrap w:val="0"/>
                  <w:vAlign w:val="center"/>
                </w:tcPr>
                <w:p w14:paraId="06FAE18F">
                  <w:pPr>
                    <w:spacing w:line="240" w:lineRule="auto"/>
                    <w:jc w:val="center"/>
                    <w:rPr>
                      <w:rFonts w:hint="default" w:ascii="Times New Roman" w:hAnsi="Times New Roman" w:eastAsia="宋体" w:cs="Times New Roman"/>
                      <w:bCs/>
                      <w:color w:val="auto"/>
                      <w:lang w:eastAsia="zh-CN"/>
                    </w:rPr>
                  </w:pPr>
                  <w:r>
                    <w:rPr>
                      <w:rFonts w:hint="default" w:ascii="Times New Roman" w:hAnsi="Times New Roman" w:eastAsia="宋体" w:cs="Times New Roman"/>
                      <w:bCs/>
                      <w:color w:val="auto"/>
                      <w:lang w:val="en-US" w:eastAsia="zh-CN"/>
                    </w:rPr>
                    <w:t>7</w:t>
                  </w:r>
                </w:p>
              </w:tc>
              <w:tc>
                <w:tcPr>
                  <w:tcW w:w="1920" w:type="dxa"/>
                  <w:tcBorders>
                    <w:tl2br w:val="nil"/>
                    <w:tr2bl w:val="nil"/>
                  </w:tcBorders>
                  <w:noWrap w:val="0"/>
                  <w:vAlign w:val="center"/>
                </w:tcPr>
                <w:p w14:paraId="6FF795E0">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固体废物</w:t>
                  </w:r>
                </w:p>
              </w:tc>
              <w:tc>
                <w:tcPr>
                  <w:tcW w:w="6059" w:type="dxa"/>
                  <w:tcBorders>
                    <w:tl2br w:val="nil"/>
                    <w:tr2bl w:val="nil"/>
                  </w:tcBorders>
                  <w:noWrap w:val="0"/>
                  <w:vAlign w:val="center"/>
                </w:tcPr>
                <w:p w14:paraId="748C7BA6">
                  <w:pPr>
                    <w:spacing w:line="240" w:lineRule="auto"/>
                    <w:jc w:val="center"/>
                    <w:rPr>
                      <w:rFonts w:hint="default" w:ascii="Times New Roman" w:hAnsi="Times New Roman" w:eastAsia="宋体" w:cs="Times New Roman"/>
                      <w:bCs/>
                      <w:color w:val="auto"/>
                    </w:rPr>
                  </w:pPr>
                  <w:r>
                    <w:rPr>
                      <w:rFonts w:hint="eastAsia" w:cs="Times New Roman"/>
                      <w:bCs/>
                      <w:color w:val="auto"/>
                      <w:lang w:val="en-US" w:eastAsia="zh-CN"/>
                    </w:rPr>
                    <w:t>项目区建筑垃圾是否按照《建筑垃圾污染控制技术规范》(HJ1462一2026)要求进行处置</w:t>
                  </w:r>
                  <w:r>
                    <w:rPr>
                      <w:rFonts w:hint="default" w:ascii="Times New Roman" w:hAnsi="Times New Roman" w:eastAsia="宋体" w:cs="Times New Roman"/>
                      <w:bCs/>
                      <w:color w:val="auto"/>
                      <w:lang w:val="en-US" w:eastAsia="zh-CN"/>
                    </w:rPr>
                    <w:t>；生活垃圾</w:t>
                  </w:r>
                  <w:r>
                    <w:rPr>
                      <w:rFonts w:hint="eastAsia" w:cs="Times New Roman"/>
                      <w:bCs/>
                      <w:color w:val="auto"/>
                      <w:lang w:val="en-US" w:eastAsia="zh-CN"/>
                    </w:rPr>
                    <w:t>是否处置。</w:t>
                  </w:r>
                </w:p>
              </w:tc>
            </w:tr>
            <w:tr w14:paraId="4034D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19" w:type="pct"/>
                  <w:tcBorders>
                    <w:tl2br w:val="nil"/>
                    <w:tr2bl w:val="nil"/>
                  </w:tcBorders>
                  <w:noWrap w:val="0"/>
                  <w:vAlign w:val="center"/>
                </w:tcPr>
                <w:p w14:paraId="5FF2E420">
                  <w:pPr>
                    <w:spacing w:line="240" w:lineRule="auto"/>
                    <w:jc w:val="center"/>
                    <w:rPr>
                      <w:rFonts w:hint="default" w:ascii="Times New Roman" w:hAnsi="Times New Roman" w:eastAsia="宋体" w:cs="Times New Roman"/>
                      <w:bCs/>
                      <w:color w:val="auto"/>
                      <w:lang w:eastAsia="zh-CN"/>
                    </w:rPr>
                  </w:pPr>
                  <w:r>
                    <w:rPr>
                      <w:rFonts w:hint="default" w:ascii="Times New Roman" w:hAnsi="Times New Roman" w:eastAsia="宋体" w:cs="Times New Roman"/>
                      <w:bCs/>
                      <w:color w:val="auto"/>
                      <w:lang w:val="en-US" w:eastAsia="zh-CN"/>
                    </w:rPr>
                    <w:t>8</w:t>
                  </w:r>
                </w:p>
              </w:tc>
              <w:tc>
                <w:tcPr>
                  <w:tcW w:w="1126" w:type="pct"/>
                  <w:tcBorders>
                    <w:tl2br w:val="nil"/>
                    <w:tr2bl w:val="nil"/>
                  </w:tcBorders>
                  <w:noWrap w:val="0"/>
                  <w:vAlign w:val="center"/>
                </w:tcPr>
                <w:p w14:paraId="3515875D">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生态环境</w:t>
                  </w:r>
                </w:p>
              </w:tc>
              <w:tc>
                <w:tcPr>
                  <w:tcW w:w="3554" w:type="pct"/>
                  <w:tcBorders>
                    <w:tl2br w:val="nil"/>
                    <w:tr2bl w:val="nil"/>
                  </w:tcBorders>
                  <w:noWrap w:val="0"/>
                  <w:vAlign w:val="center"/>
                </w:tcPr>
                <w:p w14:paraId="3173AFB3">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调查工程采取的生态保护措施的实施效果；列表说明工程实际占地变化情况，明确占地性质、占地位置、用途、临时占地恢复措施和恢复效果。根据上述调查结果，对存在的问题分析原因，并从保护、恢复、补偿、建设等方面提出具有操作性的补偿措施与建议。</w:t>
                  </w:r>
                </w:p>
              </w:tc>
            </w:tr>
            <w:tr w14:paraId="68A36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543" w:type="dxa"/>
                  <w:tcBorders>
                    <w:tl2br w:val="nil"/>
                    <w:tr2bl w:val="nil"/>
                  </w:tcBorders>
                  <w:noWrap w:val="0"/>
                  <w:vAlign w:val="center"/>
                </w:tcPr>
                <w:p w14:paraId="3449BA93">
                  <w:pPr>
                    <w:spacing w:line="240" w:lineRule="auto"/>
                    <w:jc w:val="center"/>
                    <w:rPr>
                      <w:rFonts w:hint="default" w:ascii="Times New Roman" w:hAnsi="Times New Roman" w:eastAsia="宋体" w:cs="Times New Roman"/>
                      <w:bCs/>
                      <w:color w:val="auto"/>
                      <w:lang w:val="en-US" w:eastAsia="zh-CN"/>
                    </w:rPr>
                  </w:pPr>
                  <w:r>
                    <w:rPr>
                      <w:rFonts w:hint="default" w:ascii="Times New Roman" w:hAnsi="Times New Roman" w:eastAsia="宋体" w:cs="Times New Roman"/>
                      <w:bCs/>
                      <w:color w:val="auto"/>
                      <w:lang w:val="en-US" w:eastAsia="zh-CN"/>
                    </w:rPr>
                    <w:t>9</w:t>
                  </w:r>
                </w:p>
              </w:tc>
              <w:tc>
                <w:tcPr>
                  <w:tcW w:w="1920" w:type="dxa"/>
                  <w:tcBorders>
                    <w:tl2br w:val="nil"/>
                    <w:tr2bl w:val="nil"/>
                  </w:tcBorders>
                  <w:noWrap w:val="0"/>
                  <w:vAlign w:val="center"/>
                </w:tcPr>
                <w:p w14:paraId="152E2A27">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环境保护</w:t>
                  </w:r>
                </w:p>
              </w:tc>
              <w:tc>
                <w:tcPr>
                  <w:tcW w:w="6059" w:type="dxa"/>
                  <w:tcBorders>
                    <w:tl2br w:val="nil"/>
                    <w:tr2bl w:val="nil"/>
                  </w:tcBorders>
                  <w:noWrap w:val="0"/>
                  <w:vAlign w:val="center"/>
                </w:tcPr>
                <w:p w14:paraId="614F86C7">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环境管理、环境监测落实情况；环保投资资金是否到位，工程所在区域各级生态环境主管部门是否收到相关环保投诉，投诉原因及处理结果。</w:t>
                  </w:r>
                </w:p>
              </w:tc>
            </w:tr>
            <w:tr w14:paraId="7E5B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19" w:type="pct"/>
                  <w:tcBorders>
                    <w:tl2br w:val="nil"/>
                    <w:tr2bl w:val="nil"/>
                  </w:tcBorders>
                  <w:noWrap w:val="0"/>
                  <w:vAlign w:val="center"/>
                </w:tcPr>
                <w:p w14:paraId="4EDF489A">
                  <w:pPr>
                    <w:spacing w:line="240" w:lineRule="auto"/>
                    <w:jc w:val="center"/>
                    <w:rPr>
                      <w:rFonts w:hint="default" w:ascii="Times New Roman" w:hAnsi="Times New Roman" w:eastAsia="宋体" w:cs="Times New Roman"/>
                      <w:bCs/>
                      <w:color w:val="auto"/>
                      <w:lang w:val="en-US" w:eastAsia="zh-CN"/>
                    </w:rPr>
                  </w:pPr>
                  <w:r>
                    <w:rPr>
                      <w:rFonts w:hint="eastAsia" w:cs="Times New Roman"/>
                      <w:bCs/>
                      <w:color w:val="auto"/>
                      <w:lang w:val="en-US" w:eastAsia="zh-CN"/>
                    </w:rPr>
                    <w:t>10</w:t>
                  </w:r>
                </w:p>
              </w:tc>
              <w:tc>
                <w:tcPr>
                  <w:tcW w:w="1920" w:type="dxa"/>
                  <w:tcBorders>
                    <w:tl2br w:val="nil"/>
                    <w:tr2bl w:val="nil"/>
                  </w:tcBorders>
                  <w:noWrap w:val="0"/>
                  <w:vAlign w:val="center"/>
                </w:tcPr>
                <w:p w14:paraId="37C18BAB">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环保设备清单核查</w:t>
                  </w:r>
                </w:p>
              </w:tc>
              <w:tc>
                <w:tcPr>
                  <w:tcW w:w="6059" w:type="dxa"/>
                  <w:tcBorders>
                    <w:tl2br w:val="nil"/>
                    <w:tr2bl w:val="nil"/>
                  </w:tcBorders>
                  <w:noWrap w:val="0"/>
                  <w:vAlign w:val="center"/>
                </w:tcPr>
                <w:p w14:paraId="01DB3C68">
                  <w:pPr>
                    <w:spacing w:line="240" w:lineRule="auto"/>
                    <w:jc w:val="center"/>
                    <w:rPr>
                      <w:rFonts w:hint="default" w:ascii="Times New Roman" w:hAnsi="Times New Roman" w:eastAsia="宋体" w:cs="Times New Roman"/>
                      <w:bCs/>
                      <w:color w:val="auto"/>
                    </w:rPr>
                  </w:pPr>
                  <w:r>
                    <w:rPr>
                      <w:rFonts w:hint="default" w:ascii="Times New Roman" w:hAnsi="Times New Roman" w:eastAsia="宋体" w:cs="Times New Roman"/>
                      <w:bCs/>
                      <w:color w:val="auto"/>
                    </w:rPr>
                    <w:t>统计本项目噪声防控、固废收集、防渗、防护等环保设施及生产设备清单，核实设备型号、数量、安装位置、运行工况；核查环保设施是否按环评要求同步安装、同步投入使用，落实“三同时”制度。</w:t>
                  </w:r>
                </w:p>
              </w:tc>
            </w:tr>
            <w:tr w14:paraId="5D648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19" w:type="pct"/>
                  <w:tcBorders>
                    <w:tl2br w:val="nil"/>
                    <w:tr2bl w:val="nil"/>
                  </w:tcBorders>
                  <w:noWrap w:val="0"/>
                  <w:vAlign w:val="center"/>
                </w:tcPr>
                <w:p w14:paraId="35816E30">
                  <w:pPr>
                    <w:spacing w:line="240" w:lineRule="auto"/>
                    <w:jc w:val="center"/>
                    <w:rPr>
                      <w:rFonts w:hint="default" w:ascii="Times New Roman" w:hAnsi="Times New Roman" w:eastAsia="宋体" w:cs="Times New Roman"/>
                      <w:bCs/>
                      <w:color w:val="auto"/>
                      <w:lang w:val="en-US" w:eastAsia="zh-CN"/>
                    </w:rPr>
                  </w:pPr>
                  <w:r>
                    <w:rPr>
                      <w:rFonts w:hint="eastAsia" w:cs="Times New Roman"/>
                      <w:bCs/>
                      <w:color w:val="auto"/>
                      <w:lang w:val="en-US" w:eastAsia="zh-CN"/>
                    </w:rPr>
                    <w:t>11</w:t>
                  </w:r>
                </w:p>
              </w:tc>
              <w:tc>
                <w:tcPr>
                  <w:tcW w:w="1920" w:type="dxa"/>
                  <w:tcBorders>
                    <w:tl2br w:val="nil"/>
                    <w:tr2bl w:val="nil"/>
                  </w:tcBorders>
                  <w:noWrap w:val="0"/>
                  <w:vAlign w:val="center"/>
                </w:tcPr>
                <w:p w14:paraId="5CFCA95C">
                  <w:pPr>
                    <w:spacing w:line="240" w:lineRule="auto"/>
                    <w:jc w:val="center"/>
                    <w:rPr>
                      <w:rFonts w:hint="default" w:ascii="Times New Roman" w:hAnsi="Times New Roman" w:eastAsia="宋体" w:cs="Times New Roman"/>
                      <w:bCs/>
                      <w:color w:val="auto"/>
                      <w:lang w:val="en-US" w:eastAsia="zh-CN"/>
                    </w:rPr>
                  </w:pPr>
                  <w:r>
                    <w:rPr>
                      <w:rFonts w:hint="default" w:ascii="Times New Roman" w:hAnsi="Times New Roman" w:eastAsia="宋体" w:cs="Times New Roman"/>
                      <w:bCs/>
                      <w:color w:val="auto"/>
                    </w:rPr>
                    <w:t>环保组织机构及人员配置</w:t>
                  </w:r>
                </w:p>
              </w:tc>
              <w:tc>
                <w:tcPr>
                  <w:tcW w:w="6059" w:type="dxa"/>
                  <w:tcBorders>
                    <w:tl2br w:val="nil"/>
                    <w:tr2bl w:val="nil"/>
                  </w:tcBorders>
                  <w:noWrap w:val="0"/>
                  <w:vAlign w:val="center"/>
                </w:tcPr>
                <w:p w14:paraId="103D2338">
                  <w:pPr>
                    <w:spacing w:line="240" w:lineRule="auto"/>
                    <w:jc w:val="center"/>
                    <w:rPr>
                      <w:rFonts w:hint="default" w:ascii="Times New Roman" w:hAnsi="Times New Roman" w:eastAsia="宋体" w:cs="Times New Roman"/>
                      <w:bCs/>
                      <w:color w:val="auto"/>
                      <w:lang w:val="en-US" w:eastAsia="zh-CN"/>
                    </w:rPr>
                  </w:pPr>
                  <w:r>
                    <w:rPr>
                      <w:rFonts w:hint="default" w:ascii="Times New Roman" w:hAnsi="Times New Roman" w:eastAsia="宋体" w:cs="Times New Roman"/>
                      <w:bCs/>
                      <w:color w:val="auto"/>
                    </w:rPr>
                    <w:t>核查项目环境保护管理组织机构设置情况，明确专职或兼职环保管理人员配置数量、岗位职责；建立环保管理制度、巡检制度、危废管理制度，确保运营期环保管理工作常态化、规范化运行。</w:t>
                  </w:r>
                </w:p>
              </w:tc>
            </w:tr>
          </w:tbl>
          <w:p w14:paraId="007BA802">
            <w:pPr>
              <w:keepNext w:val="0"/>
              <w:keepLines w:val="0"/>
              <w:pageBreakBefore w:val="0"/>
              <w:widowControl w:val="0"/>
              <w:kinsoku/>
              <w:wordWrap/>
              <w:overflowPunct/>
              <w:topLinePunct w:val="0"/>
              <w:autoSpaceDE/>
              <w:autoSpaceDN/>
              <w:bidi w:val="0"/>
              <w:adjustRightInd w:val="0"/>
              <w:snapToGrid w:val="0"/>
              <w:spacing w:line="360" w:lineRule="auto"/>
              <w:ind w:firstLine="460" w:firstLineChars="200"/>
              <w:jc w:val="both"/>
              <w:textAlignment w:val="auto"/>
              <w:outlineLvl w:val="0"/>
              <w:rPr>
                <w:color w:val="auto"/>
                <w:spacing w:val="-5"/>
                <w:sz w:val="24"/>
                <w:szCs w:val="32"/>
              </w:rPr>
            </w:pPr>
          </w:p>
        </w:tc>
      </w:tr>
      <w:tr w14:paraId="0A9A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Align w:val="center"/>
          </w:tcPr>
          <w:p w14:paraId="052C2B9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0"/>
              <w:rPr>
                <w:color w:val="auto"/>
                <w:spacing w:val="-6"/>
              </w:rPr>
            </w:pPr>
            <w:bookmarkStart w:id="53" w:name="_Toc4023"/>
            <w:bookmarkStart w:id="54" w:name="_Toc20120"/>
            <w:r>
              <w:rPr>
                <w:rFonts w:hint="eastAsia" w:ascii="Times New Roman" w:hAnsi="Times New Roman" w:eastAsia="宋体" w:cs="Times New Roman"/>
                <w:b w:val="0"/>
                <w:bCs w:val="0"/>
                <w:color w:val="auto"/>
                <w:kern w:val="2"/>
                <w:sz w:val="24"/>
                <w:szCs w:val="24"/>
                <w:lang w:val="en-US" w:eastAsia="zh-CN" w:bidi="ar-SA"/>
              </w:rPr>
              <w:t>环保投资</w:t>
            </w:r>
            <w:bookmarkEnd w:id="53"/>
            <w:bookmarkEnd w:id="54"/>
          </w:p>
        </w:tc>
        <w:tc>
          <w:tcPr>
            <w:tcW w:w="8167" w:type="dxa"/>
          </w:tcPr>
          <w:p w14:paraId="2A7CBB95">
            <w:pPr>
              <w:pStyle w:val="13"/>
              <w:keepNext w:val="0"/>
              <w:keepLines w:val="0"/>
              <w:pageBreakBefore w:val="0"/>
              <w:widowControl w:val="0"/>
              <w:kinsoku/>
              <w:wordWrap/>
              <w:overflowPunct w:val="0"/>
              <w:topLinePunct w:val="0"/>
              <w:autoSpaceDE/>
              <w:autoSpaceDN/>
              <w:bidi w:val="0"/>
              <w:adjustRightInd w:val="0"/>
              <w:snapToGrid w:val="0"/>
              <w:spacing w:line="360" w:lineRule="auto"/>
              <w:ind w:left="0" w:right="0" w:firstLine="480" w:firstLineChars="200"/>
              <w:textAlignment w:val="auto"/>
              <w:rPr>
                <w:rFonts w:hint="eastAsia"/>
                <w:color w:val="auto"/>
                <w:spacing w:val="2"/>
                <w:sz w:val="24"/>
                <w:szCs w:val="24"/>
              </w:rPr>
            </w:pPr>
            <w:r>
              <w:rPr>
                <w:color w:val="auto"/>
                <w:sz w:val="24"/>
                <w:szCs w:val="24"/>
              </w:rPr>
              <w:t>本项目环保总投资估算为</w:t>
            </w:r>
            <w:r>
              <w:rPr>
                <w:rFonts w:hint="eastAsia" w:ascii="Times New Roman" w:hAnsi="Times New Roman" w:eastAsia="宋体" w:cs="Times New Roman"/>
                <w:color w:val="auto"/>
                <w:sz w:val="24"/>
                <w:szCs w:val="24"/>
                <w:lang w:val="en-US" w:eastAsia="zh-CN"/>
              </w:rPr>
              <w:t>31.9</w:t>
            </w:r>
            <w:r>
              <w:rPr>
                <w:color w:val="auto"/>
                <w:sz w:val="24"/>
                <w:szCs w:val="24"/>
              </w:rPr>
              <w:t>万元，</w:t>
            </w:r>
            <w:r>
              <w:rPr>
                <w:color w:val="auto"/>
                <w:spacing w:val="2"/>
                <w:sz w:val="24"/>
                <w:szCs w:val="24"/>
              </w:rPr>
              <w:t>项目各项环境投资及治理设施所需费用估算见下表。</w:t>
            </w:r>
          </w:p>
          <w:p w14:paraId="30970329">
            <w:pPr>
              <w:pStyle w:val="65"/>
              <w:numPr>
                <w:ilvl w:val="0"/>
                <w:numId w:val="54"/>
              </w:numPr>
              <w:spacing w:before="27" w:line="228" w:lineRule="auto"/>
              <w:ind w:left="0" w:leftChars="0" w:firstLine="0" w:firstLineChars="0"/>
              <w:jc w:val="center"/>
              <w:rPr>
                <w:b/>
                <w:bCs/>
                <w:color w:val="auto"/>
                <w:spacing w:val="4"/>
                <w:sz w:val="24"/>
                <w:szCs w:val="24"/>
              </w:rPr>
            </w:pPr>
            <w:r>
              <w:rPr>
                <w:b/>
                <w:bCs/>
                <w:color w:val="auto"/>
                <w:spacing w:val="4"/>
                <w:sz w:val="24"/>
                <w:szCs w:val="24"/>
              </w:rPr>
              <w:t>施工期环境保护投资一览表</w:t>
            </w:r>
          </w:p>
          <w:tbl>
            <w:tblPr>
              <w:tblStyle w:val="54"/>
              <w:tblW w:w="78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094"/>
              <w:gridCol w:w="2173"/>
              <w:gridCol w:w="1306"/>
              <w:gridCol w:w="1090"/>
              <w:gridCol w:w="1306"/>
              <w:gridCol w:w="889"/>
            </w:tblGrid>
            <w:tr w14:paraId="349205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094" w:type="dxa"/>
                  <w:vAlign w:val="center"/>
                </w:tcPr>
                <w:p w14:paraId="639B2EA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rPr>
                    <w:t>序</w:t>
                  </w:r>
                  <w:r>
                    <w:rPr>
                      <w:rFonts w:hint="default" w:ascii="Times New Roman" w:hAnsi="Times New Roman" w:cs="Times New Roman"/>
                      <w:b/>
                      <w:bCs/>
                      <w:color w:val="auto"/>
                      <w:spacing w:val="12"/>
                    </w:rPr>
                    <w:t xml:space="preserve">  </w:t>
                  </w:r>
                  <w:r>
                    <w:rPr>
                      <w:rFonts w:hint="default" w:ascii="Times New Roman" w:hAnsi="Times New Roman" w:cs="Times New Roman"/>
                      <w:b/>
                      <w:bCs/>
                      <w:color w:val="auto"/>
                    </w:rPr>
                    <w:t>号</w:t>
                  </w:r>
                </w:p>
              </w:tc>
              <w:tc>
                <w:tcPr>
                  <w:tcW w:w="2173" w:type="dxa"/>
                  <w:vAlign w:val="center"/>
                </w:tcPr>
                <w:p w14:paraId="7C69DA5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spacing w:val="8"/>
                    </w:rPr>
                    <w:t>工程或费用名称</w:t>
                  </w:r>
                </w:p>
              </w:tc>
              <w:tc>
                <w:tcPr>
                  <w:tcW w:w="1306" w:type="dxa"/>
                  <w:vAlign w:val="center"/>
                </w:tcPr>
                <w:p w14:paraId="72CA2C4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spacing w:val="7"/>
                    </w:rPr>
                    <w:t>建筑工程费</w:t>
                  </w:r>
                </w:p>
              </w:tc>
              <w:tc>
                <w:tcPr>
                  <w:tcW w:w="1090" w:type="dxa"/>
                  <w:vAlign w:val="center"/>
                </w:tcPr>
                <w:p w14:paraId="212E4BE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spacing w:val="7"/>
                    </w:rPr>
                    <w:t>仪器设备</w:t>
                  </w:r>
                </w:p>
              </w:tc>
              <w:tc>
                <w:tcPr>
                  <w:tcW w:w="1306" w:type="dxa"/>
                  <w:vAlign w:val="center"/>
                </w:tcPr>
                <w:p w14:paraId="1209559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spacing w:val="7"/>
                    </w:rPr>
                    <w:t>非工程措施</w:t>
                  </w:r>
                </w:p>
              </w:tc>
              <w:tc>
                <w:tcPr>
                  <w:tcW w:w="889" w:type="dxa"/>
                  <w:vAlign w:val="center"/>
                </w:tcPr>
                <w:p w14:paraId="19739B8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cs="Times New Roman"/>
                      <w:b/>
                      <w:bCs/>
                      <w:color w:val="auto"/>
                    </w:rPr>
                  </w:pPr>
                  <w:r>
                    <w:rPr>
                      <w:rFonts w:hint="default" w:ascii="Times New Roman" w:hAnsi="Times New Roman" w:cs="Times New Roman"/>
                      <w:b/>
                      <w:bCs/>
                      <w:color w:val="auto"/>
                      <w:spacing w:val="4"/>
                    </w:rPr>
                    <w:t>合计</w:t>
                  </w:r>
                </w:p>
              </w:tc>
            </w:tr>
            <w:tr w14:paraId="37124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1094" w:type="dxa"/>
                  <w:vAlign w:val="center"/>
                </w:tcPr>
                <w:p w14:paraId="2C5D0FE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第一部分</w:t>
                  </w:r>
                </w:p>
              </w:tc>
              <w:tc>
                <w:tcPr>
                  <w:tcW w:w="2173" w:type="dxa"/>
                  <w:vAlign w:val="center"/>
                </w:tcPr>
                <w:p w14:paraId="28B506B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环境监测措施</w:t>
                  </w:r>
                </w:p>
              </w:tc>
              <w:tc>
                <w:tcPr>
                  <w:tcW w:w="1306" w:type="dxa"/>
                  <w:vAlign w:val="center"/>
                </w:tcPr>
                <w:p w14:paraId="57D1ACD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090" w:type="dxa"/>
                  <w:vAlign w:val="center"/>
                </w:tcPr>
                <w:p w14:paraId="77206A3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306" w:type="dxa"/>
                  <w:vAlign w:val="center"/>
                </w:tcPr>
                <w:p w14:paraId="4EAEA86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5.00</w:t>
                  </w:r>
                </w:p>
              </w:tc>
              <w:tc>
                <w:tcPr>
                  <w:tcW w:w="889" w:type="dxa"/>
                  <w:vAlign w:val="center"/>
                </w:tcPr>
                <w:p w14:paraId="0285112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5.00</w:t>
                  </w:r>
                </w:p>
              </w:tc>
            </w:tr>
            <w:tr w14:paraId="78943D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1094" w:type="dxa"/>
                  <w:vAlign w:val="center"/>
                </w:tcPr>
                <w:p w14:paraId="7C9DBCD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1</w:t>
                  </w:r>
                </w:p>
              </w:tc>
              <w:tc>
                <w:tcPr>
                  <w:tcW w:w="2173" w:type="dxa"/>
                  <w:vAlign w:val="center"/>
                </w:tcPr>
                <w:p w14:paraId="78A8F49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水环境监测</w:t>
                  </w:r>
                </w:p>
              </w:tc>
              <w:tc>
                <w:tcPr>
                  <w:tcW w:w="1306" w:type="dxa"/>
                  <w:vAlign w:val="center"/>
                </w:tcPr>
                <w:p w14:paraId="493EBD4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090" w:type="dxa"/>
                  <w:vAlign w:val="center"/>
                </w:tcPr>
                <w:p w14:paraId="1DC9BFFA">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306" w:type="dxa"/>
                  <w:vAlign w:val="center"/>
                </w:tcPr>
                <w:p w14:paraId="1C4FA4A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5.00</w:t>
                  </w:r>
                </w:p>
              </w:tc>
              <w:tc>
                <w:tcPr>
                  <w:tcW w:w="889" w:type="dxa"/>
                  <w:vAlign w:val="center"/>
                </w:tcPr>
                <w:p w14:paraId="1DD47C8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5.00</w:t>
                  </w:r>
                </w:p>
              </w:tc>
            </w:tr>
            <w:tr w14:paraId="62BD83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1094" w:type="dxa"/>
                  <w:vAlign w:val="center"/>
                </w:tcPr>
                <w:p w14:paraId="46C74B29">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第二部分</w:t>
                  </w:r>
                </w:p>
              </w:tc>
              <w:tc>
                <w:tcPr>
                  <w:tcW w:w="2173" w:type="dxa"/>
                  <w:vAlign w:val="center"/>
                </w:tcPr>
                <w:p w14:paraId="11A2345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仪器设备及安装</w:t>
                  </w:r>
                </w:p>
              </w:tc>
              <w:tc>
                <w:tcPr>
                  <w:tcW w:w="1306" w:type="dxa"/>
                  <w:vAlign w:val="center"/>
                </w:tcPr>
                <w:p w14:paraId="11998F8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090" w:type="dxa"/>
                  <w:vAlign w:val="center"/>
                </w:tcPr>
                <w:p w14:paraId="30D51ED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2.51</w:t>
                  </w:r>
                </w:p>
              </w:tc>
              <w:tc>
                <w:tcPr>
                  <w:tcW w:w="1306" w:type="dxa"/>
                  <w:vAlign w:val="center"/>
                </w:tcPr>
                <w:p w14:paraId="5098B9C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7F05FF9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6.11</w:t>
                  </w:r>
                </w:p>
              </w:tc>
            </w:tr>
            <w:tr w14:paraId="71039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094" w:type="dxa"/>
                  <w:vAlign w:val="center"/>
                </w:tcPr>
                <w:p w14:paraId="49FDF2A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1</w:t>
                  </w:r>
                </w:p>
              </w:tc>
              <w:tc>
                <w:tcPr>
                  <w:tcW w:w="2173" w:type="dxa"/>
                  <w:vAlign w:val="center"/>
                </w:tcPr>
                <w:p w14:paraId="05A0422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废（污）水处理</w:t>
                  </w:r>
                </w:p>
              </w:tc>
              <w:tc>
                <w:tcPr>
                  <w:tcW w:w="1306" w:type="dxa"/>
                  <w:vAlign w:val="center"/>
                </w:tcPr>
                <w:p w14:paraId="7C4E7AF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090" w:type="dxa"/>
                  <w:vAlign w:val="center"/>
                </w:tcPr>
                <w:p w14:paraId="7D34143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2.40</w:t>
                  </w:r>
                </w:p>
              </w:tc>
              <w:tc>
                <w:tcPr>
                  <w:tcW w:w="1306" w:type="dxa"/>
                  <w:vAlign w:val="center"/>
                </w:tcPr>
                <w:p w14:paraId="7FA9CB4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5AAC55C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6.00</w:t>
                  </w:r>
                </w:p>
              </w:tc>
            </w:tr>
            <w:tr w14:paraId="72F96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094" w:type="dxa"/>
                  <w:vAlign w:val="center"/>
                </w:tcPr>
                <w:p w14:paraId="6F8AE03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2</w:t>
                  </w:r>
                </w:p>
              </w:tc>
              <w:tc>
                <w:tcPr>
                  <w:tcW w:w="2173" w:type="dxa"/>
                  <w:vAlign w:val="center"/>
                </w:tcPr>
                <w:p w14:paraId="795ACB4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环境空气</w:t>
                  </w:r>
                </w:p>
              </w:tc>
              <w:tc>
                <w:tcPr>
                  <w:tcW w:w="1306" w:type="dxa"/>
                  <w:vAlign w:val="center"/>
                </w:tcPr>
                <w:p w14:paraId="1C5B8E12">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090" w:type="dxa"/>
                  <w:vAlign w:val="center"/>
                </w:tcPr>
                <w:p w14:paraId="42FF0EA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0.00</w:t>
                  </w:r>
                </w:p>
              </w:tc>
              <w:tc>
                <w:tcPr>
                  <w:tcW w:w="1306" w:type="dxa"/>
                  <w:vAlign w:val="center"/>
                </w:tcPr>
                <w:p w14:paraId="118AA56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40FAE9D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0.00</w:t>
                  </w:r>
                </w:p>
              </w:tc>
            </w:tr>
            <w:tr w14:paraId="32A2E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094" w:type="dxa"/>
                  <w:vAlign w:val="center"/>
                </w:tcPr>
                <w:p w14:paraId="5771D4C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3</w:t>
                  </w:r>
                </w:p>
              </w:tc>
              <w:tc>
                <w:tcPr>
                  <w:tcW w:w="2173" w:type="dxa"/>
                  <w:vAlign w:val="center"/>
                </w:tcPr>
                <w:p w14:paraId="2421B3A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固体废物</w:t>
                  </w:r>
                </w:p>
              </w:tc>
              <w:tc>
                <w:tcPr>
                  <w:tcW w:w="1306" w:type="dxa"/>
                  <w:vAlign w:val="center"/>
                </w:tcPr>
                <w:p w14:paraId="50C24DA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090" w:type="dxa"/>
                  <w:vAlign w:val="center"/>
                </w:tcPr>
                <w:p w14:paraId="1E6B87E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0.11</w:t>
                  </w:r>
                </w:p>
              </w:tc>
              <w:tc>
                <w:tcPr>
                  <w:tcW w:w="1306" w:type="dxa"/>
                  <w:vAlign w:val="center"/>
                </w:tcPr>
                <w:p w14:paraId="3C1497E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76B76DF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0.11</w:t>
                  </w:r>
                </w:p>
              </w:tc>
            </w:tr>
            <w:tr w14:paraId="03320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094" w:type="dxa"/>
                  <w:vAlign w:val="center"/>
                </w:tcPr>
                <w:p w14:paraId="40EB2CC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第三部分</w:t>
                  </w:r>
                </w:p>
              </w:tc>
              <w:tc>
                <w:tcPr>
                  <w:tcW w:w="2173" w:type="dxa"/>
                  <w:vAlign w:val="center"/>
                </w:tcPr>
                <w:p w14:paraId="1A218E3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环境保护临时措施</w:t>
                  </w:r>
                </w:p>
              </w:tc>
              <w:tc>
                <w:tcPr>
                  <w:tcW w:w="1306" w:type="dxa"/>
                  <w:vAlign w:val="center"/>
                </w:tcPr>
                <w:p w14:paraId="7057D44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5.47</w:t>
                  </w:r>
                </w:p>
              </w:tc>
              <w:tc>
                <w:tcPr>
                  <w:tcW w:w="1090" w:type="dxa"/>
                  <w:vAlign w:val="center"/>
                </w:tcPr>
                <w:p w14:paraId="42E646E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306" w:type="dxa"/>
                  <w:vAlign w:val="center"/>
                </w:tcPr>
                <w:p w14:paraId="69975E0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37F383F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2.44</w:t>
                  </w:r>
                </w:p>
              </w:tc>
            </w:tr>
            <w:tr w14:paraId="3F59F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094" w:type="dxa"/>
                  <w:vAlign w:val="center"/>
                </w:tcPr>
                <w:p w14:paraId="564B461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1</w:t>
                  </w:r>
                </w:p>
              </w:tc>
              <w:tc>
                <w:tcPr>
                  <w:tcW w:w="2173" w:type="dxa"/>
                  <w:vAlign w:val="center"/>
                </w:tcPr>
                <w:p w14:paraId="079E842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废水处理</w:t>
                  </w:r>
                </w:p>
              </w:tc>
              <w:tc>
                <w:tcPr>
                  <w:tcW w:w="1306" w:type="dxa"/>
                  <w:vAlign w:val="center"/>
                </w:tcPr>
                <w:p w14:paraId="1D200F4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3.86</w:t>
                  </w:r>
                </w:p>
              </w:tc>
              <w:tc>
                <w:tcPr>
                  <w:tcW w:w="1090" w:type="dxa"/>
                  <w:vAlign w:val="center"/>
                </w:tcPr>
                <w:p w14:paraId="10A8680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306" w:type="dxa"/>
                  <w:vAlign w:val="center"/>
                </w:tcPr>
                <w:p w14:paraId="0C7E21A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603FC30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1.82</w:t>
                  </w:r>
                </w:p>
              </w:tc>
            </w:tr>
            <w:tr w14:paraId="6D1BD4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094" w:type="dxa"/>
                  <w:vAlign w:val="center"/>
                </w:tcPr>
                <w:p w14:paraId="584C5B5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2</w:t>
                  </w:r>
                </w:p>
              </w:tc>
              <w:tc>
                <w:tcPr>
                  <w:tcW w:w="2173" w:type="dxa"/>
                  <w:vAlign w:val="center"/>
                </w:tcPr>
                <w:p w14:paraId="7FB202AB">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环境保护宣传</w:t>
                  </w:r>
                </w:p>
              </w:tc>
              <w:tc>
                <w:tcPr>
                  <w:tcW w:w="1306" w:type="dxa"/>
                  <w:vAlign w:val="center"/>
                </w:tcPr>
                <w:p w14:paraId="36E2B0F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0.06</w:t>
                  </w:r>
                </w:p>
              </w:tc>
              <w:tc>
                <w:tcPr>
                  <w:tcW w:w="1090" w:type="dxa"/>
                  <w:vAlign w:val="center"/>
                </w:tcPr>
                <w:p w14:paraId="06536F1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306" w:type="dxa"/>
                  <w:vAlign w:val="center"/>
                </w:tcPr>
                <w:p w14:paraId="36237D7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4743119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0.06</w:t>
                  </w:r>
                </w:p>
              </w:tc>
            </w:tr>
            <w:tr w14:paraId="030975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094" w:type="dxa"/>
                  <w:vAlign w:val="center"/>
                </w:tcPr>
                <w:p w14:paraId="5D7FB187">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3</w:t>
                  </w:r>
                </w:p>
              </w:tc>
              <w:tc>
                <w:tcPr>
                  <w:tcW w:w="2173" w:type="dxa"/>
                  <w:vAlign w:val="center"/>
                </w:tcPr>
                <w:p w14:paraId="234B54AC">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人群健康保护</w:t>
                  </w:r>
                </w:p>
              </w:tc>
              <w:tc>
                <w:tcPr>
                  <w:tcW w:w="1306" w:type="dxa"/>
                  <w:vAlign w:val="center"/>
                </w:tcPr>
                <w:p w14:paraId="09BFBC83">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1.55</w:t>
                  </w:r>
                </w:p>
              </w:tc>
              <w:tc>
                <w:tcPr>
                  <w:tcW w:w="1090" w:type="dxa"/>
                  <w:vAlign w:val="center"/>
                </w:tcPr>
                <w:p w14:paraId="70BE8C03">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306" w:type="dxa"/>
                  <w:vAlign w:val="center"/>
                </w:tcPr>
                <w:p w14:paraId="072944F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0C4B485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0.56</w:t>
                  </w:r>
                </w:p>
              </w:tc>
            </w:tr>
            <w:tr w14:paraId="00A774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094" w:type="dxa"/>
                  <w:vAlign w:val="center"/>
                </w:tcPr>
                <w:p w14:paraId="59FBE5F6">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第四部分</w:t>
                  </w:r>
                </w:p>
              </w:tc>
              <w:tc>
                <w:tcPr>
                  <w:tcW w:w="2173" w:type="dxa"/>
                  <w:vAlign w:val="center"/>
                </w:tcPr>
                <w:p w14:paraId="5F3DCFC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独立费用</w:t>
                  </w:r>
                </w:p>
              </w:tc>
              <w:tc>
                <w:tcPr>
                  <w:tcW w:w="1306" w:type="dxa"/>
                  <w:vAlign w:val="center"/>
                </w:tcPr>
                <w:p w14:paraId="78AB90D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090" w:type="dxa"/>
                  <w:vAlign w:val="center"/>
                </w:tcPr>
                <w:p w14:paraId="1BC038F7">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306" w:type="dxa"/>
                  <w:vAlign w:val="center"/>
                </w:tcPr>
                <w:p w14:paraId="53F47B2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63C290C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18.00</w:t>
                  </w:r>
                </w:p>
              </w:tc>
            </w:tr>
            <w:tr w14:paraId="1F922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094" w:type="dxa"/>
                  <w:vAlign w:val="center"/>
                </w:tcPr>
                <w:p w14:paraId="637F6CBC">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1</w:t>
                  </w:r>
                </w:p>
              </w:tc>
              <w:tc>
                <w:tcPr>
                  <w:tcW w:w="2173" w:type="dxa"/>
                  <w:vAlign w:val="center"/>
                </w:tcPr>
                <w:p w14:paraId="7D67FC0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建设管理费</w:t>
                  </w:r>
                </w:p>
              </w:tc>
              <w:tc>
                <w:tcPr>
                  <w:tcW w:w="1306" w:type="dxa"/>
                  <w:vAlign w:val="center"/>
                </w:tcPr>
                <w:p w14:paraId="4D7455E8">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090" w:type="dxa"/>
                  <w:vAlign w:val="center"/>
                </w:tcPr>
                <w:p w14:paraId="7D377E4B">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306" w:type="dxa"/>
                  <w:vAlign w:val="center"/>
                </w:tcPr>
                <w:p w14:paraId="7EB7AA7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3DDF776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11.00</w:t>
                  </w:r>
                </w:p>
              </w:tc>
            </w:tr>
            <w:tr w14:paraId="6B5CF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094" w:type="dxa"/>
                  <w:vAlign w:val="center"/>
                </w:tcPr>
                <w:p w14:paraId="48D11AA4">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2</w:t>
                  </w:r>
                </w:p>
              </w:tc>
              <w:tc>
                <w:tcPr>
                  <w:tcW w:w="2173" w:type="dxa"/>
                  <w:vAlign w:val="center"/>
                </w:tcPr>
                <w:p w14:paraId="39925BAE">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环境监理费</w:t>
                  </w:r>
                </w:p>
              </w:tc>
              <w:tc>
                <w:tcPr>
                  <w:tcW w:w="1306" w:type="dxa"/>
                  <w:vAlign w:val="center"/>
                </w:tcPr>
                <w:p w14:paraId="1B8CFCF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090" w:type="dxa"/>
                  <w:vAlign w:val="center"/>
                </w:tcPr>
                <w:p w14:paraId="5547304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306" w:type="dxa"/>
                  <w:vAlign w:val="center"/>
                </w:tcPr>
                <w:p w14:paraId="17B3CD1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59727BE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3.00</w:t>
                  </w:r>
                </w:p>
              </w:tc>
            </w:tr>
            <w:tr w14:paraId="5E478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094" w:type="dxa"/>
                  <w:vAlign w:val="center"/>
                </w:tcPr>
                <w:p w14:paraId="55C75D51">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eastAsia" w:ascii="Times New Roman" w:hAnsi="Times New Roman" w:eastAsia="宋体" w:cs="Times New Roman"/>
                      <w:b w:val="0"/>
                      <w:bCs w:val="0"/>
                      <w:color w:val="auto"/>
                      <w:spacing w:val="6"/>
                      <w:kern w:val="0"/>
                      <w:sz w:val="21"/>
                      <w:szCs w:val="21"/>
                      <w:lang w:val="en-US" w:eastAsia="zh-CN" w:bidi="ar-SA"/>
                    </w:rPr>
                  </w:pPr>
                  <w:r>
                    <w:rPr>
                      <w:rFonts w:hint="eastAsia" w:ascii="Times New Roman" w:hAnsi="Times New Roman" w:eastAsia="宋体" w:cs="Times New Roman"/>
                      <w:b w:val="0"/>
                      <w:bCs w:val="0"/>
                      <w:color w:val="auto"/>
                      <w:spacing w:val="6"/>
                      <w:kern w:val="0"/>
                      <w:sz w:val="21"/>
                      <w:szCs w:val="21"/>
                      <w:lang w:val="en-US" w:eastAsia="zh-CN" w:bidi="ar-SA"/>
                    </w:rPr>
                    <w:t>3</w:t>
                  </w:r>
                </w:p>
              </w:tc>
              <w:tc>
                <w:tcPr>
                  <w:tcW w:w="2173" w:type="dxa"/>
                  <w:vAlign w:val="center"/>
                </w:tcPr>
                <w:p w14:paraId="60B90D0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科研勘测设计咨询费</w:t>
                  </w:r>
                </w:p>
              </w:tc>
              <w:tc>
                <w:tcPr>
                  <w:tcW w:w="1306" w:type="dxa"/>
                  <w:vAlign w:val="center"/>
                </w:tcPr>
                <w:p w14:paraId="7F6178FD">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090" w:type="dxa"/>
                  <w:vAlign w:val="center"/>
                </w:tcPr>
                <w:p w14:paraId="1CF54ED0">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306" w:type="dxa"/>
                  <w:vAlign w:val="center"/>
                </w:tcPr>
                <w:p w14:paraId="359004FF">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267963C0">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4.00</w:t>
                  </w:r>
                </w:p>
              </w:tc>
            </w:tr>
            <w:tr w14:paraId="638596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3267" w:type="dxa"/>
                  <w:gridSpan w:val="2"/>
                  <w:vAlign w:val="center"/>
                </w:tcPr>
                <w:p w14:paraId="2EF49C3A">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一至四部分之和</w:t>
                  </w:r>
                </w:p>
              </w:tc>
              <w:tc>
                <w:tcPr>
                  <w:tcW w:w="1306" w:type="dxa"/>
                  <w:vAlign w:val="center"/>
                </w:tcPr>
                <w:p w14:paraId="1B85937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5.47</w:t>
                  </w:r>
                </w:p>
              </w:tc>
              <w:tc>
                <w:tcPr>
                  <w:tcW w:w="1090" w:type="dxa"/>
                  <w:vAlign w:val="center"/>
                </w:tcPr>
                <w:p w14:paraId="00B1E93D">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2.51</w:t>
                  </w:r>
                </w:p>
              </w:tc>
              <w:tc>
                <w:tcPr>
                  <w:tcW w:w="1306" w:type="dxa"/>
                  <w:vAlign w:val="center"/>
                </w:tcPr>
                <w:p w14:paraId="3BF9CED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5.00</w:t>
                  </w:r>
                </w:p>
              </w:tc>
              <w:tc>
                <w:tcPr>
                  <w:tcW w:w="889" w:type="dxa"/>
                  <w:vAlign w:val="center"/>
                </w:tcPr>
                <w:p w14:paraId="37F9CFB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101.55</w:t>
                  </w:r>
                </w:p>
              </w:tc>
            </w:tr>
            <w:tr w14:paraId="44992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3267" w:type="dxa"/>
                  <w:gridSpan w:val="2"/>
                  <w:vAlign w:val="center"/>
                </w:tcPr>
                <w:p w14:paraId="742CD0D2">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基本预备费</w:t>
                  </w:r>
                </w:p>
              </w:tc>
              <w:tc>
                <w:tcPr>
                  <w:tcW w:w="1306" w:type="dxa"/>
                  <w:vAlign w:val="center"/>
                </w:tcPr>
                <w:p w14:paraId="22DDA895">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090" w:type="dxa"/>
                  <w:vAlign w:val="center"/>
                </w:tcPr>
                <w:p w14:paraId="164ED81E">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306" w:type="dxa"/>
                  <w:vAlign w:val="center"/>
                </w:tcPr>
                <w:p w14:paraId="2225A9AA">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54AF907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0.93</w:t>
                  </w:r>
                </w:p>
              </w:tc>
            </w:tr>
            <w:tr w14:paraId="0ADA0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3267" w:type="dxa"/>
                  <w:gridSpan w:val="2"/>
                  <w:vAlign w:val="center"/>
                </w:tcPr>
                <w:p w14:paraId="5A0F08D8">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环境保护总投资</w:t>
                  </w:r>
                </w:p>
              </w:tc>
              <w:tc>
                <w:tcPr>
                  <w:tcW w:w="1306" w:type="dxa"/>
                  <w:vAlign w:val="center"/>
                </w:tcPr>
                <w:p w14:paraId="60EC455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090" w:type="dxa"/>
                  <w:vAlign w:val="center"/>
                </w:tcPr>
                <w:p w14:paraId="74564864">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1306" w:type="dxa"/>
                  <w:vAlign w:val="center"/>
                </w:tcPr>
                <w:p w14:paraId="1C7D1BDF">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p>
              </w:tc>
              <w:tc>
                <w:tcPr>
                  <w:tcW w:w="889" w:type="dxa"/>
                  <w:vAlign w:val="center"/>
                </w:tcPr>
                <w:p w14:paraId="7F11C1C1">
                  <w:pPr>
                    <w:pStyle w:val="65"/>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6"/>
                      <w:kern w:val="0"/>
                      <w:sz w:val="21"/>
                      <w:szCs w:val="21"/>
                      <w:lang w:val="en-US" w:eastAsia="zh-CN" w:bidi="ar-SA"/>
                    </w:rPr>
                  </w:pPr>
                  <w:r>
                    <w:rPr>
                      <w:rFonts w:hint="default" w:ascii="Times New Roman" w:hAnsi="Times New Roman" w:eastAsia="宋体" w:cs="Times New Roman"/>
                      <w:b w:val="0"/>
                      <w:bCs w:val="0"/>
                      <w:color w:val="auto"/>
                      <w:spacing w:val="6"/>
                      <w:kern w:val="0"/>
                      <w:sz w:val="21"/>
                      <w:szCs w:val="21"/>
                      <w:lang w:val="en-US" w:eastAsia="zh-CN" w:bidi="ar-SA"/>
                    </w:rPr>
                    <w:t>31.90</w:t>
                  </w:r>
                </w:p>
              </w:tc>
            </w:tr>
          </w:tbl>
          <w:p w14:paraId="3482CE4E">
            <w:pPr>
              <w:pStyle w:val="65"/>
              <w:numPr>
                <w:ilvl w:val="0"/>
                <w:numId w:val="0"/>
              </w:numPr>
              <w:spacing w:before="27" w:line="228" w:lineRule="auto"/>
              <w:ind w:leftChars="0"/>
              <w:jc w:val="both"/>
              <w:rPr>
                <w:b/>
                <w:bCs/>
                <w:color w:val="auto"/>
                <w:spacing w:val="4"/>
                <w:sz w:val="24"/>
                <w:szCs w:val="24"/>
              </w:rPr>
            </w:pPr>
          </w:p>
          <w:p w14:paraId="4E21A8CD">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03A8DDE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207FC0B4">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40EA78D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018D7782">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5A81FCDB">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5DACBDEB">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31251C7A">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11B360C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1702A9B1">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2A801E36">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7DAB9141">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6D2B67B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5E9D14D2">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2516ADF4">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38AC0662">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43A87885">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5E39358D">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67384F6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2AD4D29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0C2A47B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566D0E15">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5E81BE9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47CCB006">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147B37C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5F284CD5">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4F10610D">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57F6087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6EBFCA2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7D4F352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13DEBB90">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22A0A4E1">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2B901B62">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713CB408">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7B5E06E5">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6602DDDB">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3302476C">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0D14CA16">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376BB9A5">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54C7722C">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1999BA4B">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3E693AC5">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5D1F3016">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15E3845B">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76FEB677">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13426402">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37CA7DC8">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p w14:paraId="0162FAED">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0"/>
              <w:rPr>
                <w:color w:val="auto"/>
              </w:rPr>
            </w:pPr>
          </w:p>
        </w:tc>
      </w:tr>
    </w:tbl>
    <w:p w14:paraId="5C3BBF3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outlineLvl w:val="0"/>
        <w:rPr>
          <w:rFonts w:ascii="微软雅黑" w:hAnsi="微软雅黑" w:eastAsia="微软雅黑" w:cs="微软雅黑"/>
          <w:spacing w:val="-6"/>
          <w:sz w:val="30"/>
          <w:szCs w:val="30"/>
        </w:rPr>
      </w:pPr>
      <w:bookmarkStart w:id="55" w:name="_Toc3217"/>
      <w:bookmarkStart w:id="56" w:name="_Toc9895"/>
      <w:r>
        <w:rPr>
          <w:rFonts w:ascii="微软雅黑" w:hAnsi="微软雅黑" w:eastAsia="微软雅黑" w:cs="微软雅黑"/>
          <w:spacing w:val="-6"/>
          <w:sz w:val="30"/>
          <w:szCs w:val="30"/>
        </w:rPr>
        <w:t>六、生态环境保护措施监督检查清单</w:t>
      </w:r>
      <w:bookmarkEnd w:id="55"/>
      <w:bookmarkEnd w:id="56"/>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2"/>
        <w:gridCol w:w="3344"/>
        <w:gridCol w:w="1635"/>
        <w:gridCol w:w="1284"/>
        <w:gridCol w:w="1153"/>
      </w:tblGrid>
      <w:tr w14:paraId="59F5E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022" w:type="dxa"/>
            <w:vMerge w:val="restart"/>
            <w:vAlign w:val="center"/>
            <mc:AlternateContent>
              <mc:Choice Requires="wpsCustomData">
                <wpsCustomData:diagonals>
                  <wpsCustomData:diagonal from="10000" to="30000">
                    <wpsCustomData:border w:val="single" w:color="auto" w:sz="4" w:space="0"/>
                  </wpsCustomData:diagonal>
                </wpsCustomData:diagonals>
              </mc:Choice>
            </mc:AlternateContent>
          </w:tcPr>
          <w:p w14:paraId="2E2357C3">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mc:AlternateContent>
                <mc:Choice Requires="wpsCustomData">
                  <wpsCustomData:diagonalParaType/>
                </mc:Choice>
              </mc:AlternateContent>
              <w:rPr>
                <w:rFonts w:hint="default" w:ascii="宋体" w:hAnsi="宋体" w:eastAsia="宋体" w:cs="宋体"/>
                <w:snapToGrid w:val="0"/>
                <w:color w:val="000000"/>
                <w:spacing w:val="16"/>
                <w:kern w:val="0"/>
                <w:sz w:val="21"/>
                <w:szCs w:val="21"/>
                <w:lang w:val="en-US" w:eastAsia="zh-CN" w:bidi="ar-SA"/>
              </w:rPr>
            </w:pPr>
            <w:bookmarkStart w:id="57" w:name="_Toc24651"/>
            <w:bookmarkStart w:id="58" w:name="_Toc16860"/>
            <w:r>
              <w:rPr>
                <w:rFonts w:hint="eastAsia" w:ascii="宋体" w:hAnsi="宋体" w:eastAsia="宋体" w:cs="宋体"/>
                <w:snapToGrid w:val="0"/>
                <w:color w:val="000000"/>
                <w:spacing w:val="16"/>
                <w:kern w:val="0"/>
                <w:sz w:val="21"/>
                <w:szCs w:val="21"/>
                <w:lang w:val="en-US" w:eastAsia="zh-CN" w:bidi="ar-SA"/>
              </w:rPr>
              <w:t>要素</w:t>
            </w:r>
            <w:bookmarkEnd w:id="57"/>
            <w:bookmarkEnd w:id="58"/>
          </w:p>
          <w:p w14:paraId="0850975F">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default" w:ascii="宋体" w:hAnsi="宋体" w:eastAsia="宋体" w:cs="宋体"/>
                <w:snapToGrid w:val="0"/>
                <w:color w:val="000000"/>
                <w:spacing w:val="16"/>
                <w:kern w:val="0"/>
                <w:sz w:val="21"/>
                <w:szCs w:val="21"/>
                <w:lang w:val="en-US" w:eastAsia="zh-CN" w:bidi="ar-SA"/>
              </w:rPr>
            </w:pPr>
            <w:bookmarkStart w:id="59" w:name="_Toc6562"/>
            <w:bookmarkStart w:id="60" w:name="_Toc26205"/>
            <w:r>
              <w:rPr>
                <w:rFonts w:hint="eastAsia" w:ascii="宋体" w:hAnsi="宋体" w:eastAsia="宋体" w:cs="宋体"/>
                <w:snapToGrid w:val="0"/>
                <w:color w:val="000000"/>
                <w:spacing w:val="16"/>
                <w:kern w:val="0"/>
                <w:sz w:val="21"/>
                <w:szCs w:val="21"/>
                <w:lang w:val="en-US" w:eastAsia="zh-CN" w:bidi="ar-SA"/>
              </w:rPr>
              <w:t>内容</w:t>
            </w:r>
            <w:bookmarkEnd w:id="59"/>
            <w:bookmarkEnd w:id="60"/>
          </w:p>
        </w:tc>
        <w:tc>
          <w:tcPr>
            <w:tcW w:w="4979" w:type="dxa"/>
            <w:gridSpan w:val="2"/>
            <w:vAlign w:val="center"/>
          </w:tcPr>
          <w:p w14:paraId="05965FF1">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default" w:ascii="宋体" w:hAnsi="宋体" w:eastAsia="宋体" w:cs="宋体"/>
                <w:snapToGrid w:val="0"/>
                <w:color w:val="000000"/>
                <w:spacing w:val="16"/>
                <w:kern w:val="0"/>
                <w:sz w:val="21"/>
                <w:szCs w:val="21"/>
                <w:lang w:val="en-US" w:eastAsia="en-US" w:bidi="ar-SA"/>
              </w:rPr>
            </w:pPr>
            <w:bookmarkStart w:id="61" w:name="_Toc31183"/>
            <w:bookmarkStart w:id="62" w:name="_Toc4564"/>
            <w:r>
              <w:rPr>
                <w:rFonts w:hint="eastAsia" w:ascii="宋体" w:hAnsi="宋体" w:eastAsia="宋体" w:cs="宋体"/>
                <w:snapToGrid w:val="0"/>
                <w:color w:val="000000"/>
                <w:spacing w:val="16"/>
                <w:kern w:val="0"/>
                <w:sz w:val="21"/>
                <w:szCs w:val="21"/>
                <w:lang w:val="en-US" w:eastAsia="zh-CN" w:bidi="ar-SA"/>
              </w:rPr>
              <w:t>施工期</w:t>
            </w:r>
            <w:bookmarkEnd w:id="61"/>
            <w:bookmarkEnd w:id="62"/>
          </w:p>
        </w:tc>
        <w:tc>
          <w:tcPr>
            <w:tcW w:w="2437" w:type="dxa"/>
            <w:gridSpan w:val="2"/>
            <w:vAlign w:val="center"/>
          </w:tcPr>
          <w:p w14:paraId="5F8255CF">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default" w:ascii="宋体" w:hAnsi="宋体" w:eastAsia="宋体" w:cs="宋体"/>
                <w:snapToGrid w:val="0"/>
                <w:color w:val="000000"/>
                <w:spacing w:val="16"/>
                <w:kern w:val="0"/>
                <w:sz w:val="21"/>
                <w:szCs w:val="21"/>
                <w:lang w:val="en-US" w:eastAsia="en-US" w:bidi="ar-SA"/>
              </w:rPr>
            </w:pPr>
            <w:bookmarkStart w:id="63" w:name="_Toc21020"/>
            <w:bookmarkStart w:id="64" w:name="_Toc14263"/>
            <w:r>
              <w:rPr>
                <w:rFonts w:hint="eastAsia" w:ascii="宋体" w:hAnsi="宋体" w:eastAsia="宋体" w:cs="宋体"/>
                <w:snapToGrid w:val="0"/>
                <w:color w:val="000000"/>
                <w:spacing w:val="16"/>
                <w:kern w:val="0"/>
                <w:sz w:val="21"/>
                <w:szCs w:val="21"/>
                <w:lang w:val="en-US" w:eastAsia="zh-CN" w:bidi="ar-SA"/>
              </w:rPr>
              <w:t>运营期</w:t>
            </w:r>
            <w:bookmarkEnd w:id="63"/>
            <w:bookmarkEnd w:id="64"/>
          </w:p>
        </w:tc>
      </w:tr>
      <w:tr w14:paraId="5048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022" w:type="dxa"/>
            <w:vMerge w:val="continue"/>
            <w:vAlign w:val="center"/>
          </w:tcPr>
          <w:p w14:paraId="71A21CA7">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eastAsia" w:ascii="宋体" w:hAnsi="宋体" w:eastAsia="宋体" w:cs="宋体"/>
                <w:snapToGrid w:val="0"/>
                <w:color w:val="000000"/>
                <w:spacing w:val="16"/>
                <w:kern w:val="0"/>
                <w:sz w:val="21"/>
                <w:szCs w:val="21"/>
                <w:lang w:val="en-US" w:eastAsia="zh-CN" w:bidi="ar-SA"/>
              </w:rPr>
            </w:pPr>
          </w:p>
        </w:tc>
        <w:tc>
          <w:tcPr>
            <w:tcW w:w="3344" w:type="dxa"/>
            <w:vAlign w:val="center"/>
          </w:tcPr>
          <w:p w14:paraId="34396CB3">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default" w:ascii="宋体" w:hAnsi="宋体" w:eastAsia="宋体" w:cs="宋体"/>
                <w:snapToGrid w:val="0"/>
                <w:color w:val="000000"/>
                <w:spacing w:val="16"/>
                <w:kern w:val="0"/>
                <w:sz w:val="21"/>
                <w:szCs w:val="21"/>
                <w:lang w:val="en-US" w:eastAsia="en-US" w:bidi="ar-SA"/>
              </w:rPr>
            </w:pPr>
            <w:bookmarkStart w:id="65" w:name="_Toc5673"/>
            <w:bookmarkStart w:id="66" w:name="_Toc25571"/>
            <w:r>
              <w:rPr>
                <w:rFonts w:hint="eastAsia" w:ascii="宋体" w:hAnsi="宋体" w:eastAsia="宋体" w:cs="宋体"/>
                <w:snapToGrid w:val="0"/>
                <w:color w:val="000000"/>
                <w:spacing w:val="16"/>
                <w:kern w:val="0"/>
                <w:sz w:val="21"/>
                <w:szCs w:val="21"/>
                <w:lang w:val="en-US" w:eastAsia="zh-CN" w:bidi="ar-SA"/>
              </w:rPr>
              <w:t>环境保护措施</w:t>
            </w:r>
            <w:bookmarkEnd w:id="65"/>
            <w:bookmarkEnd w:id="66"/>
          </w:p>
        </w:tc>
        <w:tc>
          <w:tcPr>
            <w:tcW w:w="1635" w:type="dxa"/>
            <w:vAlign w:val="center"/>
          </w:tcPr>
          <w:p w14:paraId="343EB953">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default" w:ascii="宋体" w:hAnsi="宋体" w:eastAsia="宋体" w:cs="宋体"/>
                <w:snapToGrid w:val="0"/>
                <w:color w:val="000000"/>
                <w:spacing w:val="16"/>
                <w:kern w:val="0"/>
                <w:sz w:val="21"/>
                <w:szCs w:val="21"/>
                <w:lang w:val="en-US" w:eastAsia="en-US" w:bidi="ar-SA"/>
              </w:rPr>
            </w:pPr>
            <w:bookmarkStart w:id="67" w:name="_Toc5253"/>
            <w:bookmarkStart w:id="68" w:name="_Toc27170"/>
            <w:r>
              <w:rPr>
                <w:rFonts w:hint="eastAsia" w:ascii="宋体" w:hAnsi="宋体" w:eastAsia="宋体" w:cs="宋体"/>
                <w:snapToGrid w:val="0"/>
                <w:color w:val="000000"/>
                <w:spacing w:val="16"/>
                <w:kern w:val="0"/>
                <w:sz w:val="21"/>
                <w:szCs w:val="21"/>
                <w:lang w:val="en-US" w:eastAsia="zh-CN" w:bidi="ar-SA"/>
              </w:rPr>
              <w:t>验收要求</w:t>
            </w:r>
            <w:bookmarkEnd w:id="67"/>
            <w:bookmarkEnd w:id="68"/>
          </w:p>
        </w:tc>
        <w:tc>
          <w:tcPr>
            <w:tcW w:w="1284" w:type="dxa"/>
            <w:vAlign w:val="center"/>
          </w:tcPr>
          <w:p w14:paraId="18516B7F">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default" w:ascii="宋体" w:hAnsi="宋体" w:eastAsia="宋体" w:cs="宋体"/>
                <w:snapToGrid w:val="0"/>
                <w:color w:val="000000"/>
                <w:spacing w:val="16"/>
                <w:kern w:val="0"/>
                <w:sz w:val="21"/>
                <w:szCs w:val="21"/>
                <w:lang w:val="en-US" w:eastAsia="en-US" w:bidi="ar-SA"/>
              </w:rPr>
            </w:pPr>
            <w:bookmarkStart w:id="69" w:name="_Toc16845"/>
            <w:bookmarkStart w:id="70" w:name="_Toc28249"/>
            <w:r>
              <w:rPr>
                <w:rFonts w:hint="eastAsia" w:ascii="宋体" w:hAnsi="宋体" w:eastAsia="宋体" w:cs="宋体"/>
                <w:snapToGrid w:val="0"/>
                <w:color w:val="000000"/>
                <w:spacing w:val="16"/>
                <w:kern w:val="0"/>
                <w:sz w:val="21"/>
                <w:szCs w:val="21"/>
                <w:lang w:val="en-US" w:eastAsia="zh-CN" w:bidi="ar-SA"/>
              </w:rPr>
              <w:t>环境保护措施</w:t>
            </w:r>
            <w:bookmarkEnd w:id="69"/>
            <w:bookmarkEnd w:id="70"/>
          </w:p>
        </w:tc>
        <w:tc>
          <w:tcPr>
            <w:tcW w:w="1153" w:type="dxa"/>
            <w:vAlign w:val="center"/>
          </w:tcPr>
          <w:p w14:paraId="6E449A17">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default" w:ascii="宋体" w:hAnsi="宋体" w:eastAsia="宋体" w:cs="宋体"/>
                <w:snapToGrid w:val="0"/>
                <w:color w:val="000000"/>
                <w:spacing w:val="16"/>
                <w:kern w:val="0"/>
                <w:sz w:val="21"/>
                <w:szCs w:val="21"/>
                <w:lang w:val="en-US" w:eastAsia="en-US" w:bidi="ar-SA"/>
              </w:rPr>
            </w:pPr>
            <w:bookmarkStart w:id="71" w:name="_Toc7045"/>
            <w:bookmarkStart w:id="72" w:name="_Toc1235"/>
            <w:r>
              <w:rPr>
                <w:rFonts w:hint="eastAsia" w:ascii="宋体" w:hAnsi="宋体" w:eastAsia="宋体" w:cs="宋体"/>
                <w:snapToGrid w:val="0"/>
                <w:color w:val="000000"/>
                <w:spacing w:val="16"/>
                <w:kern w:val="0"/>
                <w:sz w:val="21"/>
                <w:szCs w:val="21"/>
                <w:lang w:val="en-US" w:eastAsia="zh-CN" w:bidi="ar-SA"/>
              </w:rPr>
              <w:t>验收要求</w:t>
            </w:r>
            <w:bookmarkEnd w:id="71"/>
            <w:bookmarkEnd w:id="72"/>
          </w:p>
        </w:tc>
      </w:tr>
      <w:tr w14:paraId="4B40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3" w:hRule="atLeast"/>
        </w:trPr>
        <w:tc>
          <w:tcPr>
            <w:tcW w:w="1022" w:type="dxa"/>
            <w:vAlign w:val="center"/>
          </w:tcPr>
          <w:p w14:paraId="774639F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hint="eastAsia" w:ascii="宋体" w:hAnsi="宋体" w:eastAsia="宋体" w:cs="宋体"/>
                <w:snapToGrid w:val="0"/>
                <w:color w:val="000000"/>
                <w:spacing w:val="16"/>
                <w:kern w:val="0"/>
                <w:sz w:val="21"/>
                <w:szCs w:val="21"/>
                <w:lang w:val="en-US" w:eastAsia="zh-CN" w:bidi="ar-SA"/>
              </w:rPr>
              <w:t>陆生生态</w:t>
            </w:r>
          </w:p>
        </w:tc>
        <w:tc>
          <w:tcPr>
            <w:tcW w:w="3344" w:type="dxa"/>
            <w:vAlign w:val="center"/>
          </w:tcPr>
          <w:p w14:paraId="72CC107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2" w:firstLineChars="0"/>
              <w:jc w:val="both"/>
              <w:textAlignment w:val="auto"/>
              <w:rPr>
                <w:rFonts w:hint="eastAsia" w:ascii="宋体" w:hAnsi="宋体" w:eastAsia="宋体" w:cs="宋体"/>
                <w:snapToGrid w:val="0"/>
                <w:color w:val="000000"/>
                <w:spacing w:val="16"/>
                <w:kern w:val="0"/>
                <w:sz w:val="21"/>
                <w:szCs w:val="21"/>
                <w:lang w:val="en-US" w:eastAsia="zh-CN" w:bidi="ar-SA"/>
              </w:rPr>
            </w:pPr>
            <w:r>
              <w:rPr>
                <w:spacing w:val="16"/>
                <w:sz w:val="21"/>
                <w:szCs w:val="21"/>
              </w:rPr>
              <w:t>严格控制施工人员、施工机械、临时占地范围，严禁随意扩大扰动范围。在土方开挖施工时，应严格注意保护原有地表土壤层，按照原土层顺序回填及覆盖，做</w:t>
            </w:r>
            <w:r>
              <w:rPr>
                <w:spacing w:val="15"/>
                <w:sz w:val="21"/>
                <w:szCs w:val="21"/>
              </w:rPr>
              <w:t>到分层开挖，分层堆放，分层回填</w:t>
            </w:r>
            <w:r>
              <w:rPr>
                <w:spacing w:val="4"/>
                <w:sz w:val="21"/>
                <w:szCs w:val="21"/>
              </w:rPr>
              <w:t>；严</w:t>
            </w:r>
            <w:r>
              <w:rPr>
                <w:spacing w:val="22"/>
                <w:sz w:val="21"/>
                <w:szCs w:val="21"/>
              </w:rPr>
              <w:t>禁施工人员非法猎捕当地野生动物和鸟</w:t>
            </w:r>
            <w:r>
              <w:rPr>
                <w:spacing w:val="5"/>
                <w:sz w:val="21"/>
                <w:szCs w:val="21"/>
              </w:rPr>
              <w:t>类；施工结束后，及时拆除、清理临时生</w:t>
            </w:r>
            <w:r>
              <w:rPr>
                <w:spacing w:val="13"/>
                <w:sz w:val="21"/>
                <w:szCs w:val="21"/>
              </w:rPr>
              <w:t>产设施，各类施工迹地应进行清理，平整</w:t>
            </w:r>
            <w:r>
              <w:rPr>
                <w:spacing w:val="5"/>
                <w:sz w:val="21"/>
                <w:szCs w:val="21"/>
              </w:rPr>
              <w:t>场地；建设单位应及时按照水土保持方案要求执行水土保持措施，做好工程区的植被恢复工作和水土保持措施，控制水土流失。</w:t>
            </w:r>
          </w:p>
        </w:tc>
        <w:tc>
          <w:tcPr>
            <w:tcW w:w="1635" w:type="dxa"/>
            <w:vAlign w:val="center"/>
          </w:tcPr>
          <w:p w14:paraId="3AE6ED9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1" w:firstLineChars="0"/>
              <w:jc w:val="both"/>
              <w:textAlignment w:val="auto"/>
              <w:rPr>
                <w:rFonts w:hint="eastAsia" w:ascii="宋体" w:hAnsi="宋体" w:eastAsia="宋体" w:cs="宋体"/>
                <w:snapToGrid w:val="0"/>
                <w:color w:val="000000"/>
                <w:spacing w:val="16"/>
                <w:kern w:val="0"/>
                <w:sz w:val="21"/>
                <w:szCs w:val="21"/>
                <w:lang w:val="en-US" w:eastAsia="zh-CN" w:bidi="ar-SA"/>
              </w:rPr>
            </w:pPr>
            <w:r>
              <w:rPr>
                <w:spacing w:val="-5"/>
                <w:sz w:val="21"/>
                <w:szCs w:val="21"/>
              </w:rPr>
              <w:t>恢复迹地，可绿</w:t>
            </w:r>
            <w:r>
              <w:rPr>
                <w:spacing w:val="27"/>
                <w:sz w:val="21"/>
                <w:szCs w:val="21"/>
              </w:rPr>
              <w:t>化区域进行植</w:t>
            </w:r>
            <w:r>
              <w:rPr>
                <w:spacing w:val="-6"/>
                <w:sz w:val="21"/>
                <w:szCs w:val="21"/>
              </w:rPr>
              <w:t>被恢复，长势良</w:t>
            </w:r>
            <w:r>
              <w:rPr>
                <w:sz w:val="21"/>
                <w:szCs w:val="21"/>
              </w:rPr>
              <w:t>好</w:t>
            </w:r>
          </w:p>
        </w:tc>
        <w:tc>
          <w:tcPr>
            <w:tcW w:w="1284" w:type="dxa"/>
            <w:vAlign w:val="center"/>
          </w:tcPr>
          <w:p w14:paraId="5E66FEC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c>
          <w:tcPr>
            <w:tcW w:w="1153" w:type="dxa"/>
            <w:vAlign w:val="center"/>
          </w:tcPr>
          <w:p w14:paraId="106A2C6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r>
      <w:tr w14:paraId="29FF5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1022" w:type="dxa"/>
            <w:vAlign w:val="center"/>
          </w:tcPr>
          <w:p w14:paraId="5EC2F11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hint="eastAsia" w:ascii="宋体" w:hAnsi="宋体" w:eastAsia="宋体" w:cs="宋体"/>
                <w:snapToGrid w:val="0"/>
                <w:color w:val="000000"/>
                <w:spacing w:val="16"/>
                <w:kern w:val="0"/>
                <w:sz w:val="21"/>
                <w:szCs w:val="21"/>
                <w:lang w:val="en-US" w:eastAsia="zh-CN" w:bidi="ar-SA"/>
              </w:rPr>
              <w:t>水生生态</w:t>
            </w:r>
          </w:p>
        </w:tc>
        <w:tc>
          <w:tcPr>
            <w:tcW w:w="3344" w:type="dxa"/>
            <w:vAlign w:val="center"/>
          </w:tcPr>
          <w:p w14:paraId="7DB8B125">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宋体" w:hAnsi="宋体" w:eastAsia="宋体" w:cs="宋体"/>
                <w:snapToGrid w:val="0"/>
                <w:color w:val="000000"/>
                <w:spacing w:val="16"/>
                <w:kern w:val="0"/>
                <w:sz w:val="21"/>
                <w:szCs w:val="21"/>
                <w:lang w:val="en-US" w:eastAsia="zh-CN" w:bidi="ar-SA"/>
              </w:rPr>
            </w:pPr>
            <w:r>
              <w:rPr>
                <w:spacing w:val="5"/>
                <w:sz w:val="21"/>
                <w:szCs w:val="21"/>
              </w:rPr>
              <w:t>不得利用非施工侧河道布置施工机械、设备，禁止采挖施工范围以外河床；及时恢复河床原貌；禁止捕捞；禁止向河内排放污染</w:t>
            </w:r>
            <w:r>
              <w:rPr>
                <w:sz w:val="21"/>
                <w:szCs w:val="21"/>
              </w:rPr>
              <w:t>物</w:t>
            </w:r>
          </w:p>
        </w:tc>
        <w:tc>
          <w:tcPr>
            <w:tcW w:w="1635" w:type="dxa"/>
            <w:vAlign w:val="center"/>
          </w:tcPr>
          <w:p w14:paraId="6BDF789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snapToGrid w:val="0"/>
                <w:color w:val="000000"/>
                <w:spacing w:val="16"/>
                <w:kern w:val="0"/>
                <w:sz w:val="21"/>
                <w:szCs w:val="21"/>
                <w:lang w:val="en-US" w:eastAsia="zh-CN" w:bidi="ar-SA"/>
              </w:rPr>
            </w:pPr>
            <w:r>
              <w:rPr>
                <w:spacing w:val="5"/>
                <w:sz w:val="21"/>
                <w:szCs w:val="21"/>
              </w:rPr>
              <w:t>河流水生生态环</w:t>
            </w:r>
            <w:r>
              <w:rPr>
                <w:spacing w:val="3"/>
                <w:sz w:val="21"/>
                <w:szCs w:val="21"/>
              </w:rPr>
              <w:t>境得到恢复</w:t>
            </w:r>
          </w:p>
        </w:tc>
        <w:tc>
          <w:tcPr>
            <w:tcW w:w="1284" w:type="dxa"/>
            <w:vAlign w:val="center"/>
          </w:tcPr>
          <w:p w14:paraId="28BFE825">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c>
          <w:tcPr>
            <w:tcW w:w="1153" w:type="dxa"/>
            <w:vAlign w:val="center"/>
          </w:tcPr>
          <w:p w14:paraId="04D6BD0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r>
      <w:tr w14:paraId="1160A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2" w:type="dxa"/>
            <w:vAlign w:val="center"/>
          </w:tcPr>
          <w:p w14:paraId="2F8EAC1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rightChars="0"/>
              <w:jc w:val="center"/>
              <w:textAlignment w:val="auto"/>
              <w:rPr>
                <w:rFonts w:hint="eastAsia" w:ascii="宋体" w:hAnsi="宋体" w:eastAsia="宋体" w:cs="宋体"/>
                <w:snapToGrid w:val="0"/>
                <w:color w:val="000000"/>
                <w:spacing w:val="16"/>
                <w:kern w:val="0"/>
                <w:sz w:val="21"/>
                <w:szCs w:val="21"/>
                <w:lang w:val="en-US" w:eastAsia="zh-CN" w:bidi="ar-SA"/>
              </w:rPr>
            </w:pPr>
            <w:r>
              <w:rPr>
                <w:rFonts w:hint="eastAsia" w:ascii="宋体" w:hAnsi="宋体" w:eastAsia="宋体" w:cs="宋体"/>
                <w:snapToGrid w:val="0"/>
                <w:color w:val="000000"/>
                <w:spacing w:val="16"/>
                <w:kern w:val="0"/>
                <w:sz w:val="21"/>
                <w:szCs w:val="21"/>
                <w:lang w:val="en-US" w:eastAsia="zh-CN" w:bidi="ar-SA"/>
              </w:rPr>
              <w:t>地表水环境</w:t>
            </w:r>
          </w:p>
        </w:tc>
        <w:tc>
          <w:tcPr>
            <w:tcW w:w="3344" w:type="dxa"/>
            <w:vAlign w:val="center"/>
          </w:tcPr>
          <w:p w14:paraId="3969849E">
            <w:pPr>
              <w:pStyle w:val="13"/>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textAlignment w:val="auto"/>
              <w:rPr>
                <w:rFonts w:hint="eastAsia" w:ascii="宋体" w:hAnsi="宋体" w:eastAsia="宋体" w:cs="宋体"/>
                <w:spacing w:val="5"/>
                <w:kern w:val="2"/>
                <w:sz w:val="21"/>
                <w:szCs w:val="21"/>
                <w:lang w:val="en-US" w:eastAsia="zh-CN" w:bidi="ar-SA"/>
              </w:rPr>
            </w:pPr>
            <w:r>
              <w:rPr>
                <w:rFonts w:hint="eastAsia" w:cs="宋体"/>
                <w:spacing w:val="5"/>
                <w:kern w:val="2"/>
                <w:sz w:val="21"/>
                <w:szCs w:val="21"/>
                <w:lang w:val="en-US" w:eastAsia="zh-CN" w:bidi="ar-SA"/>
              </w:rPr>
              <w:t>混凝土临时拌合站拌合</w:t>
            </w:r>
            <w:r>
              <w:rPr>
                <w:rFonts w:hint="default" w:ascii="宋体" w:hAnsi="宋体" w:eastAsia="宋体" w:cs="宋体"/>
                <w:spacing w:val="5"/>
                <w:kern w:val="2"/>
                <w:sz w:val="21"/>
                <w:szCs w:val="21"/>
                <w:lang w:val="en-US" w:eastAsia="en-US" w:bidi="ar-SA"/>
              </w:rPr>
              <w:t>废水</w:t>
            </w:r>
            <w:r>
              <w:rPr>
                <w:rFonts w:hint="eastAsia" w:ascii="宋体" w:hAnsi="宋体" w:eastAsia="宋体" w:cs="宋体"/>
                <w:spacing w:val="5"/>
                <w:kern w:val="2"/>
                <w:sz w:val="21"/>
                <w:szCs w:val="21"/>
                <w:lang w:val="en-US" w:eastAsia="zh-CN" w:bidi="ar-SA"/>
              </w:rPr>
              <w:t>经沉淀处理后回用于混凝土拌和；</w:t>
            </w:r>
            <w:r>
              <w:rPr>
                <w:rFonts w:hint="eastAsia" w:cs="宋体"/>
                <w:spacing w:val="5"/>
                <w:kern w:val="2"/>
                <w:sz w:val="21"/>
                <w:szCs w:val="21"/>
                <w:lang w:val="en-US" w:eastAsia="zh-CN" w:bidi="ar-SA"/>
              </w:rPr>
              <w:t>车辆</w:t>
            </w:r>
            <w:r>
              <w:rPr>
                <w:rFonts w:hint="eastAsia" w:ascii="宋体" w:hAnsi="宋体" w:eastAsia="宋体" w:cs="宋体"/>
                <w:spacing w:val="5"/>
                <w:kern w:val="2"/>
                <w:sz w:val="21"/>
                <w:szCs w:val="21"/>
                <w:lang w:val="en-US" w:eastAsia="zh-CN" w:bidi="ar-SA"/>
              </w:rPr>
              <w:t>清洗废水经</w:t>
            </w:r>
            <w:r>
              <w:rPr>
                <w:rFonts w:hint="eastAsia" w:cs="宋体"/>
                <w:spacing w:val="5"/>
                <w:kern w:val="2"/>
                <w:sz w:val="21"/>
                <w:szCs w:val="21"/>
                <w:lang w:val="en-US" w:eastAsia="zh-CN" w:bidi="ar-SA"/>
              </w:rPr>
              <w:t>沉淀</w:t>
            </w:r>
            <w:r>
              <w:rPr>
                <w:rFonts w:hint="eastAsia" w:ascii="宋体" w:hAnsi="宋体" w:eastAsia="宋体" w:cs="宋体"/>
                <w:spacing w:val="5"/>
                <w:kern w:val="2"/>
                <w:sz w:val="21"/>
                <w:szCs w:val="21"/>
                <w:lang w:val="en-US" w:eastAsia="zh-CN" w:bidi="ar-SA"/>
              </w:rPr>
              <w:t>处理后</w:t>
            </w:r>
            <w:r>
              <w:rPr>
                <w:rFonts w:hint="eastAsia" w:hAnsi="宋体" w:cs="宋体"/>
                <w:spacing w:val="5"/>
                <w:kern w:val="2"/>
                <w:sz w:val="21"/>
                <w:szCs w:val="21"/>
                <w:lang w:val="en-US" w:eastAsia="zh-CN" w:bidi="ar-SA"/>
              </w:rPr>
              <w:t>用</w:t>
            </w:r>
            <w:r>
              <w:rPr>
                <w:rFonts w:hint="default" w:ascii="宋体" w:hAnsi="宋体" w:eastAsia="宋体" w:cs="宋体"/>
                <w:spacing w:val="5"/>
                <w:kern w:val="2"/>
                <w:sz w:val="21"/>
                <w:szCs w:val="21"/>
                <w:lang w:val="en-US" w:eastAsia="en-US" w:bidi="ar-SA"/>
              </w:rPr>
              <w:t>于洒水降尘</w:t>
            </w:r>
            <w:r>
              <w:rPr>
                <w:rFonts w:hint="eastAsia" w:ascii="宋体" w:hAnsi="宋体" w:eastAsia="宋体" w:cs="宋体"/>
                <w:spacing w:val="5"/>
                <w:kern w:val="2"/>
                <w:sz w:val="21"/>
                <w:szCs w:val="21"/>
                <w:lang w:val="en-US" w:eastAsia="zh-CN" w:bidi="ar-SA"/>
              </w:rPr>
              <w:t>；生活污水经化粪池处理后，委托环卫部门清运，不外排</w:t>
            </w:r>
            <w:r>
              <w:rPr>
                <w:rFonts w:hint="eastAsia" w:cs="宋体"/>
                <w:spacing w:val="5"/>
                <w:kern w:val="2"/>
                <w:sz w:val="21"/>
                <w:szCs w:val="21"/>
                <w:lang w:val="en-US" w:eastAsia="zh-CN" w:bidi="ar-SA"/>
              </w:rPr>
              <w:t>。</w:t>
            </w:r>
          </w:p>
        </w:tc>
        <w:tc>
          <w:tcPr>
            <w:tcW w:w="1635" w:type="dxa"/>
            <w:vAlign w:val="center"/>
          </w:tcPr>
          <w:p w14:paraId="7761978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rFonts w:hint="eastAsia" w:ascii="宋体" w:hAnsi="宋体" w:eastAsia="宋体" w:cs="宋体"/>
                <w:spacing w:val="5"/>
                <w:kern w:val="2"/>
                <w:sz w:val="21"/>
                <w:szCs w:val="21"/>
                <w:lang w:val="en-US" w:eastAsia="zh-CN" w:bidi="ar-SA"/>
              </w:rPr>
            </w:pPr>
            <w:r>
              <w:rPr>
                <w:rFonts w:ascii="宋体" w:hAnsi="宋体" w:eastAsia="宋体" w:cs="宋体"/>
                <w:spacing w:val="5"/>
                <w:kern w:val="2"/>
                <w:sz w:val="21"/>
                <w:szCs w:val="21"/>
                <w:lang w:val="en-US" w:eastAsia="en-US" w:bidi="ar-SA"/>
              </w:rPr>
              <w:t>落实相关措施，废水无乱排现象。</w:t>
            </w:r>
          </w:p>
        </w:tc>
        <w:tc>
          <w:tcPr>
            <w:tcW w:w="1284" w:type="dxa"/>
            <w:vAlign w:val="center"/>
          </w:tcPr>
          <w:p w14:paraId="4FF6CD4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c>
          <w:tcPr>
            <w:tcW w:w="1153" w:type="dxa"/>
            <w:vAlign w:val="center"/>
          </w:tcPr>
          <w:p w14:paraId="258CAAF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r>
      <w:tr w14:paraId="152A0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1022" w:type="dxa"/>
            <w:vAlign w:val="center"/>
          </w:tcPr>
          <w:p w14:paraId="3F41EAA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宋体" w:hAnsi="宋体" w:eastAsia="宋体" w:cs="宋体"/>
                <w:spacing w:val="5"/>
                <w:kern w:val="2"/>
                <w:sz w:val="21"/>
                <w:szCs w:val="21"/>
                <w:lang w:val="en-US" w:eastAsia="zh-CN" w:bidi="ar-SA"/>
              </w:rPr>
            </w:pPr>
            <w:r>
              <w:rPr>
                <w:rFonts w:hint="eastAsia" w:ascii="宋体" w:hAnsi="宋体" w:eastAsia="宋体" w:cs="宋体"/>
                <w:spacing w:val="5"/>
                <w:kern w:val="2"/>
                <w:sz w:val="21"/>
                <w:szCs w:val="21"/>
                <w:lang w:val="en-US" w:eastAsia="zh-CN" w:bidi="ar-SA"/>
              </w:rPr>
              <w:t>地下水及土壤环境</w:t>
            </w:r>
          </w:p>
        </w:tc>
        <w:tc>
          <w:tcPr>
            <w:tcW w:w="3344" w:type="dxa"/>
            <w:vAlign w:val="center"/>
          </w:tcPr>
          <w:p w14:paraId="377E94A1">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default" w:ascii="宋体" w:hAnsi="宋体" w:eastAsia="宋体" w:cs="宋体"/>
                <w:spacing w:val="5"/>
                <w:kern w:val="2"/>
                <w:sz w:val="21"/>
                <w:szCs w:val="21"/>
                <w:lang w:val="en-US" w:eastAsia="zh-CN" w:bidi="ar-SA"/>
              </w:rPr>
            </w:pPr>
            <w:r>
              <w:rPr>
                <w:rFonts w:hint="eastAsia" w:cs="宋体"/>
                <w:spacing w:val="5"/>
                <w:kern w:val="2"/>
                <w:sz w:val="21"/>
                <w:szCs w:val="21"/>
                <w:lang w:val="en-US" w:eastAsia="zh-CN" w:bidi="ar-SA"/>
              </w:rPr>
              <w:t>/</w:t>
            </w:r>
          </w:p>
        </w:tc>
        <w:tc>
          <w:tcPr>
            <w:tcW w:w="1635" w:type="dxa"/>
            <w:vAlign w:val="center"/>
          </w:tcPr>
          <w:p w14:paraId="2B4FF17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rFonts w:hint="default" w:ascii="宋体" w:hAnsi="宋体" w:eastAsia="宋体" w:cs="宋体"/>
                <w:spacing w:val="5"/>
                <w:kern w:val="2"/>
                <w:sz w:val="21"/>
                <w:szCs w:val="21"/>
                <w:lang w:val="en-US" w:eastAsia="zh-CN" w:bidi="ar-SA"/>
              </w:rPr>
            </w:pPr>
            <w:r>
              <w:rPr>
                <w:rFonts w:hint="eastAsia" w:cs="宋体"/>
                <w:spacing w:val="5"/>
                <w:kern w:val="2"/>
                <w:sz w:val="21"/>
                <w:szCs w:val="21"/>
                <w:lang w:val="en-US" w:eastAsia="zh-CN" w:bidi="ar-SA"/>
              </w:rPr>
              <w:t>/</w:t>
            </w:r>
          </w:p>
        </w:tc>
        <w:tc>
          <w:tcPr>
            <w:tcW w:w="1284" w:type="dxa"/>
            <w:vAlign w:val="center"/>
          </w:tcPr>
          <w:p w14:paraId="770E0237">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宋体" w:hAnsi="宋体" w:eastAsia="宋体" w:cs="宋体"/>
                <w:spacing w:val="5"/>
                <w:kern w:val="2"/>
                <w:sz w:val="21"/>
                <w:szCs w:val="21"/>
                <w:lang w:val="en-US" w:eastAsia="zh-CN" w:bidi="ar-SA"/>
              </w:rPr>
            </w:pPr>
            <w:r>
              <w:rPr>
                <w:rFonts w:ascii="宋体" w:hAnsi="宋体" w:eastAsia="宋体" w:cs="宋体"/>
                <w:spacing w:val="5"/>
                <w:kern w:val="2"/>
                <w:sz w:val="21"/>
                <w:szCs w:val="21"/>
                <w:lang w:val="en-US" w:eastAsia="en-US" w:bidi="ar-SA"/>
              </w:rPr>
              <w:t>/</w:t>
            </w:r>
          </w:p>
        </w:tc>
        <w:tc>
          <w:tcPr>
            <w:tcW w:w="1153" w:type="dxa"/>
            <w:vAlign w:val="center"/>
          </w:tcPr>
          <w:p w14:paraId="4FBA9CC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r>
      <w:tr w14:paraId="7B1B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trPr>
        <w:tc>
          <w:tcPr>
            <w:tcW w:w="1022" w:type="dxa"/>
            <w:vAlign w:val="center"/>
          </w:tcPr>
          <w:p w14:paraId="3572CDC9">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宋体" w:hAnsi="宋体" w:eastAsia="宋体" w:cs="宋体"/>
                <w:spacing w:val="5"/>
                <w:kern w:val="2"/>
                <w:sz w:val="21"/>
                <w:szCs w:val="21"/>
                <w:lang w:val="en-US" w:eastAsia="zh-CN" w:bidi="ar-SA"/>
              </w:rPr>
            </w:pPr>
            <w:r>
              <w:rPr>
                <w:rFonts w:hint="eastAsia" w:ascii="宋体" w:hAnsi="宋体" w:eastAsia="宋体" w:cs="宋体"/>
                <w:spacing w:val="5"/>
                <w:kern w:val="2"/>
                <w:sz w:val="21"/>
                <w:szCs w:val="21"/>
                <w:lang w:val="en-US" w:eastAsia="zh-CN" w:bidi="ar-SA"/>
              </w:rPr>
              <w:t>声环境</w:t>
            </w:r>
          </w:p>
        </w:tc>
        <w:tc>
          <w:tcPr>
            <w:tcW w:w="3344" w:type="dxa"/>
            <w:vAlign w:val="center"/>
          </w:tcPr>
          <w:p w14:paraId="1B6B011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宋体" w:hAnsi="宋体" w:eastAsia="宋体" w:cs="宋体"/>
                <w:spacing w:val="5"/>
                <w:kern w:val="2"/>
                <w:sz w:val="21"/>
                <w:szCs w:val="21"/>
                <w:lang w:val="en-US" w:eastAsia="zh-CN" w:bidi="ar-SA"/>
              </w:rPr>
            </w:pPr>
            <w:r>
              <w:rPr>
                <w:rFonts w:hint="eastAsia" w:ascii="宋体" w:hAnsi="宋体" w:eastAsia="宋体" w:cs="宋体"/>
                <w:spacing w:val="5"/>
                <w:kern w:val="2"/>
                <w:sz w:val="21"/>
                <w:szCs w:val="21"/>
                <w:lang w:val="en-US" w:eastAsia="zh-CN" w:bidi="ar-SA"/>
              </w:rPr>
              <w:t>选用低噪声设备，加强设备维护与管理，合理布置施工场地，文明施工；村庄，学校段施工设置简易挡墙或移动式围挡。</w:t>
            </w:r>
          </w:p>
        </w:tc>
        <w:tc>
          <w:tcPr>
            <w:tcW w:w="1635" w:type="dxa"/>
            <w:vAlign w:val="center"/>
          </w:tcPr>
          <w:p w14:paraId="3D48F481">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rPr>
                <w:rFonts w:hint="eastAsia" w:ascii="宋体" w:hAnsi="宋体" w:eastAsia="宋体" w:cs="宋体"/>
                <w:snapToGrid w:val="0"/>
                <w:color w:val="000000"/>
                <w:spacing w:val="16"/>
                <w:kern w:val="0"/>
                <w:sz w:val="21"/>
                <w:szCs w:val="21"/>
                <w:lang w:val="en-US" w:eastAsia="zh-CN" w:bidi="ar-SA"/>
              </w:rPr>
            </w:pPr>
            <w:r>
              <w:rPr>
                <w:spacing w:val="8"/>
                <w:sz w:val="21"/>
                <w:szCs w:val="21"/>
              </w:rPr>
              <w:t>满足</w:t>
            </w:r>
            <w:r>
              <w:rPr>
                <w:rFonts w:ascii="Times New Roman" w:hAnsi="Times New Roman" w:eastAsia="Times New Roman" w:cs="Times New Roman"/>
                <w:spacing w:val="-2"/>
                <w:sz w:val="21"/>
                <w:szCs w:val="21"/>
              </w:rPr>
              <w:t>《</w:t>
            </w:r>
            <w:r>
              <w:rPr>
                <w:rFonts w:hint="eastAsia" w:ascii="Times New Roman" w:hAnsi="Times New Roman" w:eastAsia="Times New Roman" w:cs="Times New Roman"/>
                <w:spacing w:val="-2"/>
                <w:sz w:val="21"/>
                <w:szCs w:val="21"/>
              </w:rPr>
              <w:t>建筑施工噪声排放标准</w:t>
            </w:r>
            <w:r>
              <w:rPr>
                <w:rFonts w:ascii="Times New Roman" w:hAnsi="Times New Roman" w:eastAsia="Times New Roman" w:cs="Times New Roman"/>
                <w:spacing w:val="-2"/>
                <w:sz w:val="21"/>
                <w:szCs w:val="21"/>
              </w:rPr>
              <w:t>》（GB12523-20</w:t>
            </w:r>
            <w:r>
              <w:rPr>
                <w:rFonts w:hint="eastAsia" w:ascii="Times New Roman" w:eastAsia="宋体" w:cs="Times New Roman"/>
                <w:spacing w:val="-2"/>
                <w:sz w:val="21"/>
                <w:szCs w:val="21"/>
                <w:lang w:val="en-US" w:eastAsia="zh-CN"/>
              </w:rPr>
              <w:t>25</w:t>
            </w:r>
            <w:r>
              <w:rPr>
                <w:rFonts w:ascii="Times New Roman" w:hAnsi="Times New Roman" w:eastAsia="Times New Roman" w:cs="Times New Roman"/>
                <w:spacing w:val="-2"/>
                <w:sz w:val="21"/>
                <w:szCs w:val="21"/>
              </w:rPr>
              <w:t>）</w:t>
            </w:r>
            <w:r>
              <w:rPr>
                <w:spacing w:val="-6"/>
                <w:sz w:val="21"/>
                <w:szCs w:val="21"/>
              </w:rPr>
              <w:t>要求，无扰民</w:t>
            </w:r>
            <w:r>
              <w:rPr>
                <w:spacing w:val="2"/>
                <w:sz w:val="21"/>
                <w:szCs w:val="21"/>
              </w:rPr>
              <w:t>现象。</w:t>
            </w:r>
          </w:p>
        </w:tc>
        <w:tc>
          <w:tcPr>
            <w:tcW w:w="1284" w:type="dxa"/>
            <w:vAlign w:val="center"/>
          </w:tcPr>
          <w:p w14:paraId="454AFD8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c>
          <w:tcPr>
            <w:tcW w:w="1153" w:type="dxa"/>
            <w:vAlign w:val="center"/>
          </w:tcPr>
          <w:p w14:paraId="35E46626">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r>
      <w:tr w14:paraId="59BFF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022" w:type="dxa"/>
            <w:vAlign w:val="center"/>
          </w:tcPr>
          <w:p w14:paraId="2C0A4A3F">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hint="eastAsia" w:ascii="宋体" w:hAnsi="宋体" w:eastAsia="宋体" w:cs="宋体"/>
                <w:snapToGrid w:val="0"/>
                <w:color w:val="000000"/>
                <w:spacing w:val="16"/>
                <w:kern w:val="0"/>
                <w:sz w:val="21"/>
                <w:szCs w:val="21"/>
                <w:lang w:val="en-US" w:eastAsia="zh-CN" w:bidi="ar-SA"/>
              </w:rPr>
              <w:t>振动</w:t>
            </w:r>
          </w:p>
        </w:tc>
        <w:tc>
          <w:tcPr>
            <w:tcW w:w="3344" w:type="dxa"/>
            <w:vAlign w:val="center"/>
          </w:tcPr>
          <w:p w14:paraId="4297A1D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c>
          <w:tcPr>
            <w:tcW w:w="1635" w:type="dxa"/>
            <w:vAlign w:val="center"/>
          </w:tcPr>
          <w:p w14:paraId="5A8C863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c>
          <w:tcPr>
            <w:tcW w:w="1284" w:type="dxa"/>
            <w:vAlign w:val="center"/>
          </w:tcPr>
          <w:p w14:paraId="4CE6D1C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c>
          <w:tcPr>
            <w:tcW w:w="1153" w:type="dxa"/>
            <w:vAlign w:val="center"/>
          </w:tcPr>
          <w:p w14:paraId="044262E2">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r>
      <w:tr w14:paraId="1B51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trPr>
        <w:tc>
          <w:tcPr>
            <w:tcW w:w="1022" w:type="dxa"/>
            <w:vAlign w:val="center"/>
          </w:tcPr>
          <w:p w14:paraId="397F4251">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eastAsia" w:ascii="宋体" w:hAnsi="宋体" w:eastAsia="宋体" w:cs="宋体"/>
                <w:snapToGrid w:val="0"/>
                <w:color w:val="000000"/>
                <w:spacing w:val="16"/>
                <w:kern w:val="0"/>
                <w:sz w:val="21"/>
                <w:szCs w:val="21"/>
                <w:lang w:val="en-US" w:eastAsia="zh-CN" w:bidi="ar-SA"/>
              </w:rPr>
            </w:pPr>
            <w:bookmarkStart w:id="73" w:name="_Toc19551"/>
            <w:bookmarkStart w:id="74" w:name="_Toc11637"/>
            <w:r>
              <w:rPr>
                <w:rFonts w:hint="eastAsia" w:ascii="宋体" w:hAnsi="宋体" w:eastAsia="宋体" w:cs="宋体"/>
                <w:snapToGrid w:val="0"/>
                <w:color w:val="000000"/>
                <w:spacing w:val="16"/>
                <w:kern w:val="0"/>
                <w:sz w:val="21"/>
                <w:szCs w:val="21"/>
                <w:lang w:val="en-US" w:eastAsia="zh-CN" w:bidi="ar-SA"/>
              </w:rPr>
              <w:t>大气环境</w:t>
            </w:r>
            <w:bookmarkEnd w:id="73"/>
            <w:bookmarkEnd w:id="74"/>
          </w:p>
        </w:tc>
        <w:tc>
          <w:tcPr>
            <w:tcW w:w="3344" w:type="dxa"/>
            <w:vAlign w:val="center"/>
          </w:tcPr>
          <w:p w14:paraId="46AD4A7A">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hanging="67" w:firstLineChars="0"/>
              <w:jc w:val="center"/>
              <w:textAlignment w:val="auto"/>
              <w:rPr>
                <w:rFonts w:hint="eastAsia" w:ascii="宋体" w:hAnsi="宋体" w:eastAsia="宋体" w:cs="宋体"/>
                <w:snapToGrid w:val="0"/>
                <w:color w:val="000000"/>
                <w:spacing w:val="16"/>
                <w:kern w:val="0"/>
                <w:sz w:val="21"/>
                <w:szCs w:val="21"/>
                <w:lang w:val="en-US" w:eastAsia="zh-CN" w:bidi="ar-SA"/>
              </w:rPr>
            </w:pPr>
            <w:r>
              <w:rPr>
                <w:spacing w:val="5"/>
                <w:sz w:val="21"/>
                <w:szCs w:val="21"/>
              </w:rPr>
              <w:t>洒水降尘，土石方临时堆覆盖防尘网，避</w:t>
            </w:r>
            <w:r>
              <w:rPr>
                <w:spacing w:val="8"/>
                <w:sz w:val="21"/>
                <w:szCs w:val="21"/>
              </w:rPr>
              <w:t>免大风天气施工，加盖篷布、控制车速。</w:t>
            </w:r>
          </w:p>
        </w:tc>
        <w:tc>
          <w:tcPr>
            <w:tcW w:w="1635" w:type="dxa"/>
            <w:vAlign w:val="center"/>
          </w:tcPr>
          <w:p w14:paraId="15E572F1">
            <w:pPr>
              <w:pStyle w:val="65"/>
              <w:keepNext w:val="0"/>
              <w:keepLines w:val="0"/>
              <w:pageBreakBefore w:val="0"/>
              <w:widowControl w:val="0"/>
              <w:kinsoku/>
              <w:wordWrap/>
              <w:overflowPunct/>
              <w:topLinePunct w:val="0"/>
              <w:autoSpaceDE/>
              <w:autoSpaceDN/>
              <w:bidi w:val="0"/>
              <w:adjustRightInd w:val="0"/>
              <w:snapToGrid w:val="0"/>
              <w:spacing w:line="240" w:lineRule="auto"/>
              <w:ind w:right="0" w:rightChars="0"/>
              <w:jc w:val="both"/>
              <w:textAlignment w:val="auto"/>
              <w:rPr>
                <w:rFonts w:hint="eastAsia" w:ascii="宋体" w:hAnsi="宋体" w:eastAsia="宋体" w:cs="宋体"/>
                <w:snapToGrid w:val="0"/>
                <w:color w:val="000000"/>
                <w:spacing w:val="16"/>
                <w:kern w:val="0"/>
                <w:sz w:val="21"/>
                <w:szCs w:val="21"/>
                <w:lang w:val="en-US" w:eastAsia="zh-CN" w:bidi="ar-SA"/>
              </w:rPr>
            </w:pPr>
            <w:r>
              <w:rPr>
                <w:spacing w:val="8"/>
                <w:sz w:val="21"/>
                <w:szCs w:val="21"/>
              </w:rPr>
              <w:t>洒水降尘、覆盖</w:t>
            </w:r>
            <w:r>
              <w:rPr>
                <w:spacing w:val="27"/>
                <w:sz w:val="21"/>
                <w:szCs w:val="21"/>
              </w:rPr>
              <w:t>等措施落实到</w:t>
            </w:r>
            <w:r>
              <w:rPr>
                <w:spacing w:val="-7"/>
                <w:sz w:val="21"/>
                <w:szCs w:val="21"/>
              </w:rPr>
              <w:t>位，无投诉现象。</w:t>
            </w:r>
          </w:p>
        </w:tc>
        <w:tc>
          <w:tcPr>
            <w:tcW w:w="1284" w:type="dxa"/>
            <w:vAlign w:val="center"/>
          </w:tcPr>
          <w:p w14:paraId="09475077">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c>
          <w:tcPr>
            <w:tcW w:w="1153" w:type="dxa"/>
            <w:vAlign w:val="center"/>
          </w:tcPr>
          <w:p w14:paraId="02843AFB">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r>
      <w:tr w14:paraId="4BFC2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2" w:type="dxa"/>
            <w:vAlign w:val="center"/>
          </w:tcPr>
          <w:p w14:paraId="408348CC">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eastAsia" w:ascii="宋体" w:hAnsi="宋体" w:eastAsia="宋体" w:cs="宋体"/>
                <w:snapToGrid w:val="0"/>
                <w:color w:val="000000"/>
                <w:spacing w:val="16"/>
                <w:kern w:val="0"/>
                <w:sz w:val="21"/>
                <w:szCs w:val="21"/>
                <w:lang w:val="en-US" w:eastAsia="zh-CN" w:bidi="ar-SA"/>
              </w:rPr>
            </w:pPr>
            <w:bookmarkStart w:id="75" w:name="_Toc10128"/>
            <w:bookmarkStart w:id="76" w:name="_Toc8000"/>
            <w:r>
              <w:rPr>
                <w:rFonts w:hint="eastAsia" w:ascii="宋体" w:hAnsi="宋体" w:eastAsia="宋体" w:cs="宋体"/>
                <w:snapToGrid w:val="0"/>
                <w:color w:val="000000"/>
                <w:spacing w:val="16"/>
                <w:kern w:val="0"/>
                <w:sz w:val="21"/>
                <w:szCs w:val="21"/>
                <w:lang w:val="en-US" w:eastAsia="zh-CN" w:bidi="ar-SA"/>
              </w:rPr>
              <w:t>固体废物</w:t>
            </w:r>
            <w:bookmarkEnd w:id="75"/>
            <w:bookmarkEnd w:id="76"/>
          </w:p>
        </w:tc>
        <w:tc>
          <w:tcPr>
            <w:tcW w:w="3344" w:type="dxa"/>
            <w:vAlign w:val="center"/>
          </w:tcPr>
          <w:p w14:paraId="557153A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default"/>
                <w:spacing w:val="4"/>
                <w:sz w:val="21"/>
                <w:szCs w:val="21"/>
                <w:lang w:val="en-US" w:eastAsia="zh-CN"/>
              </w:rPr>
            </w:pPr>
            <w:r>
              <w:rPr>
                <w:rFonts w:hint="default"/>
                <w:spacing w:val="4"/>
                <w:sz w:val="21"/>
                <w:szCs w:val="21"/>
                <w:lang w:val="en-US" w:eastAsia="zh-CN"/>
              </w:rPr>
              <w:t>建筑垃圾，应进行分类收集、分类管理，能够回收利用的尽量回收综合利用，以节约资源；对于不能回收利用，拉运至奇台县建筑垃圾填埋场处置。</w:t>
            </w:r>
            <w:r>
              <w:rPr>
                <w:rFonts w:hint="eastAsia"/>
                <w:spacing w:val="4"/>
                <w:sz w:val="21"/>
                <w:szCs w:val="21"/>
                <w:lang w:val="en-US" w:eastAsia="zh-CN"/>
              </w:rPr>
              <w:t>开挖土石方优先用于项目自身，剩余土方作为弃土拉至相关政府部门指定弃渣场。</w:t>
            </w:r>
          </w:p>
        </w:tc>
        <w:tc>
          <w:tcPr>
            <w:tcW w:w="1635" w:type="dxa"/>
            <w:vAlign w:val="center"/>
          </w:tcPr>
          <w:p w14:paraId="2CA5952D">
            <w:pPr>
              <w:keepNext w:val="0"/>
              <w:keepLines w:val="0"/>
              <w:pageBreakBefore w:val="0"/>
              <w:widowControl w:val="0"/>
              <w:kinsoku/>
              <w:wordWrap/>
              <w:overflowPunct/>
              <w:topLinePunct w:val="0"/>
              <w:autoSpaceDE/>
              <w:autoSpaceDN/>
              <w:bidi w:val="0"/>
              <w:adjustRightInd w:val="0"/>
              <w:snapToGrid w:val="0"/>
              <w:spacing w:line="240" w:lineRule="auto"/>
              <w:ind w:left="0" w:right="0"/>
              <w:jc w:val="both"/>
              <w:textAlignment w:val="auto"/>
              <w:outlineLvl w:val="0"/>
              <w:rPr>
                <w:rFonts w:hint="eastAsia" w:ascii="宋体" w:hAnsi="宋体" w:eastAsia="宋体" w:cs="宋体"/>
                <w:snapToGrid w:val="0"/>
                <w:color w:val="000000"/>
                <w:spacing w:val="16"/>
                <w:kern w:val="0"/>
                <w:sz w:val="21"/>
                <w:szCs w:val="21"/>
                <w:lang w:val="en-US" w:eastAsia="zh-CN" w:bidi="ar-SA"/>
              </w:rPr>
            </w:pPr>
            <w:bookmarkStart w:id="77" w:name="_Toc13412"/>
            <w:bookmarkStart w:id="78" w:name="_Toc21668"/>
            <w:r>
              <w:rPr>
                <w:spacing w:val="7"/>
                <w:sz w:val="21"/>
                <w:szCs w:val="21"/>
              </w:rPr>
              <w:t>建筑垃圾、弃土</w:t>
            </w:r>
            <w:r>
              <w:rPr>
                <w:spacing w:val="8"/>
                <w:sz w:val="21"/>
                <w:szCs w:val="21"/>
              </w:rPr>
              <w:t>合理处置，无乱堆、乱</w:t>
            </w:r>
            <w:r>
              <w:rPr>
                <w:spacing w:val="7"/>
                <w:sz w:val="21"/>
                <w:szCs w:val="21"/>
              </w:rPr>
              <w:t>丢、乱弃现象。</w:t>
            </w:r>
            <w:bookmarkEnd w:id="77"/>
            <w:bookmarkEnd w:id="78"/>
          </w:p>
        </w:tc>
        <w:tc>
          <w:tcPr>
            <w:tcW w:w="1284" w:type="dxa"/>
            <w:vAlign w:val="center"/>
          </w:tcPr>
          <w:p w14:paraId="4453344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c>
          <w:tcPr>
            <w:tcW w:w="1153" w:type="dxa"/>
            <w:vAlign w:val="center"/>
          </w:tcPr>
          <w:p w14:paraId="794C0E6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z w:val="21"/>
                <w:szCs w:val="21"/>
              </w:rPr>
              <w:t>/</w:t>
            </w:r>
          </w:p>
        </w:tc>
      </w:tr>
      <w:tr w14:paraId="733D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022" w:type="dxa"/>
            <w:vAlign w:val="center"/>
          </w:tcPr>
          <w:p w14:paraId="0BEB31C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hint="eastAsia" w:ascii="宋体" w:hAnsi="宋体" w:eastAsia="宋体" w:cs="宋体"/>
                <w:snapToGrid w:val="0"/>
                <w:color w:val="000000"/>
                <w:spacing w:val="16"/>
                <w:kern w:val="0"/>
                <w:sz w:val="21"/>
                <w:szCs w:val="21"/>
                <w:lang w:val="en-US" w:eastAsia="zh-CN" w:bidi="ar-SA"/>
              </w:rPr>
              <w:t>电磁环境</w:t>
            </w:r>
          </w:p>
        </w:tc>
        <w:tc>
          <w:tcPr>
            <w:tcW w:w="3344" w:type="dxa"/>
            <w:vAlign w:val="center"/>
          </w:tcPr>
          <w:p w14:paraId="4F2C104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ascii="Times New Roman" w:hAnsi="Times New Roman" w:eastAsia="Times New Roman" w:cs="Times New Roman"/>
                <w:spacing w:val="2"/>
                <w:sz w:val="21"/>
                <w:szCs w:val="21"/>
              </w:rPr>
              <w:t>/</w:t>
            </w:r>
          </w:p>
        </w:tc>
        <w:tc>
          <w:tcPr>
            <w:tcW w:w="1635" w:type="dxa"/>
            <w:vAlign w:val="center"/>
          </w:tcPr>
          <w:p w14:paraId="2CF3B74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ascii="Times New Roman" w:hAnsi="Times New Roman" w:eastAsia="Times New Roman" w:cs="Times New Roman"/>
                <w:spacing w:val="2"/>
                <w:sz w:val="21"/>
                <w:szCs w:val="21"/>
              </w:rPr>
              <w:t>/</w:t>
            </w:r>
          </w:p>
        </w:tc>
        <w:tc>
          <w:tcPr>
            <w:tcW w:w="1284" w:type="dxa"/>
            <w:vAlign w:val="center"/>
          </w:tcPr>
          <w:p w14:paraId="63D3CD0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ascii="Times New Roman" w:hAnsi="Times New Roman" w:eastAsia="Times New Roman" w:cs="Times New Roman"/>
                <w:spacing w:val="2"/>
                <w:sz w:val="21"/>
                <w:szCs w:val="21"/>
              </w:rPr>
              <w:t>/</w:t>
            </w:r>
          </w:p>
        </w:tc>
        <w:tc>
          <w:tcPr>
            <w:tcW w:w="1153" w:type="dxa"/>
            <w:vAlign w:val="center"/>
          </w:tcPr>
          <w:p w14:paraId="3112AEF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ascii="Times New Roman" w:hAnsi="Times New Roman" w:eastAsia="Times New Roman" w:cs="Times New Roman"/>
                <w:spacing w:val="2"/>
                <w:sz w:val="21"/>
                <w:szCs w:val="21"/>
              </w:rPr>
              <w:t>/</w:t>
            </w:r>
          </w:p>
        </w:tc>
      </w:tr>
      <w:tr w14:paraId="46ABD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022" w:type="dxa"/>
            <w:vAlign w:val="center"/>
          </w:tcPr>
          <w:p w14:paraId="76F7DF1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hint="eastAsia" w:ascii="宋体" w:hAnsi="宋体" w:eastAsia="宋体" w:cs="宋体"/>
                <w:snapToGrid w:val="0"/>
                <w:color w:val="000000"/>
                <w:spacing w:val="16"/>
                <w:kern w:val="0"/>
                <w:sz w:val="21"/>
                <w:szCs w:val="21"/>
                <w:lang w:val="en-US" w:eastAsia="zh-CN" w:bidi="ar-SA"/>
              </w:rPr>
              <w:t>环境风险</w:t>
            </w:r>
          </w:p>
        </w:tc>
        <w:tc>
          <w:tcPr>
            <w:tcW w:w="3344" w:type="dxa"/>
            <w:vAlign w:val="center"/>
          </w:tcPr>
          <w:p w14:paraId="3E2FD41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Times New Roman" w:hAnsi="Times New Roman" w:eastAsia="宋体" w:cs="Times New Roman"/>
                <w:spacing w:val="8"/>
                <w:kern w:val="2"/>
                <w:sz w:val="21"/>
                <w:szCs w:val="21"/>
                <w:lang w:val="en-US" w:eastAsia="zh-CN" w:bidi="ar-SA"/>
              </w:rPr>
            </w:pPr>
            <w:r>
              <w:rPr>
                <w:rFonts w:ascii="Times New Roman" w:hAnsi="Times New Roman" w:eastAsia="Times New Roman" w:cs="Times New Roman"/>
                <w:spacing w:val="2"/>
                <w:sz w:val="21"/>
                <w:szCs w:val="21"/>
              </w:rPr>
              <w:t>/</w:t>
            </w:r>
          </w:p>
        </w:tc>
        <w:tc>
          <w:tcPr>
            <w:tcW w:w="1635" w:type="dxa"/>
            <w:vAlign w:val="center"/>
          </w:tcPr>
          <w:p w14:paraId="6D253857">
            <w:pPr>
              <w:keepNext w:val="0"/>
              <w:keepLines w:val="0"/>
              <w:pageBreakBefore w:val="0"/>
              <w:widowControl w:val="0"/>
              <w:kinsoku/>
              <w:wordWrap/>
              <w:overflowPunct/>
              <w:topLinePunct w:val="0"/>
              <w:autoSpaceDE/>
              <w:autoSpaceDN/>
              <w:bidi w:val="0"/>
              <w:adjustRightInd w:val="0"/>
              <w:snapToGrid w:val="0"/>
              <w:spacing w:line="240" w:lineRule="auto"/>
              <w:ind w:left="0" w:right="0" w:firstLine="483"/>
              <w:jc w:val="both"/>
              <w:textAlignment w:val="auto"/>
              <w:rPr>
                <w:rFonts w:hint="eastAsia" w:ascii="Times New Roman" w:hAnsi="Times New Roman" w:eastAsia="宋体" w:cs="Times New Roman"/>
                <w:spacing w:val="8"/>
                <w:kern w:val="2"/>
                <w:sz w:val="21"/>
                <w:szCs w:val="21"/>
                <w:lang w:val="en-US" w:eastAsia="zh-CN" w:bidi="ar-SA"/>
              </w:rPr>
            </w:pPr>
            <w:r>
              <w:rPr>
                <w:rFonts w:ascii="Times New Roman" w:hAnsi="Times New Roman" w:eastAsia="Times New Roman" w:cs="Times New Roman"/>
                <w:spacing w:val="2"/>
                <w:sz w:val="21"/>
                <w:szCs w:val="21"/>
              </w:rPr>
              <w:t>/</w:t>
            </w:r>
          </w:p>
        </w:tc>
        <w:tc>
          <w:tcPr>
            <w:tcW w:w="1284" w:type="dxa"/>
            <w:vAlign w:val="center"/>
          </w:tcPr>
          <w:p w14:paraId="1CC3B30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ascii="Times New Roman" w:hAnsi="Times New Roman" w:eastAsia="Times New Roman" w:cs="Times New Roman"/>
                <w:spacing w:val="2"/>
                <w:sz w:val="21"/>
                <w:szCs w:val="21"/>
              </w:rPr>
              <w:t>/</w:t>
            </w:r>
          </w:p>
        </w:tc>
        <w:tc>
          <w:tcPr>
            <w:tcW w:w="1153" w:type="dxa"/>
            <w:vAlign w:val="center"/>
          </w:tcPr>
          <w:p w14:paraId="0BB77E1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ascii="Times New Roman" w:hAnsi="Times New Roman" w:eastAsia="Times New Roman" w:cs="Times New Roman"/>
                <w:spacing w:val="2"/>
                <w:sz w:val="21"/>
                <w:szCs w:val="21"/>
              </w:rPr>
              <w:t>/</w:t>
            </w:r>
          </w:p>
        </w:tc>
      </w:tr>
      <w:tr w14:paraId="4726D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1022" w:type="dxa"/>
            <w:vMerge w:val="restart"/>
            <w:vAlign w:val="center"/>
          </w:tcPr>
          <w:p w14:paraId="5254BA19">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hint="eastAsia" w:ascii="宋体" w:hAnsi="宋体" w:eastAsia="宋体" w:cs="宋体"/>
                <w:snapToGrid w:val="0"/>
                <w:color w:val="000000"/>
                <w:spacing w:val="16"/>
                <w:kern w:val="0"/>
                <w:sz w:val="21"/>
                <w:szCs w:val="21"/>
                <w:lang w:val="en-US" w:eastAsia="zh-CN" w:bidi="ar-SA"/>
              </w:rPr>
              <w:t>环境监测</w:t>
            </w:r>
          </w:p>
        </w:tc>
        <w:tc>
          <w:tcPr>
            <w:tcW w:w="3344" w:type="dxa"/>
            <w:vAlign w:val="center"/>
          </w:tcPr>
          <w:p w14:paraId="240025E0">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ascii="Times New Roman" w:hAnsi="Times New Roman" w:eastAsia="Times New Roman" w:cs="Times New Roman"/>
                <w:sz w:val="21"/>
                <w:szCs w:val="21"/>
              </w:rPr>
              <w:t>TSP</w:t>
            </w:r>
          </w:p>
        </w:tc>
        <w:tc>
          <w:tcPr>
            <w:tcW w:w="1635" w:type="dxa"/>
            <w:vAlign w:val="center"/>
          </w:tcPr>
          <w:p w14:paraId="664624A2">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eastAsia" w:ascii="宋体" w:hAnsi="宋体" w:eastAsia="宋体" w:cs="宋体"/>
                <w:snapToGrid w:val="0"/>
                <w:color w:val="000000"/>
                <w:spacing w:val="16"/>
                <w:kern w:val="0"/>
                <w:sz w:val="21"/>
                <w:szCs w:val="21"/>
                <w:lang w:val="en-US" w:eastAsia="zh-CN" w:bidi="ar-SA"/>
              </w:rPr>
            </w:pPr>
            <w:r>
              <w:rPr>
                <w:spacing w:val="4"/>
                <w:sz w:val="21"/>
                <w:szCs w:val="21"/>
              </w:rPr>
              <w:t>《大气污染物综合</w:t>
            </w:r>
            <w:r>
              <w:rPr>
                <w:spacing w:val="3"/>
                <w:sz w:val="21"/>
                <w:szCs w:val="21"/>
              </w:rPr>
              <w:t>排放标准》</w:t>
            </w:r>
            <w:r>
              <w:rPr>
                <w:rFonts w:hint="eastAsia"/>
                <w:spacing w:val="3"/>
                <w:sz w:val="21"/>
                <w:szCs w:val="21"/>
                <w:lang w:val="en-US" w:eastAsia="zh-CN"/>
              </w:rPr>
              <w:t>(</w:t>
            </w:r>
            <w:r>
              <w:rPr>
                <w:rFonts w:ascii="Times New Roman" w:hAnsi="Times New Roman" w:eastAsia="Times New Roman" w:cs="Times New Roman"/>
                <w:sz w:val="21"/>
                <w:szCs w:val="21"/>
              </w:rPr>
              <w:t>GB</w:t>
            </w:r>
            <w:r>
              <w:rPr>
                <w:rFonts w:ascii="Times New Roman" w:hAnsi="Times New Roman" w:eastAsia="Times New Roman" w:cs="Times New Roman"/>
                <w:spacing w:val="2"/>
                <w:sz w:val="21"/>
                <w:szCs w:val="21"/>
              </w:rPr>
              <w:t>16297-1996</w:t>
            </w:r>
            <w:r>
              <w:rPr>
                <w:rFonts w:hint="eastAsia"/>
                <w:spacing w:val="3"/>
                <w:sz w:val="21"/>
                <w:szCs w:val="21"/>
                <w:lang w:val="en-US" w:eastAsia="zh-CN"/>
              </w:rPr>
              <w:t>)</w:t>
            </w:r>
          </w:p>
        </w:tc>
        <w:tc>
          <w:tcPr>
            <w:tcW w:w="1284" w:type="dxa"/>
            <w:vAlign w:val="center"/>
          </w:tcPr>
          <w:p w14:paraId="7AE7401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ascii="Times New Roman" w:hAnsi="Times New Roman" w:eastAsia="Times New Roman" w:cs="Times New Roman"/>
                <w:spacing w:val="2"/>
                <w:sz w:val="21"/>
                <w:szCs w:val="21"/>
              </w:rPr>
              <w:t>/</w:t>
            </w:r>
          </w:p>
        </w:tc>
        <w:tc>
          <w:tcPr>
            <w:tcW w:w="1153" w:type="dxa"/>
            <w:vAlign w:val="center"/>
          </w:tcPr>
          <w:p w14:paraId="0812945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ascii="Times New Roman" w:hAnsi="Times New Roman" w:eastAsia="Times New Roman" w:cs="Times New Roman"/>
                <w:spacing w:val="2"/>
                <w:sz w:val="21"/>
                <w:szCs w:val="21"/>
              </w:rPr>
              <w:t>/</w:t>
            </w:r>
          </w:p>
        </w:tc>
      </w:tr>
      <w:tr w14:paraId="28481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22" w:type="dxa"/>
            <w:vMerge w:val="continue"/>
            <w:vAlign w:val="center"/>
          </w:tcPr>
          <w:p w14:paraId="107C7243">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p>
        </w:tc>
        <w:tc>
          <w:tcPr>
            <w:tcW w:w="3344" w:type="dxa"/>
            <w:vAlign w:val="center"/>
          </w:tcPr>
          <w:p w14:paraId="68EBD21E">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default" w:ascii="宋体" w:hAnsi="宋体" w:eastAsia="宋体" w:cs="宋体"/>
                <w:snapToGrid w:val="0"/>
                <w:color w:val="000000"/>
                <w:spacing w:val="16"/>
                <w:kern w:val="0"/>
                <w:sz w:val="21"/>
                <w:szCs w:val="21"/>
                <w:lang w:val="en-US" w:eastAsia="zh-CN" w:bidi="ar-SA"/>
              </w:rPr>
            </w:pPr>
            <w:r>
              <w:rPr>
                <w:rFonts w:hint="eastAsia" w:ascii="Times New Roman" w:hAnsi="Times New Roman" w:eastAsia="Times New Roman" w:cs="Times New Roman"/>
                <w:sz w:val="24"/>
                <w:szCs w:val="24"/>
                <w:lang w:val="en-US" w:eastAsia="zh-CN"/>
              </w:rPr>
              <w:t>L</w:t>
            </w:r>
            <w:r>
              <w:rPr>
                <w:rFonts w:hint="eastAsia" w:ascii="Times New Roman" w:hAnsi="Times New Roman" w:eastAsia="Times New Roman" w:cs="Times New Roman"/>
                <w:i/>
                <w:iCs/>
                <w:sz w:val="24"/>
                <w:szCs w:val="24"/>
                <w:vertAlign w:val="subscript"/>
                <w:lang w:val="en-US" w:eastAsia="zh-CN"/>
              </w:rPr>
              <w:t>eq</w:t>
            </w:r>
          </w:p>
        </w:tc>
        <w:tc>
          <w:tcPr>
            <w:tcW w:w="1635" w:type="dxa"/>
            <w:vAlign w:val="center"/>
          </w:tcPr>
          <w:p w14:paraId="0D755573">
            <w:pPr>
              <w:pStyle w:val="65"/>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ascii="Times New Roman" w:hAnsi="Times New Roman" w:eastAsia="Times New Roman" w:cs="Times New Roman"/>
                <w:spacing w:val="-2"/>
                <w:sz w:val="21"/>
                <w:szCs w:val="21"/>
              </w:rPr>
              <w:t>《</w:t>
            </w:r>
            <w:r>
              <w:rPr>
                <w:rFonts w:hint="eastAsia" w:ascii="Times New Roman" w:hAnsi="Times New Roman" w:eastAsia="Times New Roman" w:cs="Times New Roman"/>
                <w:spacing w:val="-2"/>
                <w:sz w:val="21"/>
                <w:szCs w:val="21"/>
              </w:rPr>
              <w:t>建筑施工噪声排放标准</w:t>
            </w:r>
            <w:r>
              <w:rPr>
                <w:rFonts w:ascii="Times New Roman" w:hAnsi="Times New Roman" w:eastAsia="Times New Roman" w:cs="Times New Roman"/>
                <w:spacing w:val="-2"/>
                <w:sz w:val="21"/>
                <w:szCs w:val="21"/>
              </w:rPr>
              <w:t>》（GB12523-20</w:t>
            </w:r>
            <w:r>
              <w:rPr>
                <w:rFonts w:hint="eastAsia" w:ascii="Times New Roman" w:eastAsia="宋体" w:cs="Times New Roman"/>
                <w:spacing w:val="-2"/>
                <w:sz w:val="21"/>
                <w:szCs w:val="21"/>
                <w:lang w:val="en-US" w:eastAsia="zh-CN"/>
              </w:rPr>
              <w:t>25</w:t>
            </w:r>
            <w:r>
              <w:rPr>
                <w:rFonts w:ascii="Times New Roman" w:hAnsi="Times New Roman" w:eastAsia="Times New Roman" w:cs="Times New Roman"/>
                <w:spacing w:val="-2"/>
                <w:sz w:val="21"/>
                <w:szCs w:val="21"/>
              </w:rPr>
              <w:t>）</w:t>
            </w:r>
          </w:p>
        </w:tc>
        <w:tc>
          <w:tcPr>
            <w:tcW w:w="1284" w:type="dxa"/>
            <w:vAlign w:val="center"/>
          </w:tcPr>
          <w:p w14:paraId="172F628F">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宋体" w:hAnsi="宋体" w:eastAsia="宋体" w:cs="宋体"/>
                <w:snapToGrid w:val="0"/>
                <w:color w:val="000000"/>
                <w:spacing w:val="16"/>
                <w:kern w:val="0"/>
                <w:sz w:val="21"/>
                <w:szCs w:val="21"/>
                <w:lang w:val="en-US" w:eastAsia="zh-CN" w:bidi="ar-SA"/>
              </w:rPr>
            </w:pPr>
          </w:p>
        </w:tc>
        <w:tc>
          <w:tcPr>
            <w:tcW w:w="1153" w:type="dxa"/>
            <w:vAlign w:val="center"/>
          </w:tcPr>
          <w:p w14:paraId="66D72A4C">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宋体" w:hAnsi="宋体" w:eastAsia="宋体" w:cs="宋体"/>
                <w:snapToGrid w:val="0"/>
                <w:color w:val="000000"/>
                <w:spacing w:val="16"/>
                <w:kern w:val="0"/>
                <w:sz w:val="21"/>
                <w:szCs w:val="21"/>
                <w:lang w:val="en-US" w:eastAsia="zh-CN" w:bidi="ar-SA"/>
              </w:rPr>
            </w:pPr>
          </w:p>
        </w:tc>
      </w:tr>
      <w:tr w14:paraId="5C748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22" w:type="dxa"/>
            <w:vMerge w:val="continue"/>
            <w:vAlign w:val="center"/>
          </w:tcPr>
          <w:p w14:paraId="3BB8A8F8">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p>
        </w:tc>
        <w:tc>
          <w:tcPr>
            <w:tcW w:w="3344" w:type="dxa"/>
            <w:vAlign w:val="center"/>
          </w:tcPr>
          <w:p w14:paraId="717130D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spacing w:val="-2"/>
                <w:sz w:val="21"/>
                <w:szCs w:val="21"/>
              </w:rPr>
              <w:t>生态环境监测</w:t>
            </w:r>
          </w:p>
        </w:tc>
        <w:tc>
          <w:tcPr>
            <w:tcW w:w="1635" w:type="dxa"/>
            <w:vAlign w:val="center"/>
          </w:tcPr>
          <w:p w14:paraId="766CB97D">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snapToGrid w:val="0"/>
                <w:color w:val="000000"/>
                <w:spacing w:val="16"/>
                <w:kern w:val="0"/>
                <w:sz w:val="21"/>
                <w:szCs w:val="21"/>
                <w:lang w:val="en-US" w:eastAsia="zh-CN" w:bidi="ar-SA"/>
              </w:rPr>
            </w:pPr>
            <w:r>
              <w:rPr>
                <w:spacing w:val="8"/>
                <w:sz w:val="21"/>
                <w:szCs w:val="21"/>
              </w:rPr>
              <w:t>场地恢复及植被</w:t>
            </w:r>
            <w:r>
              <w:rPr>
                <w:spacing w:val="7"/>
                <w:sz w:val="21"/>
                <w:szCs w:val="21"/>
              </w:rPr>
              <w:t>恢复情况较好</w:t>
            </w:r>
          </w:p>
        </w:tc>
        <w:tc>
          <w:tcPr>
            <w:tcW w:w="1284" w:type="dxa"/>
            <w:vAlign w:val="center"/>
          </w:tcPr>
          <w:p w14:paraId="25FFF72E">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宋体" w:hAnsi="宋体" w:eastAsia="宋体" w:cs="宋体"/>
                <w:snapToGrid w:val="0"/>
                <w:color w:val="000000"/>
                <w:spacing w:val="16"/>
                <w:kern w:val="0"/>
                <w:sz w:val="21"/>
                <w:szCs w:val="21"/>
                <w:lang w:val="en-US" w:eastAsia="zh-CN" w:bidi="ar-SA"/>
              </w:rPr>
            </w:pPr>
          </w:p>
        </w:tc>
        <w:tc>
          <w:tcPr>
            <w:tcW w:w="1153" w:type="dxa"/>
            <w:vAlign w:val="center"/>
          </w:tcPr>
          <w:p w14:paraId="03EDB211">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rPr>
                <w:rFonts w:hint="eastAsia" w:ascii="宋体" w:hAnsi="宋体" w:eastAsia="宋体" w:cs="宋体"/>
                <w:snapToGrid w:val="0"/>
                <w:color w:val="000000"/>
                <w:spacing w:val="16"/>
                <w:kern w:val="0"/>
                <w:sz w:val="21"/>
                <w:szCs w:val="21"/>
                <w:lang w:val="en-US" w:eastAsia="zh-CN" w:bidi="ar-SA"/>
              </w:rPr>
            </w:pPr>
          </w:p>
        </w:tc>
      </w:tr>
      <w:tr w14:paraId="27B4A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022" w:type="dxa"/>
            <w:vAlign w:val="center"/>
          </w:tcPr>
          <w:p w14:paraId="2938283C">
            <w:pPr>
              <w:pStyle w:val="65"/>
              <w:keepNext w:val="0"/>
              <w:keepLines w:val="0"/>
              <w:pageBreakBefore w:val="0"/>
              <w:widowControl w:val="0"/>
              <w:kinsoku/>
              <w:wordWrap/>
              <w:overflowPunct/>
              <w:topLinePunct w:val="0"/>
              <w:autoSpaceDE/>
              <w:autoSpaceDN/>
              <w:bidi w:val="0"/>
              <w:adjustRightInd w:val="0"/>
              <w:snapToGrid w:val="0"/>
              <w:spacing w:line="240" w:lineRule="auto"/>
              <w:ind w:left="0" w:leftChars="0" w:right="0"/>
              <w:jc w:val="center"/>
              <w:textAlignment w:val="auto"/>
              <w:rPr>
                <w:rFonts w:hint="eastAsia" w:ascii="宋体" w:hAnsi="宋体" w:eastAsia="宋体" w:cs="宋体"/>
                <w:snapToGrid w:val="0"/>
                <w:color w:val="000000"/>
                <w:spacing w:val="16"/>
                <w:kern w:val="0"/>
                <w:sz w:val="21"/>
                <w:szCs w:val="21"/>
                <w:lang w:val="en-US" w:eastAsia="zh-CN" w:bidi="ar-SA"/>
              </w:rPr>
            </w:pPr>
            <w:r>
              <w:rPr>
                <w:rFonts w:hint="eastAsia" w:ascii="宋体" w:hAnsi="宋体" w:eastAsia="宋体" w:cs="宋体"/>
                <w:snapToGrid w:val="0"/>
                <w:color w:val="000000"/>
                <w:spacing w:val="16"/>
                <w:kern w:val="0"/>
                <w:sz w:val="21"/>
                <w:szCs w:val="21"/>
                <w:lang w:val="en-US" w:eastAsia="zh-CN" w:bidi="ar-SA"/>
              </w:rPr>
              <w:t>其他</w:t>
            </w:r>
          </w:p>
        </w:tc>
        <w:tc>
          <w:tcPr>
            <w:tcW w:w="3344" w:type="dxa"/>
            <w:vAlign w:val="center"/>
          </w:tcPr>
          <w:p w14:paraId="6E6A05C9">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eastAsia" w:ascii="宋体" w:hAnsi="宋体" w:eastAsia="宋体" w:cs="宋体"/>
                <w:snapToGrid w:val="0"/>
                <w:color w:val="000000"/>
                <w:spacing w:val="16"/>
                <w:kern w:val="0"/>
                <w:sz w:val="21"/>
                <w:szCs w:val="21"/>
                <w:lang w:val="en-US" w:eastAsia="zh-CN" w:bidi="ar-SA"/>
              </w:rPr>
            </w:pPr>
            <w:bookmarkStart w:id="79" w:name="_Toc12723"/>
            <w:bookmarkStart w:id="80" w:name="_Toc31335"/>
            <w:r>
              <w:rPr>
                <w:rFonts w:ascii="Times New Roman" w:hAnsi="Times New Roman" w:eastAsia="Times New Roman" w:cs="Times New Roman"/>
                <w:spacing w:val="2"/>
                <w:sz w:val="21"/>
                <w:szCs w:val="21"/>
              </w:rPr>
              <w:t>/</w:t>
            </w:r>
            <w:bookmarkEnd w:id="79"/>
            <w:bookmarkEnd w:id="80"/>
          </w:p>
        </w:tc>
        <w:tc>
          <w:tcPr>
            <w:tcW w:w="1635" w:type="dxa"/>
            <w:vAlign w:val="center"/>
          </w:tcPr>
          <w:p w14:paraId="27FB3FDC">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eastAsia" w:ascii="宋体" w:hAnsi="宋体" w:eastAsia="宋体" w:cs="宋体"/>
                <w:snapToGrid w:val="0"/>
                <w:color w:val="000000"/>
                <w:spacing w:val="16"/>
                <w:kern w:val="0"/>
                <w:sz w:val="21"/>
                <w:szCs w:val="21"/>
                <w:lang w:val="en-US" w:eastAsia="zh-CN" w:bidi="ar-SA"/>
              </w:rPr>
            </w:pPr>
            <w:bookmarkStart w:id="81" w:name="_Toc27391"/>
            <w:bookmarkStart w:id="82" w:name="_Toc2432"/>
            <w:r>
              <w:rPr>
                <w:rFonts w:ascii="Times New Roman" w:hAnsi="Times New Roman" w:eastAsia="Times New Roman" w:cs="Times New Roman"/>
                <w:spacing w:val="2"/>
                <w:sz w:val="21"/>
                <w:szCs w:val="21"/>
              </w:rPr>
              <w:t>/</w:t>
            </w:r>
            <w:bookmarkEnd w:id="81"/>
            <w:bookmarkEnd w:id="82"/>
          </w:p>
        </w:tc>
        <w:tc>
          <w:tcPr>
            <w:tcW w:w="1284" w:type="dxa"/>
            <w:vAlign w:val="center"/>
          </w:tcPr>
          <w:p w14:paraId="1C08A790">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eastAsia" w:ascii="宋体" w:hAnsi="宋体" w:eastAsia="宋体" w:cs="宋体"/>
                <w:snapToGrid w:val="0"/>
                <w:color w:val="000000"/>
                <w:spacing w:val="16"/>
                <w:kern w:val="0"/>
                <w:sz w:val="21"/>
                <w:szCs w:val="21"/>
                <w:lang w:val="en-US" w:eastAsia="zh-CN" w:bidi="ar-SA"/>
              </w:rPr>
            </w:pPr>
            <w:bookmarkStart w:id="83" w:name="_Toc14371"/>
            <w:bookmarkStart w:id="84" w:name="_Toc8574"/>
            <w:r>
              <w:rPr>
                <w:rFonts w:ascii="Times New Roman" w:hAnsi="Times New Roman" w:eastAsia="Times New Roman" w:cs="Times New Roman"/>
                <w:spacing w:val="2"/>
                <w:sz w:val="21"/>
                <w:szCs w:val="21"/>
              </w:rPr>
              <w:t>/</w:t>
            </w:r>
            <w:bookmarkEnd w:id="83"/>
            <w:bookmarkEnd w:id="84"/>
          </w:p>
        </w:tc>
        <w:tc>
          <w:tcPr>
            <w:tcW w:w="1153" w:type="dxa"/>
            <w:vAlign w:val="center"/>
          </w:tcPr>
          <w:p w14:paraId="4293F48E">
            <w:pPr>
              <w:keepNext w:val="0"/>
              <w:keepLines w:val="0"/>
              <w:pageBreakBefore w:val="0"/>
              <w:widowControl w:val="0"/>
              <w:kinsoku/>
              <w:wordWrap/>
              <w:overflowPunct/>
              <w:topLinePunct w:val="0"/>
              <w:autoSpaceDE/>
              <w:autoSpaceDN/>
              <w:bidi w:val="0"/>
              <w:adjustRightInd w:val="0"/>
              <w:snapToGrid w:val="0"/>
              <w:spacing w:line="240" w:lineRule="auto"/>
              <w:ind w:left="0" w:right="0"/>
              <w:jc w:val="center"/>
              <w:textAlignment w:val="auto"/>
              <w:outlineLvl w:val="0"/>
              <w:rPr>
                <w:rFonts w:hint="eastAsia" w:ascii="宋体" w:hAnsi="宋体" w:eastAsia="宋体" w:cs="宋体"/>
                <w:snapToGrid w:val="0"/>
                <w:color w:val="000000"/>
                <w:spacing w:val="16"/>
                <w:kern w:val="0"/>
                <w:sz w:val="21"/>
                <w:szCs w:val="21"/>
                <w:lang w:val="en-US" w:eastAsia="zh-CN" w:bidi="ar-SA"/>
              </w:rPr>
            </w:pPr>
            <w:bookmarkStart w:id="85" w:name="_Toc26188"/>
            <w:bookmarkStart w:id="86" w:name="_Toc3993"/>
            <w:r>
              <w:rPr>
                <w:rFonts w:ascii="Times New Roman" w:hAnsi="Times New Roman" w:eastAsia="Times New Roman" w:cs="Times New Roman"/>
                <w:spacing w:val="2"/>
                <w:sz w:val="21"/>
                <w:szCs w:val="21"/>
              </w:rPr>
              <w:t>/</w:t>
            </w:r>
            <w:bookmarkEnd w:id="85"/>
            <w:bookmarkEnd w:id="86"/>
          </w:p>
        </w:tc>
      </w:tr>
    </w:tbl>
    <w:p w14:paraId="5ED66909">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jc w:val="center"/>
        <w:textAlignment w:val="auto"/>
        <w:outlineLvl w:val="0"/>
        <w:rPr>
          <w:rFonts w:ascii="黑体" w:hAnsi="黑体" w:eastAsia="黑体"/>
          <w:snapToGrid w:val="0"/>
          <w:color w:val="auto"/>
          <w:sz w:val="30"/>
          <w:szCs w:val="30"/>
        </w:rPr>
      </w:pPr>
      <w:r>
        <w:rPr>
          <w:snapToGrid w:val="0"/>
          <w:color w:val="auto"/>
        </w:rPr>
        <w:br w:type="page"/>
      </w:r>
      <w:bookmarkStart w:id="87" w:name="_Toc20789"/>
      <w:bookmarkStart w:id="88" w:name="_Toc22782"/>
      <w:r>
        <w:rPr>
          <w:rFonts w:hint="eastAsia" w:ascii="黑体" w:hAnsi="黑体" w:eastAsia="黑体"/>
          <w:snapToGrid w:val="0"/>
          <w:color w:val="auto"/>
          <w:sz w:val="30"/>
          <w:szCs w:val="30"/>
          <w:lang w:val="en-US" w:eastAsia="zh-CN"/>
        </w:rPr>
        <w:t>七</w:t>
      </w:r>
      <w:r>
        <w:rPr>
          <w:rFonts w:hint="eastAsia" w:ascii="黑体" w:hAnsi="黑体" w:eastAsia="黑体"/>
          <w:snapToGrid w:val="0"/>
          <w:color w:val="auto"/>
          <w:sz w:val="30"/>
          <w:szCs w:val="30"/>
        </w:rPr>
        <w:t>、结论</w:t>
      </w:r>
      <w:bookmarkEnd w:id="87"/>
      <w:bookmarkEnd w:id="88"/>
    </w:p>
    <w:tbl>
      <w:tblPr>
        <w:tblStyle w:val="2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69E084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top"/>
          </w:tcPr>
          <w:p w14:paraId="096569B8">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bookmarkStart w:id="89" w:name="_Toc7686"/>
            <w:bookmarkStart w:id="90" w:name="_Toc3991"/>
            <w:r>
              <w:rPr>
                <w:spacing w:val="16"/>
                <w:sz w:val="24"/>
                <w:szCs w:val="24"/>
              </w:rPr>
              <w:t>综上所述，</w:t>
            </w:r>
            <w:r>
              <w:rPr>
                <w:rFonts w:hint="eastAsia"/>
                <w:spacing w:val="16"/>
                <w:sz w:val="24"/>
                <w:szCs w:val="24"/>
                <w:lang w:eastAsia="zh-CN"/>
              </w:rPr>
              <w:t>新疆昌吉州奇台县吉布库河奇台镇城区段中小河流治理工程</w:t>
            </w:r>
            <w:r>
              <w:rPr>
                <w:spacing w:val="16"/>
                <w:sz w:val="24"/>
                <w:szCs w:val="24"/>
              </w:rPr>
              <w:t>建设符合国家产业政策；项目建设符合生态红线管理要求，满足“三线一单”要求；在采取各类环保措施后，对沿线生态环境影响较小，在执行环保“三同时”制度和认真落实各项环保措施的前提下，从环保角度分析工程建设可行。</w:t>
            </w:r>
            <w:bookmarkEnd w:id="89"/>
            <w:bookmarkEnd w:id="90"/>
          </w:p>
          <w:p w14:paraId="079C6C05">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44D73E1B">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71A7EB09">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786621FF">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70FC955F">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1603A8FE">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1EA2FA32">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6C2FA0A7">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4ED46F6A">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3153910B">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7A0D2ED8">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4A2E717C">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7989E8BC">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3B4A0D38">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2D341861">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02741664">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7FB2D0CC">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59859458">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05FC2511">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7F47695E">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76FCFFBC">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26E7A867">
            <w:pPr>
              <w:pStyle w:val="65"/>
              <w:keepNext w:val="0"/>
              <w:keepLines w:val="0"/>
              <w:pageBreakBefore w:val="0"/>
              <w:widowControl w:val="0"/>
              <w:kinsoku/>
              <w:wordWrap/>
              <w:overflowPunct/>
              <w:topLinePunct w:val="0"/>
              <w:autoSpaceDE/>
              <w:autoSpaceDN/>
              <w:bidi w:val="0"/>
              <w:adjustRightInd w:val="0"/>
              <w:snapToGrid w:val="0"/>
              <w:spacing w:line="360" w:lineRule="auto"/>
              <w:ind w:firstLine="544" w:firstLineChars="200"/>
              <w:textAlignment w:val="auto"/>
              <w:outlineLvl w:val="0"/>
              <w:rPr>
                <w:spacing w:val="16"/>
                <w:sz w:val="24"/>
                <w:szCs w:val="24"/>
              </w:rPr>
            </w:pPr>
          </w:p>
          <w:p w14:paraId="0D256C66">
            <w:pPr>
              <w:pStyle w:val="65"/>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spacing w:val="16"/>
                <w:sz w:val="24"/>
                <w:szCs w:val="24"/>
              </w:rPr>
            </w:pPr>
          </w:p>
        </w:tc>
      </w:tr>
    </w:tbl>
    <w:p w14:paraId="3A05466C">
      <w:pPr>
        <w:pStyle w:val="49"/>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left"/>
        <w:textAlignment w:val="auto"/>
        <w:rPr>
          <w:rFonts w:hint="eastAsia" w:hAnsi="宋体" w:eastAsia="宋体"/>
          <w:snapToGrid w:val="0"/>
          <w:color w:val="0000FF"/>
          <w:kern w:val="21"/>
          <w:szCs w:val="21"/>
          <w:lang w:val="en-US" w:eastAsia="zh-CN"/>
        </w:rPr>
      </w:pPr>
    </w:p>
    <w:sectPr>
      <w:footerReference r:id="rId8" w:type="default"/>
      <w:pgSz w:w="11906" w:h="16838"/>
      <w:pgMar w:top="1440" w:right="1800" w:bottom="1440" w:left="1800" w:header="851" w:footer="851"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4BF9128-7D17-4704-8E7D-C20B10FA882B}"/>
  </w:font>
  <w:font w:name="黑体">
    <w:panose1 w:val="02010609060101010101"/>
    <w:charset w:val="86"/>
    <w:family w:val="auto"/>
    <w:pitch w:val="default"/>
    <w:sig w:usb0="800002BF" w:usb1="38CF7CFA" w:usb2="00000016" w:usb3="00000000" w:csb0="00040001" w:csb1="00000000"/>
    <w:embedRegular r:id="rId2" w:fontKey="{D6C9EE8A-6354-4CA0-978F-03EC675BA7D4}"/>
  </w:font>
  <w:font w:name="Courier New">
    <w:panose1 w:val="02070309020205020404"/>
    <w:charset w:val="01"/>
    <w:family w:val="modern"/>
    <w:pitch w:val="default"/>
    <w:sig w:usb0="E0002EFF" w:usb1="C0007843" w:usb2="00000009" w:usb3="00000000" w:csb0="400001FF" w:csb1="FFFF0000"/>
    <w:embedRegular r:id="rId3" w:fontKey="{2909CB8E-2D98-4D56-9E92-28BBE6537EB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C1FB3035-C897-459A-8D56-FAD179A849A1}"/>
  </w:font>
  <w:font w:name="Calibri Light">
    <w:panose1 w:val="020F0302020204030204"/>
    <w:charset w:val="00"/>
    <w:family w:val="swiss"/>
    <w:pitch w:val="default"/>
    <w:sig w:usb0="E4002EFF" w:usb1="C200247B" w:usb2="00000009" w:usb3="00000000" w:csb0="200001FF" w:csb1="00000000"/>
  </w:font>
  <w:font w:name="???-18030">
    <w:altName w:val="Courier New"/>
    <w:panose1 w:val="00000000000000000000"/>
    <w:charset w:val="00"/>
    <w:family w:val="auto"/>
    <w:pitch w:val="default"/>
    <w:sig w:usb0="00000000" w:usb1="00000000" w:usb2="00000000" w:usb3="00000000" w:csb0="00000001" w:csb1="00000000"/>
  </w:font>
  <w:font w:name="方正仿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5" w:fontKey="{07AAB438-E9C2-4A54-A50B-C567078B0168}"/>
  </w:font>
  <w:font w:name="Wingdings 2">
    <w:panose1 w:val="05020102010507070707"/>
    <w:charset w:val="02"/>
    <w:family w:val="roman"/>
    <w:pitch w:val="default"/>
    <w:sig w:usb0="00000000" w:usb1="00000000" w:usb2="00000000" w:usb3="00000000" w:csb0="80000000" w:csb1="00000000"/>
    <w:embedRegular r:id="rId6" w:fontKey="{3635E0A3-5CB3-4A88-9E02-5B12180D97AD}"/>
  </w:font>
  <w:font w:name="微软雅黑">
    <w:panose1 w:val="020B0503020204020204"/>
    <w:charset w:val="86"/>
    <w:family w:val="auto"/>
    <w:pitch w:val="default"/>
    <w:sig w:usb0="80000287" w:usb1="2ACF3C50" w:usb2="00000016" w:usb3="00000000" w:csb0="0004001F" w:csb1="00000000"/>
    <w:embedRegular r:id="rId7" w:fontKey="{27489F3C-9524-42E2-A52D-8211818C4039}"/>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96EA9">
    <w:pPr>
      <w:pStyle w:val="15"/>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5A344">
    <w:pPr>
      <w:pStyle w:val="15"/>
      <w:ind w:right="360" w:firstLine="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505DD">
    <w:pPr>
      <w:pStyle w:val="15"/>
      <w:ind w:right="360" w:firstLine="360"/>
      <w:jc w:val="center"/>
    </w:pPr>
    <w: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6DCE4D3">
                          <w:pPr>
                            <w:pStyle w:val="1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dkdM8sBAACc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IYSxy0O/PLj++Xn78uvb2RZ&#10;vV5l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3ZHTPLAQAAnAMAAA4AAAAAAAAAAQAgAAAAHgEAAGRycy9lMm9E&#10;b2MueG1sUEsFBgAAAAAGAAYAWQEAAFsFAAAAAA==&#10;">
              <v:fill on="f" focussize="0,0"/>
              <v:stroke on="f"/>
              <v:imagedata o:title=""/>
              <o:lock v:ext="edit" aspectratio="f"/>
              <v:textbox inset="0mm,0mm,0mm,0mm" style="mso-fit-shape-to-text:t;">
                <w:txbxContent>
                  <w:p w14:paraId="36DCE4D3">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AFE3C">
    <w:pPr>
      <w:pStyle w:val="15"/>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601DAB">
                          <w:pPr>
                            <w:pStyle w:val="15"/>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y3cIHMoBAACcAwAADgAAAAAAAAABACAAAAAeAQAAZHJzL2Uyb0Rv&#10;Yy54bWxQSwUGAAAAAAYABgBZAQAAWgUAAAAA&#10;">
              <v:fill on="f" focussize="0,0"/>
              <v:stroke on="f"/>
              <v:imagedata o:title=""/>
              <o:lock v:ext="edit" aspectratio="f"/>
              <v:textbox inset="0mm,0mm,0mm,0mm" style="mso-fit-shape-to-text:t;">
                <w:txbxContent>
                  <w:p w14:paraId="6E601DAB">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781DD">
    <w:pPr>
      <w:pStyle w:val="15"/>
      <w:ind w:right="360" w:firstLine="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A1F3E4">
                          <w:pPr>
                            <w:pStyle w:val="15"/>
                          </w:pPr>
                          <w:r>
                            <w:fldChar w:fldCharType="begin"/>
                          </w:r>
                          <w:r>
                            <w:instrText xml:space="preserve"> PAGE  \* MERGEFORMAT </w:instrText>
                          </w:r>
                          <w:r>
                            <w:fldChar w:fldCharType="separate"/>
                          </w:r>
                          <w:r>
                            <w:t>8</w:t>
                          </w:r>
                          <w:r>
                            <w:fldChar w:fldCharType="end"/>
                          </w:r>
                        </w:p>
                      </w:txbxContent>
                    </wps:txbx>
                    <wps:bodyPr wrap="none" lIns="0" tIns="0" rIns="0" bIns="0" upright="0">
                      <a:spAutoFit/>
                    </wps:bodyPr>
                  </wps:wsp>
                </a:graphicData>
              </a:graphic>
            </wp:anchor>
          </w:drawing>
        </mc:Choice>
        <mc:Fallback>
          <w:pict>
            <v:shape id="文本框 103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qEr6soBAACcAwAADgAAAAAAAAABACAAAAAeAQAAZHJzL2Uyb0Rv&#10;Yy54bWxQSwUGAAAAAAYABgBZAQAAWgUAAAAA&#10;">
              <v:fill on="f" focussize="0,0"/>
              <v:stroke on="f"/>
              <v:imagedata o:title=""/>
              <o:lock v:ext="edit" aspectratio="f"/>
              <v:textbox inset="0mm,0mm,0mm,0mm" style="mso-fit-shape-to-text:t;">
                <w:txbxContent>
                  <w:p w14:paraId="52A1F3E4">
                    <w:pPr>
                      <w:pStyle w:val="15"/>
                    </w:pPr>
                    <w:r>
                      <w:fldChar w:fldCharType="begin"/>
                    </w:r>
                    <w:r>
                      <w:instrText xml:space="preserve"> PAGE  \* MERGEFORMAT </w:instrText>
                    </w:r>
                    <w:r>
                      <w:fldChar w:fldCharType="separate"/>
                    </w:r>
                    <w:r>
                      <w:t>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DF309">
    <w:pPr>
      <w:pStyle w:val="16"/>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F66669"/>
    <w:multiLevelType w:val="singleLevel"/>
    <w:tmpl w:val="84F66669"/>
    <w:lvl w:ilvl="0" w:tentative="0">
      <w:start w:val="1"/>
      <w:numFmt w:val="decimal"/>
      <w:lvlText w:val="%1."/>
      <w:lvlJc w:val="left"/>
      <w:pPr>
        <w:ind w:left="425" w:hanging="425"/>
      </w:pPr>
      <w:rPr>
        <w:rFonts w:hint="default"/>
      </w:rPr>
    </w:lvl>
  </w:abstractNum>
  <w:abstractNum w:abstractNumId="1">
    <w:nsid w:val="86B0DF1E"/>
    <w:multiLevelType w:val="singleLevel"/>
    <w:tmpl w:val="86B0DF1E"/>
    <w:lvl w:ilvl="0" w:tentative="0">
      <w:start w:val="1"/>
      <w:numFmt w:val="decimalEnclosedCircleChinese"/>
      <w:suff w:val="nothing"/>
      <w:lvlText w:val="%1　"/>
      <w:lvlJc w:val="left"/>
      <w:pPr>
        <w:ind w:left="0" w:firstLine="400"/>
      </w:pPr>
      <w:rPr>
        <w:rFonts w:hint="eastAsia"/>
      </w:rPr>
    </w:lvl>
  </w:abstractNum>
  <w:abstractNum w:abstractNumId="2">
    <w:nsid w:val="8F4B03E2"/>
    <w:multiLevelType w:val="singleLevel"/>
    <w:tmpl w:val="8F4B03E2"/>
    <w:lvl w:ilvl="0" w:tentative="0">
      <w:start w:val="1"/>
      <w:numFmt w:val="decimal"/>
      <w:lvlText w:val="(%1)"/>
      <w:lvlJc w:val="left"/>
      <w:pPr>
        <w:ind w:left="425" w:hanging="425"/>
      </w:pPr>
      <w:rPr>
        <w:rFonts w:hint="default"/>
      </w:rPr>
    </w:lvl>
  </w:abstractNum>
  <w:abstractNum w:abstractNumId="3">
    <w:nsid w:val="92670FDE"/>
    <w:multiLevelType w:val="singleLevel"/>
    <w:tmpl w:val="92670FDE"/>
    <w:lvl w:ilvl="0" w:tentative="0">
      <w:start w:val="1"/>
      <w:numFmt w:val="decimal"/>
      <w:lvlText w:val="(%1)"/>
      <w:lvlJc w:val="left"/>
      <w:pPr>
        <w:ind w:left="425" w:hanging="425"/>
      </w:pPr>
      <w:rPr>
        <w:rFonts w:hint="default"/>
      </w:rPr>
    </w:lvl>
  </w:abstractNum>
  <w:abstractNum w:abstractNumId="4">
    <w:nsid w:val="92BD57B0"/>
    <w:multiLevelType w:val="singleLevel"/>
    <w:tmpl w:val="92BD57B0"/>
    <w:lvl w:ilvl="0" w:tentative="0">
      <w:start w:val="1"/>
      <w:numFmt w:val="decimalEnclosedCircleChinese"/>
      <w:suff w:val="nothing"/>
      <w:lvlText w:val="%1　"/>
      <w:lvlJc w:val="left"/>
      <w:pPr>
        <w:ind w:left="0" w:firstLine="400"/>
      </w:pPr>
      <w:rPr>
        <w:rFonts w:hint="eastAsia"/>
      </w:rPr>
    </w:lvl>
  </w:abstractNum>
  <w:abstractNum w:abstractNumId="5">
    <w:nsid w:val="9359A3A1"/>
    <w:multiLevelType w:val="singleLevel"/>
    <w:tmpl w:val="9359A3A1"/>
    <w:lvl w:ilvl="0" w:tentative="0">
      <w:start w:val="1"/>
      <w:numFmt w:val="decimalEnclosedCircleChinese"/>
      <w:suff w:val="nothing"/>
      <w:lvlText w:val="%1　"/>
      <w:lvlJc w:val="left"/>
      <w:pPr>
        <w:ind w:left="0" w:firstLine="400"/>
      </w:pPr>
      <w:rPr>
        <w:rFonts w:hint="eastAsia"/>
      </w:rPr>
    </w:lvl>
  </w:abstractNum>
  <w:abstractNum w:abstractNumId="6">
    <w:nsid w:val="95101EAE"/>
    <w:multiLevelType w:val="singleLevel"/>
    <w:tmpl w:val="95101EAE"/>
    <w:lvl w:ilvl="0" w:tentative="0">
      <w:start w:val="1"/>
      <w:numFmt w:val="decimal"/>
      <w:lvlText w:val="(%1)"/>
      <w:lvlJc w:val="left"/>
      <w:pPr>
        <w:ind w:left="0" w:leftChars="0" w:firstLine="567" w:firstLineChars="0"/>
      </w:pPr>
      <w:rPr>
        <w:rFonts w:hint="default"/>
      </w:rPr>
    </w:lvl>
  </w:abstractNum>
  <w:abstractNum w:abstractNumId="7">
    <w:nsid w:val="961D6E85"/>
    <w:multiLevelType w:val="singleLevel"/>
    <w:tmpl w:val="961D6E85"/>
    <w:lvl w:ilvl="0" w:tentative="0">
      <w:start w:val="1"/>
      <w:numFmt w:val="decimalEnclosedCircleChinese"/>
      <w:suff w:val="nothing"/>
      <w:lvlText w:val="%1　"/>
      <w:lvlJc w:val="left"/>
      <w:pPr>
        <w:ind w:left="0" w:firstLine="400"/>
      </w:pPr>
      <w:rPr>
        <w:rFonts w:hint="eastAsia"/>
      </w:rPr>
    </w:lvl>
  </w:abstractNum>
  <w:abstractNum w:abstractNumId="8">
    <w:nsid w:val="99C1F367"/>
    <w:multiLevelType w:val="singleLevel"/>
    <w:tmpl w:val="99C1F367"/>
    <w:lvl w:ilvl="0" w:tentative="0">
      <w:start w:val="1"/>
      <w:numFmt w:val="decimal"/>
      <w:lvlText w:val="图4-%1"/>
      <w:lvlJc w:val="left"/>
      <w:pPr>
        <w:tabs>
          <w:tab w:val="left" w:pos="312"/>
        </w:tabs>
      </w:pPr>
      <w:rPr>
        <w:rFonts w:hint="default" w:ascii="宋体" w:hAnsi="宋体" w:eastAsia="宋体" w:cs="宋体"/>
        <w:b/>
        <w:bCs/>
      </w:rPr>
    </w:lvl>
  </w:abstractNum>
  <w:abstractNum w:abstractNumId="9">
    <w:nsid w:val="A3636614"/>
    <w:multiLevelType w:val="singleLevel"/>
    <w:tmpl w:val="A3636614"/>
    <w:lvl w:ilvl="0" w:tentative="0">
      <w:start w:val="1"/>
      <w:numFmt w:val="decimal"/>
      <w:lvlText w:val="(%1)"/>
      <w:lvlJc w:val="left"/>
      <w:pPr>
        <w:ind w:left="425" w:hanging="425"/>
      </w:pPr>
      <w:rPr>
        <w:rFonts w:hint="default"/>
      </w:rPr>
    </w:lvl>
  </w:abstractNum>
  <w:abstractNum w:abstractNumId="10">
    <w:nsid w:val="AAEA5B70"/>
    <w:multiLevelType w:val="singleLevel"/>
    <w:tmpl w:val="AAEA5B70"/>
    <w:lvl w:ilvl="0" w:tentative="0">
      <w:start w:val="1"/>
      <w:numFmt w:val="decimal"/>
      <w:lvlText w:val="(%1)"/>
      <w:lvlJc w:val="left"/>
      <w:pPr>
        <w:ind w:left="425" w:hanging="425"/>
      </w:pPr>
      <w:rPr>
        <w:rFonts w:hint="default"/>
      </w:rPr>
    </w:lvl>
  </w:abstractNum>
  <w:abstractNum w:abstractNumId="11">
    <w:nsid w:val="AEC76B12"/>
    <w:multiLevelType w:val="singleLevel"/>
    <w:tmpl w:val="AEC76B12"/>
    <w:lvl w:ilvl="0" w:tentative="0">
      <w:start w:val="1"/>
      <w:numFmt w:val="decimal"/>
      <w:lvlText w:val="%1."/>
      <w:lvlJc w:val="left"/>
      <w:pPr>
        <w:ind w:left="425" w:hanging="425"/>
      </w:pPr>
      <w:rPr>
        <w:rFonts w:hint="default"/>
      </w:rPr>
    </w:lvl>
  </w:abstractNum>
  <w:abstractNum w:abstractNumId="12">
    <w:nsid w:val="B0637852"/>
    <w:multiLevelType w:val="singleLevel"/>
    <w:tmpl w:val="B0637852"/>
    <w:lvl w:ilvl="0" w:tentative="0">
      <w:start w:val="1"/>
      <w:numFmt w:val="decimal"/>
      <w:lvlText w:val="(%1)"/>
      <w:lvlJc w:val="left"/>
      <w:pPr>
        <w:ind w:left="425" w:hanging="425"/>
      </w:pPr>
      <w:rPr>
        <w:rFonts w:hint="default"/>
      </w:rPr>
    </w:lvl>
  </w:abstractNum>
  <w:abstractNum w:abstractNumId="13">
    <w:nsid w:val="B4A79762"/>
    <w:multiLevelType w:val="singleLevel"/>
    <w:tmpl w:val="B4A79762"/>
    <w:lvl w:ilvl="0" w:tentative="0">
      <w:start w:val="1"/>
      <w:numFmt w:val="decimal"/>
      <w:lvlText w:val="%1."/>
      <w:lvlJc w:val="left"/>
      <w:pPr>
        <w:ind w:left="425" w:hanging="425"/>
      </w:pPr>
      <w:rPr>
        <w:rFonts w:hint="default"/>
      </w:rPr>
    </w:lvl>
  </w:abstractNum>
  <w:abstractNum w:abstractNumId="14">
    <w:nsid w:val="BA8B23D0"/>
    <w:multiLevelType w:val="singleLevel"/>
    <w:tmpl w:val="BA8B23D0"/>
    <w:lvl w:ilvl="0" w:tentative="0">
      <w:start w:val="1"/>
      <w:numFmt w:val="decimal"/>
      <w:lvlText w:val="(%1)"/>
      <w:lvlJc w:val="left"/>
      <w:pPr>
        <w:ind w:left="425" w:hanging="425"/>
      </w:pPr>
      <w:rPr>
        <w:rFonts w:hint="default"/>
      </w:rPr>
    </w:lvl>
  </w:abstractNum>
  <w:abstractNum w:abstractNumId="15">
    <w:nsid w:val="BE747AA8"/>
    <w:multiLevelType w:val="singleLevel"/>
    <w:tmpl w:val="BE747AA8"/>
    <w:lvl w:ilvl="0" w:tentative="0">
      <w:start w:val="1"/>
      <w:numFmt w:val="decimal"/>
      <w:lvlText w:val="%1."/>
      <w:lvlJc w:val="left"/>
      <w:pPr>
        <w:ind w:left="425" w:hanging="425"/>
      </w:pPr>
      <w:rPr>
        <w:rFonts w:hint="default"/>
      </w:rPr>
    </w:lvl>
  </w:abstractNum>
  <w:abstractNum w:abstractNumId="16">
    <w:nsid w:val="BE790CE4"/>
    <w:multiLevelType w:val="singleLevel"/>
    <w:tmpl w:val="BE790CE4"/>
    <w:lvl w:ilvl="0" w:tentative="0">
      <w:start w:val="1"/>
      <w:numFmt w:val="lowerLetter"/>
      <w:lvlText w:val="%1."/>
      <w:lvlJc w:val="left"/>
      <w:pPr>
        <w:tabs>
          <w:tab w:val="left" w:pos="312"/>
        </w:tabs>
      </w:pPr>
    </w:lvl>
  </w:abstractNum>
  <w:abstractNum w:abstractNumId="17">
    <w:nsid w:val="BF7DB880"/>
    <w:multiLevelType w:val="singleLevel"/>
    <w:tmpl w:val="BF7DB880"/>
    <w:lvl w:ilvl="0" w:tentative="0">
      <w:start w:val="1"/>
      <w:numFmt w:val="decimal"/>
      <w:lvlText w:val="表2-%1"/>
      <w:lvlJc w:val="left"/>
      <w:pPr>
        <w:tabs>
          <w:tab w:val="left" w:pos="312"/>
        </w:tabs>
      </w:pPr>
      <w:rPr>
        <w:rFonts w:hint="default" w:ascii="宋体" w:hAnsi="宋体" w:eastAsia="宋体" w:cs="宋体"/>
      </w:rPr>
    </w:lvl>
  </w:abstractNum>
  <w:abstractNum w:abstractNumId="18">
    <w:nsid w:val="DA26F33F"/>
    <w:multiLevelType w:val="singleLevel"/>
    <w:tmpl w:val="DA26F33F"/>
    <w:lvl w:ilvl="0" w:tentative="0">
      <w:start w:val="1"/>
      <w:numFmt w:val="decimal"/>
      <w:lvlText w:val="%1."/>
      <w:lvlJc w:val="left"/>
      <w:pPr>
        <w:ind w:left="425" w:hanging="425"/>
      </w:pPr>
      <w:rPr>
        <w:rFonts w:hint="default"/>
      </w:rPr>
    </w:lvl>
  </w:abstractNum>
  <w:abstractNum w:abstractNumId="19">
    <w:nsid w:val="E39D0CDE"/>
    <w:multiLevelType w:val="singleLevel"/>
    <w:tmpl w:val="E39D0CDE"/>
    <w:lvl w:ilvl="0" w:tentative="0">
      <w:start w:val="1"/>
      <w:numFmt w:val="decimal"/>
      <w:lvlText w:val="(%1)"/>
      <w:lvlJc w:val="left"/>
      <w:pPr>
        <w:ind w:left="425" w:hanging="425"/>
      </w:pPr>
      <w:rPr>
        <w:rFonts w:hint="default"/>
      </w:rPr>
    </w:lvl>
  </w:abstractNum>
  <w:abstractNum w:abstractNumId="20">
    <w:nsid w:val="E567BCAD"/>
    <w:multiLevelType w:val="singleLevel"/>
    <w:tmpl w:val="E567BCAD"/>
    <w:lvl w:ilvl="0" w:tentative="0">
      <w:start w:val="1"/>
      <w:numFmt w:val="decimal"/>
      <w:lvlText w:val="(%1)"/>
      <w:lvlJc w:val="left"/>
      <w:pPr>
        <w:ind w:left="425" w:hanging="425"/>
      </w:pPr>
      <w:rPr>
        <w:rFonts w:hint="default"/>
      </w:rPr>
    </w:lvl>
  </w:abstractNum>
  <w:abstractNum w:abstractNumId="21">
    <w:nsid w:val="E6C27B08"/>
    <w:multiLevelType w:val="singleLevel"/>
    <w:tmpl w:val="E6C27B08"/>
    <w:lvl w:ilvl="0" w:tentative="0">
      <w:start w:val="1"/>
      <w:numFmt w:val="decimal"/>
      <w:lvlText w:val="(%1)"/>
      <w:lvlJc w:val="left"/>
      <w:pPr>
        <w:ind w:left="425" w:hanging="425"/>
      </w:pPr>
      <w:rPr>
        <w:rFonts w:hint="default"/>
      </w:rPr>
    </w:lvl>
  </w:abstractNum>
  <w:abstractNum w:abstractNumId="22">
    <w:nsid w:val="E71F6EBE"/>
    <w:multiLevelType w:val="singleLevel"/>
    <w:tmpl w:val="E71F6EBE"/>
    <w:lvl w:ilvl="0" w:tentative="0">
      <w:start w:val="1"/>
      <w:numFmt w:val="decimal"/>
      <w:lvlText w:val="%1."/>
      <w:lvlJc w:val="left"/>
      <w:pPr>
        <w:ind w:left="425" w:hanging="425"/>
      </w:pPr>
      <w:rPr>
        <w:rFonts w:hint="default"/>
      </w:rPr>
    </w:lvl>
  </w:abstractNum>
  <w:abstractNum w:abstractNumId="23">
    <w:nsid w:val="EEEF68CA"/>
    <w:multiLevelType w:val="singleLevel"/>
    <w:tmpl w:val="EEEF68CA"/>
    <w:lvl w:ilvl="0" w:tentative="0">
      <w:start w:val="1"/>
      <w:numFmt w:val="decimal"/>
      <w:lvlText w:val="(%1)"/>
      <w:lvlJc w:val="left"/>
      <w:pPr>
        <w:ind w:left="425" w:hanging="425"/>
      </w:pPr>
      <w:rPr>
        <w:rFonts w:hint="default"/>
      </w:rPr>
    </w:lvl>
  </w:abstractNum>
  <w:abstractNum w:abstractNumId="24">
    <w:nsid w:val="F196ABED"/>
    <w:multiLevelType w:val="singleLevel"/>
    <w:tmpl w:val="F196ABED"/>
    <w:lvl w:ilvl="0" w:tentative="0">
      <w:start w:val="1"/>
      <w:numFmt w:val="decimalEnclosedCircleChinese"/>
      <w:suff w:val="nothing"/>
      <w:lvlText w:val="%1　"/>
      <w:lvlJc w:val="left"/>
      <w:pPr>
        <w:ind w:left="0" w:firstLine="400"/>
      </w:pPr>
      <w:rPr>
        <w:rFonts w:hint="eastAsia"/>
      </w:rPr>
    </w:lvl>
  </w:abstractNum>
  <w:abstractNum w:abstractNumId="25">
    <w:nsid w:val="F3258907"/>
    <w:multiLevelType w:val="singleLevel"/>
    <w:tmpl w:val="F3258907"/>
    <w:lvl w:ilvl="0" w:tentative="0">
      <w:start w:val="1"/>
      <w:numFmt w:val="decimal"/>
      <w:lvlText w:val="表4-%1"/>
      <w:lvlJc w:val="left"/>
      <w:pPr>
        <w:tabs>
          <w:tab w:val="left" w:pos="312"/>
        </w:tabs>
      </w:pPr>
      <w:rPr>
        <w:rFonts w:hint="default" w:ascii="宋体" w:hAnsi="宋体" w:eastAsia="宋体" w:cs="宋体"/>
        <w:b/>
        <w:bCs/>
      </w:rPr>
    </w:lvl>
  </w:abstractNum>
  <w:abstractNum w:abstractNumId="26">
    <w:nsid w:val="FC04547F"/>
    <w:multiLevelType w:val="singleLevel"/>
    <w:tmpl w:val="FC04547F"/>
    <w:lvl w:ilvl="0" w:tentative="0">
      <w:start w:val="1"/>
      <w:numFmt w:val="decimal"/>
      <w:lvlText w:val="(%1)"/>
      <w:lvlJc w:val="left"/>
      <w:pPr>
        <w:ind w:left="425" w:hanging="425"/>
      </w:pPr>
      <w:rPr>
        <w:rFonts w:hint="default"/>
      </w:rPr>
    </w:lvl>
  </w:abstractNum>
  <w:abstractNum w:abstractNumId="27">
    <w:nsid w:val="FE68B4EC"/>
    <w:multiLevelType w:val="singleLevel"/>
    <w:tmpl w:val="FE68B4EC"/>
    <w:lvl w:ilvl="0" w:tentative="0">
      <w:start w:val="1"/>
      <w:numFmt w:val="decimal"/>
      <w:lvlText w:val="%1."/>
      <w:lvlJc w:val="left"/>
      <w:pPr>
        <w:ind w:left="425" w:hanging="425"/>
      </w:pPr>
      <w:rPr>
        <w:rFonts w:hint="default"/>
      </w:rPr>
    </w:lvl>
  </w:abstractNum>
  <w:abstractNum w:abstractNumId="28">
    <w:nsid w:val="03015649"/>
    <w:multiLevelType w:val="singleLevel"/>
    <w:tmpl w:val="03015649"/>
    <w:lvl w:ilvl="0" w:tentative="0">
      <w:start w:val="1"/>
      <w:numFmt w:val="decimalEnclosedCircleChinese"/>
      <w:suff w:val="nothing"/>
      <w:lvlText w:val="%1　"/>
      <w:lvlJc w:val="left"/>
      <w:pPr>
        <w:ind w:left="0" w:firstLine="400"/>
      </w:pPr>
      <w:rPr>
        <w:rFonts w:hint="eastAsia"/>
      </w:rPr>
    </w:lvl>
  </w:abstractNum>
  <w:abstractNum w:abstractNumId="29">
    <w:nsid w:val="06F97233"/>
    <w:multiLevelType w:val="singleLevel"/>
    <w:tmpl w:val="06F97233"/>
    <w:lvl w:ilvl="0" w:tentative="0">
      <w:start w:val="1"/>
      <w:numFmt w:val="decimalEnclosedCircleChinese"/>
      <w:suff w:val="nothing"/>
      <w:lvlText w:val="%1　"/>
      <w:lvlJc w:val="left"/>
      <w:pPr>
        <w:ind w:left="0" w:firstLine="400"/>
      </w:pPr>
      <w:rPr>
        <w:rFonts w:hint="eastAsia"/>
      </w:rPr>
    </w:lvl>
  </w:abstractNum>
  <w:abstractNum w:abstractNumId="30">
    <w:nsid w:val="0AAF5E60"/>
    <w:multiLevelType w:val="singleLevel"/>
    <w:tmpl w:val="0AAF5E60"/>
    <w:lvl w:ilvl="0" w:tentative="0">
      <w:start w:val="1"/>
      <w:numFmt w:val="decimal"/>
      <w:lvlText w:val="%1."/>
      <w:lvlJc w:val="left"/>
      <w:pPr>
        <w:ind w:left="425" w:hanging="425"/>
      </w:pPr>
      <w:rPr>
        <w:rFonts w:hint="default"/>
      </w:rPr>
    </w:lvl>
  </w:abstractNum>
  <w:abstractNum w:abstractNumId="31">
    <w:nsid w:val="0C004712"/>
    <w:multiLevelType w:val="singleLevel"/>
    <w:tmpl w:val="0C004712"/>
    <w:lvl w:ilvl="0" w:tentative="0">
      <w:start w:val="1"/>
      <w:numFmt w:val="decimalEnclosedCircleChinese"/>
      <w:suff w:val="nothing"/>
      <w:lvlText w:val="%1　"/>
      <w:lvlJc w:val="left"/>
      <w:pPr>
        <w:ind w:left="0" w:firstLine="400"/>
      </w:pPr>
      <w:rPr>
        <w:rFonts w:hint="eastAsia"/>
      </w:rPr>
    </w:lvl>
  </w:abstractNum>
  <w:abstractNum w:abstractNumId="32">
    <w:nsid w:val="0C39EC8D"/>
    <w:multiLevelType w:val="singleLevel"/>
    <w:tmpl w:val="0C39EC8D"/>
    <w:lvl w:ilvl="0" w:tentative="0">
      <w:start w:val="1"/>
      <w:numFmt w:val="decimal"/>
      <w:suff w:val="nothing"/>
      <w:lvlText w:val="%1、"/>
      <w:lvlJc w:val="left"/>
    </w:lvl>
  </w:abstractNum>
  <w:abstractNum w:abstractNumId="33">
    <w:nsid w:val="0DCB0BF5"/>
    <w:multiLevelType w:val="singleLevel"/>
    <w:tmpl w:val="0DCB0BF5"/>
    <w:lvl w:ilvl="0" w:tentative="0">
      <w:start w:val="1"/>
      <w:numFmt w:val="decimal"/>
      <w:lvlText w:val="表3-%1"/>
      <w:lvlJc w:val="left"/>
      <w:pPr>
        <w:tabs>
          <w:tab w:val="left" w:pos="312"/>
        </w:tabs>
      </w:pPr>
      <w:rPr>
        <w:rFonts w:hint="default" w:ascii="宋体" w:hAnsi="宋体" w:eastAsia="宋体" w:cs="宋体"/>
        <w:b/>
        <w:bCs/>
        <w:color w:val="000000" w:themeColor="text1"/>
        <w14:textFill>
          <w14:solidFill>
            <w14:schemeClr w14:val="tx1"/>
          </w14:solidFill>
        </w14:textFill>
      </w:rPr>
    </w:lvl>
  </w:abstractNum>
  <w:abstractNum w:abstractNumId="34">
    <w:nsid w:val="104CD10B"/>
    <w:multiLevelType w:val="singleLevel"/>
    <w:tmpl w:val="104CD10B"/>
    <w:lvl w:ilvl="0" w:tentative="0">
      <w:start w:val="1"/>
      <w:numFmt w:val="decimalEnclosedCircleChinese"/>
      <w:suff w:val="nothing"/>
      <w:lvlText w:val="%1　"/>
      <w:lvlJc w:val="left"/>
      <w:pPr>
        <w:ind w:left="0" w:firstLine="400"/>
      </w:pPr>
      <w:rPr>
        <w:rFonts w:hint="eastAsia"/>
      </w:rPr>
    </w:lvl>
  </w:abstractNum>
  <w:abstractNum w:abstractNumId="35">
    <w:nsid w:val="1B20A96D"/>
    <w:multiLevelType w:val="singleLevel"/>
    <w:tmpl w:val="1B20A96D"/>
    <w:lvl w:ilvl="0" w:tentative="0">
      <w:start w:val="3"/>
      <w:numFmt w:val="decimal"/>
      <w:suff w:val="nothing"/>
      <w:lvlText w:val="（%1）"/>
      <w:lvlJc w:val="left"/>
    </w:lvl>
  </w:abstractNum>
  <w:abstractNum w:abstractNumId="36">
    <w:nsid w:val="1B7FE056"/>
    <w:multiLevelType w:val="singleLevel"/>
    <w:tmpl w:val="1B7FE056"/>
    <w:lvl w:ilvl="0" w:tentative="0">
      <w:start w:val="1"/>
      <w:numFmt w:val="decimal"/>
      <w:lvlText w:val="图2-%1"/>
      <w:lvlJc w:val="left"/>
      <w:pPr>
        <w:tabs>
          <w:tab w:val="left" w:pos="312"/>
        </w:tabs>
      </w:pPr>
      <w:rPr>
        <w:rFonts w:hint="default" w:ascii="宋体" w:hAnsi="宋体" w:eastAsia="宋体" w:cs="宋体"/>
      </w:rPr>
    </w:lvl>
  </w:abstractNum>
  <w:abstractNum w:abstractNumId="37">
    <w:nsid w:val="35FCC223"/>
    <w:multiLevelType w:val="singleLevel"/>
    <w:tmpl w:val="35FCC223"/>
    <w:lvl w:ilvl="0" w:tentative="0">
      <w:start w:val="1"/>
      <w:numFmt w:val="chineseCounting"/>
      <w:suff w:val="nothing"/>
      <w:lvlText w:val="%1、"/>
      <w:lvlJc w:val="left"/>
      <w:pPr>
        <w:ind w:left="0" w:firstLine="420"/>
      </w:pPr>
      <w:rPr>
        <w:rFonts w:hint="eastAsia"/>
      </w:rPr>
    </w:lvl>
  </w:abstractNum>
  <w:abstractNum w:abstractNumId="38">
    <w:nsid w:val="36923CF2"/>
    <w:multiLevelType w:val="singleLevel"/>
    <w:tmpl w:val="36923CF2"/>
    <w:lvl w:ilvl="0" w:tentative="0">
      <w:start w:val="5"/>
      <w:numFmt w:val="decimal"/>
      <w:suff w:val="nothing"/>
      <w:lvlText w:val="（%1）"/>
      <w:lvlJc w:val="left"/>
    </w:lvl>
  </w:abstractNum>
  <w:abstractNum w:abstractNumId="39">
    <w:nsid w:val="375E855A"/>
    <w:multiLevelType w:val="singleLevel"/>
    <w:tmpl w:val="375E855A"/>
    <w:lvl w:ilvl="0" w:tentative="0">
      <w:start w:val="1"/>
      <w:numFmt w:val="decimal"/>
      <w:lvlText w:val="(%1)"/>
      <w:lvlJc w:val="left"/>
      <w:pPr>
        <w:ind w:left="425" w:hanging="425"/>
      </w:pPr>
      <w:rPr>
        <w:rFonts w:hint="default"/>
      </w:rPr>
    </w:lvl>
  </w:abstractNum>
  <w:abstractNum w:abstractNumId="40">
    <w:nsid w:val="3EE668B4"/>
    <w:multiLevelType w:val="singleLevel"/>
    <w:tmpl w:val="3EE668B4"/>
    <w:lvl w:ilvl="0" w:tentative="0">
      <w:start w:val="1"/>
      <w:numFmt w:val="decimal"/>
      <w:lvlText w:val="(%1)"/>
      <w:lvlJc w:val="left"/>
      <w:pPr>
        <w:ind w:left="425" w:hanging="425"/>
      </w:pPr>
      <w:rPr>
        <w:rFonts w:hint="default"/>
      </w:rPr>
    </w:lvl>
  </w:abstractNum>
  <w:abstractNum w:abstractNumId="41">
    <w:nsid w:val="524BF0A2"/>
    <w:multiLevelType w:val="singleLevel"/>
    <w:tmpl w:val="524BF0A2"/>
    <w:lvl w:ilvl="0" w:tentative="0">
      <w:start w:val="3"/>
      <w:numFmt w:val="chineseCounting"/>
      <w:suff w:val="nothing"/>
      <w:lvlText w:val="%1、"/>
      <w:lvlJc w:val="left"/>
      <w:rPr>
        <w:rFonts w:hint="eastAsia"/>
      </w:rPr>
    </w:lvl>
  </w:abstractNum>
  <w:abstractNum w:abstractNumId="42">
    <w:nsid w:val="563DFF5F"/>
    <w:multiLevelType w:val="singleLevel"/>
    <w:tmpl w:val="563DFF5F"/>
    <w:lvl w:ilvl="0" w:tentative="0">
      <w:start w:val="1"/>
      <w:numFmt w:val="decimalEnclosedCircleChinese"/>
      <w:suff w:val="nothing"/>
      <w:lvlText w:val="%1　"/>
      <w:lvlJc w:val="left"/>
      <w:pPr>
        <w:ind w:left="0" w:firstLine="400"/>
      </w:pPr>
      <w:rPr>
        <w:rFonts w:hint="eastAsia"/>
      </w:rPr>
    </w:lvl>
  </w:abstractNum>
  <w:abstractNum w:abstractNumId="43">
    <w:nsid w:val="59DF2A44"/>
    <w:multiLevelType w:val="singleLevel"/>
    <w:tmpl w:val="59DF2A44"/>
    <w:lvl w:ilvl="0" w:tentative="0">
      <w:start w:val="1"/>
      <w:numFmt w:val="decimal"/>
      <w:lvlText w:val="表5-%1"/>
      <w:lvlJc w:val="left"/>
      <w:pPr>
        <w:tabs>
          <w:tab w:val="left" w:pos="312"/>
        </w:tabs>
      </w:pPr>
      <w:rPr>
        <w:rFonts w:hint="default" w:ascii="宋体" w:hAnsi="宋体" w:eastAsia="宋体" w:cs="宋体"/>
        <w:b/>
        <w:bCs/>
      </w:rPr>
    </w:lvl>
  </w:abstractNum>
  <w:abstractNum w:abstractNumId="44">
    <w:nsid w:val="62062364"/>
    <w:multiLevelType w:val="singleLevel"/>
    <w:tmpl w:val="62062364"/>
    <w:lvl w:ilvl="0" w:tentative="0">
      <w:start w:val="1"/>
      <w:numFmt w:val="decimal"/>
      <w:lvlText w:val="(%1)"/>
      <w:lvlJc w:val="left"/>
      <w:pPr>
        <w:ind w:left="425" w:hanging="425"/>
      </w:pPr>
      <w:rPr>
        <w:rFonts w:hint="default"/>
      </w:rPr>
    </w:lvl>
  </w:abstractNum>
  <w:abstractNum w:abstractNumId="45">
    <w:nsid w:val="62D72828"/>
    <w:multiLevelType w:val="singleLevel"/>
    <w:tmpl w:val="62D72828"/>
    <w:lvl w:ilvl="0" w:tentative="0">
      <w:start w:val="1"/>
      <w:numFmt w:val="decimal"/>
      <w:lvlText w:val="%1."/>
      <w:lvlJc w:val="left"/>
      <w:pPr>
        <w:ind w:left="425" w:hanging="425"/>
      </w:pPr>
      <w:rPr>
        <w:rFonts w:hint="default"/>
      </w:rPr>
    </w:lvl>
  </w:abstractNum>
  <w:abstractNum w:abstractNumId="46">
    <w:nsid w:val="682BE660"/>
    <w:multiLevelType w:val="singleLevel"/>
    <w:tmpl w:val="682BE660"/>
    <w:lvl w:ilvl="0" w:tentative="0">
      <w:start w:val="1"/>
      <w:numFmt w:val="decimal"/>
      <w:lvlText w:val="(%1)"/>
      <w:lvlJc w:val="left"/>
      <w:pPr>
        <w:ind w:left="425" w:hanging="425"/>
      </w:pPr>
      <w:rPr>
        <w:rFonts w:hint="default"/>
      </w:rPr>
    </w:lvl>
  </w:abstractNum>
  <w:abstractNum w:abstractNumId="47">
    <w:nsid w:val="693E72C9"/>
    <w:multiLevelType w:val="singleLevel"/>
    <w:tmpl w:val="693E72C9"/>
    <w:lvl w:ilvl="0" w:tentative="0">
      <w:start w:val="1"/>
      <w:numFmt w:val="decimal"/>
      <w:lvlText w:val="(%1)"/>
      <w:lvlJc w:val="left"/>
      <w:pPr>
        <w:ind w:left="425" w:hanging="425"/>
      </w:pPr>
      <w:rPr>
        <w:rFonts w:hint="default"/>
      </w:rPr>
    </w:lvl>
  </w:abstractNum>
  <w:abstractNum w:abstractNumId="48">
    <w:nsid w:val="69740860"/>
    <w:multiLevelType w:val="singleLevel"/>
    <w:tmpl w:val="69740860"/>
    <w:lvl w:ilvl="0" w:tentative="0">
      <w:start w:val="1"/>
      <w:numFmt w:val="decimalEnclosedCircleChinese"/>
      <w:suff w:val="nothing"/>
      <w:lvlText w:val="%1　"/>
      <w:lvlJc w:val="left"/>
      <w:pPr>
        <w:ind w:left="0" w:firstLine="400"/>
      </w:pPr>
      <w:rPr>
        <w:rFonts w:hint="eastAsia"/>
      </w:rPr>
    </w:lvl>
  </w:abstractNum>
  <w:abstractNum w:abstractNumId="49">
    <w:nsid w:val="6C8D3027"/>
    <w:multiLevelType w:val="singleLevel"/>
    <w:tmpl w:val="6C8D3027"/>
    <w:lvl w:ilvl="0" w:tentative="0">
      <w:start w:val="1"/>
      <w:numFmt w:val="decimalEnclosedCircleChinese"/>
      <w:suff w:val="nothing"/>
      <w:lvlText w:val="%1　"/>
      <w:lvlJc w:val="left"/>
      <w:pPr>
        <w:ind w:left="0" w:firstLine="400"/>
      </w:pPr>
      <w:rPr>
        <w:rFonts w:hint="eastAsia"/>
      </w:rPr>
    </w:lvl>
  </w:abstractNum>
  <w:abstractNum w:abstractNumId="50">
    <w:nsid w:val="738E9531"/>
    <w:multiLevelType w:val="singleLevel"/>
    <w:tmpl w:val="738E9531"/>
    <w:lvl w:ilvl="0" w:tentative="0">
      <w:start w:val="1"/>
      <w:numFmt w:val="decimal"/>
      <w:lvlText w:val="(%1)"/>
      <w:lvlJc w:val="left"/>
      <w:pPr>
        <w:ind w:left="425" w:hanging="425"/>
      </w:pPr>
      <w:rPr>
        <w:rFonts w:hint="default"/>
      </w:rPr>
    </w:lvl>
  </w:abstractNum>
  <w:abstractNum w:abstractNumId="51">
    <w:nsid w:val="74CA9160"/>
    <w:multiLevelType w:val="singleLevel"/>
    <w:tmpl w:val="74CA9160"/>
    <w:lvl w:ilvl="0" w:tentative="0">
      <w:start w:val="1"/>
      <w:numFmt w:val="decimal"/>
      <w:lvlText w:val="%1."/>
      <w:lvlJc w:val="left"/>
      <w:pPr>
        <w:ind w:left="425" w:hanging="425"/>
      </w:pPr>
      <w:rPr>
        <w:rFonts w:hint="default"/>
      </w:rPr>
    </w:lvl>
  </w:abstractNum>
  <w:abstractNum w:abstractNumId="52">
    <w:nsid w:val="75AC64AC"/>
    <w:multiLevelType w:val="singleLevel"/>
    <w:tmpl w:val="75AC64AC"/>
    <w:lvl w:ilvl="0" w:tentative="0">
      <w:start w:val="1"/>
      <w:numFmt w:val="decimalEnclosedCircleChinese"/>
      <w:suff w:val="nothing"/>
      <w:lvlText w:val="%1　"/>
      <w:lvlJc w:val="left"/>
      <w:pPr>
        <w:ind w:left="0" w:firstLine="400"/>
      </w:pPr>
      <w:rPr>
        <w:rFonts w:hint="eastAsia"/>
      </w:rPr>
    </w:lvl>
  </w:abstractNum>
  <w:abstractNum w:abstractNumId="53">
    <w:nsid w:val="7AAEEAC4"/>
    <w:multiLevelType w:val="singleLevel"/>
    <w:tmpl w:val="7AAEEAC4"/>
    <w:lvl w:ilvl="0" w:tentative="0">
      <w:start w:val="1"/>
      <w:numFmt w:val="decimal"/>
      <w:lvlText w:val="表1-%1"/>
      <w:lvlJc w:val="left"/>
      <w:pPr>
        <w:tabs>
          <w:tab w:val="left" w:pos="312"/>
        </w:tabs>
      </w:pPr>
      <w:rPr>
        <w:rFonts w:hint="default" w:ascii="宋体" w:hAnsi="宋体" w:eastAsia="宋体" w:cs="宋体"/>
        <w:b/>
        <w:bCs/>
        <w:sz w:val="24"/>
        <w:szCs w:val="24"/>
      </w:rPr>
    </w:lvl>
  </w:abstractNum>
  <w:num w:numId="1">
    <w:abstractNumId w:val="11"/>
  </w:num>
  <w:num w:numId="2">
    <w:abstractNumId w:val="5"/>
  </w:num>
  <w:num w:numId="3">
    <w:abstractNumId w:val="2"/>
  </w:num>
  <w:num w:numId="4">
    <w:abstractNumId w:val="42"/>
  </w:num>
  <w:num w:numId="5">
    <w:abstractNumId w:val="53"/>
  </w:num>
  <w:num w:numId="6">
    <w:abstractNumId w:val="32"/>
  </w:num>
  <w:num w:numId="7">
    <w:abstractNumId w:val="0"/>
  </w:num>
  <w:num w:numId="8">
    <w:abstractNumId w:val="47"/>
  </w:num>
  <w:num w:numId="9">
    <w:abstractNumId w:val="35"/>
  </w:num>
  <w:num w:numId="10">
    <w:abstractNumId w:val="4"/>
  </w:num>
  <w:num w:numId="11">
    <w:abstractNumId w:val="15"/>
  </w:num>
  <w:num w:numId="12">
    <w:abstractNumId w:val="17"/>
  </w:num>
  <w:num w:numId="13">
    <w:abstractNumId w:val="30"/>
  </w:num>
  <w:num w:numId="14">
    <w:abstractNumId w:val="20"/>
  </w:num>
  <w:num w:numId="15">
    <w:abstractNumId w:val="36"/>
  </w:num>
  <w:num w:numId="16">
    <w:abstractNumId w:val="29"/>
  </w:num>
  <w:num w:numId="17">
    <w:abstractNumId w:val="13"/>
  </w:num>
  <w:num w:numId="18">
    <w:abstractNumId w:val="21"/>
  </w:num>
  <w:num w:numId="19">
    <w:abstractNumId w:val="26"/>
  </w:num>
  <w:num w:numId="20">
    <w:abstractNumId w:val="24"/>
  </w:num>
  <w:num w:numId="21">
    <w:abstractNumId w:val="18"/>
  </w:num>
  <w:num w:numId="22">
    <w:abstractNumId w:val="23"/>
  </w:num>
  <w:num w:numId="23">
    <w:abstractNumId w:val="37"/>
  </w:num>
  <w:num w:numId="24">
    <w:abstractNumId w:val="22"/>
  </w:num>
  <w:num w:numId="25">
    <w:abstractNumId w:val="33"/>
  </w:num>
  <w:num w:numId="26">
    <w:abstractNumId w:val="14"/>
  </w:num>
  <w:num w:numId="27">
    <w:abstractNumId w:val="9"/>
  </w:num>
  <w:num w:numId="28">
    <w:abstractNumId w:val="45"/>
  </w:num>
  <w:num w:numId="29">
    <w:abstractNumId w:val="8"/>
  </w:num>
  <w:num w:numId="30">
    <w:abstractNumId w:val="50"/>
  </w:num>
  <w:num w:numId="31">
    <w:abstractNumId w:val="25"/>
  </w:num>
  <w:num w:numId="32">
    <w:abstractNumId w:val="38"/>
  </w:num>
  <w:num w:numId="33">
    <w:abstractNumId w:val="44"/>
  </w:num>
  <w:num w:numId="34">
    <w:abstractNumId w:val="40"/>
  </w:num>
  <w:num w:numId="35">
    <w:abstractNumId w:val="3"/>
  </w:num>
  <w:num w:numId="36">
    <w:abstractNumId w:val="16"/>
  </w:num>
  <w:num w:numId="37">
    <w:abstractNumId w:val="49"/>
  </w:num>
  <w:num w:numId="38">
    <w:abstractNumId w:val="41"/>
  </w:num>
  <w:num w:numId="39">
    <w:abstractNumId w:val="27"/>
  </w:num>
  <w:num w:numId="40">
    <w:abstractNumId w:val="46"/>
  </w:num>
  <w:num w:numId="41">
    <w:abstractNumId w:val="1"/>
  </w:num>
  <w:num w:numId="42">
    <w:abstractNumId w:val="19"/>
  </w:num>
  <w:num w:numId="43">
    <w:abstractNumId w:val="12"/>
  </w:num>
  <w:num w:numId="44">
    <w:abstractNumId w:val="39"/>
  </w:num>
  <w:num w:numId="45">
    <w:abstractNumId w:val="34"/>
  </w:num>
  <w:num w:numId="46">
    <w:abstractNumId w:val="28"/>
  </w:num>
  <w:num w:numId="47">
    <w:abstractNumId w:val="48"/>
  </w:num>
  <w:num w:numId="48">
    <w:abstractNumId w:val="52"/>
  </w:num>
  <w:num w:numId="49">
    <w:abstractNumId w:val="31"/>
  </w:num>
  <w:num w:numId="50">
    <w:abstractNumId w:val="10"/>
  </w:num>
  <w:num w:numId="51">
    <w:abstractNumId w:val="7"/>
  </w:num>
  <w:num w:numId="52">
    <w:abstractNumId w:val="51"/>
  </w:num>
  <w:num w:numId="53">
    <w:abstractNumId w:val="6"/>
  </w:num>
  <w:num w:numId="5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trackedChanges"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yYzhkOGVjMzc5ZGQwMmViMDhmMmQ2ODdlMjUyMDAifQ=="/>
  </w:docVars>
  <w:rsids>
    <w:rsidRoot w:val="00A14947"/>
    <w:rsid w:val="000027C0"/>
    <w:rsid w:val="000060B3"/>
    <w:rsid w:val="0004364B"/>
    <w:rsid w:val="00061B1F"/>
    <w:rsid w:val="000733C4"/>
    <w:rsid w:val="00074783"/>
    <w:rsid w:val="0008070B"/>
    <w:rsid w:val="000810AC"/>
    <w:rsid w:val="00081A02"/>
    <w:rsid w:val="00082231"/>
    <w:rsid w:val="00092D38"/>
    <w:rsid w:val="0009377B"/>
    <w:rsid w:val="000A002F"/>
    <w:rsid w:val="000A20C9"/>
    <w:rsid w:val="000B058F"/>
    <w:rsid w:val="000B4467"/>
    <w:rsid w:val="000B4DB9"/>
    <w:rsid w:val="000C09AC"/>
    <w:rsid w:val="000C767F"/>
    <w:rsid w:val="000D5A44"/>
    <w:rsid w:val="000E3ED2"/>
    <w:rsid w:val="001131E2"/>
    <w:rsid w:val="00131F42"/>
    <w:rsid w:val="001357F1"/>
    <w:rsid w:val="00140FA8"/>
    <w:rsid w:val="00142FEB"/>
    <w:rsid w:val="00143A2D"/>
    <w:rsid w:val="00145A41"/>
    <w:rsid w:val="0014739B"/>
    <w:rsid w:val="001475B5"/>
    <w:rsid w:val="00151675"/>
    <w:rsid w:val="00157435"/>
    <w:rsid w:val="0017504D"/>
    <w:rsid w:val="0017671A"/>
    <w:rsid w:val="00177422"/>
    <w:rsid w:val="00184590"/>
    <w:rsid w:val="001870D1"/>
    <w:rsid w:val="0018781E"/>
    <w:rsid w:val="0019262D"/>
    <w:rsid w:val="001A1B35"/>
    <w:rsid w:val="001A48A2"/>
    <w:rsid w:val="001A6F61"/>
    <w:rsid w:val="001B5B6A"/>
    <w:rsid w:val="001B72B8"/>
    <w:rsid w:val="001C69B3"/>
    <w:rsid w:val="001D2670"/>
    <w:rsid w:val="001D5595"/>
    <w:rsid w:val="001D7874"/>
    <w:rsid w:val="001D7F22"/>
    <w:rsid w:val="001F0F17"/>
    <w:rsid w:val="001F3347"/>
    <w:rsid w:val="001F69E4"/>
    <w:rsid w:val="002125B4"/>
    <w:rsid w:val="002155B8"/>
    <w:rsid w:val="00224839"/>
    <w:rsid w:val="002249B2"/>
    <w:rsid w:val="00226574"/>
    <w:rsid w:val="002278EC"/>
    <w:rsid w:val="0023280E"/>
    <w:rsid w:val="002377D1"/>
    <w:rsid w:val="002506BC"/>
    <w:rsid w:val="00254345"/>
    <w:rsid w:val="002616D4"/>
    <w:rsid w:val="00264557"/>
    <w:rsid w:val="0027597C"/>
    <w:rsid w:val="002805AB"/>
    <w:rsid w:val="00284204"/>
    <w:rsid w:val="00291773"/>
    <w:rsid w:val="002A168C"/>
    <w:rsid w:val="002A3DC7"/>
    <w:rsid w:val="002B49E2"/>
    <w:rsid w:val="002B629F"/>
    <w:rsid w:val="002B7B00"/>
    <w:rsid w:val="002B7C44"/>
    <w:rsid w:val="002C2B17"/>
    <w:rsid w:val="002D3DD0"/>
    <w:rsid w:val="002D4EFD"/>
    <w:rsid w:val="002E1F3A"/>
    <w:rsid w:val="002E298A"/>
    <w:rsid w:val="002E4627"/>
    <w:rsid w:val="002E558A"/>
    <w:rsid w:val="00301978"/>
    <w:rsid w:val="0030332C"/>
    <w:rsid w:val="003051C2"/>
    <w:rsid w:val="00307E93"/>
    <w:rsid w:val="00312296"/>
    <w:rsid w:val="00314F0E"/>
    <w:rsid w:val="00321D8E"/>
    <w:rsid w:val="00325928"/>
    <w:rsid w:val="00332863"/>
    <w:rsid w:val="0033684D"/>
    <w:rsid w:val="00337B42"/>
    <w:rsid w:val="00341B42"/>
    <w:rsid w:val="0034348F"/>
    <w:rsid w:val="00356653"/>
    <w:rsid w:val="0035743F"/>
    <w:rsid w:val="00357BE2"/>
    <w:rsid w:val="0036170C"/>
    <w:rsid w:val="00366E0F"/>
    <w:rsid w:val="00381A72"/>
    <w:rsid w:val="00384676"/>
    <w:rsid w:val="00387FAD"/>
    <w:rsid w:val="00390857"/>
    <w:rsid w:val="003A4BF3"/>
    <w:rsid w:val="003B420D"/>
    <w:rsid w:val="003C6C16"/>
    <w:rsid w:val="003D794D"/>
    <w:rsid w:val="003E3058"/>
    <w:rsid w:val="003E76A9"/>
    <w:rsid w:val="003F0809"/>
    <w:rsid w:val="003F6A8C"/>
    <w:rsid w:val="003F755C"/>
    <w:rsid w:val="00406F01"/>
    <w:rsid w:val="00416D50"/>
    <w:rsid w:val="00416FD5"/>
    <w:rsid w:val="00417772"/>
    <w:rsid w:val="00420E6A"/>
    <w:rsid w:val="00423CB3"/>
    <w:rsid w:val="00425A9E"/>
    <w:rsid w:val="00426D6B"/>
    <w:rsid w:val="00431E6C"/>
    <w:rsid w:val="00433CE7"/>
    <w:rsid w:val="00452738"/>
    <w:rsid w:val="0045313B"/>
    <w:rsid w:val="00456091"/>
    <w:rsid w:val="00466321"/>
    <w:rsid w:val="00484B9B"/>
    <w:rsid w:val="004855F6"/>
    <w:rsid w:val="0048661E"/>
    <w:rsid w:val="00494670"/>
    <w:rsid w:val="004A2B69"/>
    <w:rsid w:val="004A3823"/>
    <w:rsid w:val="004B27F1"/>
    <w:rsid w:val="004B436C"/>
    <w:rsid w:val="004E6946"/>
    <w:rsid w:val="004F1AD8"/>
    <w:rsid w:val="004F70BB"/>
    <w:rsid w:val="00503769"/>
    <w:rsid w:val="00503788"/>
    <w:rsid w:val="005039CB"/>
    <w:rsid w:val="0050558F"/>
    <w:rsid w:val="00506286"/>
    <w:rsid w:val="00510813"/>
    <w:rsid w:val="00511990"/>
    <w:rsid w:val="00511DE0"/>
    <w:rsid w:val="00514870"/>
    <w:rsid w:val="00514B9B"/>
    <w:rsid w:val="00517F02"/>
    <w:rsid w:val="00524303"/>
    <w:rsid w:val="005258A2"/>
    <w:rsid w:val="005401AE"/>
    <w:rsid w:val="00542E07"/>
    <w:rsid w:val="00545424"/>
    <w:rsid w:val="00554A7B"/>
    <w:rsid w:val="0055572C"/>
    <w:rsid w:val="0056106A"/>
    <w:rsid w:val="005720AE"/>
    <w:rsid w:val="00594D77"/>
    <w:rsid w:val="005969E4"/>
    <w:rsid w:val="00597071"/>
    <w:rsid w:val="005A06B7"/>
    <w:rsid w:val="005A1759"/>
    <w:rsid w:val="005A35A3"/>
    <w:rsid w:val="005A68A7"/>
    <w:rsid w:val="005C5E15"/>
    <w:rsid w:val="005D2854"/>
    <w:rsid w:val="005D36AB"/>
    <w:rsid w:val="00617CC3"/>
    <w:rsid w:val="006377A6"/>
    <w:rsid w:val="00637A3D"/>
    <w:rsid w:val="006411EF"/>
    <w:rsid w:val="00660AAB"/>
    <w:rsid w:val="00672E90"/>
    <w:rsid w:val="006748B8"/>
    <w:rsid w:val="006775C3"/>
    <w:rsid w:val="0069290A"/>
    <w:rsid w:val="0069775A"/>
    <w:rsid w:val="00697813"/>
    <w:rsid w:val="006A3EE8"/>
    <w:rsid w:val="006A72BF"/>
    <w:rsid w:val="006B03F2"/>
    <w:rsid w:val="006B37DC"/>
    <w:rsid w:val="006B4F68"/>
    <w:rsid w:val="006C0592"/>
    <w:rsid w:val="006C2468"/>
    <w:rsid w:val="006C272E"/>
    <w:rsid w:val="006C27A6"/>
    <w:rsid w:val="006C5479"/>
    <w:rsid w:val="006C7CBF"/>
    <w:rsid w:val="006D13B5"/>
    <w:rsid w:val="006E12FF"/>
    <w:rsid w:val="006E607E"/>
    <w:rsid w:val="00703CBC"/>
    <w:rsid w:val="00706C5D"/>
    <w:rsid w:val="00732922"/>
    <w:rsid w:val="00737F83"/>
    <w:rsid w:val="0075162E"/>
    <w:rsid w:val="00754034"/>
    <w:rsid w:val="00756556"/>
    <w:rsid w:val="007618C4"/>
    <w:rsid w:val="00767980"/>
    <w:rsid w:val="00770B19"/>
    <w:rsid w:val="00772442"/>
    <w:rsid w:val="007730F9"/>
    <w:rsid w:val="0077463F"/>
    <w:rsid w:val="007836EA"/>
    <w:rsid w:val="00784CDA"/>
    <w:rsid w:val="007906C4"/>
    <w:rsid w:val="007940EA"/>
    <w:rsid w:val="007967E8"/>
    <w:rsid w:val="007A2170"/>
    <w:rsid w:val="007A22BF"/>
    <w:rsid w:val="007A3323"/>
    <w:rsid w:val="007A6B57"/>
    <w:rsid w:val="007A7EE7"/>
    <w:rsid w:val="007B66CD"/>
    <w:rsid w:val="007B72B8"/>
    <w:rsid w:val="007B7A58"/>
    <w:rsid w:val="007C21B5"/>
    <w:rsid w:val="007E4BD2"/>
    <w:rsid w:val="007E4CA5"/>
    <w:rsid w:val="00801393"/>
    <w:rsid w:val="00802F88"/>
    <w:rsid w:val="0081293E"/>
    <w:rsid w:val="00815465"/>
    <w:rsid w:val="00817E9A"/>
    <w:rsid w:val="008306BD"/>
    <w:rsid w:val="00831A80"/>
    <w:rsid w:val="00833743"/>
    <w:rsid w:val="008340A4"/>
    <w:rsid w:val="0087135F"/>
    <w:rsid w:val="00872D94"/>
    <w:rsid w:val="00880364"/>
    <w:rsid w:val="0088329B"/>
    <w:rsid w:val="00891592"/>
    <w:rsid w:val="00891E9E"/>
    <w:rsid w:val="00893669"/>
    <w:rsid w:val="008A2F68"/>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60D8"/>
    <w:rsid w:val="008F71C4"/>
    <w:rsid w:val="00902727"/>
    <w:rsid w:val="0090312B"/>
    <w:rsid w:val="0091736D"/>
    <w:rsid w:val="0093037A"/>
    <w:rsid w:val="0094154D"/>
    <w:rsid w:val="0095155F"/>
    <w:rsid w:val="00954429"/>
    <w:rsid w:val="009563CE"/>
    <w:rsid w:val="00962BE3"/>
    <w:rsid w:val="00976328"/>
    <w:rsid w:val="0097680D"/>
    <w:rsid w:val="00982438"/>
    <w:rsid w:val="0098404C"/>
    <w:rsid w:val="00985283"/>
    <w:rsid w:val="00987AA9"/>
    <w:rsid w:val="00991757"/>
    <w:rsid w:val="00995992"/>
    <w:rsid w:val="009A03E5"/>
    <w:rsid w:val="009A0F3B"/>
    <w:rsid w:val="009A1BB4"/>
    <w:rsid w:val="009A2628"/>
    <w:rsid w:val="009A3200"/>
    <w:rsid w:val="009B0897"/>
    <w:rsid w:val="009B7BD9"/>
    <w:rsid w:val="009C7DD5"/>
    <w:rsid w:val="009E227D"/>
    <w:rsid w:val="009E5019"/>
    <w:rsid w:val="00A04F1B"/>
    <w:rsid w:val="00A0501B"/>
    <w:rsid w:val="00A14947"/>
    <w:rsid w:val="00A32A83"/>
    <w:rsid w:val="00A368DB"/>
    <w:rsid w:val="00A423AA"/>
    <w:rsid w:val="00A52BEF"/>
    <w:rsid w:val="00A530B5"/>
    <w:rsid w:val="00A53EC6"/>
    <w:rsid w:val="00A55C0F"/>
    <w:rsid w:val="00A65FA9"/>
    <w:rsid w:val="00A8713F"/>
    <w:rsid w:val="00A90BA1"/>
    <w:rsid w:val="00A97A9A"/>
    <w:rsid w:val="00AA0671"/>
    <w:rsid w:val="00AA2531"/>
    <w:rsid w:val="00AB1E09"/>
    <w:rsid w:val="00AB5330"/>
    <w:rsid w:val="00AB7747"/>
    <w:rsid w:val="00AC14CE"/>
    <w:rsid w:val="00AC2A56"/>
    <w:rsid w:val="00AC5ECB"/>
    <w:rsid w:val="00AD055E"/>
    <w:rsid w:val="00AD47A7"/>
    <w:rsid w:val="00AF0CBF"/>
    <w:rsid w:val="00AF1302"/>
    <w:rsid w:val="00AF257F"/>
    <w:rsid w:val="00AF33CF"/>
    <w:rsid w:val="00AF4D50"/>
    <w:rsid w:val="00AF6179"/>
    <w:rsid w:val="00B1295A"/>
    <w:rsid w:val="00B20A45"/>
    <w:rsid w:val="00B22C5C"/>
    <w:rsid w:val="00B2494E"/>
    <w:rsid w:val="00B24F30"/>
    <w:rsid w:val="00B31ABF"/>
    <w:rsid w:val="00B33BE3"/>
    <w:rsid w:val="00B36763"/>
    <w:rsid w:val="00B53B5D"/>
    <w:rsid w:val="00B6055E"/>
    <w:rsid w:val="00B6317D"/>
    <w:rsid w:val="00B65CBD"/>
    <w:rsid w:val="00B7723F"/>
    <w:rsid w:val="00B80534"/>
    <w:rsid w:val="00B8433C"/>
    <w:rsid w:val="00B87491"/>
    <w:rsid w:val="00BA29E9"/>
    <w:rsid w:val="00BA7142"/>
    <w:rsid w:val="00BB237C"/>
    <w:rsid w:val="00BB41A3"/>
    <w:rsid w:val="00BC32DC"/>
    <w:rsid w:val="00BC35B6"/>
    <w:rsid w:val="00BC6483"/>
    <w:rsid w:val="00BD1B51"/>
    <w:rsid w:val="00BD4596"/>
    <w:rsid w:val="00BE1405"/>
    <w:rsid w:val="00BE312D"/>
    <w:rsid w:val="00BE6633"/>
    <w:rsid w:val="00BF1C20"/>
    <w:rsid w:val="00BF692D"/>
    <w:rsid w:val="00C01385"/>
    <w:rsid w:val="00C10578"/>
    <w:rsid w:val="00C135BC"/>
    <w:rsid w:val="00C15C95"/>
    <w:rsid w:val="00C2596A"/>
    <w:rsid w:val="00C27537"/>
    <w:rsid w:val="00C27B6C"/>
    <w:rsid w:val="00C30166"/>
    <w:rsid w:val="00C328FE"/>
    <w:rsid w:val="00C33507"/>
    <w:rsid w:val="00C4409D"/>
    <w:rsid w:val="00C44E72"/>
    <w:rsid w:val="00C45A06"/>
    <w:rsid w:val="00C47E5B"/>
    <w:rsid w:val="00C61E4B"/>
    <w:rsid w:val="00C62097"/>
    <w:rsid w:val="00C64BFF"/>
    <w:rsid w:val="00C704E9"/>
    <w:rsid w:val="00C763C9"/>
    <w:rsid w:val="00C80057"/>
    <w:rsid w:val="00C82232"/>
    <w:rsid w:val="00C82913"/>
    <w:rsid w:val="00C972B1"/>
    <w:rsid w:val="00CA2CCE"/>
    <w:rsid w:val="00CA43FD"/>
    <w:rsid w:val="00CA7EF8"/>
    <w:rsid w:val="00CC489B"/>
    <w:rsid w:val="00CD2BCD"/>
    <w:rsid w:val="00CD2C46"/>
    <w:rsid w:val="00CD3A4C"/>
    <w:rsid w:val="00CE10E9"/>
    <w:rsid w:val="00CE2910"/>
    <w:rsid w:val="00CE5393"/>
    <w:rsid w:val="00CF36BE"/>
    <w:rsid w:val="00CF6000"/>
    <w:rsid w:val="00D003F3"/>
    <w:rsid w:val="00D01668"/>
    <w:rsid w:val="00D0364F"/>
    <w:rsid w:val="00D06834"/>
    <w:rsid w:val="00D308ED"/>
    <w:rsid w:val="00D30A99"/>
    <w:rsid w:val="00D36D86"/>
    <w:rsid w:val="00D428AA"/>
    <w:rsid w:val="00D50A34"/>
    <w:rsid w:val="00D53EFA"/>
    <w:rsid w:val="00D62950"/>
    <w:rsid w:val="00D93033"/>
    <w:rsid w:val="00D94A7C"/>
    <w:rsid w:val="00D95896"/>
    <w:rsid w:val="00DB2983"/>
    <w:rsid w:val="00DC1257"/>
    <w:rsid w:val="00DC3DC0"/>
    <w:rsid w:val="00DC5B2B"/>
    <w:rsid w:val="00DD318D"/>
    <w:rsid w:val="00DF2E12"/>
    <w:rsid w:val="00DF514A"/>
    <w:rsid w:val="00DF6690"/>
    <w:rsid w:val="00DF6804"/>
    <w:rsid w:val="00E0358D"/>
    <w:rsid w:val="00E04323"/>
    <w:rsid w:val="00E070A2"/>
    <w:rsid w:val="00E2656A"/>
    <w:rsid w:val="00E412D0"/>
    <w:rsid w:val="00E56322"/>
    <w:rsid w:val="00E60982"/>
    <w:rsid w:val="00E62C62"/>
    <w:rsid w:val="00E654C1"/>
    <w:rsid w:val="00E65D97"/>
    <w:rsid w:val="00E71EB6"/>
    <w:rsid w:val="00E72A5A"/>
    <w:rsid w:val="00E73354"/>
    <w:rsid w:val="00E9242D"/>
    <w:rsid w:val="00E9566B"/>
    <w:rsid w:val="00E95EDC"/>
    <w:rsid w:val="00EB5255"/>
    <w:rsid w:val="00EB5C47"/>
    <w:rsid w:val="00ED0639"/>
    <w:rsid w:val="00EF4755"/>
    <w:rsid w:val="00EF7135"/>
    <w:rsid w:val="00F027DB"/>
    <w:rsid w:val="00F040AE"/>
    <w:rsid w:val="00F05251"/>
    <w:rsid w:val="00F14A7A"/>
    <w:rsid w:val="00F22985"/>
    <w:rsid w:val="00F3383E"/>
    <w:rsid w:val="00F444D4"/>
    <w:rsid w:val="00F465A7"/>
    <w:rsid w:val="00F50B7C"/>
    <w:rsid w:val="00F550E6"/>
    <w:rsid w:val="00F74345"/>
    <w:rsid w:val="00F80A0A"/>
    <w:rsid w:val="00F82B19"/>
    <w:rsid w:val="00F9212D"/>
    <w:rsid w:val="00F965DA"/>
    <w:rsid w:val="00FA00BA"/>
    <w:rsid w:val="00FA406A"/>
    <w:rsid w:val="00FB503A"/>
    <w:rsid w:val="00FB516C"/>
    <w:rsid w:val="00FB62F5"/>
    <w:rsid w:val="00FD0236"/>
    <w:rsid w:val="00FD18F4"/>
    <w:rsid w:val="00FD54DB"/>
    <w:rsid w:val="00FD619F"/>
    <w:rsid w:val="00FF2E80"/>
    <w:rsid w:val="01017B3D"/>
    <w:rsid w:val="0103164E"/>
    <w:rsid w:val="0116312F"/>
    <w:rsid w:val="011D3196"/>
    <w:rsid w:val="01206A4A"/>
    <w:rsid w:val="01290F7E"/>
    <w:rsid w:val="01347A59"/>
    <w:rsid w:val="0136732D"/>
    <w:rsid w:val="015D1E09"/>
    <w:rsid w:val="016519C1"/>
    <w:rsid w:val="016C0FA1"/>
    <w:rsid w:val="017C2CB3"/>
    <w:rsid w:val="019B3634"/>
    <w:rsid w:val="01B464A4"/>
    <w:rsid w:val="01CE1A45"/>
    <w:rsid w:val="01CE2AE8"/>
    <w:rsid w:val="01D31020"/>
    <w:rsid w:val="01FE5971"/>
    <w:rsid w:val="021A27AB"/>
    <w:rsid w:val="0224187C"/>
    <w:rsid w:val="022B0E5C"/>
    <w:rsid w:val="023E71A6"/>
    <w:rsid w:val="0246755A"/>
    <w:rsid w:val="024A6667"/>
    <w:rsid w:val="024B6E08"/>
    <w:rsid w:val="025A704C"/>
    <w:rsid w:val="025F0B06"/>
    <w:rsid w:val="02697903"/>
    <w:rsid w:val="026B1259"/>
    <w:rsid w:val="027A76EE"/>
    <w:rsid w:val="027B6C9B"/>
    <w:rsid w:val="029D518A"/>
    <w:rsid w:val="029E162E"/>
    <w:rsid w:val="02A8425B"/>
    <w:rsid w:val="02A91D81"/>
    <w:rsid w:val="02C31095"/>
    <w:rsid w:val="02C46BBB"/>
    <w:rsid w:val="02D31BE6"/>
    <w:rsid w:val="02D84414"/>
    <w:rsid w:val="02EF1E8A"/>
    <w:rsid w:val="02F053D9"/>
    <w:rsid w:val="02F1679D"/>
    <w:rsid w:val="02F96569"/>
    <w:rsid w:val="02FA082F"/>
    <w:rsid w:val="02FA438B"/>
    <w:rsid w:val="030671D3"/>
    <w:rsid w:val="031713E0"/>
    <w:rsid w:val="031E276F"/>
    <w:rsid w:val="032D650E"/>
    <w:rsid w:val="034877EC"/>
    <w:rsid w:val="03561F09"/>
    <w:rsid w:val="0361265C"/>
    <w:rsid w:val="036D5657"/>
    <w:rsid w:val="03A26EFC"/>
    <w:rsid w:val="03A964DC"/>
    <w:rsid w:val="03B60BF9"/>
    <w:rsid w:val="03BC3669"/>
    <w:rsid w:val="03BD3D36"/>
    <w:rsid w:val="03BD5AE4"/>
    <w:rsid w:val="03C74BB5"/>
    <w:rsid w:val="03CD109D"/>
    <w:rsid w:val="03D251BA"/>
    <w:rsid w:val="03D3537E"/>
    <w:rsid w:val="03E5328D"/>
    <w:rsid w:val="03E764F8"/>
    <w:rsid w:val="03EA7B21"/>
    <w:rsid w:val="03F139E0"/>
    <w:rsid w:val="041B0A5C"/>
    <w:rsid w:val="043C0BB8"/>
    <w:rsid w:val="04470A78"/>
    <w:rsid w:val="04565449"/>
    <w:rsid w:val="045F4DED"/>
    <w:rsid w:val="046C12B8"/>
    <w:rsid w:val="047835CA"/>
    <w:rsid w:val="047A39D5"/>
    <w:rsid w:val="04806B11"/>
    <w:rsid w:val="049E0E95"/>
    <w:rsid w:val="04A171B4"/>
    <w:rsid w:val="04B769D7"/>
    <w:rsid w:val="04BF7C35"/>
    <w:rsid w:val="05432019"/>
    <w:rsid w:val="05502988"/>
    <w:rsid w:val="05524952"/>
    <w:rsid w:val="0553766A"/>
    <w:rsid w:val="05546FEC"/>
    <w:rsid w:val="0559183C"/>
    <w:rsid w:val="056326BB"/>
    <w:rsid w:val="056401E1"/>
    <w:rsid w:val="05697625"/>
    <w:rsid w:val="058124C6"/>
    <w:rsid w:val="05880374"/>
    <w:rsid w:val="05927CC1"/>
    <w:rsid w:val="059C656F"/>
    <w:rsid w:val="05AD47EF"/>
    <w:rsid w:val="05C72C4A"/>
    <w:rsid w:val="05CA098C"/>
    <w:rsid w:val="05CD3FD8"/>
    <w:rsid w:val="05DE61E6"/>
    <w:rsid w:val="05F83EAE"/>
    <w:rsid w:val="060379FA"/>
    <w:rsid w:val="061D0B88"/>
    <w:rsid w:val="0620235A"/>
    <w:rsid w:val="062228A8"/>
    <w:rsid w:val="062956B3"/>
    <w:rsid w:val="062C318E"/>
    <w:rsid w:val="06344057"/>
    <w:rsid w:val="063E7D85"/>
    <w:rsid w:val="064F49ED"/>
    <w:rsid w:val="06695AAF"/>
    <w:rsid w:val="0680104B"/>
    <w:rsid w:val="06A64F55"/>
    <w:rsid w:val="06C54CB0"/>
    <w:rsid w:val="06CE1DB6"/>
    <w:rsid w:val="06D22D1C"/>
    <w:rsid w:val="06F151B7"/>
    <w:rsid w:val="07035F04"/>
    <w:rsid w:val="07102341"/>
    <w:rsid w:val="07133C6D"/>
    <w:rsid w:val="071B2C0F"/>
    <w:rsid w:val="072145DC"/>
    <w:rsid w:val="072916E2"/>
    <w:rsid w:val="07291836"/>
    <w:rsid w:val="07293586"/>
    <w:rsid w:val="07295285"/>
    <w:rsid w:val="07334162"/>
    <w:rsid w:val="0741502D"/>
    <w:rsid w:val="075524D7"/>
    <w:rsid w:val="075E138C"/>
    <w:rsid w:val="07636392"/>
    <w:rsid w:val="076E3F95"/>
    <w:rsid w:val="07770C56"/>
    <w:rsid w:val="07773341"/>
    <w:rsid w:val="078801B7"/>
    <w:rsid w:val="07984BF3"/>
    <w:rsid w:val="079B1AAB"/>
    <w:rsid w:val="079B438E"/>
    <w:rsid w:val="07B80C59"/>
    <w:rsid w:val="07D478A0"/>
    <w:rsid w:val="07E51AAD"/>
    <w:rsid w:val="07EA4488"/>
    <w:rsid w:val="07F7156F"/>
    <w:rsid w:val="08017F69"/>
    <w:rsid w:val="08053EFD"/>
    <w:rsid w:val="08101BD2"/>
    <w:rsid w:val="08144141"/>
    <w:rsid w:val="081E6D6D"/>
    <w:rsid w:val="087C7DB9"/>
    <w:rsid w:val="08966904"/>
    <w:rsid w:val="089808CE"/>
    <w:rsid w:val="08A41020"/>
    <w:rsid w:val="08A47272"/>
    <w:rsid w:val="08A94889"/>
    <w:rsid w:val="08AC4379"/>
    <w:rsid w:val="08B332B2"/>
    <w:rsid w:val="08B35707"/>
    <w:rsid w:val="08B57B6C"/>
    <w:rsid w:val="08B95999"/>
    <w:rsid w:val="08BE0699"/>
    <w:rsid w:val="08DA2C94"/>
    <w:rsid w:val="08DE5EE7"/>
    <w:rsid w:val="08E215B5"/>
    <w:rsid w:val="08E73603"/>
    <w:rsid w:val="08EB6C4F"/>
    <w:rsid w:val="08F24482"/>
    <w:rsid w:val="092217DD"/>
    <w:rsid w:val="09376339"/>
    <w:rsid w:val="093A7294"/>
    <w:rsid w:val="093F0D49"/>
    <w:rsid w:val="09524F20"/>
    <w:rsid w:val="09526CCE"/>
    <w:rsid w:val="09594501"/>
    <w:rsid w:val="095D5673"/>
    <w:rsid w:val="097C2CBD"/>
    <w:rsid w:val="09866978"/>
    <w:rsid w:val="09A3752A"/>
    <w:rsid w:val="09E55D95"/>
    <w:rsid w:val="0A0A0A0E"/>
    <w:rsid w:val="0A12645E"/>
    <w:rsid w:val="0A252635"/>
    <w:rsid w:val="0A263993"/>
    <w:rsid w:val="0A2D3AC2"/>
    <w:rsid w:val="0A592132"/>
    <w:rsid w:val="0A6D380D"/>
    <w:rsid w:val="0A801619"/>
    <w:rsid w:val="0A8A693C"/>
    <w:rsid w:val="0A8D3D36"/>
    <w:rsid w:val="0A9D21CB"/>
    <w:rsid w:val="0A9F041A"/>
    <w:rsid w:val="0AA755DF"/>
    <w:rsid w:val="0AB7602A"/>
    <w:rsid w:val="0ADA341F"/>
    <w:rsid w:val="0AF73FD1"/>
    <w:rsid w:val="0B057D70"/>
    <w:rsid w:val="0B120D44"/>
    <w:rsid w:val="0B183F48"/>
    <w:rsid w:val="0B2357B3"/>
    <w:rsid w:val="0B242263"/>
    <w:rsid w:val="0B325009"/>
    <w:rsid w:val="0B353D08"/>
    <w:rsid w:val="0B460AB5"/>
    <w:rsid w:val="0B6B051B"/>
    <w:rsid w:val="0B745622"/>
    <w:rsid w:val="0B765280"/>
    <w:rsid w:val="0B7849E6"/>
    <w:rsid w:val="0B914861"/>
    <w:rsid w:val="0BB73761"/>
    <w:rsid w:val="0BBB1FC7"/>
    <w:rsid w:val="0BD27BF6"/>
    <w:rsid w:val="0BD47E6F"/>
    <w:rsid w:val="0BF11A4E"/>
    <w:rsid w:val="0BF95B27"/>
    <w:rsid w:val="0C1110A1"/>
    <w:rsid w:val="0C163BB9"/>
    <w:rsid w:val="0C292B70"/>
    <w:rsid w:val="0C3B3C7D"/>
    <w:rsid w:val="0C3B6140"/>
    <w:rsid w:val="0C3E178C"/>
    <w:rsid w:val="0C542E3D"/>
    <w:rsid w:val="0C6311F3"/>
    <w:rsid w:val="0C95086D"/>
    <w:rsid w:val="0C9F4821"/>
    <w:rsid w:val="0CAA0B73"/>
    <w:rsid w:val="0CAB2EAE"/>
    <w:rsid w:val="0CCE0D2E"/>
    <w:rsid w:val="0CCE0D62"/>
    <w:rsid w:val="0CD92ED2"/>
    <w:rsid w:val="0CF14659"/>
    <w:rsid w:val="0CF956B3"/>
    <w:rsid w:val="0CFE7F60"/>
    <w:rsid w:val="0D077DD0"/>
    <w:rsid w:val="0D2766C4"/>
    <w:rsid w:val="0D2C1A3E"/>
    <w:rsid w:val="0D566710"/>
    <w:rsid w:val="0D621C7D"/>
    <w:rsid w:val="0D701E19"/>
    <w:rsid w:val="0D7971BE"/>
    <w:rsid w:val="0D7D62E4"/>
    <w:rsid w:val="0D815DD4"/>
    <w:rsid w:val="0D8E04F1"/>
    <w:rsid w:val="0D9553DC"/>
    <w:rsid w:val="0D9C2C0E"/>
    <w:rsid w:val="0DC4692E"/>
    <w:rsid w:val="0DFE11D3"/>
    <w:rsid w:val="0E083E00"/>
    <w:rsid w:val="0E0A401C"/>
    <w:rsid w:val="0E0D58BA"/>
    <w:rsid w:val="0E17442F"/>
    <w:rsid w:val="0E356775"/>
    <w:rsid w:val="0E415563"/>
    <w:rsid w:val="0E4312DC"/>
    <w:rsid w:val="0E73034D"/>
    <w:rsid w:val="0E7B2823"/>
    <w:rsid w:val="0E7F4FB8"/>
    <w:rsid w:val="0E8E2C22"/>
    <w:rsid w:val="0E99714E"/>
    <w:rsid w:val="0EA31D7A"/>
    <w:rsid w:val="0EB83A78"/>
    <w:rsid w:val="0EBB3568"/>
    <w:rsid w:val="0ECA37AB"/>
    <w:rsid w:val="0EDB32C2"/>
    <w:rsid w:val="0EEC1973"/>
    <w:rsid w:val="0EF011C1"/>
    <w:rsid w:val="0EF12AE6"/>
    <w:rsid w:val="0EF6634E"/>
    <w:rsid w:val="0EF80318"/>
    <w:rsid w:val="0EFB3964"/>
    <w:rsid w:val="0F087E2F"/>
    <w:rsid w:val="0F0E5A87"/>
    <w:rsid w:val="0F13775A"/>
    <w:rsid w:val="0F1B5DB5"/>
    <w:rsid w:val="0F225395"/>
    <w:rsid w:val="0F2509E1"/>
    <w:rsid w:val="0F2C6214"/>
    <w:rsid w:val="0F2E3D3A"/>
    <w:rsid w:val="0F2E5AE8"/>
    <w:rsid w:val="0F4C2412"/>
    <w:rsid w:val="0F5F45FE"/>
    <w:rsid w:val="0F6F5BF2"/>
    <w:rsid w:val="0F711E78"/>
    <w:rsid w:val="0F735BF1"/>
    <w:rsid w:val="0F841BAC"/>
    <w:rsid w:val="0F8C6CB2"/>
    <w:rsid w:val="0F9A112B"/>
    <w:rsid w:val="0FAD1102"/>
    <w:rsid w:val="0FB32491"/>
    <w:rsid w:val="0FB56209"/>
    <w:rsid w:val="0FB93A14"/>
    <w:rsid w:val="0FC05ABE"/>
    <w:rsid w:val="0FC87CEA"/>
    <w:rsid w:val="0FE34B24"/>
    <w:rsid w:val="0FE91A0F"/>
    <w:rsid w:val="0FF0433F"/>
    <w:rsid w:val="0FFE255B"/>
    <w:rsid w:val="10030D22"/>
    <w:rsid w:val="100920B1"/>
    <w:rsid w:val="10303AE2"/>
    <w:rsid w:val="1045758D"/>
    <w:rsid w:val="10525806"/>
    <w:rsid w:val="105517FE"/>
    <w:rsid w:val="106D2F64"/>
    <w:rsid w:val="106E1424"/>
    <w:rsid w:val="10727C56"/>
    <w:rsid w:val="107B4D5D"/>
    <w:rsid w:val="10802373"/>
    <w:rsid w:val="109220A6"/>
    <w:rsid w:val="10953945"/>
    <w:rsid w:val="109A05F6"/>
    <w:rsid w:val="10AE13BB"/>
    <w:rsid w:val="10B63710"/>
    <w:rsid w:val="10B63FE7"/>
    <w:rsid w:val="10C55FD8"/>
    <w:rsid w:val="10CA7EC9"/>
    <w:rsid w:val="10CC380A"/>
    <w:rsid w:val="10E30B54"/>
    <w:rsid w:val="10E5667A"/>
    <w:rsid w:val="10F10820"/>
    <w:rsid w:val="10F90377"/>
    <w:rsid w:val="11004127"/>
    <w:rsid w:val="111C2F7A"/>
    <w:rsid w:val="11252F1A"/>
    <w:rsid w:val="112F3D99"/>
    <w:rsid w:val="113D2012"/>
    <w:rsid w:val="115630D4"/>
    <w:rsid w:val="11585A9E"/>
    <w:rsid w:val="115B2DE0"/>
    <w:rsid w:val="11621A79"/>
    <w:rsid w:val="11665CA1"/>
    <w:rsid w:val="117B0D8C"/>
    <w:rsid w:val="11945105"/>
    <w:rsid w:val="11A6405B"/>
    <w:rsid w:val="11E608FC"/>
    <w:rsid w:val="11ED6F4D"/>
    <w:rsid w:val="12040D82"/>
    <w:rsid w:val="12086AC4"/>
    <w:rsid w:val="121C256F"/>
    <w:rsid w:val="122338FE"/>
    <w:rsid w:val="122907E8"/>
    <w:rsid w:val="123078E6"/>
    <w:rsid w:val="124E4BA2"/>
    <w:rsid w:val="1255782F"/>
    <w:rsid w:val="12791770"/>
    <w:rsid w:val="129E11D6"/>
    <w:rsid w:val="12F928B1"/>
    <w:rsid w:val="130F3E82"/>
    <w:rsid w:val="13144FF5"/>
    <w:rsid w:val="13154002"/>
    <w:rsid w:val="13203999"/>
    <w:rsid w:val="13274D28"/>
    <w:rsid w:val="133B4C77"/>
    <w:rsid w:val="1351449B"/>
    <w:rsid w:val="135E3A2D"/>
    <w:rsid w:val="13655850"/>
    <w:rsid w:val="137C0484"/>
    <w:rsid w:val="13951726"/>
    <w:rsid w:val="1396641F"/>
    <w:rsid w:val="13983E78"/>
    <w:rsid w:val="13B14F39"/>
    <w:rsid w:val="13B567D8"/>
    <w:rsid w:val="13B6187D"/>
    <w:rsid w:val="13BD10C8"/>
    <w:rsid w:val="13D1377F"/>
    <w:rsid w:val="13F143B8"/>
    <w:rsid w:val="13F217DA"/>
    <w:rsid w:val="13F35552"/>
    <w:rsid w:val="13FD3CDB"/>
    <w:rsid w:val="141F00F5"/>
    <w:rsid w:val="1438168C"/>
    <w:rsid w:val="14396509"/>
    <w:rsid w:val="143C2A55"/>
    <w:rsid w:val="143E4A1F"/>
    <w:rsid w:val="14436ED8"/>
    <w:rsid w:val="14501FC4"/>
    <w:rsid w:val="14592458"/>
    <w:rsid w:val="145931C0"/>
    <w:rsid w:val="14663973"/>
    <w:rsid w:val="1468384A"/>
    <w:rsid w:val="148937C0"/>
    <w:rsid w:val="14BF5434"/>
    <w:rsid w:val="14C03686"/>
    <w:rsid w:val="14CD18FF"/>
    <w:rsid w:val="14D20FD1"/>
    <w:rsid w:val="14D94748"/>
    <w:rsid w:val="14DD2C3C"/>
    <w:rsid w:val="150D43F1"/>
    <w:rsid w:val="1514752E"/>
    <w:rsid w:val="152E4A94"/>
    <w:rsid w:val="15836462"/>
    <w:rsid w:val="15877D00"/>
    <w:rsid w:val="15953FE0"/>
    <w:rsid w:val="15982039"/>
    <w:rsid w:val="15987A5E"/>
    <w:rsid w:val="15A85EC8"/>
    <w:rsid w:val="15A9236C"/>
    <w:rsid w:val="15AE7982"/>
    <w:rsid w:val="15B50D11"/>
    <w:rsid w:val="15D05B4B"/>
    <w:rsid w:val="15E909BB"/>
    <w:rsid w:val="15EA028F"/>
    <w:rsid w:val="15ED6F30"/>
    <w:rsid w:val="15F95B0B"/>
    <w:rsid w:val="16087E1D"/>
    <w:rsid w:val="160E0421"/>
    <w:rsid w:val="1615355E"/>
    <w:rsid w:val="161B48EC"/>
    <w:rsid w:val="16210154"/>
    <w:rsid w:val="162232DB"/>
    <w:rsid w:val="16293B17"/>
    <w:rsid w:val="162D4D4B"/>
    <w:rsid w:val="1648166E"/>
    <w:rsid w:val="1651030E"/>
    <w:rsid w:val="166167A3"/>
    <w:rsid w:val="166D2941"/>
    <w:rsid w:val="168A1BEF"/>
    <w:rsid w:val="169721C5"/>
    <w:rsid w:val="16976668"/>
    <w:rsid w:val="16D03928"/>
    <w:rsid w:val="17012C29"/>
    <w:rsid w:val="172B0B5F"/>
    <w:rsid w:val="172C5003"/>
    <w:rsid w:val="173039FC"/>
    <w:rsid w:val="17397720"/>
    <w:rsid w:val="175224D1"/>
    <w:rsid w:val="17650515"/>
    <w:rsid w:val="176A5B2B"/>
    <w:rsid w:val="17701D14"/>
    <w:rsid w:val="17735226"/>
    <w:rsid w:val="178766DD"/>
    <w:rsid w:val="178F52C1"/>
    <w:rsid w:val="17A50911"/>
    <w:rsid w:val="17B43FF4"/>
    <w:rsid w:val="17E76F4F"/>
    <w:rsid w:val="17F83137"/>
    <w:rsid w:val="17FF6093"/>
    <w:rsid w:val="18003D99"/>
    <w:rsid w:val="18095344"/>
    <w:rsid w:val="18117BF5"/>
    <w:rsid w:val="181F54DA"/>
    <w:rsid w:val="18285F1D"/>
    <w:rsid w:val="182B52BA"/>
    <w:rsid w:val="183D6D9C"/>
    <w:rsid w:val="1844637C"/>
    <w:rsid w:val="18455C50"/>
    <w:rsid w:val="18481FC2"/>
    <w:rsid w:val="18495740"/>
    <w:rsid w:val="185D11EC"/>
    <w:rsid w:val="185E291C"/>
    <w:rsid w:val="186C142F"/>
    <w:rsid w:val="186F1C0F"/>
    <w:rsid w:val="18760362"/>
    <w:rsid w:val="188622FA"/>
    <w:rsid w:val="1888270D"/>
    <w:rsid w:val="188E3A9B"/>
    <w:rsid w:val="18982224"/>
    <w:rsid w:val="189F624C"/>
    <w:rsid w:val="18AE7C99"/>
    <w:rsid w:val="18D72D4C"/>
    <w:rsid w:val="18DE232D"/>
    <w:rsid w:val="18FA3A61"/>
    <w:rsid w:val="191210E8"/>
    <w:rsid w:val="19362169"/>
    <w:rsid w:val="194368D0"/>
    <w:rsid w:val="197E65D9"/>
    <w:rsid w:val="199649B5"/>
    <w:rsid w:val="19AC242B"/>
    <w:rsid w:val="19B65058"/>
    <w:rsid w:val="19CC3085"/>
    <w:rsid w:val="19D96F98"/>
    <w:rsid w:val="1A004525"/>
    <w:rsid w:val="1A0F4768"/>
    <w:rsid w:val="1A1C66C0"/>
    <w:rsid w:val="1A3A7A37"/>
    <w:rsid w:val="1A3F6DFB"/>
    <w:rsid w:val="1A42393B"/>
    <w:rsid w:val="1A491A28"/>
    <w:rsid w:val="1A4C6EB3"/>
    <w:rsid w:val="1A66082C"/>
    <w:rsid w:val="1A6E76E0"/>
    <w:rsid w:val="1A8E38DF"/>
    <w:rsid w:val="1A9058A9"/>
    <w:rsid w:val="1A9C249F"/>
    <w:rsid w:val="1A9C36DA"/>
    <w:rsid w:val="1AA475A6"/>
    <w:rsid w:val="1AAD45DE"/>
    <w:rsid w:val="1AB175CD"/>
    <w:rsid w:val="1ABF7F3C"/>
    <w:rsid w:val="1AC13CB4"/>
    <w:rsid w:val="1AC90DBB"/>
    <w:rsid w:val="1AC9547E"/>
    <w:rsid w:val="1AD03EF7"/>
    <w:rsid w:val="1AD67034"/>
    <w:rsid w:val="1AF17443"/>
    <w:rsid w:val="1AF8344E"/>
    <w:rsid w:val="1AFD2812"/>
    <w:rsid w:val="1B046F80"/>
    <w:rsid w:val="1B065B6B"/>
    <w:rsid w:val="1B16538A"/>
    <w:rsid w:val="1B1D5AC2"/>
    <w:rsid w:val="1B1F4E7E"/>
    <w:rsid w:val="1B23671D"/>
    <w:rsid w:val="1B3267B5"/>
    <w:rsid w:val="1B40161D"/>
    <w:rsid w:val="1B441859"/>
    <w:rsid w:val="1B54433E"/>
    <w:rsid w:val="1B611CD6"/>
    <w:rsid w:val="1B6606B1"/>
    <w:rsid w:val="1B662AAD"/>
    <w:rsid w:val="1B7C7BDB"/>
    <w:rsid w:val="1B8444F2"/>
    <w:rsid w:val="1B962EE5"/>
    <w:rsid w:val="1B9C64CF"/>
    <w:rsid w:val="1BA513E1"/>
    <w:rsid w:val="1BC25F36"/>
    <w:rsid w:val="1BDF0F49"/>
    <w:rsid w:val="1BE340FE"/>
    <w:rsid w:val="1BF34341"/>
    <w:rsid w:val="1C085913"/>
    <w:rsid w:val="1C1049EB"/>
    <w:rsid w:val="1C393D1E"/>
    <w:rsid w:val="1C3D736A"/>
    <w:rsid w:val="1C4C1CA3"/>
    <w:rsid w:val="1C4F0594"/>
    <w:rsid w:val="1C5E7925"/>
    <w:rsid w:val="1C8256C5"/>
    <w:rsid w:val="1C827473"/>
    <w:rsid w:val="1C856F63"/>
    <w:rsid w:val="1C874A89"/>
    <w:rsid w:val="1C8C6544"/>
    <w:rsid w:val="1C915908"/>
    <w:rsid w:val="1C9B0535"/>
    <w:rsid w:val="1C9F0025"/>
    <w:rsid w:val="1CB2085E"/>
    <w:rsid w:val="1CB3762C"/>
    <w:rsid w:val="1CE123EB"/>
    <w:rsid w:val="1CED4F09"/>
    <w:rsid w:val="1CF30371"/>
    <w:rsid w:val="1CF4375F"/>
    <w:rsid w:val="1CF814E3"/>
    <w:rsid w:val="1CFD070F"/>
    <w:rsid w:val="1D0E6F59"/>
    <w:rsid w:val="1D1A6798"/>
    <w:rsid w:val="1D526E45"/>
    <w:rsid w:val="1D5F6196"/>
    <w:rsid w:val="1D6132A5"/>
    <w:rsid w:val="1D7805E6"/>
    <w:rsid w:val="1D8E56D5"/>
    <w:rsid w:val="1DA13929"/>
    <w:rsid w:val="1DB17249"/>
    <w:rsid w:val="1DC064A5"/>
    <w:rsid w:val="1DC85359"/>
    <w:rsid w:val="1DCF0496"/>
    <w:rsid w:val="1DD97388"/>
    <w:rsid w:val="1DDE692B"/>
    <w:rsid w:val="1E012619"/>
    <w:rsid w:val="1E0C793C"/>
    <w:rsid w:val="1E1C7453"/>
    <w:rsid w:val="1E214A6A"/>
    <w:rsid w:val="1E2307E2"/>
    <w:rsid w:val="1E2F362A"/>
    <w:rsid w:val="1E3E73CA"/>
    <w:rsid w:val="1E40188A"/>
    <w:rsid w:val="1E54477C"/>
    <w:rsid w:val="1E65704C"/>
    <w:rsid w:val="1E67610E"/>
    <w:rsid w:val="1E6D7CAF"/>
    <w:rsid w:val="1E6E4153"/>
    <w:rsid w:val="1E780B2E"/>
    <w:rsid w:val="1E786D7F"/>
    <w:rsid w:val="1E7A43DA"/>
    <w:rsid w:val="1E8976CC"/>
    <w:rsid w:val="1EA71413"/>
    <w:rsid w:val="1EA9518B"/>
    <w:rsid w:val="1EC7763E"/>
    <w:rsid w:val="1F046702"/>
    <w:rsid w:val="1F0506DA"/>
    <w:rsid w:val="1F157386"/>
    <w:rsid w:val="1F267706"/>
    <w:rsid w:val="1F325180"/>
    <w:rsid w:val="1F3467FE"/>
    <w:rsid w:val="1F464788"/>
    <w:rsid w:val="1F542FF8"/>
    <w:rsid w:val="1F561CF8"/>
    <w:rsid w:val="1F5D7D23"/>
    <w:rsid w:val="1F5E5F75"/>
    <w:rsid w:val="1F623469"/>
    <w:rsid w:val="1F6D61B8"/>
    <w:rsid w:val="1FBC2C9C"/>
    <w:rsid w:val="1FDE2C12"/>
    <w:rsid w:val="1FE7539E"/>
    <w:rsid w:val="1FF138F3"/>
    <w:rsid w:val="1FF71F26"/>
    <w:rsid w:val="20020FF7"/>
    <w:rsid w:val="200563F1"/>
    <w:rsid w:val="201A0201"/>
    <w:rsid w:val="201B3E66"/>
    <w:rsid w:val="20384A18"/>
    <w:rsid w:val="204333BD"/>
    <w:rsid w:val="20523600"/>
    <w:rsid w:val="20623843"/>
    <w:rsid w:val="20631369"/>
    <w:rsid w:val="20671BE0"/>
    <w:rsid w:val="207B38A4"/>
    <w:rsid w:val="208F03B0"/>
    <w:rsid w:val="20963CB8"/>
    <w:rsid w:val="20A81A1B"/>
    <w:rsid w:val="20AF45AF"/>
    <w:rsid w:val="20B07FB6"/>
    <w:rsid w:val="20B646FB"/>
    <w:rsid w:val="20BC32B1"/>
    <w:rsid w:val="20BD6CCC"/>
    <w:rsid w:val="20D02EA3"/>
    <w:rsid w:val="20E06E5E"/>
    <w:rsid w:val="20EB5B1C"/>
    <w:rsid w:val="20F16975"/>
    <w:rsid w:val="21076199"/>
    <w:rsid w:val="210967B7"/>
    <w:rsid w:val="213571AA"/>
    <w:rsid w:val="213B74B1"/>
    <w:rsid w:val="214C62A1"/>
    <w:rsid w:val="21592A3B"/>
    <w:rsid w:val="215A2310"/>
    <w:rsid w:val="21651E6E"/>
    <w:rsid w:val="21703D3E"/>
    <w:rsid w:val="217A696B"/>
    <w:rsid w:val="21853485"/>
    <w:rsid w:val="218D5CE4"/>
    <w:rsid w:val="21AD6D40"/>
    <w:rsid w:val="21B93937"/>
    <w:rsid w:val="21CD2F3E"/>
    <w:rsid w:val="21D93F55"/>
    <w:rsid w:val="21DA1AFF"/>
    <w:rsid w:val="21DE318A"/>
    <w:rsid w:val="21EF5B80"/>
    <w:rsid w:val="2205092A"/>
    <w:rsid w:val="221D0DBA"/>
    <w:rsid w:val="22280ABD"/>
    <w:rsid w:val="223905D4"/>
    <w:rsid w:val="223A23F6"/>
    <w:rsid w:val="22531059"/>
    <w:rsid w:val="22576990"/>
    <w:rsid w:val="22582505"/>
    <w:rsid w:val="22791318"/>
    <w:rsid w:val="22857CBD"/>
    <w:rsid w:val="228E4DC3"/>
    <w:rsid w:val="229862DD"/>
    <w:rsid w:val="229E48DB"/>
    <w:rsid w:val="229F2122"/>
    <w:rsid w:val="22A07A2E"/>
    <w:rsid w:val="22A81B30"/>
    <w:rsid w:val="22C803A3"/>
    <w:rsid w:val="22DC00D5"/>
    <w:rsid w:val="22DF561F"/>
    <w:rsid w:val="22EE7610"/>
    <w:rsid w:val="22EF3388"/>
    <w:rsid w:val="22F1619D"/>
    <w:rsid w:val="22F47480"/>
    <w:rsid w:val="22FF5359"/>
    <w:rsid w:val="23167A6F"/>
    <w:rsid w:val="2342170A"/>
    <w:rsid w:val="23490CEA"/>
    <w:rsid w:val="23524E9C"/>
    <w:rsid w:val="2355143D"/>
    <w:rsid w:val="235A2EF8"/>
    <w:rsid w:val="236C49D9"/>
    <w:rsid w:val="23775858"/>
    <w:rsid w:val="237D0994"/>
    <w:rsid w:val="238A1DF2"/>
    <w:rsid w:val="23AB3753"/>
    <w:rsid w:val="23B96E52"/>
    <w:rsid w:val="23D5257E"/>
    <w:rsid w:val="23DE1C48"/>
    <w:rsid w:val="23E1295E"/>
    <w:rsid w:val="23F00681"/>
    <w:rsid w:val="240210CD"/>
    <w:rsid w:val="24107A5A"/>
    <w:rsid w:val="241A4435"/>
    <w:rsid w:val="24262DDA"/>
    <w:rsid w:val="242B4894"/>
    <w:rsid w:val="2443573A"/>
    <w:rsid w:val="244B2840"/>
    <w:rsid w:val="24502F21"/>
    <w:rsid w:val="245B7D9C"/>
    <w:rsid w:val="246953F2"/>
    <w:rsid w:val="247F0210"/>
    <w:rsid w:val="248674EB"/>
    <w:rsid w:val="2492046F"/>
    <w:rsid w:val="249C183C"/>
    <w:rsid w:val="24A85EE5"/>
    <w:rsid w:val="24A9713E"/>
    <w:rsid w:val="24AF1021"/>
    <w:rsid w:val="24B228BF"/>
    <w:rsid w:val="24B373EB"/>
    <w:rsid w:val="24BF09F7"/>
    <w:rsid w:val="24C543A1"/>
    <w:rsid w:val="24D26ABE"/>
    <w:rsid w:val="24E67F35"/>
    <w:rsid w:val="24E83D54"/>
    <w:rsid w:val="24EA44CD"/>
    <w:rsid w:val="24EF141E"/>
    <w:rsid w:val="24F46A34"/>
    <w:rsid w:val="24FB2EF6"/>
    <w:rsid w:val="250315B4"/>
    <w:rsid w:val="2504136D"/>
    <w:rsid w:val="250550E5"/>
    <w:rsid w:val="251C1D12"/>
    <w:rsid w:val="252C08C4"/>
    <w:rsid w:val="252D53FE"/>
    <w:rsid w:val="252D7C9D"/>
    <w:rsid w:val="252E0198"/>
    <w:rsid w:val="252F5CBE"/>
    <w:rsid w:val="255F1702"/>
    <w:rsid w:val="256242E5"/>
    <w:rsid w:val="256F255E"/>
    <w:rsid w:val="258B7398"/>
    <w:rsid w:val="25A466AC"/>
    <w:rsid w:val="25D6438C"/>
    <w:rsid w:val="25EC2D81"/>
    <w:rsid w:val="25ED0053"/>
    <w:rsid w:val="25F2111F"/>
    <w:rsid w:val="26013AFE"/>
    <w:rsid w:val="260333D3"/>
    <w:rsid w:val="26243349"/>
    <w:rsid w:val="264B6B28"/>
    <w:rsid w:val="265D1C24"/>
    <w:rsid w:val="26633A17"/>
    <w:rsid w:val="26697889"/>
    <w:rsid w:val="26722306"/>
    <w:rsid w:val="267267AA"/>
    <w:rsid w:val="267B668E"/>
    <w:rsid w:val="26A12175"/>
    <w:rsid w:val="26CB1C72"/>
    <w:rsid w:val="26CC5EBA"/>
    <w:rsid w:val="26F06745"/>
    <w:rsid w:val="26F176CF"/>
    <w:rsid w:val="26F45411"/>
    <w:rsid w:val="270216C1"/>
    <w:rsid w:val="270734BD"/>
    <w:rsid w:val="27077D54"/>
    <w:rsid w:val="270B5A07"/>
    <w:rsid w:val="273D46C2"/>
    <w:rsid w:val="2742617D"/>
    <w:rsid w:val="27523177"/>
    <w:rsid w:val="2753038A"/>
    <w:rsid w:val="276E0D20"/>
    <w:rsid w:val="277057A2"/>
    <w:rsid w:val="27962024"/>
    <w:rsid w:val="27E17743"/>
    <w:rsid w:val="27E2526A"/>
    <w:rsid w:val="27E727AC"/>
    <w:rsid w:val="27F119A9"/>
    <w:rsid w:val="28137FD0"/>
    <w:rsid w:val="282835C4"/>
    <w:rsid w:val="2835183D"/>
    <w:rsid w:val="2838132E"/>
    <w:rsid w:val="283C03F5"/>
    <w:rsid w:val="285A34C6"/>
    <w:rsid w:val="285C58B2"/>
    <w:rsid w:val="286B525F"/>
    <w:rsid w:val="286D0FD7"/>
    <w:rsid w:val="289447B6"/>
    <w:rsid w:val="28A349F9"/>
    <w:rsid w:val="28A644E9"/>
    <w:rsid w:val="28BA7F95"/>
    <w:rsid w:val="28C75F1E"/>
    <w:rsid w:val="28D1630C"/>
    <w:rsid w:val="28D92B11"/>
    <w:rsid w:val="28E026ED"/>
    <w:rsid w:val="290C6A42"/>
    <w:rsid w:val="290F6532"/>
    <w:rsid w:val="29162832"/>
    <w:rsid w:val="291C47AB"/>
    <w:rsid w:val="291D0C4F"/>
    <w:rsid w:val="29206EB8"/>
    <w:rsid w:val="29211DC2"/>
    <w:rsid w:val="29272709"/>
    <w:rsid w:val="292A336C"/>
    <w:rsid w:val="29345F99"/>
    <w:rsid w:val="293D309F"/>
    <w:rsid w:val="29422464"/>
    <w:rsid w:val="294361DC"/>
    <w:rsid w:val="29581C87"/>
    <w:rsid w:val="29595666"/>
    <w:rsid w:val="297B50D8"/>
    <w:rsid w:val="29842A7C"/>
    <w:rsid w:val="29874881"/>
    <w:rsid w:val="29946A38"/>
    <w:rsid w:val="299B6018"/>
    <w:rsid w:val="299D6F78"/>
    <w:rsid w:val="29A5570A"/>
    <w:rsid w:val="29B11398"/>
    <w:rsid w:val="29B3119E"/>
    <w:rsid w:val="29BD5F8E"/>
    <w:rsid w:val="29CF427D"/>
    <w:rsid w:val="29D3130E"/>
    <w:rsid w:val="29D64538"/>
    <w:rsid w:val="29DA121A"/>
    <w:rsid w:val="29DF5F05"/>
    <w:rsid w:val="29E325E0"/>
    <w:rsid w:val="29FA689B"/>
    <w:rsid w:val="2A0616E3"/>
    <w:rsid w:val="2A1E1A6E"/>
    <w:rsid w:val="2A3C3ED6"/>
    <w:rsid w:val="2A452503"/>
    <w:rsid w:val="2A5E151F"/>
    <w:rsid w:val="2A6068EF"/>
    <w:rsid w:val="2A657DD5"/>
    <w:rsid w:val="2A750617"/>
    <w:rsid w:val="2A7523C5"/>
    <w:rsid w:val="2A77438F"/>
    <w:rsid w:val="2A7B56A5"/>
    <w:rsid w:val="2A952A67"/>
    <w:rsid w:val="2AA84549"/>
    <w:rsid w:val="2AB3197F"/>
    <w:rsid w:val="2AC82E3D"/>
    <w:rsid w:val="2ACA0963"/>
    <w:rsid w:val="2AD03A9F"/>
    <w:rsid w:val="2AE632C3"/>
    <w:rsid w:val="2AE80DE9"/>
    <w:rsid w:val="2AF31BAE"/>
    <w:rsid w:val="2AF7727E"/>
    <w:rsid w:val="2AF81A27"/>
    <w:rsid w:val="2B0100FD"/>
    <w:rsid w:val="2B033E75"/>
    <w:rsid w:val="2B060259"/>
    <w:rsid w:val="2B104E04"/>
    <w:rsid w:val="2B2067D5"/>
    <w:rsid w:val="2B22254D"/>
    <w:rsid w:val="2B2D4A4E"/>
    <w:rsid w:val="2B3B360F"/>
    <w:rsid w:val="2B41215C"/>
    <w:rsid w:val="2B4F2C16"/>
    <w:rsid w:val="2B5E54DD"/>
    <w:rsid w:val="2B5E75ED"/>
    <w:rsid w:val="2B676BFB"/>
    <w:rsid w:val="2B7B3A0B"/>
    <w:rsid w:val="2B8E7BE2"/>
    <w:rsid w:val="2B944ACD"/>
    <w:rsid w:val="2B964CE9"/>
    <w:rsid w:val="2BA936A8"/>
    <w:rsid w:val="2BB1742D"/>
    <w:rsid w:val="2BBA09D7"/>
    <w:rsid w:val="2BBE1B4A"/>
    <w:rsid w:val="2BE3326A"/>
    <w:rsid w:val="2BEC02B5"/>
    <w:rsid w:val="2BFE7EAF"/>
    <w:rsid w:val="2C096ED1"/>
    <w:rsid w:val="2C0B1233"/>
    <w:rsid w:val="2C0B73FC"/>
    <w:rsid w:val="2C2045B2"/>
    <w:rsid w:val="2C2F5CE1"/>
    <w:rsid w:val="2C315A5A"/>
    <w:rsid w:val="2C365B84"/>
    <w:rsid w:val="2C464019"/>
    <w:rsid w:val="2C4B1C25"/>
    <w:rsid w:val="2C723456"/>
    <w:rsid w:val="2C7768C8"/>
    <w:rsid w:val="2CA014EB"/>
    <w:rsid w:val="2CA376BD"/>
    <w:rsid w:val="2CF00429"/>
    <w:rsid w:val="2CF6225B"/>
    <w:rsid w:val="2CFA3055"/>
    <w:rsid w:val="2D0C182B"/>
    <w:rsid w:val="2D281971"/>
    <w:rsid w:val="2D2F39DD"/>
    <w:rsid w:val="2D393B7E"/>
    <w:rsid w:val="2D3F06F1"/>
    <w:rsid w:val="2D4367AA"/>
    <w:rsid w:val="2D4B16B1"/>
    <w:rsid w:val="2D4B565F"/>
    <w:rsid w:val="2D5664DE"/>
    <w:rsid w:val="2D74208E"/>
    <w:rsid w:val="2D8868B3"/>
    <w:rsid w:val="2D9E56F5"/>
    <w:rsid w:val="2DA550E5"/>
    <w:rsid w:val="2DAC07F4"/>
    <w:rsid w:val="2DB15E0A"/>
    <w:rsid w:val="2DB80F46"/>
    <w:rsid w:val="2DC7118A"/>
    <w:rsid w:val="2DE801DF"/>
    <w:rsid w:val="2DF53F49"/>
    <w:rsid w:val="2E0917A2"/>
    <w:rsid w:val="2E2B796A"/>
    <w:rsid w:val="2E4925F7"/>
    <w:rsid w:val="2E6609A2"/>
    <w:rsid w:val="2E667F96"/>
    <w:rsid w:val="2E8226AB"/>
    <w:rsid w:val="2E884DBD"/>
    <w:rsid w:val="2EBF4557"/>
    <w:rsid w:val="2EC90F31"/>
    <w:rsid w:val="2ED81174"/>
    <w:rsid w:val="2EE26967"/>
    <w:rsid w:val="2EE31FF3"/>
    <w:rsid w:val="2F414F6C"/>
    <w:rsid w:val="2F4929D5"/>
    <w:rsid w:val="2F61116A"/>
    <w:rsid w:val="2F827A5E"/>
    <w:rsid w:val="2F911A4F"/>
    <w:rsid w:val="2F9B4F5A"/>
    <w:rsid w:val="2FAD43AF"/>
    <w:rsid w:val="2FB614B6"/>
    <w:rsid w:val="2FCA31B3"/>
    <w:rsid w:val="2FD065E6"/>
    <w:rsid w:val="2FD96870"/>
    <w:rsid w:val="2FF16E7B"/>
    <w:rsid w:val="2FF43D8C"/>
    <w:rsid w:val="2FFA1FE5"/>
    <w:rsid w:val="2FFF2A44"/>
    <w:rsid w:val="30027E6D"/>
    <w:rsid w:val="30073BA1"/>
    <w:rsid w:val="30252571"/>
    <w:rsid w:val="302F1268"/>
    <w:rsid w:val="30354AD0"/>
    <w:rsid w:val="304C1E1A"/>
    <w:rsid w:val="304C5C8C"/>
    <w:rsid w:val="30580BC9"/>
    <w:rsid w:val="30643773"/>
    <w:rsid w:val="308275EA"/>
    <w:rsid w:val="30965A6E"/>
    <w:rsid w:val="30AE744F"/>
    <w:rsid w:val="30B764D6"/>
    <w:rsid w:val="30B874AF"/>
    <w:rsid w:val="30C95219"/>
    <w:rsid w:val="30FD3114"/>
    <w:rsid w:val="310F049B"/>
    <w:rsid w:val="311221EE"/>
    <w:rsid w:val="311E2ED7"/>
    <w:rsid w:val="31216E03"/>
    <w:rsid w:val="312608BD"/>
    <w:rsid w:val="315619EE"/>
    <w:rsid w:val="315C449C"/>
    <w:rsid w:val="317258B0"/>
    <w:rsid w:val="31747DFF"/>
    <w:rsid w:val="31B82709"/>
    <w:rsid w:val="31C05315"/>
    <w:rsid w:val="31CA1248"/>
    <w:rsid w:val="31CD0D39"/>
    <w:rsid w:val="31D05482"/>
    <w:rsid w:val="31D125D7"/>
    <w:rsid w:val="31D16A7B"/>
    <w:rsid w:val="31DA78F5"/>
    <w:rsid w:val="31EA18EB"/>
    <w:rsid w:val="320A3D3B"/>
    <w:rsid w:val="32144BB9"/>
    <w:rsid w:val="321921D0"/>
    <w:rsid w:val="32193F7E"/>
    <w:rsid w:val="321C75CA"/>
    <w:rsid w:val="322A42A7"/>
    <w:rsid w:val="322E71DE"/>
    <w:rsid w:val="323A4620"/>
    <w:rsid w:val="323B2146"/>
    <w:rsid w:val="32400B34"/>
    <w:rsid w:val="32497CBB"/>
    <w:rsid w:val="325D3D31"/>
    <w:rsid w:val="32636A61"/>
    <w:rsid w:val="32731EDB"/>
    <w:rsid w:val="32764008"/>
    <w:rsid w:val="327F2033"/>
    <w:rsid w:val="32957AA8"/>
    <w:rsid w:val="3296737C"/>
    <w:rsid w:val="329E6876"/>
    <w:rsid w:val="32A8733C"/>
    <w:rsid w:val="32AE31AE"/>
    <w:rsid w:val="32BA12BD"/>
    <w:rsid w:val="32D14858"/>
    <w:rsid w:val="32D3412D"/>
    <w:rsid w:val="33134E71"/>
    <w:rsid w:val="333015F2"/>
    <w:rsid w:val="333E16C9"/>
    <w:rsid w:val="33400A60"/>
    <w:rsid w:val="334B6320"/>
    <w:rsid w:val="335334BF"/>
    <w:rsid w:val="336E0395"/>
    <w:rsid w:val="337771AE"/>
    <w:rsid w:val="337A43CA"/>
    <w:rsid w:val="337E678E"/>
    <w:rsid w:val="33857B1D"/>
    <w:rsid w:val="33A3446E"/>
    <w:rsid w:val="33B45D0C"/>
    <w:rsid w:val="33B51A84"/>
    <w:rsid w:val="33C61EE3"/>
    <w:rsid w:val="33D3480F"/>
    <w:rsid w:val="33D934D4"/>
    <w:rsid w:val="33E94354"/>
    <w:rsid w:val="33FE2F6A"/>
    <w:rsid w:val="34075AD1"/>
    <w:rsid w:val="340E07E5"/>
    <w:rsid w:val="34142C4F"/>
    <w:rsid w:val="341449FD"/>
    <w:rsid w:val="341A3419"/>
    <w:rsid w:val="341E1D1F"/>
    <w:rsid w:val="34235BF7"/>
    <w:rsid w:val="34264730"/>
    <w:rsid w:val="34563267"/>
    <w:rsid w:val="34621C0C"/>
    <w:rsid w:val="347F27BE"/>
    <w:rsid w:val="34802092"/>
    <w:rsid w:val="349B48BA"/>
    <w:rsid w:val="34A43FD3"/>
    <w:rsid w:val="34A73AC3"/>
    <w:rsid w:val="34B1049E"/>
    <w:rsid w:val="34B87A7E"/>
    <w:rsid w:val="34CB5A03"/>
    <w:rsid w:val="34DF14AF"/>
    <w:rsid w:val="34DF500B"/>
    <w:rsid w:val="34E238E5"/>
    <w:rsid w:val="34E95E89"/>
    <w:rsid w:val="34FA0097"/>
    <w:rsid w:val="35042CC3"/>
    <w:rsid w:val="35087683"/>
    <w:rsid w:val="35156C7E"/>
    <w:rsid w:val="353115DE"/>
    <w:rsid w:val="353D61D5"/>
    <w:rsid w:val="35441312"/>
    <w:rsid w:val="35521C81"/>
    <w:rsid w:val="3552359A"/>
    <w:rsid w:val="355404B5"/>
    <w:rsid w:val="355F7EFA"/>
    <w:rsid w:val="3561125E"/>
    <w:rsid w:val="357047C0"/>
    <w:rsid w:val="3586192A"/>
    <w:rsid w:val="358C5FA8"/>
    <w:rsid w:val="358E07DF"/>
    <w:rsid w:val="35967E87"/>
    <w:rsid w:val="35A25E41"/>
    <w:rsid w:val="35B46497"/>
    <w:rsid w:val="35BB5A78"/>
    <w:rsid w:val="35BF583C"/>
    <w:rsid w:val="35C15DF1"/>
    <w:rsid w:val="35D408E8"/>
    <w:rsid w:val="35E84393"/>
    <w:rsid w:val="35EC243F"/>
    <w:rsid w:val="35ED3757"/>
    <w:rsid w:val="35F42217"/>
    <w:rsid w:val="35F76384"/>
    <w:rsid w:val="36074A7F"/>
    <w:rsid w:val="360C62D3"/>
    <w:rsid w:val="361B6516"/>
    <w:rsid w:val="36270665"/>
    <w:rsid w:val="362A49AB"/>
    <w:rsid w:val="363B4096"/>
    <w:rsid w:val="3657242B"/>
    <w:rsid w:val="365B4B65"/>
    <w:rsid w:val="365E1B19"/>
    <w:rsid w:val="368564FB"/>
    <w:rsid w:val="36910587"/>
    <w:rsid w:val="3691780F"/>
    <w:rsid w:val="36923549"/>
    <w:rsid w:val="36992575"/>
    <w:rsid w:val="36A77DAA"/>
    <w:rsid w:val="36AD2EE7"/>
    <w:rsid w:val="36B50719"/>
    <w:rsid w:val="36B75FBF"/>
    <w:rsid w:val="36BC3F36"/>
    <w:rsid w:val="36BD0C45"/>
    <w:rsid w:val="36C4095C"/>
    <w:rsid w:val="36CA5847"/>
    <w:rsid w:val="36CE3589"/>
    <w:rsid w:val="36D130B5"/>
    <w:rsid w:val="36D93CDC"/>
    <w:rsid w:val="37102384"/>
    <w:rsid w:val="372431A9"/>
    <w:rsid w:val="372A4537"/>
    <w:rsid w:val="374171DF"/>
    <w:rsid w:val="37623CD1"/>
    <w:rsid w:val="377834F5"/>
    <w:rsid w:val="377910BF"/>
    <w:rsid w:val="377A54BF"/>
    <w:rsid w:val="3790083E"/>
    <w:rsid w:val="379F5540"/>
    <w:rsid w:val="37A61E10"/>
    <w:rsid w:val="37AE6F16"/>
    <w:rsid w:val="37BA7B62"/>
    <w:rsid w:val="37C55924"/>
    <w:rsid w:val="37C80E48"/>
    <w:rsid w:val="37CA57C6"/>
    <w:rsid w:val="37CD3B9C"/>
    <w:rsid w:val="37E00298"/>
    <w:rsid w:val="37EA43F2"/>
    <w:rsid w:val="37EF7C5B"/>
    <w:rsid w:val="37FB07C3"/>
    <w:rsid w:val="38060B00"/>
    <w:rsid w:val="38237904"/>
    <w:rsid w:val="382F0057"/>
    <w:rsid w:val="384358B1"/>
    <w:rsid w:val="38507631"/>
    <w:rsid w:val="38675A43"/>
    <w:rsid w:val="387031C7"/>
    <w:rsid w:val="388D2FD0"/>
    <w:rsid w:val="38AC16A8"/>
    <w:rsid w:val="38B302F9"/>
    <w:rsid w:val="38C033A5"/>
    <w:rsid w:val="38D64977"/>
    <w:rsid w:val="38EE27BF"/>
    <w:rsid w:val="38F12CD3"/>
    <w:rsid w:val="38F44974"/>
    <w:rsid w:val="38F56527"/>
    <w:rsid w:val="38F94775"/>
    <w:rsid w:val="391159AF"/>
    <w:rsid w:val="391F5EBF"/>
    <w:rsid w:val="392971ED"/>
    <w:rsid w:val="39325651"/>
    <w:rsid w:val="39382F3B"/>
    <w:rsid w:val="394E09B1"/>
    <w:rsid w:val="395D0BF4"/>
    <w:rsid w:val="395F2BBE"/>
    <w:rsid w:val="398D772B"/>
    <w:rsid w:val="39974106"/>
    <w:rsid w:val="39C015CB"/>
    <w:rsid w:val="39E300F3"/>
    <w:rsid w:val="39FC665F"/>
    <w:rsid w:val="3A063014"/>
    <w:rsid w:val="3A130E7B"/>
    <w:rsid w:val="3A1D70AA"/>
    <w:rsid w:val="3A2E433E"/>
    <w:rsid w:val="3A3F6E8C"/>
    <w:rsid w:val="3A4D6EBA"/>
    <w:rsid w:val="3A5220C6"/>
    <w:rsid w:val="3A677B49"/>
    <w:rsid w:val="3A7D01A4"/>
    <w:rsid w:val="3A7D09AD"/>
    <w:rsid w:val="3A81336E"/>
    <w:rsid w:val="3A872856"/>
    <w:rsid w:val="3A992100"/>
    <w:rsid w:val="3AB900AC"/>
    <w:rsid w:val="3AC16F61"/>
    <w:rsid w:val="3AE63B5C"/>
    <w:rsid w:val="3AF907FE"/>
    <w:rsid w:val="3B002891"/>
    <w:rsid w:val="3B020A8C"/>
    <w:rsid w:val="3B040B7C"/>
    <w:rsid w:val="3B077069"/>
    <w:rsid w:val="3B141786"/>
    <w:rsid w:val="3B304812"/>
    <w:rsid w:val="3B3763D1"/>
    <w:rsid w:val="3B3E6DAB"/>
    <w:rsid w:val="3B43699A"/>
    <w:rsid w:val="3B4A41DC"/>
    <w:rsid w:val="3B4E4C98"/>
    <w:rsid w:val="3B532F34"/>
    <w:rsid w:val="3B6444BC"/>
    <w:rsid w:val="3B6C511E"/>
    <w:rsid w:val="3B765F9D"/>
    <w:rsid w:val="3B842468"/>
    <w:rsid w:val="3B8E1539"/>
    <w:rsid w:val="3B950B19"/>
    <w:rsid w:val="3B9C3C56"/>
    <w:rsid w:val="3BA23236"/>
    <w:rsid w:val="3BA743A8"/>
    <w:rsid w:val="3BF82E56"/>
    <w:rsid w:val="3C1001A0"/>
    <w:rsid w:val="3C17152E"/>
    <w:rsid w:val="3C2F6E1E"/>
    <w:rsid w:val="3C4F64BA"/>
    <w:rsid w:val="3C7B15EE"/>
    <w:rsid w:val="3C7E77FF"/>
    <w:rsid w:val="3C862210"/>
    <w:rsid w:val="3C9D1866"/>
    <w:rsid w:val="3CA54D8C"/>
    <w:rsid w:val="3CBD7CBA"/>
    <w:rsid w:val="3CDA245A"/>
    <w:rsid w:val="3CE82ECA"/>
    <w:rsid w:val="3D141F11"/>
    <w:rsid w:val="3D1E06B7"/>
    <w:rsid w:val="3D2551B7"/>
    <w:rsid w:val="3D2832C7"/>
    <w:rsid w:val="3D2B2684"/>
    <w:rsid w:val="3D346110"/>
    <w:rsid w:val="3D363C36"/>
    <w:rsid w:val="3D464BFE"/>
    <w:rsid w:val="3D4D2D2E"/>
    <w:rsid w:val="3D673DEF"/>
    <w:rsid w:val="3D74475E"/>
    <w:rsid w:val="3D8B21D4"/>
    <w:rsid w:val="3D962926"/>
    <w:rsid w:val="3DBD7EB3"/>
    <w:rsid w:val="3DC07D6D"/>
    <w:rsid w:val="3DC2371B"/>
    <w:rsid w:val="3DD671C7"/>
    <w:rsid w:val="3DE43692"/>
    <w:rsid w:val="3DFA2EB5"/>
    <w:rsid w:val="3DFF04CC"/>
    <w:rsid w:val="3E0D0E3B"/>
    <w:rsid w:val="3E111FAD"/>
    <w:rsid w:val="3E3D2DA2"/>
    <w:rsid w:val="3E5A1956"/>
    <w:rsid w:val="3E6246F2"/>
    <w:rsid w:val="3E6A003B"/>
    <w:rsid w:val="3E7C7D6E"/>
    <w:rsid w:val="3E946AE3"/>
    <w:rsid w:val="3E975D15"/>
    <w:rsid w:val="3E9C21BE"/>
    <w:rsid w:val="3EB53A21"/>
    <w:rsid w:val="3EBF69EB"/>
    <w:rsid w:val="3EC032DE"/>
    <w:rsid w:val="3EC15781"/>
    <w:rsid w:val="3EC55271"/>
    <w:rsid w:val="3ED951C1"/>
    <w:rsid w:val="3EDA0523"/>
    <w:rsid w:val="3EDA6843"/>
    <w:rsid w:val="3EFC5EA2"/>
    <w:rsid w:val="3EFD0EAF"/>
    <w:rsid w:val="3F087854"/>
    <w:rsid w:val="3F0D09C6"/>
    <w:rsid w:val="3F17036B"/>
    <w:rsid w:val="3F19380F"/>
    <w:rsid w:val="3F20190E"/>
    <w:rsid w:val="3F4C14EF"/>
    <w:rsid w:val="3F5D36FC"/>
    <w:rsid w:val="3F5E7474"/>
    <w:rsid w:val="3F6C444C"/>
    <w:rsid w:val="3F706706"/>
    <w:rsid w:val="3F8073EA"/>
    <w:rsid w:val="3F89369C"/>
    <w:rsid w:val="3F960BBA"/>
    <w:rsid w:val="3F9B06C8"/>
    <w:rsid w:val="3FA0183A"/>
    <w:rsid w:val="3FA2080E"/>
    <w:rsid w:val="3FB83028"/>
    <w:rsid w:val="3FCF3ECE"/>
    <w:rsid w:val="3FD87226"/>
    <w:rsid w:val="3FF12096"/>
    <w:rsid w:val="3FFF47B3"/>
    <w:rsid w:val="40065F11"/>
    <w:rsid w:val="400C5122"/>
    <w:rsid w:val="40167D4F"/>
    <w:rsid w:val="403A3A3D"/>
    <w:rsid w:val="40420B44"/>
    <w:rsid w:val="40736F4F"/>
    <w:rsid w:val="407A6407"/>
    <w:rsid w:val="40A52B59"/>
    <w:rsid w:val="40AF61D9"/>
    <w:rsid w:val="40B05AAD"/>
    <w:rsid w:val="40C566B5"/>
    <w:rsid w:val="40D43E92"/>
    <w:rsid w:val="40D914A8"/>
    <w:rsid w:val="40E17FDE"/>
    <w:rsid w:val="40EB4D37"/>
    <w:rsid w:val="41016614"/>
    <w:rsid w:val="41087697"/>
    <w:rsid w:val="41195D48"/>
    <w:rsid w:val="411F6317"/>
    <w:rsid w:val="41232723"/>
    <w:rsid w:val="41425945"/>
    <w:rsid w:val="41456B3D"/>
    <w:rsid w:val="4162324B"/>
    <w:rsid w:val="41735459"/>
    <w:rsid w:val="4177481D"/>
    <w:rsid w:val="41780CC1"/>
    <w:rsid w:val="417D7802"/>
    <w:rsid w:val="418238EE"/>
    <w:rsid w:val="4182569C"/>
    <w:rsid w:val="4182744A"/>
    <w:rsid w:val="418331C2"/>
    <w:rsid w:val="418F7DB9"/>
    <w:rsid w:val="419158DF"/>
    <w:rsid w:val="41A3665C"/>
    <w:rsid w:val="41A444BF"/>
    <w:rsid w:val="41BD0482"/>
    <w:rsid w:val="41C021BC"/>
    <w:rsid w:val="41C349E0"/>
    <w:rsid w:val="41C87E31"/>
    <w:rsid w:val="41D67732"/>
    <w:rsid w:val="41F36599"/>
    <w:rsid w:val="41F75774"/>
    <w:rsid w:val="41FB2B3D"/>
    <w:rsid w:val="4200449D"/>
    <w:rsid w:val="421107CE"/>
    <w:rsid w:val="42174647"/>
    <w:rsid w:val="421D08DF"/>
    <w:rsid w:val="421D7172"/>
    <w:rsid w:val="42240501"/>
    <w:rsid w:val="42254279"/>
    <w:rsid w:val="42276243"/>
    <w:rsid w:val="423A3BCC"/>
    <w:rsid w:val="42414C3A"/>
    <w:rsid w:val="424E57D2"/>
    <w:rsid w:val="425C413F"/>
    <w:rsid w:val="42641245"/>
    <w:rsid w:val="42672AE3"/>
    <w:rsid w:val="427124CE"/>
    <w:rsid w:val="42754064"/>
    <w:rsid w:val="428E1E1E"/>
    <w:rsid w:val="42937435"/>
    <w:rsid w:val="42980EEF"/>
    <w:rsid w:val="42994282"/>
    <w:rsid w:val="42AB6E74"/>
    <w:rsid w:val="42B26C49"/>
    <w:rsid w:val="42E27550"/>
    <w:rsid w:val="430976F7"/>
    <w:rsid w:val="430E7C70"/>
    <w:rsid w:val="43252782"/>
    <w:rsid w:val="433A6FE6"/>
    <w:rsid w:val="433F0DBD"/>
    <w:rsid w:val="43480868"/>
    <w:rsid w:val="4350713C"/>
    <w:rsid w:val="435412BA"/>
    <w:rsid w:val="4359067E"/>
    <w:rsid w:val="436653E0"/>
    <w:rsid w:val="4379360A"/>
    <w:rsid w:val="437B396E"/>
    <w:rsid w:val="43903F2A"/>
    <w:rsid w:val="439C056B"/>
    <w:rsid w:val="43A044FF"/>
    <w:rsid w:val="43A51B15"/>
    <w:rsid w:val="43A85162"/>
    <w:rsid w:val="43A85972"/>
    <w:rsid w:val="43AB3626"/>
    <w:rsid w:val="43AD2778"/>
    <w:rsid w:val="43AF029E"/>
    <w:rsid w:val="43BD354B"/>
    <w:rsid w:val="43C4431A"/>
    <w:rsid w:val="43CE724D"/>
    <w:rsid w:val="43D321DE"/>
    <w:rsid w:val="43D806F5"/>
    <w:rsid w:val="43FE4D82"/>
    <w:rsid w:val="440117DF"/>
    <w:rsid w:val="440A7BCA"/>
    <w:rsid w:val="44226CC2"/>
    <w:rsid w:val="442944F4"/>
    <w:rsid w:val="442A1C1D"/>
    <w:rsid w:val="4439400C"/>
    <w:rsid w:val="4471208C"/>
    <w:rsid w:val="44957494"/>
    <w:rsid w:val="449F6565"/>
    <w:rsid w:val="44B951CC"/>
    <w:rsid w:val="44BB28C9"/>
    <w:rsid w:val="44CD14E0"/>
    <w:rsid w:val="44D9124F"/>
    <w:rsid w:val="44EC107E"/>
    <w:rsid w:val="44F20B0B"/>
    <w:rsid w:val="44F97A40"/>
    <w:rsid w:val="45012D7B"/>
    <w:rsid w:val="45050ABD"/>
    <w:rsid w:val="450F4357"/>
    <w:rsid w:val="451A3E3D"/>
    <w:rsid w:val="45294080"/>
    <w:rsid w:val="452E5F4C"/>
    <w:rsid w:val="455152AF"/>
    <w:rsid w:val="45612018"/>
    <w:rsid w:val="45664FC9"/>
    <w:rsid w:val="45683FBA"/>
    <w:rsid w:val="456A0921"/>
    <w:rsid w:val="456A4DC4"/>
    <w:rsid w:val="45886FF9"/>
    <w:rsid w:val="458946E9"/>
    <w:rsid w:val="458A2D71"/>
    <w:rsid w:val="458E3E27"/>
    <w:rsid w:val="45A47C0E"/>
    <w:rsid w:val="45A57BAB"/>
    <w:rsid w:val="45B93656"/>
    <w:rsid w:val="45D97854"/>
    <w:rsid w:val="45E71F71"/>
    <w:rsid w:val="45E73AB9"/>
    <w:rsid w:val="4600145E"/>
    <w:rsid w:val="460C5E7C"/>
    <w:rsid w:val="464A5E1C"/>
    <w:rsid w:val="46577FD6"/>
    <w:rsid w:val="46582E6F"/>
    <w:rsid w:val="465D0485"/>
    <w:rsid w:val="467852BF"/>
    <w:rsid w:val="469A6FE4"/>
    <w:rsid w:val="46A50043"/>
    <w:rsid w:val="46A95479"/>
    <w:rsid w:val="46B34549"/>
    <w:rsid w:val="46B8390E"/>
    <w:rsid w:val="46C95B1B"/>
    <w:rsid w:val="46D06EA9"/>
    <w:rsid w:val="46D52711"/>
    <w:rsid w:val="46D87B0C"/>
    <w:rsid w:val="46D955A7"/>
    <w:rsid w:val="46E14C12"/>
    <w:rsid w:val="46EB170F"/>
    <w:rsid w:val="46EE04C6"/>
    <w:rsid w:val="47095F17"/>
    <w:rsid w:val="47133957"/>
    <w:rsid w:val="47143C21"/>
    <w:rsid w:val="47190850"/>
    <w:rsid w:val="47282841"/>
    <w:rsid w:val="472C1324"/>
    <w:rsid w:val="472E597E"/>
    <w:rsid w:val="474539A0"/>
    <w:rsid w:val="47460B2E"/>
    <w:rsid w:val="474A6C5C"/>
    <w:rsid w:val="474B4782"/>
    <w:rsid w:val="475573AE"/>
    <w:rsid w:val="47617B01"/>
    <w:rsid w:val="476A0D12"/>
    <w:rsid w:val="476A2E5A"/>
    <w:rsid w:val="477B5067"/>
    <w:rsid w:val="477C0DDF"/>
    <w:rsid w:val="479B1265"/>
    <w:rsid w:val="47A07E0C"/>
    <w:rsid w:val="47A50E5C"/>
    <w:rsid w:val="47AE364F"/>
    <w:rsid w:val="47BF7CDE"/>
    <w:rsid w:val="47CD5197"/>
    <w:rsid w:val="47CF144B"/>
    <w:rsid w:val="47F22E4F"/>
    <w:rsid w:val="47F6064A"/>
    <w:rsid w:val="47FA65A7"/>
    <w:rsid w:val="48051AC3"/>
    <w:rsid w:val="481E3C44"/>
    <w:rsid w:val="482C628C"/>
    <w:rsid w:val="48457423"/>
    <w:rsid w:val="4856518C"/>
    <w:rsid w:val="485853A8"/>
    <w:rsid w:val="486378A9"/>
    <w:rsid w:val="486A7137"/>
    <w:rsid w:val="486D54CC"/>
    <w:rsid w:val="4870272E"/>
    <w:rsid w:val="487B2E45"/>
    <w:rsid w:val="488D7101"/>
    <w:rsid w:val="48BD02B8"/>
    <w:rsid w:val="48CB2C03"/>
    <w:rsid w:val="48CD133E"/>
    <w:rsid w:val="490B41C9"/>
    <w:rsid w:val="49296D45"/>
    <w:rsid w:val="492A72D7"/>
    <w:rsid w:val="492D05E3"/>
    <w:rsid w:val="49494CF1"/>
    <w:rsid w:val="494E211C"/>
    <w:rsid w:val="495D0CD1"/>
    <w:rsid w:val="495F2766"/>
    <w:rsid w:val="49647D7D"/>
    <w:rsid w:val="496E6505"/>
    <w:rsid w:val="497179F9"/>
    <w:rsid w:val="499046CE"/>
    <w:rsid w:val="49951CE4"/>
    <w:rsid w:val="49B120BE"/>
    <w:rsid w:val="49BC3715"/>
    <w:rsid w:val="49C35341"/>
    <w:rsid w:val="49C5081B"/>
    <w:rsid w:val="49D50A28"/>
    <w:rsid w:val="49DC7715"/>
    <w:rsid w:val="49E33908"/>
    <w:rsid w:val="49E804F1"/>
    <w:rsid w:val="4A023139"/>
    <w:rsid w:val="4A0362EE"/>
    <w:rsid w:val="4A0F7CE8"/>
    <w:rsid w:val="4A105DE0"/>
    <w:rsid w:val="4A26793A"/>
    <w:rsid w:val="4A3256D9"/>
    <w:rsid w:val="4A4060F4"/>
    <w:rsid w:val="4A4A6F73"/>
    <w:rsid w:val="4A58343D"/>
    <w:rsid w:val="4A673A93"/>
    <w:rsid w:val="4A7137B3"/>
    <w:rsid w:val="4A7B576F"/>
    <w:rsid w:val="4A930919"/>
    <w:rsid w:val="4A995804"/>
    <w:rsid w:val="4A9E1EBD"/>
    <w:rsid w:val="4AA25A23"/>
    <w:rsid w:val="4AB64608"/>
    <w:rsid w:val="4AD343D3"/>
    <w:rsid w:val="4AD351BA"/>
    <w:rsid w:val="4AD66A58"/>
    <w:rsid w:val="4ADF0DAB"/>
    <w:rsid w:val="4AF561A9"/>
    <w:rsid w:val="4AFB201B"/>
    <w:rsid w:val="4B090BDC"/>
    <w:rsid w:val="4B1F4D80"/>
    <w:rsid w:val="4B29302C"/>
    <w:rsid w:val="4B2E23F0"/>
    <w:rsid w:val="4B3E7BEA"/>
    <w:rsid w:val="4B59745A"/>
    <w:rsid w:val="4B5E0F27"/>
    <w:rsid w:val="4B661F08"/>
    <w:rsid w:val="4B683330"/>
    <w:rsid w:val="4B797B0F"/>
    <w:rsid w:val="4B7D6ED4"/>
    <w:rsid w:val="4B864FB8"/>
    <w:rsid w:val="4BCB48D4"/>
    <w:rsid w:val="4BDF3233"/>
    <w:rsid w:val="4BED22AB"/>
    <w:rsid w:val="4BFA4764"/>
    <w:rsid w:val="4BFB49C8"/>
    <w:rsid w:val="4C0D46FC"/>
    <w:rsid w:val="4C1415E6"/>
    <w:rsid w:val="4C213D03"/>
    <w:rsid w:val="4C2537F3"/>
    <w:rsid w:val="4C4A0649"/>
    <w:rsid w:val="4C5B0FC3"/>
    <w:rsid w:val="4C667968"/>
    <w:rsid w:val="4C7C718B"/>
    <w:rsid w:val="4C7E5ECA"/>
    <w:rsid w:val="4C876AA5"/>
    <w:rsid w:val="4C8C5620"/>
    <w:rsid w:val="4C8D6D3F"/>
    <w:rsid w:val="4C975D73"/>
    <w:rsid w:val="4CB8634A"/>
    <w:rsid w:val="4CE043E5"/>
    <w:rsid w:val="4CE90CC5"/>
    <w:rsid w:val="4CEC4088"/>
    <w:rsid w:val="4CF62D51"/>
    <w:rsid w:val="4D0B6C7F"/>
    <w:rsid w:val="4D0E00FB"/>
    <w:rsid w:val="4D123E80"/>
    <w:rsid w:val="4D176606"/>
    <w:rsid w:val="4D186EB4"/>
    <w:rsid w:val="4D5746A4"/>
    <w:rsid w:val="4D5D520F"/>
    <w:rsid w:val="4D6B16DA"/>
    <w:rsid w:val="4DA50A2A"/>
    <w:rsid w:val="4DA93FB0"/>
    <w:rsid w:val="4DD059E1"/>
    <w:rsid w:val="4DEC4FB0"/>
    <w:rsid w:val="4DF571F5"/>
    <w:rsid w:val="4DF72F6D"/>
    <w:rsid w:val="4DFC0584"/>
    <w:rsid w:val="4E075D8A"/>
    <w:rsid w:val="4E0A0EF3"/>
    <w:rsid w:val="4E127DA7"/>
    <w:rsid w:val="4E1C29D4"/>
    <w:rsid w:val="4E1D7EFB"/>
    <w:rsid w:val="4E223559"/>
    <w:rsid w:val="4E264AF3"/>
    <w:rsid w:val="4E3C6BD2"/>
    <w:rsid w:val="4E5C4D9A"/>
    <w:rsid w:val="4E7C1712"/>
    <w:rsid w:val="4E7C5914"/>
    <w:rsid w:val="4E802F63"/>
    <w:rsid w:val="4E992277"/>
    <w:rsid w:val="4EA268A7"/>
    <w:rsid w:val="4EAA46F2"/>
    <w:rsid w:val="4EBE1CDD"/>
    <w:rsid w:val="4EC00FAD"/>
    <w:rsid w:val="4EC372F3"/>
    <w:rsid w:val="4ECB11DE"/>
    <w:rsid w:val="4ECF5C98"/>
    <w:rsid w:val="4EF63225"/>
    <w:rsid w:val="4F166E11"/>
    <w:rsid w:val="4F1C342D"/>
    <w:rsid w:val="4F337FD5"/>
    <w:rsid w:val="4F55619D"/>
    <w:rsid w:val="4F561F16"/>
    <w:rsid w:val="4F5B752C"/>
    <w:rsid w:val="4F5D32A4"/>
    <w:rsid w:val="4F9020B6"/>
    <w:rsid w:val="4F957B1B"/>
    <w:rsid w:val="4F9843DC"/>
    <w:rsid w:val="4FA03191"/>
    <w:rsid w:val="4FC275AB"/>
    <w:rsid w:val="4FC62A8C"/>
    <w:rsid w:val="4FDD43E5"/>
    <w:rsid w:val="4FDF133C"/>
    <w:rsid w:val="4FE20F0D"/>
    <w:rsid w:val="4FE4710E"/>
    <w:rsid w:val="4FE51552"/>
    <w:rsid w:val="4FF04118"/>
    <w:rsid w:val="4FFA6DD9"/>
    <w:rsid w:val="50083210"/>
    <w:rsid w:val="50212524"/>
    <w:rsid w:val="502D0EC8"/>
    <w:rsid w:val="503C0FAB"/>
    <w:rsid w:val="50454464"/>
    <w:rsid w:val="50504C4B"/>
    <w:rsid w:val="50650662"/>
    <w:rsid w:val="50666784"/>
    <w:rsid w:val="5074015B"/>
    <w:rsid w:val="507B7A10"/>
    <w:rsid w:val="508B3E41"/>
    <w:rsid w:val="50985B4F"/>
    <w:rsid w:val="509C6E7C"/>
    <w:rsid w:val="50A218B6"/>
    <w:rsid w:val="50A6517A"/>
    <w:rsid w:val="50B43398"/>
    <w:rsid w:val="50B70FA7"/>
    <w:rsid w:val="50D852D8"/>
    <w:rsid w:val="50E377D9"/>
    <w:rsid w:val="50EE4AFC"/>
    <w:rsid w:val="50F977CC"/>
    <w:rsid w:val="50FB4B23"/>
    <w:rsid w:val="510C4F82"/>
    <w:rsid w:val="510F05CE"/>
    <w:rsid w:val="51586419"/>
    <w:rsid w:val="5162104E"/>
    <w:rsid w:val="5167040A"/>
    <w:rsid w:val="517C3193"/>
    <w:rsid w:val="51946F44"/>
    <w:rsid w:val="51A056CA"/>
    <w:rsid w:val="51A67184"/>
    <w:rsid w:val="51AE0EE1"/>
    <w:rsid w:val="51C21AE4"/>
    <w:rsid w:val="51D71B4D"/>
    <w:rsid w:val="51ED0134"/>
    <w:rsid w:val="51EE21B6"/>
    <w:rsid w:val="51FA5379"/>
    <w:rsid w:val="51FA74D0"/>
    <w:rsid w:val="52287B99"/>
    <w:rsid w:val="52354064"/>
    <w:rsid w:val="523E6E33"/>
    <w:rsid w:val="52432384"/>
    <w:rsid w:val="52462715"/>
    <w:rsid w:val="5248023B"/>
    <w:rsid w:val="52503B9B"/>
    <w:rsid w:val="52505342"/>
    <w:rsid w:val="525F7333"/>
    <w:rsid w:val="52846D9A"/>
    <w:rsid w:val="528C45CC"/>
    <w:rsid w:val="528D3EA0"/>
    <w:rsid w:val="5299285F"/>
    <w:rsid w:val="529945F3"/>
    <w:rsid w:val="52B551A5"/>
    <w:rsid w:val="52C378C2"/>
    <w:rsid w:val="52C8137C"/>
    <w:rsid w:val="52CB118B"/>
    <w:rsid w:val="53043E75"/>
    <w:rsid w:val="531D22F3"/>
    <w:rsid w:val="531D5224"/>
    <w:rsid w:val="53213874"/>
    <w:rsid w:val="532365B3"/>
    <w:rsid w:val="53320495"/>
    <w:rsid w:val="53364538"/>
    <w:rsid w:val="534053B7"/>
    <w:rsid w:val="534D53DE"/>
    <w:rsid w:val="536C1D08"/>
    <w:rsid w:val="536E5A80"/>
    <w:rsid w:val="53714D2C"/>
    <w:rsid w:val="53874D93"/>
    <w:rsid w:val="539E0ABF"/>
    <w:rsid w:val="53A039CC"/>
    <w:rsid w:val="53A1505A"/>
    <w:rsid w:val="53C03E02"/>
    <w:rsid w:val="53C51C74"/>
    <w:rsid w:val="53C9715A"/>
    <w:rsid w:val="53D02297"/>
    <w:rsid w:val="53DF697E"/>
    <w:rsid w:val="53E45D42"/>
    <w:rsid w:val="53E960D4"/>
    <w:rsid w:val="53EC70A2"/>
    <w:rsid w:val="54063E08"/>
    <w:rsid w:val="54134879"/>
    <w:rsid w:val="54176117"/>
    <w:rsid w:val="541C1980"/>
    <w:rsid w:val="543437E8"/>
    <w:rsid w:val="543D4B17"/>
    <w:rsid w:val="544976DC"/>
    <w:rsid w:val="545F7ABE"/>
    <w:rsid w:val="547143A9"/>
    <w:rsid w:val="54857525"/>
    <w:rsid w:val="54921C42"/>
    <w:rsid w:val="54954952"/>
    <w:rsid w:val="54C067AF"/>
    <w:rsid w:val="54C55B73"/>
    <w:rsid w:val="54CF3EC9"/>
    <w:rsid w:val="54D2203E"/>
    <w:rsid w:val="54D77655"/>
    <w:rsid w:val="54F73313"/>
    <w:rsid w:val="54F75F49"/>
    <w:rsid w:val="54F80955"/>
    <w:rsid w:val="54F93FC1"/>
    <w:rsid w:val="550A7A2A"/>
    <w:rsid w:val="551F1D4C"/>
    <w:rsid w:val="552C47D7"/>
    <w:rsid w:val="555170A7"/>
    <w:rsid w:val="5560066F"/>
    <w:rsid w:val="5587536D"/>
    <w:rsid w:val="55915A56"/>
    <w:rsid w:val="559B174B"/>
    <w:rsid w:val="55A90FF1"/>
    <w:rsid w:val="55AE2AAB"/>
    <w:rsid w:val="55B17EA6"/>
    <w:rsid w:val="55CE0CF4"/>
    <w:rsid w:val="55D41DE6"/>
    <w:rsid w:val="55EC0698"/>
    <w:rsid w:val="55EC5397"/>
    <w:rsid w:val="55FC3817"/>
    <w:rsid w:val="563805C7"/>
    <w:rsid w:val="56384123"/>
    <w:rsid w:val="564156AD"/>
    <w:rsid w:val="565371AF"/>
    <w:rsid w:val="56576C9F"/>
    <w:rsid w:val="56690780"/>
    <w:rsid w:val="567F2507"/>
    <w:rsid w:val="5684380C"/>
    <w:rsid w:val="56861332"/>
    <w:rsid w:val="56877B1B"/>
    <w:rsid w:val="568D446F"/>
    <w:rsid w:val="56A33C92"/>
    <w:rsid w:val="56B22A9C"/>
    <w:rsid w:val="56BE31C3"/>
    <w:rsid w:val="56C02A96"/>
    <w:rsid w:val="56D011D0"/>
    <w:rsid w:val="56EA18C1"/>
    <w:rsid w:val="56EB388B"/>
    <w:rsid w:val="57201787"/>
    <w:rsid w:val="57430FD1"/>
    <w:rsid w:val="574F7976"/>
    <w:rsid w:val="57553BF2"/>
    <w:rsid w:val="575A778E"/>
    <w:rsid w:val="57663DA7"/>
    <w:rsid w:val="57921934"/>
    <w:rsid w:val="57AA6466"/>
    <w:rsid w:val="57B50DDE"/>
    <w:rsid w:val="57B63E99"/>
    <w:rsid w:val="57B72A76"/>
    <w:rsid w:val="57C3426C"/>
    <w:rsid w:val="57CD6716"/>
    <w:rsid w:val="57CE1F93"/>
    <w:rsid w:val="57D330DA"/>
    <w:rsid w:val="57E427B4"/>
    <w:rsid w:val="580C3AB9"/>
    <w:rsid w:val="581C3572"/>
    <w:rsid w:val="58226E39"/>
    <w:rsid w:val="582E3A30"/>
    <w:rsid w:val="583628E4"/>
    <w:rsid w:val="583D3C73"/>
    <w:rsid w:val="5854040B"/>
    <w:rsid w:val="5854157B"/>
    <w:rsid w:val="5866141B"/>
    <w:rsid w:val="588743D1"/>
    <w:rsid w:val="5887701A"/>
    <w:rsid w:val="588F7E1C"/>
    <w:rsid w:val="589D2963"/>
    <w:rsid w:val="58A817F1"/>
    <w:rsid w:val="58AB44A7"/>
    <w:rsid w:val="58B303D9"/>
    <w:rsid w:val="58B54151"/>
    <w:rsid w:val="58C26A87"/>
    <w:rsid w:val="58D8399B"/>
    <w:rsid w:val="58D85002"/>
    <w:rsid w:val="58FB46B1"/>
    <w:rsid w:val="59011144"/>
    <w:rsid w:val="59367040"/>
    <w:rsid w:val="59411541"/>
    <w:rsid w:val="59437971"/>
    <w:rsid w:val="5973386A"/>
    <w:rsid w:val="598450BE"/>
    <w:rsid w:val="598853C1"/>
    <w:rsid w:val="59A23BE3"/>
    <w:rsid w:val="59B368E2"/>
    <w:rsid w:val="59C0439F"/>
    <w:rsid w:val="59D23F8E"/>
    <w:rsid w:val="59D423B5"/>
    <w:rsid w:val="59E60A0A"/>
    <w:rsid w:val="59FE42A0"/>
    <w:rsid w:val="5A1957AD"/>
    <w:rsid w:val="5A2337AA"/>
    <w:rsid w:val="5A3C75BC"/>
    <w:rsid w:val="5A3D7F5A"/>
    <w:rsid w:val="5A407C41"/>
    <w:rsid w:val="5A44578C"/>
    <w:rsid w:val="5A492DA3"/>
    <w:rsid w:val="5A602A52"/>
    <w:rsid w:val="5A61633E"/>
    <w:rsid w:val="5A690D4F"/>
    <w:rsid w:val="5A985AD8"/>
    <w:rsid w:val="5A9F29C3"/>
    <w:rsid w:val="5AAE70AA"/>
    <w:rsid w:val="5AB53F94"/>
    <w:rsid w:val="5AB87F28"/>
    <w:rsid w:val="5AB9705C"/>
    <w:rsid w:val="5ABE2233"/>
    <w:rsid w:val="5AC70954"/>
    <w:rsid w:val="5ADA1C4D"/>
    <w:rsid w:val="5AE40C09"/>
    <w:rsid w:val="5AF2343A"/>
    <w:rsid w:val="5AF9359B"/>
    <w:rsid w:val="5AFF16B3"/>
    <w:rsid w:val="5B060C94"/>
    <w:rsid w:val="5B0867BA"/>
    <w:rsid w:val="5B0B44FC"/>
    <w:rsid w:val="5B152C85"/>
    <w:rsid w:val="5B1909C7"/>
    <w:rsid w:val="5B661732"/>
    <w:rsid w:val="5B6A2D43"/>
    <w:rsid w:val="5B821078"/>
    <w:rsid w:val="5B8F0C89"/>
    <w:rsid w:val="5B914A01"/>
    <w:rsid w:val="5B955468"/>
    <w:rsid w:val="5BA2200E"/>
    <w:rsid w:val="5BA92B95"/>
    <w:rsid w:val="5BAA7871"/>
    <w:rsid w:val="5BB406F0"/>
    <w:rsid w:val="5BBD57F6"/>
    <w:rsid w:val="5BD60666"/>
    <w:rsid w:val="5BDF5D95"/>
    <w:rsid w:val="5BE014E5"/>
    <w:rsid w:val="5BE2525D"/>
    <w:rsid w:val="5BE74621"/>
    <w:rsid w:val="5BEA4111"/>
    <w:rsid w:val="5BFE7528"/>
    <w:rsid w:val="5C050F4B"/>
    <w:rsid w:val="5C0E6052"/>
    <w:rsid w:val="5C184233"/>
    <w:rsid w:val="5C425CFC"/>
    <w:rsid w:val="5C4750C0"/>
    <w:rsid w:val="5C4F0418"/>
    <w:rsid w:val="5C594DF3"/>
    <w:rsid w:val="5C732359"/>
    <w:rsid w:val="5C7C2F83"/>
    <w:rsid w:val="5CA94BFF"/>
    <w:rsid w:val="5CAD5C12"/>
    <w:rsid w:val="5CAF537B"/>
    <w:rsid w:val="5CCB4A53"/>
    <w:rsid w:val="5CCE758F"/>
    <w:rsid w:val="5CF214D0"/>
    <w:rsid w:val="5CFC1B2C"/>
    <w:rsid w:val="5CFE6A98"/>
    <w:rsid w:val="5D107BA8"/>
    <w:rsid w:val="5D1F7DEB"/>
    <w:rsid w:val="5D2013EB"/>
    <w:rsid w:val="5D283143"/>
    <w:rsid w:val="5D284EF1"/>
    <w:rsid w:val="5D2C42B6"/>
    <w:rsid w:val="5D324AC6"/>
    <w:rsid w:val="5D327B1E"/>
    <w:rsid w:val="5DAB78D0"/>
    <w:rsid w:val="5DB91FED"/>
    <w:rsid w:val="5DF64FF0"/>
    <w:rsid w:val="5E163F4B"/>
    <w:rsid w:val="5E2467F1"/>
    <w:rsid w:val="5E443FAD"/>
    <w:rsid w:val="5E68756F"/>
    <w:rsid w:val="5E6D4B86"/>
    <w:rsid w:val="5E8C5954"/>
    <w:rsid w:val="5EDE7BCE"/>
    <w:rsid w:val="5EF17565"/>
    <w:rsid w:val="5EF534F9"/>
    <w:rsid w:val="5EF7081E"/>
    <w:rsid w:val="5EFA455B"/>
    <w:rsid w:val="5F021772"/>
    <w:rsid w:val="5F0674B4"/>
    <w:rsid w:val="5F092B01"/>
    <w:rsid w:val="5F1A2B43"/>
    <w:rsid w:val="5F265461"/>
    <w:rsid w:val="5F2A4EFA"/>
    <w:rsid w:val="5F2E4B15"/>
    <w:rsid w:val="5F2E6A0B"/>
    <w:rsid w:val="5F5C5FB8"/>
    <w:rsid w:val="5F5F3CC9"/>
    <w:rsid w:val="5F603AC2"/>
    <w:rsid w:val="5F692E07"/>
    <w:rsid w:val="5F750196"/>
    <w:rsid w:val="5F8B58C4"/>
    <w:rsid w:val="5FA016B7"/>
    <w:rsid w:val="5FA42829"/>
    <w:rsid w:val="5FA82319"/>
    <w:rsid w:val="5FAD7930"/>
    <w:rsid w:val="5FB837BB"/>
    <w:rsid w:val="5FC31696"/>
    <w:rsid w:val="5FD17357"/>
    <w:rsid w:val="5FE3382C"/>
    <w:rsid w:val="5FE62E42"/>
    <w:rsid w:val="5FEA46E0"/>
    <w:rsid w:val="5FF217E7"/>
    <w:rsid w:val="60017C7C"/>
    <w:rsid w:val="6007525F"/>
    <w:rsid w:val="600D4DF0"/>
    <w:rsid w:val="600D6620"/>
    <w:rsid w:val="60146320"/>
    <w:rsid w:val="602960DA"/>
    <w:rsid w:val="602E2384"/>
    <w:rsid w:val="604007A4"/>
    <w:rsid w:val="60477D84"/>
    <w:rsid w:val="60583D40"/>
    <w:rsid w:val="605F301C"/>
    <w:rsid w:val="606A75CF"/>
    <w:rsid w:val="606D70BF"/>
    <w:rsid w:val="60B116A2"/>
    <w:rsid w:val="60B151FE"/>
    <w:rsid w:val="60B66CA4"/>
    <w:rsid w:val="60CC405A"/>
    <w:rsid w:val="60FF065F"/>
    <w:rsid w:val="610B0DB2"/>
    <w:rsid w:val="611107BE"/>
    <w:rsid w:val="612956DC"/>
    <w:rsid w:val="613025C6"/>
    <w:rsid w:val="61614E76"/>
    <w:rsid w:val="617940FB"/>
    <w:rsid w:val="618F621F"/>
    <w:rsid w:val="619F14FA"/>
    <w:rsid w:val="61B2747F"/>
    <w:rsid w:val="61C34DC7"/>
    <w:rsid w:val="61C6117D"/>
    <w:rsid w:val="61DE0274"/>
    <w:rsid w:val="61DF3FED"/>
    <w:rsid w:val="61E215D8"/>
    <w:rsid w:val="61F07FA8"/>
    <w:rsid w:val="62092041"/>
    <w:rsid w:val="621023F8"/>
    <w:rsid w:val="62173786"/>
    <w:rsid w:val="621B3775"/>
    <w:rsid w:val="62233ED9"/>
    <w:rsid w:val="62364782"/>
    <w:rsid w:val="623E6F65"/>
    <w:rsid w:val="624239A1"/>
    <w:rsid w:val="624A5CB4"/>
    <w:rsid w:val="624D06CB"/>
    <w:rsid w:val="625039B3"/>
    <w:rsid w:val="62546789"/>
    <w:rsid w:val="626F35C2"/>
    <w:rsid w:val="627B15F9"/>
    <w:rsid w:val="62970423"/>
    <w:rsid w:val="62A0552A"/>
    <w:rsid w:val="62AF1C11"/>
    <w:rsid w:val="62B06A9B"/>
    <w:rsid w:val="62B816A7"/>
    <w:rsid w:val="62BD432E"/>
    <w:rsid w:val="62CA25A7"/>
    <w:rsid w:val="62CA5F4A"/>
    <w:rsid w:val="62CC631F"/>
    <w:rsid w:val="62D67210"/>
    <w:rsid w:val="62D80B9A"/>
    <w:rsid w:val="62E0001C"/>
    <w:rsid w:val="62E90DB7"/>
    <w:rsid w:val="62FF66F4"/>
    <w:rsid w:val="631F0C6E"/>
    <w:rsid w:val="63202864"/>
    <w:rsid w:val="632B74E9"/>
    <w:rsid w:val="632F69CC"/>
    <w:rsid w:val="63352116"/>
    <w:rsid w:val="63402869"/>
    <w:rsid w:val="63416696"/>
    <w:rsid w:val="634467FD"/>
    <w:rsid w:val="634B193A"/>
    <w:rsid w:val="635C3B47"/>
    <w:rsid w:val="637B1AF3"/>
    <w:rsid w:val="637F15E3"/>
    <w:rsid w:val="63807109"/>
    <w:rsid w:val="6394356A"/>
    <w:rsid w:val="63AD0BFF"/>
    <w:rsid w:val="63BE2D58"/>
    <w:rsid w:val="63BF40D6"/>
    <w:rsid w:val="63C61B2C"/>
    <w:rsid w:val="63D40BE9"/>
    <w:rsid w:val="63D70E6D"/>
    <w:rsid w:val="63D95197"/>
    <w:rsid w:val="63E1229E"/>
    <w:rsid w:val="63EA73A4"/>
    <w:rsid w:val="63F024E1"/>
    <w:rsid w:val="64030661"/>
    <w:rsid w:val="64063AB3"/>
    <w:rsid w:val="64102431"/>
    <w:rsid w:val="64236413"/>
    <w:rsid w:val="64335AFC"/>
    <w:rsid w:val="64340620"/>
    <w:rsid w:val="643C74D4"/>
    <w:rsid w:val="645D51B4"/>
    <w:rsid w:val="6460084F"/>
    <w:rsid w:val="646A2293"/>
    <w:rsid w:val="646F3406"/>
    <w:rsid w:val="647A4642"/>
    <w:rsid w:val="647C5B23"/>
    <w:rsid w:val="64852C29"/>
    <w:rsid w:val="6486656D"/>
    <w:rsid w:val="648844C8"/>
    <w:rsid w:val="649015CE"/>
    <w:rsid w:val="64942E6C"/>
    <w:rsid w:val="64990483"/>
    <w:rsid w:val="64A5243A"/>
    <w:rsid w:val="64AA6B34"/>
    <w:rsid w:val="64B654D9"/>
    <w:rsid w:val="64C50FBD"/>
    <w:rsid w:val="64C86FBA"/>
    <w:rsid w:val="64D911C7"/>
    <w:rsid w:val="64F102BF"/>
    <w:rsid w:val="64F531DE"/>
    <w:rsid w:val="64FC1CD2"/>
    <w:rsid w:val="65031DA0"/>
    <w:rsid w:val="650E0E71"/>
    <w:rsid w:val="651B6328"/>
    <w:rsid w:val="652266CA"/>
    <w:rsid w:val="65373578"/>
    <w:rsid w:val="65386C6F"/>
    <w:rsid w:val="655645C6"/>
    <w:rsid w:val="65652A5B"/>
    <w:rsid w:val="657333CA"/>
    <w:rsid w:val="65815AE7"/>
    <w:rsid w:val="65A13A93"/>
    <w:rsid w:val="65C43CAF"/>
    <w:rsid w:val="65FD66FE"/>
    <w:rsid w:val="66092349"/>
    <w:rsid w:val="660951F0"/>
    <w:rsid w:val="660B3A0E"/>
    <w:rsid w:val="66176963"/>
    <w:rsid w:val="66195D1F"/>
    <w:rsid w:val="661E7317"/>
    <w:rsid w:val="662841B4"/>
    <w:rsid w:val="663A3EE7"/>
    <w:rsid w:val="66417024"/>
    <w:rsid w:val="664B1C51"/>
    <w:rsid w:val="66644AC0"/>
    <w:rsid w:val="66647D24"/>
    <w:rsid w:val="666A6D38"/>
    <w:rsid w:val="666D606B"/>
    <w:rsid w:val="666F1DE3"/>
    <w:rsid w:val="667473F9"/>
    <w:rsid w:val="668A0DFC"/>
    <w:rsid w:val="669B4986"/>
    <w:rsid w:val="66A355E9"/>
    <w:rsid w:val="66A575B3"/>
    <w:rsid w:val="66BC48FC"/>
    <w:rsid w:val="66D439F4"/>
    <w:rsid w:val="66D6776C"/>
    <w:rsid w:val="66E005EB"/>
    <w:rsid w:val="66EC6F90"/>
    <w:rsid w:val="66ED5E4D"/>
    <w:rsid w:val="66EE2255"/>
    <w:rsid w:val="66F77476"/>
    <w:rsid w:val="671169F6"/>
    <w:rsid w:val="671F124A"/>
    <w:rsid w:val="672524A2"/>
    <w:rsid w:val="67446DCC"/>
    <w:rsid w:val="67544B35"/>
    <w:rsid w:val="67666B8F"/>
    <w:rsid w:val="677A33C6"/>
    <w:rsid w:val="677E1BB2"/>
    <w:rsid w:val="67804D2B"/>
    <w:rsid w:val="678E44EB"/>
    <w:rsid w:val="678E6713"/>
    <w:rsid w:val="6791723B"/>
    <w:rsid w:val="679D028A"/>
    <w:rsid w:val="67A4786A"/>
    <w:rsid w:val="67A5546D"/>
    <w:rsid w:val="67AE2497"/>
    <w:rsid w:val="67B53825"/>
    <w:rsid w:val="67BA0E3C"/>
    <w:rsid w:val="67F7143B"/>
    <w:rsid w:val="67FC1454"/>
    <w:rsid w:val="680622D3"/>
    <w:rsid w:val="68093B71"/>
    <w:rsid w:val="681F6961"/>
    <w:rsid w:val="68240167"/>
    <w:rsid w:val="683926A8"/>
    <w:rsid w:val="684B5F38"/>
    <w:rsid w:val="685017A0"/>
    <w:rsid w:val="685F19E3"/>
    <w:rsid w:val="68610A2F"/>
    <w:rsid w:val="68805514"/>
    <w:rsid w:val="689C4889"/>
    <w:rsid w:val="68A11FFC"/>
    <w:rsid w:val="68A67612"/>
    <w:rsid w:val="68B25FB7"/>
    <w:rsid w:val="68C53F3C"/>
    <w:rsid w:val="68CA3301"/>
    <w:rsid w:val="68D07BD7"/>
    <w:rsid w:val="68DE0B5A"/>
    <w:rsid w:val="68E51EE8"/>
    <w:rsid w:val="68E53C5E"/>
    <w:rsid w:val="68EF4B15"/>
    <w:rsid w:val="68F16ADF"/>
    <w:rsid w:val="69034A64"/>
    <w:rsid w:val="690B0A30"/>
    <w:rsid w:val="69280027"/>
    <w:rsid w:val="692B50DF"/>
    <w:rsid w:val="692C365F"/>
    <w:rsid w:val="69316E2F"/>
    <w:rsid w:val="694E2071"/>
    <w:rsid w:val="69546B59"/>
    <w:rsid w:val="696F20FA"/>
    <w:rsid w:val="69766163"/>
    <w:rsid w:val="697A3B33"/>
    <w:rsid w:val="697B2391"/>
    <w:rsid w:val="69A578CA"/>
    <w:rsid w:val="69C02956"/>
    <w:rsid w:val="69D44760"/>
    <w:rsid w:val="69D600E9"/>
    <w:rsid w:val="6A0740E0"/>
    <w:rsid w:val="6A1B6713"/>
    <w:rsid w:val="6A2C0960"/>
    <w:rsid w:val="6A4C5F97"/>
    <w:rsid w:val="6A520EC7"/>
    <w:rsid w:val="6A627569"/>
    <w:rsid w:val="6A700FDF"/>
    <w:rsid w:val="6A79069B"/>
    <w:rsid w:val="6A837C0B"/>
    <w:rsid w:val="6A841BD5"/>
    <w:rsid w:val="6A8B2F63"/>
    <w:rsid w:val="6A8B4D12"/>
    <w:rsid w:val="6A995680"/>
    <w:rsid w:val="6AAD4C88"/>
    <w:rsid w:val="6AB9362D"/>
    <w:rsid w:val="6ABA73A5"/>
    <w:rsid w:val="6ACB710A"/>
    <w:rsid w:val="6ACF70F2"/>
    <w:rsid w:val="6AE12B83"/>
    <w:rsid w:val="6AE34B4E"/>
    <w:rsid w:val="6AF134FF"/>
    <w:rsid w:val="6AF64881"/>
    <w:rsid w:val="6AF73B2B"/>
    <w:rsid w:val="6AF87E20"/>
    <w:rsid w:val="6AF94767"/>
    <w:rsid w:val="6AF97ECD"/>
    <w:rsid w:val="6AFC176B"/>
    <w:rsid w:val="6B1765A5"/>
    <w:rsid w:val="6B225676"/>
    <w:rsid w:val="6B322639"/>
    <w:rsid w:val="6B4A24D7"/>
    <w:rsid w:val="6B576D51"/>
    <w:rsid w:val="6B5B1E9D"/>
    <w:rsid w:val="6B6A0DCB"/>
    <w:rsid w:val="6B785296"/>
    <w:rsid w:val="6B7E6624"/>
    <w:rsid w:val="6B95409A"/>
    <w:rsid w:val="6B9B0F84"/>
    <w:rsid w:val="6BB56BC2"/>
    <w:rsid w:val="6BB75415"/>
    <w:rsid w:val="6BC77FCB"/>
    <w:rsid w:val="6BD5370D"/>
    <w:rsid w:val="6BE12F96"/>
    <w:rsid w:val="6BFB29C0"/>
    <w:rsid w:val="6C00528B"/>
    <w:rsid w:val="6C0905E4"/>
    <w:rsid w:val="6C2629D4"/>
    <w:rsid w:val="6C2D2FAE"/>
    <w:rsid w:val="6C4139BE"/>
    <w:rsid w:val="6C5850C7"/>
    <w:rsid w:val="6C636C38"/>
    <w:rsid w:val="6C8D4D71"/>
    <w:rsid w:val="6C9A7AF6"/>
    <w:rsid w:val="6CB425FC"/>
    <w:rsid w:val="6CBD4F2A"/>
    <w:rsid w:val="6CC22541"/>
    <w:rsid w:val="6CE36AAC"/>
    <w:rsid w:val="6D082649"/>
    <w:rsid w:val="6D0C2FDB"/>
    <w:rsid w:val="6D196605"/>
    <w:rsid w:val="6D1D4A9E"/>
    <w:rsid w:val="6D260D22"/>
    <w:rsid w:val="6D297DB1"/>
    <w:rsid w:val="6D390A55"/>
    <w:rsid w:val="6D394EF9"/>
    <w:rsid w:val="6D4570CF"/>
    <w:rsid w:val="6D54588F"/>
    <w:rsid w:val="6D5D5560"/>
    <w:rsid w:val="6D660B84"/>
    <w:rsid w:val="6D9C1995"/>
    <w:rsid w:val="6DA85BDA"/>
    <w:rsid w:val="6DAC7479"/>
    <w:rsid w:val="6DB34098"/>
    <w:rsid w:val="6DB545B6"/>
    <w:rsid w:val="6DBA2EED"/>
    <w:rsid w:val="6DC12A3E"/>
    <w:rsid w:val="6DC24EEE"/>
    <w:rsid w:val="6DC53F61"/>
    <w:rsid w:val="6DDA2238"/>
    <w:rsid w:val="6DDF3EE6"/>
    <w:rsid w:val="6DE02FB4"/>
    <w:rsid w:val="6DEE7A91"/>
    <w:rsid w:val="6DF40E4A"/>
    <w:rsid w:val="6E364F94"/>
    <w:rsid w:val="6E4771A1"/>
    <w:rsid w:val="6E514CED"/>
    <w:rsid w:val="6E70494A"/>
    <w:rsid w:val="6E705E80"/>
    <w:rsid w:val="6E7855AD"/>
    <w:rsid w:val="6E7D57B8"/>
    <w:rsid w:val="6E857F51"/>
    <w:rsid w:val="6E930639"/>
    <w:rsid w:val="6E9323E7"/>
    <w:rsid w:val="6EA42846"/>
    <w:rsid w:val="6EA63EC8"/>
    <w:rsid w:val="6EAE6F84"/>
    <w:rsid w:val="6EB563D5"/>
    <w:rsid w:val="6EC46A44"/>
    <w:rsid w:val="6ECA3F89"/>
    <w:rsid w:val="6ED24CBD"/>
    <w:rsid w:val="6ED524B7"/>
    <w:rsid w:val="6ED92677"/>
    <w:rsid w:val="6EDD18B4"/>
    <w:rsid w:val="6EE01BCB"/>
    <w:rsid w:val="6EE60768"/>
    <w:rsid w:val="6EE657C7"/>
    <w:rsid w:val="6EF70EB1"/>
    <w:rsid w:val="6EFA4403"/>
    <w:rsid w:val="6EFB45F9"/>
    <w:rsid w:val="6EFD5AB2"/>
    <w:rsid w:val="6F1277AF"/>
    <w:rsid w:val="6F1654F2"/>
    <w:rsid w:val="6F225983"/>
    <w:rsid w:val="6F265009"/>
    <w:rsid w:val="6F2B4E91"/>
    <w:rsid w:val="6F437969"/>
    <w:rsid w:val="6F5558EE"/>
    <w:rsid w:val="6F5B7C6C"/>
    <w:rsid w:val="6F6A0C3A"/>
    <w:rsid w:val="6F885CC3"/>
    <w:rsid w:val="6F946416"/>
    <w:rsid w:val="6F963F3C"/>
    <w:rsid w:val="6FAC23DC"/>
    <w:rsid w:val="6FBD2C17"/>
    <w:rsid w:val="6FE54EC4"/>
    <w:rsid w:val="6FEC0000"/>
    <w:rsid w:val="6FFC5590"/>
    <w:rsid w:val="6FFE7D34"/>
    <w:rsid w:val="700A587D"/>
    <w:rsid w:val="700E5142"/>
    <w:rsid w:val="701C1994"/>
    <w:rsid w:val="703A74A0"/>
    <w:rsid w:val="703D6AAE"/>
    <w:rsid w:val="704A2F79"/>
    <w:rsid w:val="704C6CF1"/>
    <w:rsid w:val="706406DD"/>
    <w:rsid w:val="706D1DD0"/>
    <w:rsid w:val="70856B87"/>
    <w:rsid w:val="708741CD"/>
    <w:rsid w:val="70AE3508"/>
    <w:rsid w:val="70B30B1E"/>
    <w:rsid w:val="70C04FE9"/>
    <w:rsid w:val="70C25205"/>
    <w:rsid w:val="70D527EE"/>
    <w:rsid w:val="70F3716D"/>
    <w:rsid w:val="70F73101"/>
    <w:rsid w:val="71022650"/>
    <w:rsid w:val="71032AF2"/>
    <w:rsid w:val="710A496A"/>
    <w:rsid w:val="7139186D"/>
    <w:rsid w:val="715220E5"/>
    <w:rsid w:val="715B5300"/>
    <w:rsid w:val="71997D14"/>
    <w:rsid w:val="719C5A56"/>
    <w:rsid w:val="719E17CE"/>
    <w:rsid w:val="71AB4182"/>
    <w:rsid w:val="71B7463E"/>
    <w:rsid w:val="71B936E0"/>
    <w:rsid w:val="71BA7C8A"/>
    <w:rsid w:val="71BC7284"/>
    <w:rsid w:val="71C254BD"/>
    <w:rsid w:val="71D27F8A"/>
    <w:rsid w:val="71E52F59"/>
    <w:rsid w:val="71EF1426"/>
    <w:rsid w:val="71FE226D"/>
    <w:rsid w:val="720748E8"/>
    <w:rsid w:val="72130821"/>
    <w:rsid w:val="721B4959"/>
    <w:rsid w:val="723D0FE7"/>
    <w:rsid w:val="723E2933"/>
    <w:rsid w:val="724A3704"/>
    <w:rsid w:val="724B4950"/>
    <w:rsid w:val="725329B4"/>
    <w:rsid w:val="72553024"/>
    <w:rsid w:val="725B1105"/>
    <w:rsid w:val="725D6F93"/>
    <w:rsid w:val="72651DF0"/>
    <w:rsid w:val="727662A7"/>
    <w:rsid w:val="727D63C7"/>
    <w:rsid w:val="72A76461"/>
    <w:rsid w:val="72AE5A41"/>
    <w:rsid w:val="72B55021"/>
    <w:rsid w:val="72CE60E3"/>
    <w:rsid w:val="72DA3CDA"/>
    <w:rsid w:val="72F54EE3"/>
    <w:rsid w:val="72FC67AC"/>
    <w:rsid w:val="73010267"/>
    <w:rsid w:val="73122968"/>
    <w:rsid w:val="73136A7B"/>
    <w:rsid w:val="731735E6"/>
    <w:rsid w:val="731D3DCF"/>
    <w:rsid w:val="731F5D5E"/>
    <w:rsid w:val="73307239"/>
    <w:rsid w:val="73520AC2"/>
    <w:rsid w:val="73685BF0"/>
    <w:rsid w:val="73777729"/>
    <w:rsid w:val="738A4013"/>
    <w:rsid w:val="73B14236"/>
    <w:rsid w:val="73BA21C4"/>
    <w:rsid w:val="73C51AD5"/>
    <w:rsid w:val="73CD639B"/>
    <w:rsid w:val="73D72D76"/>
    <w:rsid w:val="73D74B24"/>
    <w:rsid w:val="74072737"/>
    <w:rsid w:val="74073E43"/>
    <w:rsid w:val="740C392B"/>
    <w:rsid w:val="741E793C"/>
    <w:rsid w:val="742104EF"/>
    <w:rsid w:val="74273CFD"/>
    <w:rsid w:val="742C30C1"/>
    <w:rsid w:val="743401C8"/>
    <w:rsid w:val="745E3944"/>
    <w:rsid w:val="745E5245"/>
    <w:rsid w:val="746E0A40"/>
    <w:rsid w:val="7472458D"/>
    <w:rsid w:val="74856C75"/>
    <w:rsid w:val="748A6630"/>
    <w:rsid w:val="74AB66DC"/>
    <w:rsid w:val="74AE7F7A"/>
    <w:rsid w:val="74C72DEA"/>
    <w:rsid w:val="74C94A34"/>
    <w:rsid w:val="74D86DA5"/>
    <w:rsid w:val="74DA2B1D"/>
    <w:rsid w:val="74E67714"/>
    <w:rsid w:val="74E7523A"/>
    <w:rsid w:val="74E829AF"/>
    <w:rsid w:val="74E955AC"/>
    <w:rsid w:val="74FD4A5E"/>
    <w:rsid w:val="752124FA"/>
    <w:rsid w:val="75266B7C"/>
    <w:rsid w:val="75267B11"/>
    <w:rsid w:val="75324707"/>
    <w:rsid w:val="753F0BD2"/>
    <w:rsid w:val="75410DEE"/>
    <w:rsid w:val="75510880"/>
    <w:rsid w:val="7573720B"/>
    <w:rsid w:val="758111EB"/>
    <w:rsid w:val="75864A53"/>
    <w:rsid w:val="7589387E"/>
    <w:rsid w:val="758D7B90"/>
    <w:rsid w:val="75B62CBA"/>
    <w:rsid w:val="75DF4163"/>
    <w:rsid w:val="75E24A42"/>
    <w:rsid w:val="75F95225"/>
    <w:rsid w:val="760A11E0"/>
    <w:rsid w:val="762B73A9"/>
    <w:rsid w:val="7635099D"/>
    <w:rsid w:val="76472434"/>
    <w:rsid w:val="764E1C58"/>
    <w:rsid w:val="766528BB"/>
    <w:rsid w:val="766972B2"/>
    <w:rsid w:val="76723E83"/>
    <w:rsid w:val="76742AFE"/>
    <w:rsid w:val="76744241"/>
    <w:rsid w:val="7682346D"/>
    <w:rsid w:val="768C7D3F"/>
    <w:rsid w:val="769F401E"/>
    <w:rsid w:val="76BB3353"/>
    <w:rsid w:val="76BC03FF"/>
    <w:rsid w:val="76E47C83"/>
    <w:rsid w:val="76FF4ABD"/>
    <w:rsid w:val="771340C5"/>
    <w:rsid w:val="771C566F"/>
    <w:rsid w:val="77275DC2"/>
    <w:rsid w:val="77277D4B"/>
    <w:rsid w:val="77280180"/>
    <w:rsid w:val="773F4EBA"/>
    <w:rsid w:val="775D17E4"/>
    <w:rsid w:val="776F34F2"/>
    <w:rsid w:val="77762421"/>
    <w:rsid w:val="777A2396"/>
    <w:rsid w:val="779276DF"/>
    <w:rsid w:val="77AE3DD1"/>
    <w:rsid w:val="77B56B1F"/>
    <w:rsid w:val="77B70362"/>
    <w:rsid w:val="77D221D2"/>
    <w:rsid w:val="77D31AA6"/>
    <w:rsid w:val="77D5581E"/>
    <w:rsid w:val="77DB72D8"/>
    <w:rsid w:val="77DC4DFE"/>
    <w:rsid w:val="77ED2B68"/>
    <w:rsid w:val="77EE068E"/>
    <w:rsid w:val="77F24622"/>
    <w:rsid w:val="77FD31EB"/>
    <w:rsid w:val="780F09F4"/>
    <w:rsid w:val="7840713B"/>
    <w:rsid w:val="78544995"/>
    <w:rsid w:val="787C6077"/>
    <w:rsid w:val="78A84CE1"/>
    <w:rsid w:val="78A90480"/>
    <w:rsid w:val="78B23347"/>
    <w:rsid w:val="78B95140"/>
    <w:rsid w:val="78CD2873"/>
    <w:rsid w:val="78D50FFE"/>
    <w:rsid w:val="78F85C68"/>
    <w:rsid w:val="7908577F"/>
    <w:rsid w:val="79110AD8"/>
    <w:rsid w:val="791153F4"/>
    <w:rsid w:val="79134850"/>
    <w:rsid w:val="793F5645"/>
    <w:rsid w:val="795F1843"/>
    <w:rsid w:val="796055BB"/>
    <w:rsid w:val="79742272"/>
    <w:rsid w:val="79752E15"/>
    <w:rsid w:val="799A0ACD"/>
    <w:rsid w:val="79A74F98"/>
    <w:rsid w:val="79C41453"/>
    <w:rsid w:val="79D264B9"/>
    <w:rsid w:val="79DD09BA"/>
    <w:rsid w:val="79E81839"/>
    <w:rsid w:val="7A0A65D9"/>
    <w:rsid w:val="7A2605B3"/>
    <w:rsid w:val="7A3251AA"/>
    <w:rsid w:val="7A342CD0"/>
    <w:rsid w:val="7A364017"/>
    <w:rsid w:val="7A41719B"/>
    <w:rsid w:val="7A723373"/>
    <w:rsid w:val="7A7B08FF"/>
    <w:rsid w:val="7A8265E1"/>
    <w:rsid w:val="7A8377B3"/>
    <w:rsid w:val="7A8F7BEB"/>
    <w:rsid w:val="7A9976AD"/>
    <w:rsid w:val="7AAF05A8"/>
    <w:rsid w:val="7AD24D3F"/>
    <w:rsid w:val="7AFD18AC"/>
    <w:rsid w:val="7B0209A9"/>
    <w:rsid w:val="7B02692A"/>
    <w:rsid w:val="7B0352BA"/>
    <w:rsid w:val="7B073F40"/>
    <w:rsid w:val="7B166879"/>
    <w:rsid w:val="7B1B0A5C"/>
    <w:rsid w:val="7B312AB4"/>
    <w:rsid w:val="7B565D97"/>
    <w:rsid w:val="7B5D6256"/>
    <w:rsid w:val="7B686D42"/>
    <w:rsid w:val="7B841746"/>
    <w:rsid w:val="7B98728E"/>
    <w:rsid w:val="7BB125F6"/>
    <w:rsid w:val="7BC938EC"/>
    <w:rsid w:val="7BCB7664"/>
    <w:rsid w:val="7BEC3136"/>
    <w:rsid w:val="7BF73FB5"/>
    <w:rsid w:val="7C091F75"/>
    <w:rsid w:val="7C1F46EF"/>
    <w:rsid w:val="7C3074C7"/>
    <w:rsid w:val="7C442F72"/>
    <w:rsid w:val="7C4C55CD"/>
    <w:rsid w:val="7C4F5712"/>
    <w:rsid w:val="7C52568F"/>
    <w:rsid w:val="7C66738C"/>
    <w:rsid w:val="7C6C5AC7"/>
    <w:rsid w:val="7C80044E"/>
    <w:rsid w:val="7C920181"/>
    <w:rsid w:val="7CA11C62"/>
    <w:rsid w:val="7CB00A6F"/>
    <w:rsid w:val="7CB43C54"/>
    <w:rsid w:val="7CC43265"/>
    <w:rsid w:val="7CC6544B"/>
    <w:rsid w:val="7CCD4D16"/>
    <w:rsid w:val="7CE44045"/>
    <w:rsid w:val="7CEF7382"/>
    <w:rsid w:val="7CFD384D"/>
    <w:rsid w:val="7D0239FF"/>
    <w:rsid w:val="7D39684F"/>
    <w:rsid w:val="7D526DA6"/>
    <w:rsid w:val="7D5E40CD"/>
    <w:rsid w:val="7D67516A"/>
    <w:rsid w:val="7D7D04EA"/>
    <w:rsid w:val="7D83198E"/>
    <w:rsid w:val="7D8A0E59"/>
    <w:rsid w:val="7DCD56F2"/>
    <w:rsid w:val="7DD02D0F"/>
    <w:rsid w:val="7DD84703"/>
    <w:rsid w:val="7DE642E1"/>
    <w:rsid w:val="7DE95B7F"/>
    <w:rsid w:val="7DEC566F"/>
    <w:rsid w:val="7DF06F0E"/>
    <w:rsid w:val="7E0D3F64"/>
    <w:rsid w:val="7E1150D6"/>
    <w:rsid w:val="7E1846B6"/>
    <w:rsid w:val="7E1F6F12"/>
    <w:rsid w:val="7E235535"/>
    <w:rsid w:val="7E266DD3"/>
    <w:rsid w:val="7E53749D"/>
    <w:rsid w:val="7E543940"/>
    <w:rsid w:val="7E5F5E41"/>
    <w:rsid w:val="7E9B637A"/>
    <w:rsid w:val="7EBE525E"/>
    <w:rsid w:val="7ED06D3F"/>
    <w:rsid w:val="7ED22AB7"/>
    <w:rsid w:val="7EDE145C"/>
    <w:rsid w:val="7EF45DEB"/>
    <w:rsid w:val="7EF90044"/>
    <w:rsid w:val="7EFE5F4B"/>
    <w:rsid w:val="7F001CE7"/>
    <w:rsid w:val="7F0F6032"/>
    <w:rsid w:val="7F302409"/>
    <w:rsid w:val="7F3177DE"/>
    <w:rsid w:val="7F3F6878"/>
    <w:rsid w:val="7F482D79"/>
    <w:rsid w:val="7F484B27"/>
    <w:rsid w:val="7F4B1CD0"/>
    <w:rsid w:val="7F4B54FB"/>
    <w:rsid w:val="7F4C2DEE"/>
    <w:rsid w:val="7F6500B6"/>
    <w:rsid w:val="7F6D458E"/>
    <w:rsid w:val="7F8813C8"/>
    <w:rsid w:val="7F995383"/>
    <w:rsid w:val="7FA501CC"/>
    <w:rsid w:val="7FB276F8"/>
    <w:rsid w:val="7FB42A59"/>
    <w:rsid w:val="7FC20D7E"/>
    <w:rsid w:val="7FDD63F3"/>
    <w:rsid w:val="7FE47E50"/>
    <w:rsid w:val="7FFF5B2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iPriority="0" w:semiHidden="0" w:name="heading 2" w:locked="1"/>
    <w:lsdException w:qFormat="1" w:uiPriority="0" w:semiHidden="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qFormat="1"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qFormat="1" w:unhideWhenUsed="0" w:uiPriority="0" w:semiHidden="0" w:name="index heading" w:locked="1"/>
    <w:lsdException w:qFormat="1" w:unhideWhenUsed="0" w:uiPriority="0" w:semiHidden="0" w:name="caption" w:locked="1"/>
    <w:lsdException w:qFormat="1"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qFormat="1"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qFormat="1" w:unhideWhenUsed="0" w:uiPriority="0" w:semiHidden="0" w:name="Body Text First Indent" w:locked="1"/>
    <w:lsdException w:qFormat="1"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qFormat="1" w:unhideWhenUsed="0" w:uiPriority="0" w:semiHidden="0" w:name="Hyperlink" w:locked="1"/>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99"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qFormat="1" w:unhideWhenUsed="0" w:uiPriority="0"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name="Balloon Text"/>
    <w:lsdException w:qFormat="1" w:unhideWhenUsed="0" w:uiPriority="0"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locked/>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unhideWhenUsed/>
    <w:qFormat/>
    <w:locked/>
    <w:uiPriority w:val="0"/>
    <w:pPr>
      <w:keepNext/>
      <w:keepLines/>
      <w:spacing w:beforeLines="0" w:beforeAutospacing="0" w:afterLines="0" w:afterAutospacing="0" w:line="360" w:lineRule="auto"/>
      <w:ind w:firstLine="0" w:firstLineChars="0"/>
      <w:outlineLvl w:val="1"/>
    </w:pPr>
    <w:rPr>
      <w:rFonts w:ascii="Times New Roman" w:hAnsi="Times New Roman" w:eastAsia="宋体"/>
      <w:b/>
      <w:sz w:val="32"/>
      <w:szCs w:val="32"/>
    </w:rPr>
  </w:style>
  <w:style w:type="paragraph" w:styleId="4">
    <w:name w:val="heading 3"/>
    <w:basedOn w:val="1"/>
    <w:next w:val="5"/>
    <w:unhideWhenUsed/>
    <w:qFormat/>
    <w:locked/>
    <w:uiPriority w:val="0"/>
    <w:pPr>
      <w:keepNext/>
      <w:keepLines/>
      <w:adjustRightInd/>
      <w:spacing w:line="360" w:lineRule="auto"/>
      <w:ind w:firstLine="0" w:firstLineChars="0"/>
      <w:outlineLvl w:val="2"/>
    </w:pPr>
    <w:rPr>
      <w:rFonts w:ascii="Times New Roman" w:hAnsi="Times New Roman" w:eastAsia="宋体" w:cs="Times New Roman"/>
      <w:b/>
      <w:bCs/>
      <w:kern w:val="0"/>
      <w:sz w:val="30"/>
      <w:szCs w:val="30"/>
    </w:rPr>
  </w:style>
  <w:style w:type="paragraph" w:styleId="6">
    <w:name w:val="heading 4"/>
    <w:basedOn w:val="1"/>
    <w:next w:val="1"/>
    <w:qFormat/>
    <w:locked/>
    <w:uiPriority w:val="0"/>
    <w:pPr>
      <w:keepNext/>
      <w:keepLines/>
      <w:spacing w:before="120" w:beforeLines="0" w:after="120" w:afterLines="0" w:line="240" w:lineRule="auto"/>
      <w:ind w:firstLine="0" w:firstLineChars="0"/>
      <w:outlineLvl w:val="3"/>
    </w:pPr>
    <w:rPr>
      <w:rFonts w:ascii="Times New Roman" w:hAnsi="Times New Roman" w:eastAsia="宋体" w:cs="Times New Roman"/>
      <w:kern w:val="0"/>
      <w:sz w:val="20"/>
      <w:szCs w:val="20"/>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locked/>
    <w:uiPriority w:val="0"/>
    <w:pPr>
      <w:ind w:firstLine="420" w:firstLineChars="200"/>
    </w:pPr>
  </w:style>
  <w:style w:type="paragraph" w:styleId="7">
    <w:name w:val="caption"/>
    <w:basedOn w:val="1"/>
    <w:next w:val="1"/>
    <w:qFormat/>
    <w:locked/>
    <w:uiPriority w:val="0"/>
    <w:pPr>
      <w:widowControl/>
      <w:jc w:val="left"/>
    </w:pPr>
    <w:rPr>
      <w:rFonts w:ascii="Calibri Light" w:hAnsi="Calibri Light" w:eastAsia="黑体"/>
      <w:sz w:val="20"/>
    </w:rPr>
  </w:style>
  <w:style w:type="paragraph" w:styleId="8">
    <w:name w:val="annotation text"/>
    <w:basedOn w:val="1"/>
    <w:link w:val="37"/>
    <w:semiHidden/>
    <w:qFormat/>
    <w:uiPriority w:val="0"/>
    <w:pPr>
      <w:jc w:val="left"/>
    </w:pPr>
    <w:rPr>
      <w:kern w:val="0"/>
      <w:sz w:val="24"/>
      <w:szCs w:val="20"/>
    </w:rPr>
  </w:style>
  <w:style w:type="paragraph" w:styleId="9">
    <w:name w:val="Body Text"/>
    <w:basedOn w:val="1"/>
    <w:next w:val="10"/>
    <w:link w:val="36"/>
    <w:qFormat/>
    <w:uiPriority w:val="0"/>
    <w:pPr>
      <w:widowControl/>
      <w:snapToGrid w:val="0"/>
      <w:spacing w:before="60" w:after="160" w:line="259" w:lineRule="auto"/>
      <w:ind w:right="113"/>
    </w:pPr>
    <w:rPr>
      <w:kern w:val="0"/>
      <w:sz w:val="18"/>
      <w:szCs w:val="20"/>
    </w:rPr>
  </w:style>
  <w:style w:type="paragraph" w:styleId="10">
    <w:name w:val="Body Text First Indent"/>
    <w:basedOn w:val="9"/>
    <w:next w:val="1"/>
    <w:qFormat/>
    <w:locked/>
    <w:uiPriority w:val="0"/>
    <w:pPr>
      <w:spacing w:before="0" w:after="120"/>
      <w:ind w:left="0" w:firstLine="420" w:firstLineChars="100"/>
      <w:jc w:val="both"/>
    </w:pPr>
    <w:rPr>
      <w:rFonts w:ascii="Calibri" w:hAnsi="Calibri"/>
      <w:kern w:val="2"/>
      <w:lang w:eastAsia="zh-CN"/>
    </w:rPr>
  </w:style>
  <w:style w:type="paragraph" w:styleId="11">
    <w:name w:val="Body Text Indent"/>
    <w:basedOn w:val="1"/>
    <w:next w:val="12"/>
    <w:link w:val="38"/>
    <w:qFormat/>
    <w:uiPriority w:val="0"/>
    <w:pPr>
      <w:spacing w:after="120"/>
      <w:ind w:left="420" w:leftChars="200"/>
    </w:pPr>
    <w:rPr>
      <w:kern w:val="0"/>
      <w:sz w:val="24"/>
      <w:szCs w:val="20"/>
    </w:rPr>
  </w:style>
  <w:style w:type="paragraph" w:styleId="12">
    <w:name w:val="Balloon Text"/>
    <w:basedOn w:val="1"/>
    <w:link w:val="42"/>
    <w:semiHidden/>
    <w:qFormat/>
    <w:uiPriority w:val="0"/>
    <w:rPr>
      <w:kern w:val="0"/>
      <w:sz w:val="18"/>
      <w:szCs w:val="20"/>
    </w:rPr>
  </w:style>
  <w:style w:type="paragraph" w:styleId="13">
    <w:name w:val="Plain Text"/>
    <w:basedOn w:val="1"/>
    <w:link w:val="40"/>
    <w:qFormat/>
    <w:locked/>
    <w:uiPriority w:val="99"/>
    <w:rPr>
      <w:rFonts w:ascii="宋体" w:hAnsi="Courier New" w:cs="Courier New"/>
      <w:szCs w:val="21"/>
    </w:rPr>
  </w:style>
  <w:style w:type="paragraph" w:styleId="14">
    <w:name w:val="Date"/>
    <w:basedOn w:val="1"/>
    <w:next w:val="1"/>
    <w:link w:val="41"/>
    <w:qFormat/>
    <w:uiPriority w:val="0"/>
    <w:pPr>
      <w:ind w:left="100" w:leftChars="2500"/>
    </w:pPr>
    <w:rPr>
      <w:kern w:val="0"/>
      <w:sz w:val="24"/>
      <w:szCs w:val="20"/>
    </w:rPr>
  </w:style>
  <w:style w:type="paragraph" w:styleId="15">
    <w:name w:val="footer"/>
    <w:basedOn w:val="1"/>
    <w:link w:val="43"/>
    <w:qFormat/>
    <w:uiPriority w:val="99"/>
    <w:pPr>
      <w:tabs>
        <w:tab w:val="center" w:pos="4153"/>
        <w:tab w:val="right" w:pos="8306"/>
      </w:tabs>
      <w:snapToGrid w:val="0"/>
      <w:jc w:val="left"/>
    </w:pPr>
    <w:rPr>
      <w:kern w:val="0"/>
      <w:sz w:val="18"/>
      <w:szCs w:val="20"/>
    </w:rPr>
  </w:style>
  <w:style w:type="paragraph" w:styleId="16">
    <w:name w:val="header"/>
    <w:basedOn w:val="1"/>
    <w:next w:val="17"/>
    <w:link w:val="39"/>
    <w:qFormat/>
    <w:uiPriority w:val="0"/>
    <w:pPr>
      <w:pBdr>
        <w:bottom w:val="single" w:color="auto" w:sz="6" w:space="1"/>
      </w:pBdr>
      <w:tabs>
        <w:tab w:val="center" w:pos="4153"/>
        <w:tab w:val="right" w:pos="8306"/>
      </w:tabs>
      <w:snapToGrid w:val="0"/>
      <w:jc w:val="center"/>
    </w:pPr>
    <w:rPr>
      <w:kern w:val="0"/>
      <w:sz w:val="18"/>
      <w:szCs w:val="20"/>
    </w:rPr>
  </w:style>
  <w:style w:type="paragraph" w:customStyle="1" w:styleId="17">
    <w:name w:val="样式5"/>
    <w:basedOn w:val="18"/>
    <w:qFormat/>
    <w:uiPriority w:val="0"/>
    <w:pPr>
      <w:snapToGrid w:val="0"/>
      <w:spacing w:before="62" w:beforeLines="20" w:after="62" w:afterLines="20" w:line="480" w:lineRule="exact"/>
      <w:ind w:firstLine="523" w:firstLineChars="218"/>
      <w:jc w:val="both"/>
    </w:pPr>
    <w:rPr>
      <w:i/>
      <w:iCs/>
      <w:kern w:val="2"/>
      <w:sz w:val="24"/>
      <w:szCs w:val="20"/>
    </w:rPr>
  </w:style>
  <w:style w:type="paragraph" w:customStyle="1" w:styleId="18">
    <w:name w:val="正文1"/>
    <w:basedOn w:val="5"/>
    <w:next w:val="1"/>
    <w:qFormat/>
    <w:uiPriority w:val="0"/>
    <w:pPr>
      <w:snapToGrid w:val="0"/>
      <w:spacing w:line="270" w:lineRule="exact"/>
      <w:jc w:val="center"/>
    </w:pPr>
    <w:rPr>
      <w:spacing w:val="8"/>
      <w:kern w:val="21"/>
      <w:szCs w:val="20"/>
    </w:rPr>
  </w:style>
  <w:style w:type="paragraph" w:styleId="19">
    <w:name w:val="toc 1"/>
    <w:basedOn w:val="1"/>
    <w:next w:val="1"/>
    <w:qFormat/>
    <w:locked/>
    <w:uiPriority w:val="0"/>
  </w:style>
  <w:style w:type="paragraph" w:styleId="20">
    <w:name w:val="index heading"/>
    <w:basedOn w:val="1"/>
    <w:next w:val="21"/>
    <w:qFormat/>
    <w:locked/>
    <w:uiPriority w:val="0"/>
  </w:style>
  <w:style w:type="paragraph" w:styleId="21">
    <w:name w:val="index 1"/>
    <w:basedOn w:val="1"/>
    <w:next w:val="1"/>
    <w:qFormat/>
    <w:locked/>
    <w:uiPriority w:val="0"/>
  </w:style>
  <w:style w:type="paragraph" w:styleId="22">
    <w:name w:val="List"/>
    <w:basedOn w:val="1"/>
    <w:next w:val="1"/>
    <w:qFormat/>
    <w:locked/>
    <w:uiPriority w:val="0"/>
    <w:pPr>
      <w:ind w:left="200" w:hanging="200" w:hangingChars="200"/>
    </w:pPr>
    <w:rPr>
      <w:szCs w:val="24"/>
    </w:rPr>
  </w:style>
  <w:style w:type="paragraph" w:styleId="23">
    <w:name w:val="table of figures"/>
    <w:basedOn w:val="1"/>
    <w:next w:val="1"/>
    <w:qFormat/>
    <w:locked/>
    <w:uiPriority w:val="0"/>
    <w:pPr>
      <w:ind w:left="200" w:leftChars="200" w:hanging="200" w:hangingChars="200"/>
    </w:pPr>
    <w:rPr>
      <w:rFonts w:ascii="Calibri" w:hAnsi="Calibri"/>
    </w:rPr>
  </w:style>
  <w:style w:type="paragraph" w:styleId="24">
    <w:name w:val="Normal (Web)"/>
    <w:basedOn w:val="1"/>
    <w:link w:val="44"/>
    <w:qFormat/>
    <w:uiPriority w:val="0"/>
    <w:pPr>
      <w:widowControl/>
      <w:spacing w:before="100" w:beforeAutospacing="1" w:after="100" w:afterAutospacing="1"/>
      <w:jc w:val="left"/>
    </w:pPr>
    <w:rPr>
      <w:rFonts w:ascii="宋体" w:hAnsi="宋体"/>
      <w:kern w:val="0"/>
      <w:sz w:val="24"/>
      <w:szCs w:val="20"/>
    </w:rPr>
  </w:style>
  <w:style w:type="paragraph" w:styleId="25">
    <w:name w:val="annotation subject"/>
    <w:basedOn w:val="8"/>
    <w:next w:val="8"/>
    <w:link w:val="45"/>
    <w:semiHidden/>
    <w:qFormat/>
    <w:uiPriority w:val="0"/>
    <w:rPr>
      <w:b/>
      <w:sz w:val="24"/>
      <w:szCs w:val="20"/>
    </w:rPr>
  </w:style>
  <w:style w:type="paragraph" w:styleId="26">
    <w:name w:val="Body Text First Indent 2"/>
    <w:basedOn w:val="11"/>
    <w:next w:val="9"/>
    <w:unhideWhenUsed/>
    <w:qFormat/>
    <w:locked/>
    <w:uiPriority w:val="0"/>
    <w:pPr>
      <w:ind w:firstLine="420"/>
    </w:pPr>
    <w:rPr>
      <w:rFonts w:ascii="Calibri" w:hAnsi="Calibri" w:cs="Times New Roman"/>
    </w:rPr>
  </w:style>
  <w:style w:type="table" w:styleId="28">
    <w:name w:val="Table Grid"/>
    <w:basedOn w:val="27"/>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locked/>
    <w:uiPriority w:val="0"/>
    <w:rPr>
      <w:b/>
    </w:rPr>
  </w:style>
  <w:style w:type="character" w:styleId="31">
    <w:name w:val="page number"/>
    <w:qFormat/>
    <w:locked/>
    <w:uiPriority w:val="0"/>
  </w:style>
  <w:style w:type="character" w:styleId="32">
    <w:name w:val="Emphasis"/>
    <w:basedOn w:val="29"/>
    <w:qFormat/>
    <w:locked/>
    <w:uiPriority w:val="0"/>
    <w:rPr>
      <w:i/>
    </w:rPr>
  </w:style>
  <w:style w:type="character" w:styleId="33">
    <w:name w:val="Hyperlink"/>
    <w:qFormat/>
    <w:locked/>
    <w:uiPriority w:val="0"/>
    <w:rPr>
      <w:color w:val="0563C1"/>
      <w:u w:val="single"/>
    </w:rPr>
  </w:style>
  <w:style w:type="character" w:styleId="34">
    <w:name w:val="annotation reference"/>
    <w:semiHidden/>
    <w:qFormat/>
    <w:uiPriority w:val="0"/>
    <w:rPr>
      <w:sz w:val="21"/>
    </w:rPr>
  </w:style>
  <w:style w:type="paragraph" w:customStyle="1" w:styleId="35">
    <w:name w:val="xl27"/>
    <w:basedOn w:val="1"/>
    <w:qFormat/>
    <w:uiPriority w:val="99"/>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18030" w:hAnsi="???-18030" w:cs="???-18030"/>
      <w:kern w:val="0"/>
    </w:rPr>
  </w:style>
  <w:style w:type="character" w:customStyle="1" w:styleId="36">
    <w:name w:val="正文文本 字符"/>
    <w:link w:val="9"/>
    <w:qFormat/>
    <w:locked/>
    <w:uiPriority w:val="0"/>
    <w:rPr>
      <w:sz w:val="18"/>
    </w:rPr>
  </w:style>
  <w:style w:type="character" w:customStyle="1" w:styleId="37">
    <w:name w:val="批注文字 字符"/>
    <w:link w:val="8"/>
    <w:qFormat/>
    <w:locked/>
    <w:uiPriority w:val="0"/>
    <w:rPr>
      <w:rFonts w:ascii="Times New Roman" w:hAnsi="Times New Roman" w:eastAsia="宋体"/>
      <w:sz w:val="24"/>
    </w:rPr>
  </w:style>
  <w:style w:type="character" w:customStyle="1" w:styleId="38">
    <w:name w:val="正文文本缩进 字符"/>
    <w:link w:val="11"/>
    <w:semiHidden/>
    <w:qFormat/>
    <w:locked/>
    <w:uiPriority w:val="0"/>
    <w:rPr>
      <w:rFonts w:ascii="Times New Roman" w:hAnsi="Times New Roman" w:eastAsia="宋体"/>
      <w:sz w:val="24"/>
    </w:rPr>
  </w:style>
  <w:style w:type="character" w:customStyle="1" w:styleId="39">
    <w:name w:val="页眉 字符"/>
    <w:link w:val="16"/>
    <w:qFormat/>
    <w:locked/>
    <w:uiPriority w:val="0"/>
    <w:rPr>
      <w:sz w:val="18"/>
    </w:rPr>
  </w:style>
  <w:style w:type="character" w:customStyle="1" w:styleId="40">
    <w:name w:val="纯文本 字符"/>
    <w:link w:val="13"/>
    <w:qFormat/>
    <w:uiPriority w:val="99"/>
    <w:rPr>
      <w:rFonts w:ascii="宋体" w:hAnsi="Courier New" w:cs="Courier New"/>
      <w:kern w:val="2"/>
      <w:sz w:val="21"/>
      <w:szCs w:val="21"/>
    </w:rPr>
  </w:style>
  <w:style w:type="character" w:customStyle="1" w:styleId="41">
    <w:name w:val="日期 字符1"/>
    <w:link w:val="14"/>
    <w:qFormat/>
    <w:locked/>
    <w:uiPriority w:val="0"/>
    <w:rPr>
      <w:rFonts w:ascii="Times New Roman" w:hAnsi="Times New Roman" w:eastAsia="宋体"/>
      <w:sz w:val="24"/>
    </w:rPr>
  </w:style>
  <w:style w:type="character" w:customStyle="1" w:styleId="42">
    <w:name w:val="批注框文本 字符"/>
    <w:link w:val="12"/>
    <w:semiHidden/>
    <w:qFormat/>
    <w:locked/>
    <w:uiPriority w:val="0"/>
    <w:rPr>
      <w:rFonts w:ascii="Times New Roman" w:hAnsi="Times New Roman" w:eastAsia="宋体"/>
      <w:sz w:val="18"/>
    </w:rPr>
  </w:style>
  <w:style w:type="character" w:customStyle="1" w:styleId="43">
    <w:name w:val="页脚 字符1"/>
    <w:link w:val="15"/>
    <w:qFormat/>
    <w:locked/>
    <w:uiPriority w:val="99"/>
    <w:rPr>
      <w:sz w:val="18"/>
    </w:rPr>
  </w:style>
  <w:style w:type="character" w:customStyle="1" w:styleId="44">
    <w:name w:val="普通(网站) 字符"/>
    <w:link w:val="24"/>
    <w:qFormat/>
    <w:locked/>
    <w:uiPriority w:val="0"/>
    <w:rPr>
      <w:rFonts w:ascii="宋体" w:hAnsi="宋体" w:eastAsia="宋体"/>
      <w:sz w:val="24"/>
    </w:rPr>
  </w:style>
  <w:style w:type="character" w:customStyle="1" w:styleId="45">
    <w:name w:val="批注主题 字符"/>
    <w:link w:val="25"/>
    <w:semiHidden/>
    <w:qFormat/>
    <w:locked/>
    <w:uiPriority w:val="0"/>
    <w:rPr>
      <w:rFonts w:ascii="Times New Roman" w:hAnsi="Times New Roman" w:eastAsia="宋体"/>
      <w:b/>
      <w:kern w:val="2"/>
      <w:sz w:val="24"/>
    </w:rPr>
  </w:style>
  <w:style w:type="character" w:customStyle="1" w:styleId="46">
    <w:name w:val="页脚 字符"/>
    <w:qFormat/>
    <w:uiPriority w:val="99"/>
  </w:style>
  <w:style w:type="character" w:customStyle="1" w:styleId="47">
    <w:name w:val="正文文本 字符1"/>
    <w:semiHidden/>
    <w:qFormat/>
    <w:uiPriority w:val="0"/>
    <w:rPr>
      <w:rFonts w:ascii="Times New Roman" w:hAnsi="Times New Roman" w:eastAsia="宋体"/>
      <w:sz w:val="24"/>
    </w:rPr>
  </w:style>
  <w:style w:type="character" w:customStyle="1" w:styleId="48">
    <w:name w:val="表格 Char"/>
    <w:link w:val="49"/>
    <w:qFormat/>
    <w:locked/>
    <w:uiPriority w:val="0"/>
    <w:rPr>
      <w:rFonts w:ascii="宋体"/>
      <w:sz w:val="21"/>
    </w:rPr>
  </w:style>
  <w:style w:type="paragraph" w:customStyle="1" w:styleId="49">
    <w:name w:val="表格"/>
    <w:basedOn w:val="5"/>
    <w:next w:val="1"/>
    <w:link w:val="48"/>
    <w:qFormat/>
    <w:uiPriority w:val="0"/>
    <w:pPr>
      <w:adjustRightInd w:val="0"/>
      <w:snapToGrid w:val="0"/>
      <w:spacing w:beforeLines="10" w:afterLines="10" w:line="259" w:lineRule="auto"/>
      <w:jc w:val="center"/>
    </w:pPr>
    <w:rPr>
      <w:rFonts w:ascii="宋体"/>
      <w:kern w:val="0"/>
      <w:szCs w:val="20"/>
    </w:rPr>
  </w:style>
  <w:style w:type="character" w:customStyle="1" w:styleId="50">
    <w:name w:val="日期 字符"/>
    <w:semiHidden/>
    <w:qFormat/>
    <w:uiPriority w:val="0"/>
    <w:rPr>
      <w:rFonts w:ascii="Times New Roman" w:hAnsi="Times New Roman" w:eastAsia="宋体"/>
      <w:sz w:val="24"/>
    </w:rPr>
  </w:style>
  <w:style w:type="character" w:customStyle="1" w:styleId="51">
    <w:name w:val="批注文字 字符1"/>
    <w:semiHidden/>
    <w:qFormat/>
    <w:uiPriority w:val="0"/>
    <w:rPr>
      <w:rFonts w:ascii="Times New Roman" w:hAnsi="Times New Roman" w:eastAsia="宋体"/>
      <w:sz w:val="24"/>
    </w:rPr>
  </w:style>
  <w:style w:type="paragraph" w:customStyle="1" w:styleId="52">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
    <w:name w:val="普通(网站)2"/>
    <w:basedOn w:val="1"/>
    <w:qFormat/>
    <w:uiPriority w:val="0"/>
    <w:pPr>
      <w:widowControl/>
      <w:spacing w:before="100" w:beforeAutospacing="1" w:after="100" w:afterAutospacing="1"/>
      <w:jc w:val="left"/>
    </w:pPr>
    <w:rPr>
      <w:rFonts w:ascii="宋体" w:hAnsi="宋体"/>
      <w:sz w:val="24"/>
      <w:szCs w:val="20"/>
    </w:rPr>
  </w:style>
  <w:style w:type="table" w:customStyle="1" w:styleId="54">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55">
    <w:name w:val="表格1"/>
    <w:basedOn w:val="1"/>
    <w:qFormat/>
    <w:uiPriority w:val="0"/>
    <w:pPr>
      <w:widowControl w:val="0"/>
      <w:spacing w:line="240" w:lineRule="auto"/>
      <w:ind w:firstLine="0" w:firstLineChars="0"/>
      <w:jc w:val="center"/>
    </w:pPr>
    <w:rPr>
      <w:rFonts w:eastAsia="方正仿宋_GBK"/>
      <w:color w:val="000000"/>
      <w:kern w:val="0"/>
      <w:sz w:val="21"/>
      <w:szCs w:val="24"/>
      <w:lang w:bidi="ar-SA"/>
    </w:rPr>
  </w:style>
  <w:style w:type="character" w:customStyle="1" w:styleId="56">
    <w:name w:val="_Style 45"/>
    <w:unhideWhenUsed/>
    <w:qFormat/>
    <w:uiPriority w:val="99"/>
    <w:rPr>
      <w:color w:val="605E5C"/>
      <w:shd w:val="clear" w:color="auto" w:fill="E1DFDD"/>
    </w:rPr>
  </w:style>
  <w:style w:type="table" w:customStyle="1" w:styleId="57">
    <w:name w:val="Table Normal1"/>
    <w:basedOn w:val="27"/>
    <w:qFormat/>
    <w:uiPriority w:val="0"/>
    <w:rPr>
      <w:rFonts w:eastAsia="Times New Roman"/>
    </w:rPr>
    <w:tblPr>
      <w:tblCellMar>
        <w:left w:w="0" w:type="dxa"/>
        <w:right w:w="0" w:type="dxa"/>
      </w:tblCellMar>
    </w:tblPr>
  </w:style>
  <w:style w:type="table" w:customStyle="1" w:styleId="58">
    <w:name w:val="Table Normal2"/>
    <w:basedOn w:val="27"/>
    <w:qFormat/>
    <w:uiPriority w:val="0"/>
    <w:rPr>
      <w:rFonts w:eastAsia="Times New Roman"/>
    </w:rPr>
    <w:tblPr>
      <w:tblCellMar>
        <w:left w:w="0" w:type="dxa"/>
        <w:right w:w="0" w:type="dxa"/>
      </w:tblCellMar>
    </w:tblPr>
  </w:style>
  <w:style w:type="table" w:customStyle="1" w:styleId="59">
    <w:name w:val="Table Normal3"/>
    <w:basedOn w:val="27"/>
    <w:qFormat/>
    <w:uiPriority w:val="0"/>
    <w:rPr>
      <w:rFonts w:eastAsia="Times New Roman"/>
    </w:rPr>
    <w:tblPr>
      <w:tblCellMar>
        <w:left w:w="0" w:type="dxa"/>
        <w:right w:w="0" w:type="dxa"/>
      </w:tblCellMar>
    </w:tblPr>
  </w:style>
  <w:style w:type="table" w:customStyle="1" w:styleId="60">
    <w:name w:val="Table Normal4"/>
    <w:basedOn w:val="27"/>
    <w:qFormat/>
    <w:uiPriority w:val="0"/>
    <w:rPr>
      <w:rFonts w:eastAsia="Times New Roman"/>
    </w:rPr>
    <w:tblPr>
      <w:tblCellMar>
        <w:left w:w="0" w:type="dxa"/>
        <w:right w:w="0" w:type="dxa"/>
      </w:tblCellMar>
    </w:tblPr>
  </w:style>
  <w:style w:type="table" w:customStyle="1" w:styleId="61">
    <w:name w:val="Table Normal5"/>
    <w:basedOn w:val="27"/>
    <w:qFormat/>
    <w:uiPriority w:val="0"/>
    <w:rPr>
      <w:rFonts w:eastAsia="Times New Roman"/>
    </w:rPr>
    <w:tblPr>
      <w:tblCellMar>
        <w:left w:w="0" w:type="dxa"/>
        <w:right w:w="0" w:type="dxa"/>
      </w:tblCellMar>
    </w:tblPr>
  </w:style>
  <w:style w:type="table" w:customStyle="1" w:styleId="62">
    <w:name w:val="Table Normal6"/>
    <w:basedOn w:val="27"/>
    <w:qFormat/>
    <w:uiPriority w:val="0"/>
    <w:rPr>
      <w:rFonts w:eastAsia="Times New Roman"/>
    </w:rPr>
    <w:tblPr>
      <w:tblCellMar>
        <w:left w:w="0" w:type="dxa"/>
        <w:right w:w="0" w:type="dxa"/>
      </w:tblCellMar>
    </w:tblPr>
  </w:style>
  <w:style w:type="table" w:customStyle="1" w:styleId="63">
    <w:name w:val="Table Normal7"/>
    <w:basedOn w:val="27"/>
    <w:qFormat/>
    <w:uiPriority w:val="0"/>
    <w:rPr>
      <w:rFonts w:eastAsia="Times New Roman"/>
    </w:rPr>
    <w:tblPr>
      <w:tblCellMar>
        <w:left w:w="0" w:type="dxa"/>
        <w:right w:w="0" w:type="dxa"/>
      </w:tblCellMar>
    </w:tblPr>
  </w:style>
  <w:style w:type="paragraph" w:customStyle="1" w:styleId="64">
    <w:name w:val="正文(首行缩进)"/>
    <w:basedOn w:val="1"/>
    <w:next w:val="1"/>
    <w:unhideWhenUsed/>
    <w:qFormat/>
    <w:uiPriority w:val="0"/>
    <w:pPr>
      <w:spacing w:beforeLines="0" w:afterLines="0" w:line="360" w:lineRule="auto"/>
      <w:ind w:firstLine="540" w:firstLineChars="225"/>
    </w:pPr>
    <w:rPr>
      <w:rFonts w:hint="default"/>
      <w:snapToGrid w:val="0"/>
      <w:color w:val="000000"/>
      <w:sz w:val="24"/>
    </w:rPr>
  </w:style>
  <w:style w:type="paragraph" w:customStyle="1" w:styleId="65">
    <w:name w:val="Table Text"/>
    <w:basedOn w:val="1"/>
    <w:autoRedefine/>
    <w:semiHidden/>
    <w:qFormat/>
    <w:uiPriority w:val="0"/>
    <w:rPr>
      <w:rFonts w:ascii="宋体" w:hAnsi="宋体" w:eastAsia="宋体" w:cs="宋体"/>
      <w:sz w:val="22"/>
      <w:szCs w:val="22"/>
      <w:lang w:val="en-US" w:eastAsia="en-US" w:bidi="ar-SA"/>
    </w:rPr>
  </w:style>
  <w:style w:type="paragraph" w:customStyle="1" w:styleId="66">
    <w:name w:val="表头"/>
    <w:basedOn w:val="67"/>
    <w:next w:val="1"/>
    <w:qFormat/>
    <w:uiPriority w:val="0"/>
    <w:pPr>
      <w:tabs>
        <w:tab w:val="left" w:pos="360"/>
        <w:tab w:val="left" w:pos="893"/>
        <w:tab w:val="left" w:pos="1620"/>
      </w:tabs>
      <w:spacing w:line="560" w:lineRule="exact"/>
    </w:pPr>
    <w:rPr>
      <w:rFonts w:hAnsi="宋体"/>
      <w:b/>
      <w:color w:val="000000"/>
      <w:szCs w:val="21"/>
    </w:rPr>
  </w:style>
  <w:style w:type="paragraph" w:customStyle="1" w:styleId="67">
    <w:name w:val="A正文"/>
    <w:basedOn w:val="1"/>
    <w:qFormat/>
    <w:uiPriority w:val="0"/>
    <w:pPr>
      <w:tabs>
        <w:tab w:val="left" w:pos="893"/>
      </w:tabs>
      <w:spacing w:before="100" w:beforeAutospacing="1"/>
      <w:jc w:val="left"/>
    </w:pPr>
    <w:rPr>
      <w:snapToGrid w:val="0"/>
      <w:kern w:val="0"/>
      <w:szCs w:val="20"/>
      <w:lang w:val="zh-CN"/>
    </w:rPr>
  </w:style>
  <w:style w:type="paragraph" w:customStyle="1" w:styleId="68">
    <w:name w:val="Default"/>
    <w:basedOn w:val="69"/>
    <w:next w:val="22"/>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1 表头"/>
    <w:basedOn w:val="1"/>
    <w:qFormat/>
    <w:uiPriority w:val="0"/>
    <w:pPr>
      <w:adjustRightInd w:val="0"/>
      <w:snapToGrid w:val="0"/>
      <w:spacing w:line="240" w:lineRule="auto"/>
      <w:ind w:firstLine="0" w:firstLineChars="0"/>
      <w:jc w:val="center"/>
    </w:pPr>
    <w:rPr>
      <w:b/>
      <w:color w:val="000000"/>
      <w:sz w:val="21"/>
      <w:szCs w:val="21"/>
    </w:rPr>
  </w:style>
  <w:style w:type="paragraph" w:styleId="70">
    <w:name w:val="List Paragraph"/>
    <w:basedOn w:val="1"/>
    <w:unhideWhenUsed/>
    <w:qFormat/>
    <w:uiPriority w:val="99"/>
    <w:pPr>
      <w:ind w:firstLine="420"/>
    </w:pPr>
  </w:style>
  <w:style w:type="paragraph" w:customStyle="1" w:styleId="71">
    <w:name w:val="1、大表格内"/>
    <w:basedOn w:val="1"/>
    <w:qFormat/>
    <w:uiPriority w:val="0"/>
    <w:pPr>
      <w:keepNext/>
      <w:keepLines/>
      <w:autoSpaceDE w:val="0"/>
      <w:autoSpaceDN w:val="0"/>
      <w:adjustRightInd w:val="0"/>
      <w:spacing w:line="360" w:lineRule="auto"/>
      <w:ind w:firstLine="480" w:firstLineChars="200"/>
      <w:textAlignment w:val="bottom"/>
    </w:pPr>
    <w:rPr>
      <w:kern w:val="0"/>
      <w:sz w:val="24"/>
      <w:szCs w:val="20"/>
    </w:rPr>
  </w:style>
  <w:style w:type="paragraph" w:customStyle="1" w:styleId="72">
    <w:name w:val="300"/>
    <w:basedOn w:val="1"/>
    <w:qFormat/>
    <w:uiPriority w:val="0"/>
    <w:pPr>
      <w:keepNext/>
      <w:keepLines/>
      <w:adjustRightInd w:val="0"/>
      <w:spacing w:line="600" w:lineRule="exact"/>
      <w:outlineLvl w:val="2"/>
    </w:pPr>
    <w:rPr>
      <w:b/>
      <w:bCs/>
      <w:sz w:val="28"/>
      <w:szCs w:val="24"/>
    </w:rPr>
  </w:style>
  <w:style w:type="paragraph" w:customStyle="1" w:styleId="73">
    <w:name w:val="样式 首行缩进:  2 字符1"/>
    <w:basedOn w:val="1"/>
    <w:qFormat/>
    <w:uiPriority w:val="0"/>
    <w:pPr>
      <w:spacing w:before="120" w:line="400" w:lineRule="exact"/>
      <w:ind w:firstLine="200" w:firstLineChars="200"/>
    </w:pPr>
    <w:rPr>
      <w:rFonts w:ascii="宋体"/>
      <w:sz w:val="24"/>
      <w:szCs w:val="20"/>
    </w:rPr>
  </w:style>
  <w:style w:type="paragraph" w:customStyle="1" w:styleId="74">
    <w:name w:val="文本"/>
    <w:basedOn w:val="1"/>
    <w:qFormat/>
    <w:uiPriority w:val="0"/>
    <w:pPr>
      <w:adjustRightInd w:val="0"/>
      <w:snapToGrid w:val="0"/>
      <w:spacing w:line="360" w:lineRule="auto"/>
      <w:ind w:firstLine="480" w:firstLineChars="200"/>
      <w:jc w:val="left"/>
    </w:pPr>
    <w:rPr>
      <w:sz w:val="24"/>
      <w:szCs w:val="24"/>
    </w:rPr>
  </w:style>
  <w:style w:type="paragraph" w:customStyle="1" w:styleId="75">
    <w:name w:val="表 头"/>
    <w:basedOn w:val="1"/>
    <w:qFormat/>
    <w:uiPriority w:val="0"/>
    <w:pPr>
      <w:adjustRightInd w:val="0"/>
      <w:spacing w:before="120" w:after="120" w:line="360" w:lineRule="atLeast"/>
      <w:jc w:val="center"/>
    </w:pPr>
    <w:rPr>
      <w:rFonts w:ascii="宋体" w:hAnsi="宋体" w:eastAsia="黑体"/>
      <w:spacing w:val="10"/>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bc100d19-9c88-49ea-b5e5-76347bef7c4c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33137429</paraID>
      <start>2</start>
      <end>3</end>
      <status>unmodified</status>
      <modifiedWord/>
      <trackRevisions>false</trackRevisions>
    </reviewItem>
    <reviewItem>
      <errorID>fe70c04d-f1f4-4779-b64d-a0c51e4b4810</errorID>
      <errorWord>(</errorWord>
      <group>L1_Format</group>
      <groupName>格式问题</groupName>
      <ability>L2_HalfPunc</ability>
      <abilityName>全半角检查</abilityName>
      <candidateList>
        <item>（</item>
      </candidateList>
      <explain>文本全半角错误。</explain>
      <paraID>38835314</paraID>
      <start>62</start>
      <end>63</end>
      <status>unmodified</status>
      <modifiedWord/>
      <trackRevisions>false</trackRevisions>
    </reviewItem>
    <reviewItem>
      <errorID>9c110dad-b16b-482c-b063-3a1bfd989d72</errorID>
      <errorWord>(</errorWord>
      <group>L1_Format</group>
      <groupName>格式问题</groupName>
      <ability>L2_HalfPunc</ability>
      <abilityName>全半角检查</abilityName>
      <candidateList>
        <item>（</item>
      </candidateList>
      <explain>文本全半角错误。</explain>
      <paraID>2C1E1619</paraID>
      <start>58</start>
      <end>59</end>
      <status>unmodified</status>
      <modifiedWord/>
      <trackRevisions>false</trackRevisions>
    </reviewItem>
    <reviewItem>
      <errorID>c2fe7e91-53d0-4aee-a616-0e2e521a5df3</errorID>
      <errorWord>(</errorWord>
      <group>L1_Format</group>
      <groupName>格式问题</groupName>
      <ability>L2_HalfPunc</ability>
      <abilityName>全半角检查</abilityName>
      <candidateList>
        <item>（</item>
      </candidateList>
      <explain>文本全半角错误。</explain>
      <paraID>42916F24</paraID>
      <start>24</start>
      <end>25</end>
      <status>unmodified</status>
      <modifiedWord/>
      <trackRevisions>false</trackRevisions>
    </reviewItem>
    <reviewItem>
      <errorID>0cd5e0a8-9f59-4ff7-96c1-c62bbe07aabd</errorID>
      <errorWord>抛撒</errorWord>
      <group>L1_Word</group>
      <groupName>字词问题</groupName>
      <ability>L2_Typo</ability>
      <abilityName>字词错误</abilityName>
      <candidateList>
        <item>抛洒</item>
      </candidateList>
      <explain>存在发音相同字词的误用。</explain>
      <paraID> 9372D32</paraID>
      <start>29</start>
      <end>31</end>
      <status>unmodified</status>
      <modifiedWord/>
      <trackRevisions>false</trackRevisions>
    </reviewItem>
    <reviewItem>
      <errorID>05ffc88c-9eb2-42c3-b177-678d6a641236</errorID>
      <errorWord>拌合站</errorWord>
      <group>L1_Word</group>
      <groupName>字词问题</groupName>
      <ability>L2_Typo</ability>
      <abilityName>字词错误</abilityName>
      <candidateList>
        <item>拌和站</item>
      </candidateList>
      <explain>存在发音相同字词的误用。</explain>
      <paraID>41F09453</paraID>
      <start>17</start>
      <end>20</end>
      <status>unmodified</status>
      <modifiedWord/>
      <trackRevisions>false</trackRevisions>
    </reviewItem>
    <reviewItem>
      <errorID>7880e56f-ea76-4aca-a65c-48a0961e511f</errorID>
      <errorWord>内容的</errorWord>
      <group>L1_Word</group>
      <groupName>字词问题</groupName>
      <ability>L2_Typo</ability>
      <abilityName>字词错误</abilityName>
      <candidateList>
        <item>内容</item>
      </candidateList>
      <explain>〈名〉事物内部所含的实质或存在的情况：这次谈话的～牵涉的面很广｜这个刊物～丰富。</explain>
      <paraID>1C3BBECA</paraID>
      <start>124</start>
      <end>127</end>
      <status>unmodified</status>
      <modifiedWord/>
      <trackRevisions>false</trackRevisions>
    </reviewItem>
    <reviewItem>
      <errorID>ba5d9b3c-8949-4574-b063-488d6de9f5fb</errorID>
      <errorWord>(</errorWord>
      <group>L1_Format</group>
      <groupName>格式问题</groupName>
      <ability>L2_HalfPunc</ability>
      <abilityName>全半角检查</abilityName>
      <candidateList>
        <item>（</item>
      </candidateList>
      <explain>文本全半角错误。</explain>
      <paraID>2DA36395</paraID>
      <start>89</start>
      <end>90</end>
      <status>unmodified</status>
      <modifiedWord/>
      <trackRevisions>false</trackRevisions>
    </reviewItem>
    <reviewItem>
      <errorID>6151b3b1-6400-445c-ab9e-e57faebab290</errorID>
      <errorWord>(</errorWord>
      <group>L1_Format</group>
      <groupName>格式问题</groupName>
      <ability>L2_HalfPunc</ability>
      <abilityName>全半角检查</abilityName>
      <candidateList>
        <item>（</item>
      </candidateList>
      <explain>文本全半角错误。</explain>
      <paraID>3E7ED668</paraID>
      <start>24</start>
      <end>25</end>
      <status>unmodified</status>
      <modifiedWord/>
      <trackRevisions>false</trackRevisions>
    </reviewItem>
    <reviewItem>
      <errorID>e5e19acd-7db0-452d-9d88-a99db9d3d3f8</errorID>
      <errorWord>(</errorWord>
      <group>L1_Format</group>
      <groupName>格式问题</groupName>
      <ability>L2_HalfPunc</ability>
      <abilityName>全半角检查</abilityName>
      <candidateList>
        <item>（</item>
      </candidateList>
      <explain>文本全半角错误。</explain>
      <paraID>3E7ED668</paraID>
      <start>50</start>
      <end>51</end>
      <status>unmodified</status>
      <modifiedWord/>
      <trackRevisions>false</trackRevisions>
    </reviewItem>
    <reviewItem>
      <errorID>441af290-70c6-424d-8c58-158a04ca5816</errorID>
      <errorWord>(</errorWord>
      <group>L1_Format</group>
      <groupName>格式问题</groupName>
      <ability>L2_HalfPunc</ability>
      <abilityName>全半角检查</abilityName>
      <candidateList>
        <item>（</item>
      </candidateList>
      <explain>文本全半角错误。</explain>
      <paraID>40FAB8DB</paraID>
      <start>0</start>
      <end>1</end>
      <status>unmodified</status>
      <modifiedWord/>
      <trackRevisions>false</trackRevisions>
    </reviewItem>
    <reviewItem>
      <errorID>3daca816-4c88-4a2b-8b4f-82f4cfd79c23</errorID>
      <errorWord>(</errorWord>
      <group>L1_Format</group>
      <groupName>格式问题</groupName>
      <ability>L2_HalfPunc</ability>
      <abilityName>全半角检查</abilityName>
      <candidateList>
        <item>（</item>
      </candidateList>
      <explain>文本全半角错误。</explain>
      <paraID>2591B757</paraID>
      <start>0</start>
      <end>1</end>
      <status>unmodified</status>
      <modifiedWord/>
      <trackRevisions>false</trackRevisions>
    </reviewItem>
    <reviewItem>
      <errorID>8a374d0f-3601-4357-bec7-3b6e1db1b03a</errorID>
      <errorWord>(</errorWord>
      <group>L1_Format</group>
      <groupName>格式问题</groupName>
      <ability>L2_HalfPunc</ability>
      <abilityName>全半角检查</abilityName>
      <candidateList>
        <item>（</item>
      </candidateList>
      <explain>文本全半角错误。</explain>
      <paraID>558EBC23</paraID>
      <start>0</start>
      <end>1</end>
      <status>unmodified</status>
      <modifiedWord/>
      <trackRevisions>false</trackRevisions>
    </reviewItem>
    <reviewItem>
      <errorID>e687ef07-4435-4e3a-88b9-e4953342a7df</errorID>
      <errorWord>,</errorWord>
      <group>L1_Format</group>
      <groupName>格式问题</groupName>
      <ability>L2_HalfPunc</ability>
      <abilityName>全半角检查</abilityName>
      <candidateList>
        <item>，</item>
      </candidateList>
      <explain>文本全半角错误。</explain>
      <paraID>51D0395B</paraID>
      <start>60</start>
      <end>61</end>
      <status>unmodified</status>
      <modifiedWord/>
      <trackRevisions>false</trackRevisions>
    </reviewItem>
    <reviewItem>
      <errorID>9683b4ff-a3d1-4440-9c06-bea74b5ba793</errorID>
      <errorWord>,</errorWord>
      <group>L1_Format</group>
      <groupName>格式问题</groupName>
      <ability>L2_HalfPunc</ability>
      <abilityName>全半角检查</abilityName>
      <candidateList>
        <item>，</item>
      </candidateList>
      <explain>文本全半角错误。</explain>
      <paraID>51D0395B</paraID>
      <start>189</start>
      <end>190</end>
      <status>unmodified</status>
      <modifiedWord/>
      <trackRevisions>false</trackRevisions>
    </reviewItem>
    <reviewItem>
      <errorID>3d0d378f-f079-49d4-92b0-05d0330455de</errorID>
      <errorWord>,</errorWord>
      <group>L1_Format</group>
      <groupName>格式问题</groupName>
      <ability>L2_HalfPunc</ability>
      <abilityName>全半角检查</abilityName>
      <candidateList>
        <item>，</item>
      </candidateList>
      <explain>文本全半角错误。</explain>
      <paraID>51D0395B</paraID>
      <start>205</start>
      <end>206</end>
      <status>unmodified</status>
      <modifiedWord/>
      <trackRevisions>false</trackRevisions>
    </reviewItem>
    <reviewItem>
      <errorID>d6ac9093-f831-4683-871c-3bc00c1a9b8b</errorID>
      <errorWord>,</errorWord>
      <group>L1_Format</group>
      <groupName>格式问题</groupName>
      <ability>L2_HalfPunc</ability>
      <abilityName>全半角检查</abilityName>
      <candidateList>
        <item>，</item>
      </candidateList>
      <explain>文本全半角错误。</explain>
      <paraID>7402ADC2</paraID>
      <start>73</start>
      <end>74</end>
      <status>unmodified</status>
      <modifiedWord/>
      <trackRevisions>false</trackRevisions>
    </reviewItem>
    <reviewItem>
      <errorID>f51c16a0-87cb-40f8-8ffe-d41aff4dbbab</errorID>
      <errorWord>,</errorWord>
      <group>L1_Format</group>
      <groupName>格式问题</groupName>
      <ability>L2_HalfPunc</ability>
      <abilityName>全半角检查</abilityName>
      <candidateList>
        <item>，</item>
      </candidateList>
      <explain>文本全半角错误。</explain>
      <paraID>7402ADC2</paraID>
      <start>105</start>
      <end>106</end>
      <status>unmodified</status>
      <modifiedWord/>
      <trackRevisions>false</trackRevisions>
    </reviewItem>
    <reviewItem>
      <errorID>7cfb8d0f-8cb5-4ab2-bf28-c00a347b1d6a</errorID>
      <errorWord>拌合站</errorWord>
      <group>L1_Word</group>
      <groupName>字词问题</groupName>
      <ability>L2_Typo</ability>
      <abilityName>字词错误</abilityName>
      <candidateList>
        <item>拌和站</item>
      </candidateList>
      <explain>存在发音相同字词的误用。</explain>
      <paraID>2A34858F</paraID>
      <start>37</start>
      <end>40</end>
      <status>unmodified</status>
      <modifiedWord/>
      <trackRevisions>false</trackRevisions>
    </reviewItem>
    <reviewItem>
      <errorID>7953b580-e440-4f0f-a366-2776ed67ba0b</errorID>
      <errorWord>;</errorWord>
      <group>L1_Format</group>
      <groupName>格式问题</groupName>
      <ability>L2_HalfPunc</ability>
      <abilityName>全半角检查</abilityName>
      <candidateList>
        <item>；</item>
      </candidateList>
      <explain>文本全半角错误。</explain>
      <paraID>4F8B2C71</paraID>
      <start>19</start>
      <end>20</end>
      <status>unmodified</status>
      <modifiedWord/>
      <trackRevisions>false</trackRevisions>
    </reviewItem>
    <reviewItem>
      <errorID>87ca22eb-7ed4-4d75-8b2a-ab5883052086</errorID>
      <errorWord>;</errorWord>
      <group>L1_Format</group>
      <groupName>格式问题</groupName>
      <ability>L2_HalfPunc</ability>
      <abilityName>全半角检查</abilityName>
      <candidateList>
        <item>；</item>
      </candidateList>
      <explain>文本全半角错误。</explain>
      <paraID>4F8B2C71</paraID>
      <start>36</start>
      <end>37</end>
      <status>unmodified</status>
      <modifiedWord/>
      <trackRevisions>false</trackRevisions>
    </reviewItem>
    <reviewItem>
      <errorID>7fcbd091-86df-4f6a-9dad-15a61dd3ccf4</errorID>
      <errorWord>;</errorWord>
      <group>L1_Format</group>
      <groupName>格式问题</groupName>
      <ability>L2_HalfPunc</ability>
      <abilityName>全半角检查</abilityName>
      <candidateList>
        <item>；</item>
      </candidateList>
      <explain>文本全半角错误。</explain>
      <paraID>116C507B</paraID>
      <start>21</start>
      <end>22</end>
      <status>unmodified</status>
      <modifiedWord/>
      <trackRevisions>false</trackRevisions>
    </reviewItem>
    <reviewItem>
      <errorID>81dcc9f9-6bd2-460b-a17f-75b5c92c6bcb</errorID>
      <errorWord>--</errorWord>
      <group>L1_Punc</group>
      <groupName>标点问题</groupName>
      <ability>L2_Punc</ability>
      <abilityName>标点符号检查</abilityName>
      <candidateList>
        <item>——</item>
      </candidateList>
      <explain>破折号或连接号疑似使用错误。</explain>
      <paraID>69439392</paraID>
      <start>57</start>
      <end>59</end>
      <status>unmodified</status>
      <modifiedWord/>
      <trackRevisions>false</trackRevisions>
    </reviewItem>
    <reviewItem>
      <errorID>49ff4eed-cdd5-4f56-a239-d4180bc8c164</errorID>
      <errorWord>里程桩</errorWord>
      <group>L1_Word</group>
      <groupName>字词问题</groupName>
      <ability>L2_Typo</ability>
      <abilityName>字词错误</abilityName>
      <candidateList>
        <item>里程碑</item>
      </candidateList>
      <explain/>
      <paraID>529D0733</paraID>
      <start>0</start>
      <end>3</end>
      <status>unmodified</status>
      <modifiedWord/>
      <trackRevisions>false</trackRevisions>
    </reviewItem>
    <reviewItem>
      <errorID>5c0228c5-0eeb-48e8-9902-f0d62ca6f86e</errorID>
      <errorWord>里程桩</errorWord>
      <group>L1_Word</group>
      <groupName>字词问题</groupName>
      <ability>L2_Typo</ability>
      <abilityName>字词错误</abilityName>
      <candidateList>
        <item>里程碑</item>
      </candidateList>
      <explain/>
      <paraID>1918A784</paraID>
      <start>0</start>
      <end>3</end>
      <status>unmodified</status>
      <modifiedWord/>
      <trackRevisions>false</trackRevisions>
    </reviewItem>
    <reviewItem>
      <errorID>93312b50-1480-4edd-8bef-725a720d4046</errorID>
      <errorWord>拌合站</errorWord>
      <group>L1_Word</group>
      <groupName>字词问题</groupName>
      <ability>L2_Typo</ability>
      <abilityName>字词错误</abilityName>
      <candidateList>
        <item>拌和站</item>
      </candidateList>
      <explain>存在发音相同字词的误用。</explain>
      <paraID>34EC7C05</paraID>
      <start>44</start>
      <end>47</end>
      <status>unmodified</status>
      <modifiedWord/>
      <trackRevisions>false</trackRevisions>
    </reviewItem>
    <reviewItem>
      <errorID>de944bae-2310-450a-9547-ecc888b797b7</errorID>
      <errorWord>拌合站</errorWord>
      <group>L1_Word</group>
      <groupName>字词问题</groupName>
      <ability>L2_Typo</ability>
      <abilityName>字词错误</abilityName>
      <candidateList>
        <item>拌和站</item>
      </candidateList>
      <explain>存在发音相同字词的误用。</explain>
      <paraID>1A80FBC7</paraID>
      <start>76</start>
      <end>79</end>
      <status>unmodified</status>
      <modifiedWord/>
      <trackRevisions>false</trackRevisions>
    </reviewItem>
    <reviewItem>
      <errorID>094b50bc-57b8-4dfa-9cf8-396b177cb812</errorID>
      <errorWord>拌合站</errorWord>
      <group>L1_Word</group>
      <groupName>字词问题</groupName>
      <ability>L2_Typo</ability>
      <abilityName>字词错误</abilityName>
      <candidateList>
        <item>拌和站</item>
      </candidateList>
      <explain>存在发音相同字词的误用。</explain>
      <paraID>431EC84B</paraID>
      <start>25</start>
      <end>28</end>
      <status>unmodified</status>
      <modifiedWord/>
      <trackRevisions>false</trackRevisions>
    </reviewItem>
    <reviewItem>
      <errorID>8201b98f-6908-4754-9325-0d6cef920b45</errorID>
      <errorWord>拌合站</errorWord>
      <group>L1_Word</group>
      <groupName>字词问题</groupName>
      <ability>L2_Typo</ability>
      <abilityName>字词错误</abilityName>
      <candidateList>
        <item>拌和站</item>
      </candidateList>
      <explain>存在发音相同字词的误用。</explain>
      <paraID>7EC3856B</paraID>
      <start>5</start>
      <end>8</end>
      <status>unmodified</status>
      <modifiedWord/>
      <trackRevisions>false</trackRevisions>
    </reviewItem>
    <reviewItem>
      <errorID>5e5cc16b-1eba-4a22-9fec-cc45564129bc</errorID>
      <errorWord>-</errorWord>
      <group>L1_Format</group>
      <groupName>格式问题</groupName>
      <ability>L2_HalfPunc</ability>
      <abilityName>全半角检查</abilityName>
      <candidateList>
        <item>－</item>
      </candidateList>
      <explain>文本全半角错误。</explain>
      <paraID>5E5A30FD</paraID>
      <start>36</start>
      <end>37</end>
      <status>unmodified</status>
      <modifiedWord/>
      <trackRevisions>false</trackRevisions>
    </reviewItem>
    <reviewItem>
      <errorID>8a9fc43e-71bc-4b88-a6ad-6bd6db45bf6f</errorID>
      <errorWord>-</errorWord>
      <group>L1_Format</group>
      <groupName>格式问题</groupName>
      <ability>L2_HalfPunc</ability>
      <abilityName>全半角检查</abilityName>
      <candidateList>
        <item>－</item>
      </candidateList>
      <explain>文本全半角错误。</explain>
      <paraID> FC7FE0D</paraID>
      <start>2</start>
      <end>3</end>
      <status>unmodified</status>
      <modifiedWord/>
      <trackRevisions>false</trackRevisions>
    </reviewItem>
    <reviewItem>
      <errorID>0638b129-b0a0-4a4a-9972-dd7a121bd9d6</errorID>
      <errorWord>中、低山</errorWord>
      <group>L1_Punc</group>
      <groupName>标点问题</groupName>
      <ability>L2_Punc</ability>
      <abilityName>标点符号检查</abilityName>
      <candidateList>
        <item>中低山</item>
      </candidateList>
      <explain/>
      <paraID>5B52CA69</paraID>
      <start>8</start>
      <end>12</end>
      <status>unmodified</status>
      <modifiedWord/>
      <trackRevisions>false</trackRevisions>
    </reviewItem>
    <reviewItem>
      <errorID>e01d0349-c43d-40e3-a5b2-cf29f6bf8ff5</errorID>
      <errorWord>）</errorWord>
      <group>L1_Format</group>
      <groupName>格式问题</groupName>
      <ability>L2_HalfPunc</ability>
      <abilityName>全半角检查</abilityName>
      <candidateList>
        <item>)</item>
      </candidateList>
      <explain>文本全半角错误。</explain>
      <paraID>753E705E</paraID>
      <start>9</start>
      <end>10</end>
      <status>unmodified</status>
      <modifiedWord/>
      <trackRevisions>false</trackRevisions>
    </reviewItem>
    <reviewItem>
      <errorID>ce637b1f-d916-4d35-8412-f27b6c3543eb</errorID>
      <errorWord>）</errorWord>
      <group>L1_Format</group>
      <groupName>格式问题</groupName>
      <ability>L2_HalfPunc</ability>
      <abilityName>全半角检查</abilityName>
      <candidateList>
        <item>)</item>
      </candidateList>
      <explain>文本全半角错误。</explain>
      <paraID>553228E2</paraID>
      <start>8</start>
      <end>9</end>
      <status>unmodified</status>
      <modifiedWord/>
      <trackRevisions>false</trackRevisions>
    </reviewItem>
    <reviewItem>
      <errorID>1b87fbf8-6087-4e68-bb84-2aed6d5f7da5</errorID>
      <errorWord>）</errorWord>
      <group>L1_Format</group>
      <groupName>格式问题</groupName>
      <ability>L2_HalfPunc</ability>
      <abilityName>全半角检查</abilityName>
      <candidateList>
        <item>)</item>
      </candidateList>
      <explain>文本全半角错误。</explain>
      <paraID>6A83F7D4</paraID>
      <start>8</start>
      <end>9</end>
      <status>unmodified</status>
      <modifiedWord/>
      <trackRevisions>false</trackRevisions>
    </reviewItem>
    <reviewItem>
      <errorID>ac6fac3f-afd7-42f9-8394-6810f62307f4</errorID>
      <errorWord>）</errorWord>
      <group>L1_Format</group>
      <groupName>格式问题</groupName>
      <ability>L2_HalfPunc</ability>
      <abilityName>全半角检查</abilityName>
      <candidateList>
        <item>)</item>
      </candidateList>
      <explain>文本全半角错误。</explain>
      <paraID>59A4A3CD</paraID>
      <start>10</start>
      <end>11</end>
      <status>unmodified</status>
      <modifiedWord/>
      <trackRevisions>false</trackRevisions>
    </reviewItem>
    <reviewItem>
      <errorID>a137072c-7f2c-4afa-bbe1-ee43348a69d0</errorID>
      <errorWord>）</errorWord>
      <group>L1_Format</group>
      <groupName>格式问题</groupName>
      <ability>L2_HalfPunc</ability>
      <abilityName>全半角检查</abilityName>
      <candidateList>
        <item>)</item>
      </candidateList>
      <explain>文本全半角错误。</explain>
      <paraID>196B5797</paraID>
      <start>11</start>
      <end>12</end>
      <status>unmodified</status>
      <modifiedWord/>
      <trackRevisions>false</trackRevisions>
    </reviewItem>
    <reviewItem>
      <errorID>65a82907-f7fd-4ac7-96e6-4ff8e485ec84</errorID>
      <errorWord>）</errorWord>
      <group>L1_Format</group>
      <groupName>格式问题</groupName>
      <ability>L2_HalfPunc</ability>
      <abilityName>全半角检查</abilityName>
      <candidateList>
        <item>)</item>
      </candidateList>
      <explain>文本全半角错误。</explain>
      <paraID>20394F49</paraID>
      <start>9</start>
      <end>10</end>
      <status>unmodified</status>
      <modifiedWord/>
      <trackRevisions>false</trackRevisions>
    </reviewItem>
    <reviewItem>
      <errorID>7dab2990-dd00-4bc8-a775-42a6edd40045</errorID>
      <errorWord>(</errorWord>
      <group>L1_Format</group>
      <groupName>格式问题</groupName>
      <ability>L2_HalfPunc</ability>
      <abilityName>全半角检查</abilityName>
      <candidateList>
        <item>（</item>
      </candidateList>
      <explain>文本全半角错误。</explain>
      <paraID>7F0D4500</paraID>
      <start>3</start>
      <end>4</end>
      <status>unmodified</status>
      <modifiedWord/>
      <trackRevisions>false</trackRevisions>
    </reviewItem>
    <reviewItem>
      <errorID>8a4146a8-a49a-4c1b-8f32-17ca27416dd0</errorID>
      <errorWord>(</errorWord>
      <group>L1_Format</group>
      <groupName>格式问题</groupName>
      <ability>L2_HalfPunc</ability>
      <abilityName>全半角检查</abilityName>
      <candidateList>
        <item>（</item>
      </candidateList>
      <explain>文本全半角错误。</explain>
      <paraID>6BC105F7</paraID>
      <start>2</start>
      <end>3</end>
      <status>unmodified</status>
      <modifiedWord/>
      <trackRevisions>false</trackRevisions>
    </reviewItem>
    <reviewItem>
      <errorID>84145041-5ee8-4716-85eb-c7c9cf5e8e58</errorID>
      <errorWord>(</errorWord>
      <group>L1_Format</group>
      <groupName>格式问题</groupName>
      <ability>L2_HalfPunc</ability>
      <abilityName>全半角检查</abilityName>
      <candidateList>
        <item>（</item>
      </candidateList>
      <explain>文本全半角错误。</explain>
      <paraID>2D8EF41F</paraID>
      <start>1</start>
      <end>2</end>
      <status>unmodified</status>
      <modifiedWord/>
      <trackRevisions>false</trackRevisions>
    </reviewItem>
    <reviewItem>
      <errorID>99d89629-9299-4f63-9d48-9d396e87075e</errorID>
      <errorWord>(</errorWord>
      <group>L1_Format</group>
      <groupName>格式问题</groupName>
      <ability>L2_HalfPunc</ability>
      <abilityName>全半角检查</abilityName>
      <candidateList>
        <item>（</item>
      </candidateList>
      <explain>文本全半角错误。</explain>
      <paraID>5398F766</paraID>
      <start>5</start>
      <end>6</end>
      <status>unmodified</status>
      <modifiedWord/>
      <trackRevisions>false</trackRevisions>
    </reviewItem>
    <reviewItem>
      <errorID>84ed158d-613d-449f-af5f-1f00a9dd389a</errorID>
      <errorWord>）</errorWord>
      <group>L1_Format</group>
      <groupName>格式问题</groupName>
      <ability>L2_HalfPunc</ability>
      <abilityName>全半角检查</abilityName>
      <candidateList>
        <item>)</item>
      </candidateList>
      <explain>文本全半角错误。</explain>
      <paraID>108199BE</paraID>
      <start>7</start>
      <end>8</end>
      <status>unmodified</status>
      <modifiedWord/>
      <trackRevisions>false</trackRevisions>
    </reviewItem>
    <reviewItem>
      <errorID>9d82ae7a-ebbd-4bba-b0fc-77c088703a37</errorID>
      <errorWord>）</errorWord>
      <group>L1_Format</group>
      <groupName>格式问题</groupName>
      <ability>L2_HalfPunc</ability>
      <abilityName>全半角检查</abilityName>
      <candidateList>
        <item>)</item>
      </candidateList>
      <explain>文本全半角错误。</explain>
      <paraID>7F96766D</paraID>
      <start>7</start>
      <end>8</end>
      <status>unmodified</status>
      <modifiedWord/>
      <trackRevisions>false</trackRevisions>
    </reviewItem>
    <reviewItem>
      <errorID>79dfeff0-306e-480c-8b5e-cf36732c8473</errorID>
      <errorWord>）</errorWord>
      <group>L1_Format</group>
      <groupName>格式问题</groupName>
      <ability>L2_HalfPunc</ability>
      <abilityName>全半角检查</abilityName>
      <candidateList>
        <item>)</item>
      </candidateList>
      <explain>文本全半角错误。</explain>
      <paraID>2FA8B251</paraID>
      <start>13</start>
      <end>14</end>
      <status>unmodified</status>
      <modifiedWord/>
      <trackRevisions>false</trackRevisions>
    </reviewItem>
    <reviewItem>
      <errorID>3e34ee44-4a3c-46f2-8830-c8b3292bdcff</errorID>
      <errorWord>）</errorWord>
      <group>L1_Format</group>
      <groupName>格式问题</groupName>
      <ability>L2_HalfPunc</ability>
      <abilityName>全半角检查</abilityName>
      <candidateList>
        <item>)</item>
      </candidateList>
      <explain>文本全半角错误。</explain>
      <paraID>6750460F</paraID>
      <start>6</start>
      <end>7</end>
      <status>unmodified</status>
      <modifiedWord/>
      <trackRevisions>false</trackRevisions>
    </reviewItem>
    <reviewItem>
      <errorID>28282c68-be71-4dd0-ae58-31f18dfb7efc</errorID>
      <errorWord>）</errorWord>
      <group>L1_Format</group>
      <groupName>格式问题</groupName>
      <ability>L2_HalfPunc</ability>
      <abilityName>全半角检查</abilityName>
      <candidateList>
        <item>)</item>
      </candidateList>
      <explain>文本全半角错误。</explain>
      <paraID>54F745F7</paraID>
      <start>18</start>
      <end>19</end>
      <status>unmodified</status>
      <modifiedWord/>
      <trackRevisions>false</trackRevisions>
    </reviewItem>
    <reviewItem>
      <errorID>2c98fa3a-dcd2-41ca-b905-f69b81526e12</errorID>
      <errorWord>）</errorWord>
      <group>L1_Format</group>
      <groupName>格式问题</groupName>
      <ability>L2_HalfPunc</ability>
      <abilityName>全半角检查</abilityName>
      <candidateList>
        <item>)</item>
      </candidateList>
      <explain>文本全半角错误。</explain>
      <paraID>54F745F7</paraID>
      <start>29</start>
      <end>30</end>
      <status>unmodified</status>
      <modifiedWord/>
      <trackRevisions>false</trackRevisions>
    </reviewItem>
    <reviewItem>
      <errorID>d3c32f81-4d0f-4421-a6ae-39228529a26d</errorID>
      <errorWord>（</errorWord>
      <group>L1_Format</group>
      <groupName>格式问题</groupName>
      <ability>L2_HalfPunc</ability>
      <abilityName>全半角检查</abilityName>
      <candidateList>
        <item>(</item>
      </candidateList>
      <explain>文本全半角错误。</explain>
      <paraID>36539C45</paraID>
      <start>0</start>
      <end>1</end>
      <status>unmodified</status>
      <modifiedWord/>
      <trackRevisions>false</trackRevisions>
    </reviewItem>
    <reviewItem>
      <errorID>8875a46e-088f-4e93-b63a-9d34304e70dd</errorID>
      <errorWord>）</errorWord>
      <group>L1_Format</group>
      <groupName>格式问题</groupName>
      <ability>L2_HalfPunc</ability>
      <abilityName>全半角检查</abilityName>
      <candidateList>
        <item>)</item>
      </candidateList>
      <explain>文本全半角错误。</explain>
      <paraID>36539C45</paraID>
      <start>6</start>
      <end>7</end>
      <status>unmodified</status>
      <modifiedWord/>
      <trackRevisions>false</trackRevisions>
    </reviewItem>
    <reviewItem>
      <errorID>ad5508d8-3432-4afd-a37d-5e30be0590c3</errorID>
      <errorWord>（</errorWord>
      <group>L1_Format</group>
      <groupName>格式问题</groupName>
      <ability>L2_HalfPunc</ability>
      <abilityName>全半角检查</abilityName>
      <candidateList>
        <item>(</item>
      </candidateList>
      <explain>文本全半角错误。</explain>
      <paraID>7214E32E</paraID>
      <start>0</start>
      <end>1</end>
      <status>unmodified</status>
      <modifiedWord/>
      <trackRevisions>false</trackRevisions>
    </reviewItem>
    <reviewItem>
      <errorID>88c8fd07-543f-441c-8f71-28f4ef2808d9</errorID>
      <errorWord>）</errorWord>
      <group>L1_Format</group>
      <groupName>格式问题</groupName>
      <ability>L2_HalfPunc</ability>
      <abilityName>全半角检查</abilityName>
      <candidateList>
        <item>)</item>
      </candidateList>
      <explain>文本全半角错误。</explain>
      <paraID>7214E32E</paraID>
      <start>6</start>
      <end>7</end>
      <status>unmodified</status>
      <modifiedWord/>
      <trackRevisions>false</trackRevisions>
    </reviewItem>
    <reviewItem>
      <errorID>d90478b5-9664-4bea-afd0-90f384bdf6bf</errorID>
      <errorWord>（</errorWord>
      <group>L1_Format</group>
      <groupName>格式问题</groupName>
      <ability>L2_HalfPunc</ability>
      <abilityName>全半角检查</abilityName>
      <candidateList>
        <item>(</item>
      </candidateList>
      <explain>文本全半角错误。</explain>
      <paraID>220300EE</paraID>
      <start>0</start>
      <end>1</end>
      <status>unmodified</status>
      <modifiedWord/>
      <trackRevisions>false</trackRevisions>
    </reviewItem>
    <reviewItem>
      <errorID>2720523b-6558-49f0-9c70-75064c34a29d</errorID>
      <errorWord>）</errorWord>
      <group>L1_Format</group>
      <groupName>格式问题</groupName>
      <ability>L2_HalfPunc</ability>
      <abilityName>全半角检查</abilityName>
      <candidateList>
        <item>)</item>
      </candidateList>
      <explain>文本全半角错误。</explain>
      <paraID>220300EE</paraID>
      <start>6</start>
      <end>7</end>
      <status>unmodified</status>
      <modifiedWord/>
      <trackRevisions>false</trackRevisions>
    </reviewItem>
    <reviewItem>
      <errorID>26b85d21-9724-401b-91a7-c77d84726fbd</errorID>
      <errorWord>（</errorWord>
      <group>L1_Format</group>
      <groupName>格式问题</groupName>
      <ability>L2_HalfPunc</ability>
      <abilityName>全半角检查</abilityName>
      <candidateList>
        <item>(</item>
      </candidateList>
      <explain>文本全半角错误。</explain>
      <paraID>29BC1234</paraID>
      <start>0</start>
      <end>1</end>
      <status>unmodified</status>
      <modifiedWord/>
      <trackRevisions>false</trackRevisions>
    </reviewItem>
    <reviewItem>
      <errorID>60f9c0ba-bf6e-4a44-b1fe-0fad8e79ebe5</errorID>
      <errorWord>）</errorWord>
      <group>L1_Format</group>
      <groupName>格式问题</groupName>
      <ability>L2_HalfPunc</ability>
      <abilityName>全半角检查</abilityName>
      <candidateList>
        <item>)</item>
      </candidateList>
      <explain>文本全半角错误。</explain>
      <paraID>29BC1234</paraID>
      <start>6</start>
      <end>7</end>
      <status>unmodified</status>
      <modifiedWord/>
      <trackRevisions>false</trackRevisions>
    </reviewItem>
    <reviewItem>
      <errorID>32a297fc-b723-4339-884e-4c112b377c2f</errorID>
      <errorWord>（</errorWord>
      <group>L1_Format</group>
      <groupName>格式问题</groupName>
      <ability>L2_HalfPunc</ability>
      <abilityName>全半角检查</abilityName>
      <candidateList>
        <item>(</item>
      </candidateList>
      <explain>文本全半角错误。</explain>
      <paraID>244773FF</paraID>
      <start>0</start>
      <end>1</end>
      <status>unmodified</status>
      <modifiedWord/>
      <trackRevisions>false</trackRevisions>
    </reviewItem>
    <reviewItem>
      <errorID>5066e7ea-4ed7-4eda-9759-bd5147845b77</errorID>
      <errorWord>）</errorWord>
      <group>L1_Format</group>
      <groupName>格式问题</groupName>
      <ability>L2_HalfPunc</ability>
      <abilityName>全半角检查</abilityName>
      <candidateList>
        <item>)</item>
      </candidateList>
      <explain>文本全半角错误。</explain>
      <paraID>244773FF</paraID>
      <start>6</start>
      <end>7</end>
      <status>unmodified</status>
      <modifiedWord/>
      <trackRevisions>false</trackRevisions>
    </reviewItem>
    <reviewItem>
      <errorID>065e6861-4686-461a-b8bd-dae2067523a8</errorID>
      <errorWord>（</errorWord>
      <group>L1_Format</group>
      <groupName>格式问题</groupName>
      <ability>L2_HalfPunc</ability>
      <abilityName>全半角检查</abilityName>
      <candidateList>
        <item>(</item>
      </candidateList>
      <explain>文本全半角错误。</explain>
      <paraID>7A57119D</paraID>
      <start>0</start>
      <end>1</end>
      <status>unmodified</status>
      <modifiedWord/>
      <trackRevisions>false</trackRevisions>
    </reviewItem>
    <reviewItem>
      <errorID>0c53fd13-2e8b-415c-ab50-f4d9f11c3ee4</errorID>
      <errorWord>）</errorWord>
      <group>L1_Format</group>
      <groupName>格式问题</groupName>
      <ability>L2_HalfPunc</ability>
      <abilityName>全半角检查</abilityName>
      <candidateList>
        <item>)</item>
      </candidateList>
      <explain>文本全半角错误。</explain>
      <paraID>7A57119D</paraID>
      <start>6</start>
      <end>7</end>
      <status>unmodified</status>
      <modifiedWord/>
      <trackRevisions>false</trackRevisions>
    </reviewItem>
    <reviewItem>
      <errorID>01e02b07-a8d5-41d3-b018-f53cb8a80584</errorID>
      <errorWord>（</errorWord>
      <group>L1_Format</group>
      <groupName>格式问题</groupName>
      <ability>L2_HalfPunc</ability>
      <abilityName>全半角检查</abilityName>
      <candidateList>
        <item>(</item>
      </candidateList>
      <explain>文本全半角错误。</explain>
      <paraID>4154BB45</paraID>
      <start>1</start>
      <end>2</end>
      <status>unmodified</status>
      <modifiedWord/>
      <trackRevisions>false</trackRevisions>
    </reviewItem>
    <reviewItem>
      <errorID>00bae9da-4472-463c-9af2-ea1b43633319</errorID>
      <errorWord>）</errorWord>
      <group>L1_Format</group>
      <groupName>格式问题</groupName>
      <ability>L2_HalfPunc</ability>
      <abilityName>全半角检查</abilityName>
      <candidateList>
        <item>)</item>
      </candidateList>
      <explain>文本全半角错误。</explain>
      <paraID>4154BB45</paraID>
      <start>6</start>
      <end>7</end>
      <status>unmodified</status>
      <modifiedWord/>
      <trackRevisions>false</trackRevisions>
    </reviewItem>
    <reviewItem>
      <errorID>c875c7bf-70c8-4707-9fb1-5e79ec239414</errorID>
      <errorWord>（</errorWord>
      <group>L1_Format</group>
      <groupName>格式问题</groupName>
      <ability>L2_HalfPunc</ability>
      <abilityName>全半角检查</abilityName>
      <candidateList>
        <item>(</item>
      </candidateList>
      <explain>文本全半角错误。</explain>
      <paraID>7A194B59</paraID>
      <start>2</start>
      <end>3</end>
      <status>unmodified</status>
      <modifiedWord/>
      <trackRevisions>false</trackRevisions>
    </reviewItem>
    <reviewItem>
      <errorID>a0422171-3fa5-407f-8d4c-f0868748e614</errorID>
      <errorWord>）</errorWord>
      <group>L1_Format</group>
      <groupName>格式问题</groupName>
      <ability>L2_HalfPunc</ability>
      <abilityName>全半角检查</abilityName>
      <candidateList>
        <item>)</item>
      </candidateList>
      <explain>文本全半角错误。</explain>
      <paraID>7A194B59</paraID>
      <start>7</start>
      <end>8</end>
      <status>unmodified</status>
      <modifiedWord/>
      <trackRevisions>false</trackRevisions>
    </reviewItem>
    <reviewItem>
      <errorID>90b4fef0-cf3e-4ffa-a25a-a0990712fdf6</errorID>
      <errorWord>（</errorWord>
      <group>L1_Format</group>
      <groupName>格式问题</groupName>
      <ability>L2_HalfPunc</ability>
      <abilityName>全半角检查</abilityName>
      <candidateList>
        <item>(</item>
      </candidateList>
      <explain>文本全半角错误。</explain>
      <paraID>130BBC9C</paraID>
      <start>2</start>
      <end>3</end>
      <status>unmodified</status>
      <modifiedWord/>
      <trackRevisions>false</trackRevisions>
    </reviewItem>
    <reviewItem>
      <errorID>9836c50b-ff3a-4620-812e-27d349dd1f6f</errorID>
      <errorWord>）</errorWord>
      <group>L1_Format</group>
      <groupName>格式问题</groupName>
      <ability>L2_HalfPunc</ability>
      <abilityName>全半角检查</abilityName>
      <candidateList>
        <item>)</item>
      </candidateList>
      <explain>文本全半角错误。</explain>
      <paraID>130BBC9C</paraID>
      <start>7</start>
      <end>8</end>
      <status>unmodified</status>
      <modifiedWord/>
      <trackRevisions>false</trackRevisions>
    </reviewItem>
    <reviewItem>
      <errorID>2cdd04b1-2f3e-48a3-9f72-b699ed93e405</errorID>
      <errorWord>（</errorWord>
      <group>L1_Format</group>
      <groupName>格式问题</groupName>
      <ability>L2_HalfPunc</ability>
      <abilityName>全半角检查</abilityName>
      <candidateList>
        <item>(</item>
      </candidateList>
      <explain>文本全半角错误。</explain>
      <paraID>3BBC046E</paraID>
      <start>2</start>
      <end>3</end>
      <status>unmodified</status>
      <modifiedWord/>
      <trackRevisions>false</trackRevisions>
    </reviewItem>
    <reviewItem>
      <errorID>21a7ebc1-7a82-42e5-969d-88e9eb7f1002</errorID>
      <errorWord>）</errorWord>
      <group>L1_Format</group>
      <groupName>格式问题</groupName>
      <ability>L2_HalfPunc</ability>
      <abilityName>全半角检查</abilityName>
      <candidateList>
        <item>)</item>
      </candidateList>
      <explain>文本全半角错误。</explain>
      <paraID>3BBC046E</paraID>
      <start>7</start>
      <end>8</end>
      <status>unmodified</status>
      <modifiedWord/>
      <trackRevisions>false</trackRevisions>
    </reviewItem>
    <reviewItem>
      <errorID>c85a81a6-3be8-4e7c-9ba2-08c8e160b4df</errorID>
      <errorWord>(</errorWord>
      <group>L1_Format</group>
      <groupName>格式问题</groupName>
      <ability>L2_HalfPunc</ability>
      <abilityName>全半角检查</abilityName>
      <candidateList>
        <item>（</item>
      </candidateList>
      <explain>文本全半角错误。</explain>
      <paraID>6F3789EF</paraID>
      <start>120</start>
      <end>121</end>
      <status>unmodified</status>
      <modifiedWord/>
      <trackRevisions>false</trackRevisions>
    </reviewItem>
    <reviewItem>
      <errorID>e7764ff4-b948-4cc9-9da0-b532232ce22c</errorID>
      <errorWord>拌合站</errorWord>
      <group>L1_Word</group>
      <groupName>字词问题</groupName>
      <ability>L2_Typo</ability>
      <abilityName>字词错误</abilityName>
      <candidateList>
        <item>拌和站</item>
      </candidateList>
      <explain/>
      <paraID>6BC12DF5</paraID>
      <start>40</start>
      <end>43</end>
      <status>unmodified</status>
      <modifiedWord/>
      <trackRevisions>false</trackRevisions>
    </reviewItem>
    <reviewItem>
      <errorID>4bfb4dde-5a66-4994-8def-637816bb93e3</errorID>
      <errorWord>拌合站</errorWord>
      <group>L1_Word</group>
      <groupName>字词问题</groupName>
      <ability>L2_Typo</ability>
      <abilityName>字词错误</abilityName>
      <candidateList>
        <item>拌和站</item>
      </candidateList>
      <explain>存在发音相同字词的误用。</explain>
      <paraID>741641A7</paraID>
      <start>11</start>
      <end>14</end>
      <status>unmodified</status>
      <modifiedWord/>
      <trackRevisions>false</trackRevisions>
    </reviewItem>
    <reviewItem>
      <errorID>2dce4343-7b43-4fc6-ac56-817c052c9401</errorID>
      <errorWord>拌合站</errorWord>
      <group>L1_Word</group>
      <groupName>字词问题</groupName>
      <ability>L2_Typo</ability>
      <abilityName>字词错误</abilityName>
      <candidateList>
        <item>拌和站</item>
      </candidateList>
      <explain>存在发音相同字词的误用。</explain>
      <paraID>741641A7</paraID>
      <start>61</start>
      <end>64</end>
      <status>unmodified</status>
      <modifiedWord/>
      <trackRevisions>false</trackRevisions>
    </reviewItem>
    <reviewItem>
      <errorID>a2784d17-bed1-4090-bafe-7baa90494cf2</errorID>
      <errorWord>(</errorWord>
      <group>L1_Format</group>
      <groupName>格式问题</groupName>
      <ability>L2_HalfPunc</ability>
      <abilityName>全半角检查</abilityName>
      <candidateList>
        <item>（</item>
      </candidateList>
      <explain>文本全半角错误。</explain>
      <paraID>25753396</paraID>
      <start>7</start>
      <end>8</end>
      <status>unmodified</status>
      <modifiedWord/>
      <trackRevisions>false</trackRevisions>
    </reviewItem>
    <reviewItem>
      <errorID>ce33c829-f73d-4d14-be8a-8adc8ee0566d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273BF4C6</paraID>
      <start>21</start>
      <end>22</end>
      <status>unmodified</status>
      <modifiedWord/>
      <trackRevisions>false</trackRevisions>
    </reviewItem>
    <reviewItem>
      <errorID>670854cc-256a-4704-ba2f-9ee72a92384f</errorID>
      <errorWord>(</errorWord>
      <group>L1_Format</group>
      <groupName>格式问题</groupName>
      <ability>L2_HalfPunc</ability>
      <abilityName>全半角检查</abilityName>
      <candidateList>
        <item>（</item>
      </candidateList>
      <explain>文本全半角错误。</explain>
      <paraID> B86AB09</paraID>
      <start>34</start>
      <end>35</end>
      <status>unmodified</status>
      <modifiedWord/>
      <trackRevisions>false</trackRevisions>
    </reviewItem>
    <reviewItem>
      <errorID>20e935e7-2954-4513-841e-d0e26f526fd4</errorID>
      <errorWord>(</errorWord>
      <group>L1_Punc</group>
      <groupName>标点问题</groupName>
      <ability>L2_Punc</ability>
      <abilityName>标点符号检查</abilityName>
      <candidateList/>
      <explain>同一形式括号套用。</explain>
      <paraID> B86AB09</paraID>
      <start>44</start>
      <end>45</end>
      <status>unmodified</status>
      <modifiedWord/>
      <trackRevisions>false</trackRevisions>
    </reviewItem>
    <reviewItem>
      <errorID>5dc0d2db-3aed-4905-9b34-1d8a17ec57bc</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6078679E</paraID>
      <start>92</start>
      <end>94</end>
      <status>unmodified</status>
      <modifiedWord/>
      <trackRevisions>false</trackRevisions>
    </reviewItem>
    <reviewItem>
      <errorID>3f335c7b-0318-488f-b959-86ec19d89442</errorID>
      <errorWord>拌合站</errorWord>
      <group>L1_Word</group>
      <groupName>字词问题</groupName>
      <ability>L2_Typo</ability>
      <abilityName>字词错误</abilityName>
      <candidateList>
        <item>拌和站</item>
      </candidateList>
      <explain>存在发音相同字词的误用。</explain>
      <paraID>3969849E</paraID>
      <start>5</start>
      <end>8</end>
      <status>unmodified</status>
      <modifiedWord/>
      <trackRevisions>false</trackRevisions>
    </reviewItem>
    <reviewItem>
      <errorID>e568a114-49f6-4a61-9c3b-578cc5898215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2B4FF179</paraID>
      <start>50</start>
      <end>51</end>
      <status>unmodified</status>
      <modifiedWord/>
      <trackRevisions>false</trackRevisions>
    </reviewItem>
    <reviewItem>
      <errorID>f5a64800-10d0-44ce-8479-f39c3b10e2fe</errorID>
      <errorWord>(</errorWord>
      <group>L1_Format</group>
      <groupName>格式问题</groupName>
      <ability>L2_HalfPunc</ability>
      <abilityName>全半角检查</abilityName>
      <candidateList>
        <item>（</item>
      </candidateList>
      <explain>文本全半角错误。</explain>
      <paraID>2B4FF179</paraID>
      <start>79</start>
      <end>80</end>
      <status>unmodified</status>
      <modifiedWord/>
      <trackRevisions>false</trackRevisions>
    </reviewItem>
    <reviewItem>
      <errorID>0abd3b4f-a60a-4b6e-9d6d-dfb1c6dca11e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2B4FF179</paraID>
      <start>89</start>
      <end>90</end>
      <status>unmodified</status>
      <modifiedWord/>
      <trackRevisions>false</trackRevisions>
    </reviewItem>
    <reviewItem>
      <errorID>2db7ce5f-606b-4597-8d93-f0d67adf6f36</errorID>
      <errorWord>(</errorWord>
      <group>L1_Format</group>
      <groupName>格式问题</groupName>
      <ability>L2_HalfPunc</ability>
      <abilityName>全半角检查</abilityName>
      <candidateList>
        <item>（</item>
      </candidateList>
      <explain>文本全半角错误。</explain>
      <paraID>44ED6E1B</paraID>
      <start>29</start>
      <end>30</end>
      <status>unmodified</status>
      <modifiedWord/>
      <trackRevisions>false</trackRevisions>
    </reviewItem>
    <reviewItem>
      <errorID>33a1d8f4-8fc1-4dd6-9199-d04cd2f5ffaa</errorID>
      <errorWord>(</errorWord>
      <group>L1_Format</group>
      <groupName>格式问题</groupName>
      <ability>L2_HalfPunc</ability>
      <abilityName>全半角检查</abilityName>
      <candidateList>
        <item>（</item>
      </candidateList>
      <explain>文本全半角错误。</explain>
      <paraID>44ED6E1B</paraID>
      <start>55</start>
      <end>56</end>
      <status>unmodified</status>
      <modifiedWord/>
      <trackRevisions>false</trackRevisions>
    </reviewItem>
    <reviewItem>
      <errorID>6bec2b4b-4720-461e-91ac-e67d215b145c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44ED6E1B</paraID>
      <start>65</start>
      <end>66</end>
      <status>unmodified</status>
      <modifiedWord/>
      <trackRevisions>false</trackRevisions>
    </reviewItem>
    <reviewItem>
      <errorID>3b310cec-de31-425d-8c14-af675f929b29</errorID>
      <errorWord>(</errorWord>
      <group>L1_Format</group>
      <groupName>格式问题</groupName>
      <ability>L2_HalfPunc</ability>
      <abilityName>全半角检查</abilityName>
      <candidateList>
        <item>（</item>
      </candidateList>
      <explain>文本全半角错误。</explain>
      <paraID>44ED6E1B</paraID>
      <start>94</start>
      <end>95</end>
      <status>unmodified</status>
      <modifiedWord/>
      <trackRevisions>false</trackRevisions>
    </reviewItem>
    <reviewItem>
      <errorID>8275ccc2-48b6-4aef-b520-50fca851c2da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44ED6E1B</paraID>
      <start>104</start>
      <end>105</end>
      <status>unmodified</status>
      <modifiedWord/>
      <trackRevisions>false</trackRevisions>
    </reviewItem>
    <reviewItem>
      <errorID>3ee69d3b-f9b7-4d93-af20-61e606236d82</errorID>
      <errorWord>(</errorWord>
      <group>L1_Format</group>
      <groupName>格式问题</groupName>
      <ability>L2_HalfPunc</ability>
      <abilityName>全半角检查</abilityName>
      <candidateList>
        <item>（</item>
      </candidateList>
      <explain>文本全半角错误。</explain>
      <paraID>664624A2</paraID>
      <start>13</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a73041-1393-4779-a7a4-d865cdc5484c}">
  <ds:schemaRefs/>
</ds:datastoreItem>
</file>

<file path=docProps/app.xml><?xml version="1.0" encoding="utf-8"?>
<Properties xmlns="http://schemas.openxmlformats.org/officeDocument/2006/extended-properties" xmlns:vt="http://schemas.openxmlformats.org/officeDocument/2006/docPropsVTypes">
  <Template>wdzx97</Template>
  <Company>微软中国</Company>
  <Pages>87</Pages>
  <Words>20874</Words>
  <Characters>21733</Characters>
  <Lines>394</Lines>
  <Paragraphs>111</Paragraphs>
  <TotalTime>2</TotalTime>
  <ScaleCrop>false</ScaleCrop>
  <LinksUpToDate>false</LinksUpToDate>
  <CharactersWithSpaces>21780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2020-12-24T01:29:00Z</dcterms:created>
  <dc:creator>lhj</dc:creator>
  <cp:lastModifiedBy>W</cp:lastModifiedBy>
  <cp:lastPrinted>2026-05-09T06:57:00Z</cp:lastPrinted>
  <dcterms:modified xsi:type="dcterms:W3CDTF">2026-06-30T02:57:14Z</dcterms:modified>
  <dc:title>附件2</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B945E1BB491A477FBB8AB79EDFAB0B50_13</vt:lpwstr>
  </property>
  <property fmtid="{D5CDD505-2E9C-101B-9397-08002B2CF9AE}" pid="4" name="KSOTemplateDocerSaveRecord">
    <vt:lpwstr>eyJoZGlkIjoiNTY4ODNiODkyMWVjZWNhOTAxMzhhNTc3NWU2ODhmM2UiLCJ1c2VySWQiOiIzMjY4ODQyNjEifQ==</vt:lpwstr>
  </property>
</Properties>
</file>