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5de80a93-c4c2-4883-adaa-9b247c8f83ce</errorID>
      <errorWord>            </errorWord>
      <group>L1_Format</group>
      <groupName>格式问题</groupName>
      <ability>L2_Whitespace</ability>
      <abilityName>空白字符</abilityName>
      <candidateList>
        <item/>
      </candidateList>
      <explain>文本间存在多余的空白字符。</explain>
      <paraID>27F22697</paraID>
      <start>22</start>
      <end>34</end>
      <status>unmodified</status>
      <modifiedWord/>
      <trackRevisions>false</trackRevisions>
    </reviewItem>
    <reviewItem>
      <errorID>890a5fa4-b9c6-41cd-9ab7-19d851fc16cf</errorID>
      <errorWord>，</errorWord>
      <group>L1_Punc</group>
      <groupName>标点问题</groupName>
      <ability>L2_Punc_CN</ability>
      <abilityName>标点符号问题</abilityName>
      <candidateList>
        <item>《</item>
      </candidateList>
      <explain/>
      <paraID>4AAF48D9</paraID>
      <start>20</start>
      <end>21</end>
      <status>unmodified</status>
      <modifiedWord/>
      <trackRevisions>false</trackRevisions>
    </reviewItem>
    <reviewItem>
      <errorID>5bdbc49e-4548-484a-9933-6f8410c0c1e2</errorID>
      <errorWord>《</errorWord>
      <group>L1_Punc</group>
      <groupName>标点问题</groupName>
      <ability>L2_Punc_CN</ability>
      <abilityName>标点符号问题</abilityName>
      <candidateList>
        <item>〈</item>
      </candidateList>
      <explain/>
      <paraID>4AAF48D9</paraID>
      <start>23</start>
      <end>24</end>
      <status>unmodified</status>
      <modifiedWord/>
      <trackRevisions>false</trackRevisions>
    </reviewItem>
    <reviewItem>
      <errorID>dd9e8acc-2874-48bd-9ae6-f4842412db72</errorID>
      <errorWord>；</errorWord>
      <group>L1_Punc</group>
      <groupName>标点问题</groupName>
      <ability>L2_Punc_CN</ability>
      <abilityName>标点符号问题</abilityName>
      <candidateList>
        <item>》；</item>
      </candidateList>
      <explain/>
      <paraID>4AAF48D9</paraID>
      <start>64</start>
      <end>65</end>
      <status>unmodified</status>
      <modifiedWord/>
      <trackRevisions>false</trackRevisions>
    </reviewItem>
    <reviewItem>
      <errorID>8284ac62-9479-4e64-bfb2-51d62cbd26e0</errorID>
      <errorWord>发展和改革委</errorWord>
      <group>L1_Knowledge</group>
      <groupName>知识性问题</groupName>
      <ability>L2_Knowledge</ability>
      <abilityName>其他知识</abilityName>
      <candidateList>
        <item>发展改革委</item>
      </candidateList>
      <explain/>
      <paraID> BE76932</paraID>
      <start>35</start>
      <end>41</end>
      <status>unmodified</status>
      <modifiedWord/>
      <trackRevisions>false</trackRevisions>
    </reviewItem>
    <reviewItem>
      <errorID>a9aa79c9-e241-40f6-9097-03204d7592bf</errorID>
      <errorWord>仅是</errorWord>
      <group>L1_Word</group>
      <groupName>字词问题</groupName>
      <ability>L2_Typo</ability>
      <abilityName>字词错误</abilityName>
      <candidateList>
        <item>仅</item>
      </candidateList>
      <explain/>
      <paraID> 97F981F</paraID>
      <start>26</start>
      <end>28</end>
      <status>unmodified</status>
      <modifiedWord/>
      <trackRevisions>false</trackRevisions>
    </reviewItem>
    <reviewItem>
      <errorID>e7e0f271-4746-462d-a7c0-a0b12c16f7b3</errorID>
      <errorWord>-</errorWord>
      <group>L1_Format</group>
      <groupName>格式问题</groupName>
      <ability>L2_HalfPunc_CN</ability>
      <abilityName>全半角问题</abilityName>
      <candidateList>
        <item>－</item>
      </candidateList>
      <explain>文本全半角错误。</explain>
      <paraID>46EDF4E3</paraID>
      <start>102</start>
      <end>103</end>
      <status>unmodified</status>
      <modifiedWord/>
      <trackRevisions>false</trackRevisions>
    </reviewItem>
    <reviewItem>
      <errorID>2e2eb0c2-c8f8-4a58-92b2-fa54f9773521</errorID>
      <errorWord>的）</errorWord>
      <group>L1_Word</group>
      <groupName>字词问题</groupName>
      <ability>L2_Typo</ability>
      <abilityName>字词错误</abilityName>
      <candidateList>
        <item>），</item>
      </candidateList>
      <explain/>
      <paraID>5C66A452</paraID>
      <start>28</start>
      <end>30</end>
      <status>unmodified</status>
      <modifiedWord/>
      <trackRevisions>false</trackRevisions>
    </reviewItem>
    <reviewItem>
      <errorID>2a659ad6-e1fb-4503-b3c0-d712892e935e</errorID>
      <errorWord>获得感、幸福感和安全感</errorWord>
      <group>L1_Political</group>
      <groupName>政治性问题</groupName>
      <ability>L2_Keyword</ability>
      <abilityName>固定表述</abilityName>
      <candidateList>
        <item>获得感、幸福感、安全感</item>
      </candidateList>
      <explain>词汇“获得感、幸福感、安全感”在特定场景下为固定表述形式，请确认此处的“获得感、幸福感和安全感”是否存在不当。</explain>
      <paraID>10F36917</paraID>
      <start>368</start>
      <end>379</end>
      <status>unmodified</status>
      <modifiedWord/>
      <trackRevisions>false</trackRevisions>
    </reviewItem>
    <reviewItem>
      <errorID>05cf133d-c88c-441b-afe7-58603fe4281f</errorID>
      <errorWord>-</errorWord>
      <group>L1_Format</group>
      <groupName>格式问题</groupName>
      <ability>L2_HalfPunc_CN</ability>
      <abilityName>全半角问题</abilityName>
      <candidateList>
        <item>－</item>
      </candidateList>
      <explain>文本全半角错误。</explain>
      <paraID>71FE809E</paraID>
      <start>36</start>
      <end>37</end>
      <status>unmodified</status>
      <modifiedWord/>
      <trackRevisions>false</trackRevisions>
    </reviewItem>
    <reviewItem>
      <errorID>8166dc05-8b9d-45aa-9644-f2c70aa3cd5e</errorID>
      <errorWord>自然</errorWord>
      <group>L1_Punc</group>
      <groupName>标点问题</groupName>
      <ability>L2_Punc_CN</ability>
      <abilityName>标点符号问题</abilityName>
      <candidateList>
        <item>（自然</item>
      </candidateList>
      <explain/>
      <paraID> 198D371</paraID>
      <start>21</start>
      <end>23</end>
      <status>unmodified</status>
      <modifiedWord/>
      <trackRevisions>false</trackRevisions>
    </reviewItem>
    <reviewItem>
      <errorID>ec01e56e-663f-4a3b-a6e5-7802e7367ad6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198D371</paraID>
      <start>33</start>
      <end>34</end>
      <status>unmodified</status>
      <modifiedWord/>
      <trackRevisions>false</trackRevisions>
    </reviewItem>
    <reviewItem>
      <errorID>455fc13c-1263-4615-9bf1-8fd9904f774e</errorID>
      <errorWord>自然</errorWord>
      <group>L1_Punc</group>
      <groupName>标点问题</groupName>
      <ability>L2_Punc_CN</ability>
      <abilityName>标点符号问题</abilityName>
      <candidateList>
        <item>（自然</item>
      </candidateList>
      <explain/>
      <paraID>426F4623</paraID>
      <start>24</start>
      <end>26</end>
      <status>unmodified</status>
      <modifiedWord/>
      <trackRevisions>false</trackRevisions>
    </reviewItem>
    <reviewItem>
      <errorID>b13d6810-fd73-41b3-8f3d-2500b15f4d30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426F4623</paraID>
      <start>36</start>
      <end>37</end>
      <status>unmodified</status>
      <modifiedWord/>
      <trackRevisions>false</trackRevisions>
    </reviewItem>
    <reviewItem>
      <errorID>392c7c42-7f0b-4f0e-b029-6394abefd947</errorID>
      <errorWord>占</errorWord>
      <group>L1_Punc</group>
      <groupName>标点问题</groupName>
      <ability>L2_Punc_CN</ability>
      <abilityName>标点符号问题</abilityName>
      <candidateList>
        <item>，占</item>
      </candidateList>
      <explain/>
      <paraID>3AAE9E62</paraID>
      <start>31</start>
      <end>32</end>
      <status>unmodified</status>
      <modifiedWord/>
      <trackRevisions>false</trackRevisions>
    </reviewItem>
    <reviewItem>
      <errorID>84e5a280-629a-4116-9e2a-00f0fe76d361</errorID>
      <errorWord>拌合站</errorWord>
      <group>L1_Word</group>
      <groupName>字词问题</groupName>
      <ability>L2_Typo</ability>
      <abilityName>字词错误</abilityName>
      <candidateList>
        <item>拌和站</item>
      </candidateList>
      <explain>存在发音相同字词的误用。</explain>
      <paraID>3AAE9E62</paraID>
      <start>111</start>
      <end>114</end>
      <status>unmodified</status>
      <modifiedWord/>
      <trackRevisions>false</trackRevisions>
    </reviewItem>
    <reviewItem>
      <errorID>554dc22f-2da8-472e-b508-6572dc25d2b7</errorID>
      <errorWord>城摸开发边界</errorWord>
      <group>L1_Political</group>
      <groupName>政治性问题</groupName>
      <ability>L2_Keyword</ability>
      <abilityName>固定表述</abilityName>
      <candidateList>
        <item>城镇开发边界</item>
      </candidateList>
      <explain>词汇“城镇开发边界”在特定场景下为固定表述形式，请确认此处的“城摸开发边界”是否存在不当。</explain>
      <paraID>3AAE9E62</paraID>
      <start>327</start>
      <end>333</end>
      <status>unmodified</status>
      <modifiedWord/>
      <trackRevisions>false</trackRevisions>
    </reviewItem>
    <reviewItem>
      <errorID>cb02c3ec-6aa3-4f59-986f-caaef0b51f7f</errorID>
      <errorWord>拌合站</errorWord>
      <group>L1_Word</group>
      <groupName>字词问题</groupName>
      <ability>L2_Typo</ability>
      <abilityName>字词错误</abilityName>
      <candidateList>
        <item>拌和站</item>
      </candidateList>
      <explain>存在发音相同字词的误用。</explain>
      <paraID>3B4F6B5D</paraID>
      <start>41</start>
      <end>44</end>
      <status>unmodified</status>
      <modifiedWord/>
      <trackRevisions>false</trackRevisions>
    </reviewItem>
    <reviewItem>
      <errorID>00cb4b59-d91c-44d8-acd3-7e2bc9d4ba14</errorID>
      <errorWord>为于</errorWord>
      <group>L1_Word</group>
      <groupName>字词问题</groupName>
      <ability>L2_Typo</ability>
      <abilityName>字词错误</abilityName>
      <candidateList>
        <item>为</item>
      </candidateList>
      <explain/>
      <paraID>279D1100</paraID>
      <start>73</start>
      <end>75</end>
      <status>unmodified</status>
      <modifiedWord/>
      <trackRevisions>false</trackRevisions>
    </reviewItem>
    <reviewItem>
      <errorID>2b2d165f-cbc1-4f3a-9fc5-a16a06792308</errorID>
      <errorWord>、就</errorWord>
      <group>L1_Punc</group>
      <groupName>标点问题</groupName>
      <ability>L2_Punc_CN</ability>
      <abilityName>标点符号问题</abilityName>
      <candidateList>
        <item>，就</item>
      </candidateList>
      <explain>连接词前后不宜使用顿号，建议使用逗号。</explain>
      <paraID>3FC60F0D</paraID>
      <start>66</start>
      <end>68</end>
      <status>unmodified</status>
      <modifiedWord/>
      <trackRevisions>false</trackRevisions>
    </reviewItem>
    <reviewItem>
      <errorID>e36e3862-8b05-48ac-b99d-aea60f3cebfd</errorID>
      <errorWord>进</errorWord>
      <group>L1_Word</group>
      <groupName>字词问题</groupName>
      <ability>L2_Typo</ability>
      <abilityName>字词错误</abilityName>
      <candidateList>
        <item>对进</item>
      </candidateList>
      <explain/>
      <paraID>72E09D59</paraID>
      <start>18</start>
      <end>19</end>
      <status>unmodified</status>
      <modifiedWord/>
      <trackRevisions>false</trackRevisions>
    </reviewItem>
    <reviewItem>
      <errorID>36cedf73-f1b9-4bde-96c7-69e601a84474</errorID>
      <errorWord>苫盖</errorWord>
      <group>L1_Grammar</group>
      <groupName>语法问题</groupName>
      <ability>L2_Grammar</ability>
      <abilityName>语法错误</abilityName>
      <candidateList>
        <item>进行苫盖</item>
      </candidateList>
      <explain/>
      <paraID>72E09D59</paraID>
      <start>23</start>
      <end>25</end>
      <status>unmodified</status>
      <modifiedWord/>
      <trackRevisions>false</trackRevisions>
    </reviewItem>
    <reviewItem>
      <errorID>88b8d73e-c7a8-44da-aaf5-4e14e1977838</errorID>
      <errorWord>拌合机</errorWord>
      <group>L1_Word</group>
      <groupName>字词问题</groupName>
      <ability>L2_Alias</ability>
      <abilityName>也作/曾用词</abilityName>
      <candidateList>
        <item>拌和机</item>
      </candidateList>
      <explain>词汇[拌合机]为不规范表述或旧称，其规范书面表述为[拌和机]。</explain>
      <paraID>72E09D59</paraID>
      <start>63</start>
      <end>66</end>
      <status>unmodified</status>
      <modifiedWord/>
      <trackRevisions>false</trackRevisions>
    </reviewItem>
    <reviewItem>
      <errorID>5bee7690-7b5d-4cf0-a92b-1b3bbb41d829</errorID>
      <errorWord>设施处理</errorWord>
      <group>L1_Grammar</group>
      <groupName>语法问题</groupName>
      <ability>L2_Grammar</ability>
      <abilityName>语法错误</abilityName>
      <candidateList>
        <item>设施</item>
      </candidateList>
      <explain/>
      <paraID>72E09D59</paraID>
      <start>142</start>
      <end>146</end>
      <status>unmodified</status>
      <modifiedWord/>
      <trackRevisions>false</trackRevisions>
    </reviewItem>
    <reviewItem>
      <errorID>3b9adeaa-288d-49a4-bc36-114d1194e758</errorID>
      <errorWord>，</errorWord>
      <group>L1_Punc</group>
      <groupName>标点问题</groupName>
      <ability>L2_Punc_CN</ability>
      <abilityName>标点符号问题</abilityName>
      <candidateList>
        <item>、</item>
      </candidateList>
      <explain/>
      <paraID>72E09D59</paraID>
      <start>227</start>
      <end>228</end>
      <status>unmodified</status>
      <modifiedWord/>
      <trackRevisions>false</trackRevisions>
    </reviewItem>
    <reviewItem>
      <errorID>663c00d0-71a7-473e-9471-27c9d2ecaf9e</errorID>
      <errorWord>提出了</errorWord>
      <group>L1_Word</group>
      <groupName>字词问题</groupName>
      <ability>L2_Typo</ability>
      <abilityName>字词错误</abilityName>
      <candidateList>
        <item>应提出</item>
      </candidateList>
      <explain/>
      <paraID>3FDD46D4</paraID>
      <start>43</start>
      <end>46</end>
      <status>unmodified</status>
      <modifiedWord/>
      <trackRevisions>false</trackRevisions>
    </reviewItem>
    <reviewItem>
      <errorID>46bf8182-6639-4369-90c4-9b14b4f3390e</errorID>
      <errorWord>。</errorWord>
      <group>L1_Format</group>
      <groupName>格式问题</groupName>
      <ability>L2_HalfPunc_CN</ability>
      <abilityName>全半角问题</abilityName>
      <candidateList>
        <item>.</item>
      </candidateList>
      <explain>文本全半角错误。</explain>
      <paraID> E2F2817</paraID>
      <start>26</start>
      <end>27</end>
      <status>unmodified</status>
      <modifiedWord/>
      <trackRevisions>false</trackRevisions>
    </reviewItem>
    <reviewItem>
      <errorID>d9d81e28-6e2c-4f26-bcf1-ff2be6a980ce</errorID>
      <errorWord>。</errorWord>
      <group>L1_Format</group>
      <groupName>格式问题</groupName>
      <ability>L2_HalfPunc_CN</ability>
      <abilityName>全半角问题</abilityName>
      <candidateList>
        <item>.</item>
      </candidateList>
      <explain>文本全半角错误。</explain>
      <paraID> 3E508CE</paraID>
      <start>26</start>
      <end>27</end>
      <status>unmodified</status>
      <modifiedWord/>
      <trackRevisions>false</trackRevisions>
    </reviewItem>
    <reviewItem>
      <errorID>57b29cf3-ed6c-46d1-99ee-36b20938ac30</errorID>
      <errorWord>。</errorWord>
      <group>L1_Format</group>
      <groupName>格式问题</groupName>
      <ability>L2_HalfPunc_CN</ability>
      <abilityName>全半角问题</abilityName>
      <candidateList>
        <item>.</item>
      </candidateList>
      <explain>文本全半角错误。</explain>
      <paraID>7FE8F73C</paraID>
      <start>27</start>
      <end>28</end>
      <status>unmodified</status>
      <modifiedWord/>
      <trackRevisions>false</trackRevisions>
    </reviewItem>
    <reviewItem>
      <errorID>75035b72-0cc7-479d-bece-3bd3cb26982d</errorID>
      <errorWord>。</errorWord>
      <group>L1_Format</group>
      <groupName>格式问题</groupName>
      <ability>L2_HalfPunc_CN</ability>
      <abilityName>全半角问题</abilityName>
      <candidateList>
        <item>.</item>
      </candidateList>
      <explain>文本全半角错误。</explain>
      <paraID>542E9823</paraID>
      <start>27</start>
      <end>28</end>
      <status>unmodified</status>
      <modifiedWord/>
      <trackRevisions>false</trackRevisions>
    </reviewItem>
    <reviewItem>
      <errorID>09e0ce78-07b7-4b8b-a5f5-ab7fe898210c</errorID>
      <errorWord>。</errorWord>
      <group>L1_Format</group>
      <groupName>格式问题</groupName>
      <ability>L2_HalfPunc_CN</ability>
      <abilityName>全半角问题</abilityName>
      <candidateList>
        <item>.</item>
      </candidateList>
      <explain>文本全半角错误。</explain>
      <paraID>1F826282</paraID>
      <start>27</start>
      <end>28</end>
      <status>unmodified</status>
      <modifiedWord/>
      <trackRevisions>false</trackRevisions>
    </reviewItem>
    <reviewItem>
      <errorID>2bd4701a-e43f-4a23-b2b1-6996fe09bc1f</errorID>
      <errorWord>。</errorWord>
      <group>L1_Format</group>
      <groupName>格式问题</groupName>
      <ability>L2_HalfPunc_CN</ability>
      <abilityName>全半角问题</abilityName>
      <candidateList>
        <item>.</item>
      </candidateList>
      <explain>文本全半角错误。</explain>
      <paraID>4732E56E</paraID>
      <start>27</start>
      <end>28</end>
      <status>unmodified</status>
      <modifiedWord/>
      <trackRevisions>false</trackRevisions>
    </reviewItem>
    <reviewItem>
      <errorID>11095e4d-6519-4aa2-9bd6-5d2a336d3387</errorID>
      <errorWord>。</errorWord>
      <group>L1_Format</group>
      <groupName>格式问题</groupName>
      <ability>L2_HalfPunc_CN</ability>
      <abilityName>全半角问题</abilityName>
      <candidateList>
        <item>.</item>
      </candidateList>
      <explain>文本全半角错误。</explain>
      <paraID>7C7CEF6D</paraID>
      <start>27</start>
      <end>28</end>
      <status>unmodified</status>
      <modifiedWord/>
      <trackRevisions>false</trackRevisions>
    </reviewItem>
    <reviewItem>
      <errorID>2826e930-cd4d-4dc9-bf9f-958184bebbc4</errorID>
      <errorWord>。</errorWord>
      <group>L1_Format</group>
      <groupName>格式问题</groupName>
      <ability>L2_HalfPunc_CN</ability>
      <abilityName>全半角问题</abilityName>
      <candidateList>
        <item>.</item>
      </candidateList>
      <explain>文本全半角错误。</explain>
      <paraID>7CA39EE1</paraID>
      <start>27</start>
      <end>28</end>
      <status>unmodified</status>
      <modifiedWord/>
      <trackRevisions>false</trackRevisions>
    </reviewItem>
    <reviewItem>
      <errorID>7f9daab7-08bd-4838-8077-50a3c0e16c6f</errorID>
      <errorWord>。</errorWord>
      <group>L1_Format</group>
      <groupName>格式问题</groupName>
      <ability>L2_HalfPunc_CN</ability>
      <abilityName>全半角问题</abilityName>
      <candidateList>
        <item>.</item>
      </candidateList>
      <explain>文本全半角错误。</explain>
      <paraID>279F8697</paraID>
      <start>27</start>
      <end>28</end>
      <status>unmodified</status>
      <modifiedWord/>
      <trackRevisions>false</trackRevisions>
    </reviewItem>
    <reviewItem>
      <errorID>5207298b-169c-42cf-ad7f-108db42ecaa6</errorID>
      <errorWord>。</errorWord>
      <group>L1_Format</group>
      <groupName>格式问题</groupName>
      <ability>L2_HalfPunc_CN</ability>
      <abilityName>全半角问题</abilityName>
      <candidateList>
        <item>.</item>
      </candidateList>
      <explain>文本全半角错误。</explain>
      <paraID>60C63D1E</paraID>
      <start>26</start>
      <end>27</end>
      <status>unmodified</status>
      <modifiedWord/>
      <trackRevisions>false</trackRevisions>
    </reviewItem>
    <reviewItem>
      <errorID>2225c706-1464-4ed8-bbd1-b81a8f2e5537</errorID>
      <errorWord>。</errorWord>
      <group>L1_Format</group>
      <groupName>格式问题</groupName>
      <ability>L2_HalfPunc_CN</ability>
      <abilityName>全半角问题</abilityName>
      <candidateList>
        <item>.</item>
      </candidateList>
      <explain>文本全半角错误。</explain>
      <paraID>11D1F38D</paraID>
      <start>27</start>
      <end>28</end>
      <status>unmodified</status>
      <modifiedWord/>
      <trackRevisions>false</trackRevisions>
    </reviewItem>
    <reviewItem>
      <errorID>a7eadcbb-d860-4102-8e4f-8e5a23780c65</errorID>
      <errorWord>。</errorWord>
      <group>L1_Format</group>
      <groupName>格式问题</groupName>
      <ability>L2_HalfPunc_CN</ability>
      <abilityName>全半角问题</abilityName>
      <candidateList>
        <item>.</item>
      </candidateList>
      <explain>文本全半角错误。</explain>
      <paraID>2FC3A891</paraID>
      <start>27</start>
      <end>28</end>
      <status>unmodified</status>
      <modifiedWord/>
      <trackRevisions>false</trackRevisions>
    </reviewItem>
    <reviewItem>
      <errorID>d0784e33-e8e6-4fbf-9a93-f9515f423839</errorID>
      <errorWord>。</errorWord>
      <group>L1_Format</group>
      <groupName>格式问题</groupName>
      <ability>L2_HalfPunc_CN</ability>
      <abilityName>全半角问题</abilityName>
      <candidateList>
        <item>.</item>
      </candidateList>
      <explain>文本全半角错误。</explain>
      <paraID>1BC51E91</paraID>
      <start>27</start>
      <end>28</end>
      <status>unmodified</status>
      <modifiedWord/>
      <trackRevisions>false</trackRevisions>
    </reviewItem>
    <reviewItem>
      <errorID>a759bebd-bdb1-4762-a01a-77d9a0c39296</errorID>
      <errorWord>。</errorWord>
      <group>L1_Format</group>
      <groupName>格式问题</groupName>
      <ability>L2_HalfPunc_CN</ability>
      <abilityName>全半角问题</abilityName>
      <candidateList>
        <item>.</item>
      </candidateList>
      <explain>文本全半角错误。</explain>
      <paraID>67882CDF</paraID>
      <start>27</start>
      <end>28</end>
      <status>unmodified</status>
      <modifiedWord/>
      <trackRevisions>false</trackRevisions>
    </reviewItem>
    <reviewItem>
      <errorID>3a53ba30-77b0-44ce-816f-178a051951e3</errorID>
      <errorWord>。</errorWord>
      <group>L1_Format</group>
      <groupName>格式问题</groupName>
      <ability>L2_HalfPunc_CN</ability>
      <abilityName>全半角问题</abilityName>
      <candidateList>
        <item>.</item>
      </candidateList>
      <explain>文本全半角错误。</explain>
      <paraID>70AA4414</paraID>
      <start>27</start>
      <end>28</end>
      <status>unmodified</status>
      <modifiedWord/>
      <trackRevisions>false</trackRevisions>
    </reviewItem>
    <reviewItem>
      <errorID>6e2d03ec-996e-43f9-a0dc-f5bcad3d9df5</errorID>
      <errorWord>。</errorWord>
      <group>L1_Format</group>
      <groupName>格式问题</groupName>
      <ability>L2_HalfPunc_CN</ability>
      <abilityName>全半角问题</abilityName>
      <candidateList>
        <item>.</item>
      </candidateList>
      <explain>文本全半角错误。</explain>
      <paraID>78917FF3</paraID>
      <start>27</start>
      <end>28</end>
      <status>unmodified</status>
      <modifiedWord/>
      <trackRevisions>false</trackRevisions>
    </reviewItem>
    <reviewItem>
      <errorID>00bf2887-580a-4c19-b355-7830b98a189c</errorID>
      <errorWord>。</errorWord>
      <group>L1_Format</group>
      <groupName>格式问题</groupName>
      <ability>L2_HalfPunc_CN</ability>
      <abilityName>全半角问题</abilityName>
      <candidateList>
        <item>.</item>
      </candidateList>
      <explain>文本全半角错误。</explain>
      <paraID>5CB80BCE</paraID>
      <start>27</start>
      <end>28</end>
      <status>unmodified</status>
      <modifiedWord/>
      <trackRevisions>false</trackRevisions>
    </reviewItem>
    <reviewItem>
      <errorID>165e96be-76a0-4d7d-8190-aaf53cb321da</errorID>
      <errorWord>。</errorWord>
      <group>L1_Format</group>
      <groupName>格式问题</groupName>
      <ability>L2_HalfPunc_CN</ability>
      <abilityName>全半角问题</abilityName>
      <candidateList>
        <item>.</item>
      </candidateList>
      <explain>文本全半角错误。</explain>
      <paraID>315CC5AA</paraID>
      <start>27</start>
      <end>28</end>
      <status>unmodified</status>
      <modifiedWord/>
      <trackRevisions>false</trackRevisions>
    </reviewItem>
    <reviewItem>
      <errorID>45568534-8670-4e3a-bb39-161598e3bc76</errorID>
      <errorWord>：</errorWord>
      <group>L1_Punc</group>
      <groupName>标点问题</groupName>
      <ability>L2_Punc_CN</ability>
      <abilityName>标点符号问题</abilityName>
      <candidateList>
        <item>，</item>
      </candidateList>
      <explain/>
      <paraID>226EE634</paraID>
      <start>34</start>
      <end>35</end>
      <status>unmodified</status>
      <modifiedWord/>
      <trackRevisions>false</trackRevisions>
    </reviewItem>
    <reviewItem>
      <errorID>bc54a545-4f4c-4a08-8338-7162c9c9cda2</errorID>
      <errorWord>，</errorWord>
      <group>L1_Punc</group>
      <groupName>标点问题</groupName>
      <ability>L2_Punc_CN</ability>
      <abilityName>标点符号问题</abilityName>
      <candidateList>
        <item>。</item>
      </candidateList>
      <explain/>
      <paraID>133798EF</paraID>
      <start>38</start>
      <end>39</end>
      <status>unmodified</status>
      <modifiedWord/>
      <trackRevisions>false</trackRevisions>
    </reviewItem>
    <reviewItem>
      <errorID>e471d5df-ded2-4737-aa53-cb8a92b53912</errorID>
      <errorWord>，</errorWord>
      <group>L1_Punc</group>
      <groupName>标点问题</groupName>
      <ability>L2_Punc_CN</ability>
      <abilityName>标点符号问题</abilityName>
      <candidateList>
        <item>、</item>
      </candidateList>
      <explain/>
      <paraID>133798EF</paraID>
      <start>70</start>
      <end>71</end>
      <status>unmodified</status>
      <modifiedWord/>
      <trackRevisions>false</trackRevisions>
    </reviewItem>
    <reviewItem>
      <errorID>1e87d087-ffc7-4440-b137-7430806b0ead</errorID>
      <errorWord>，</errorWord>
      <group>L1_Punc</group>
      <groupName>标点问题</groupName>
      <ability>L2_Punc_CN</ability>
      <abilityName>标点符号问题</abilityName>
      <candidateList>
        <item>、</item>
      </candidateList>
      <explain/>
      <paraID>133798EF</paraID>
      <start>98</start>
      <end>99</end>
      <status>unmodified</status>
      <modifiedWord/>
      <trackRevisions>false</trackRevisions>
    </reviewItem>
    <reviewItem>
      <errorID>207d263d-4243-48b0-80fa-1339bcfc1c2b</errorID>
      <errorWord>SL654-2026</errorWord>
      <group>L1_Punc</group>
      <groupName>标点问题</groupName>
      <ability>L2_Punc_CN</ability>
      <abilityName>标点符号问题</abilityName>
      <candidateList>
        <item>（SL654-2026）的</item>
      </candidateList>
      <explain/>
      <paraID>3089D8F7</paraID>
      <start>24</start>
      <end>34</end>
      <status>unmodified</status>
      <modifiedWord/>
      <trackRevisions>false</trackRevisions>
    </reviewItem>
    <reviewItem>
      <errorID>335a373d-d026-4582-ad04-1ec40c4530e6</errorID>
      <errorWord>,</errorWord>
      <group>L1_Format</group>
      <groupName>格式问题</groupName>
      <ability>L2_HalfPunc_CN</ability>
      <abilityName>全半角问题</abilityName>
      <candidateList>
        <item>，</item>
      </candidateList>
      <explain>文本全半角错误。</explain>
      <paraID>3089D8F7</paraID>
      <start>70</start>
      <end>71</end>
      <status>unmodified</status>
      <modifiedWord/>
      <trackRevisions>false</trackRevisions>
    </reviewItem>
    <reviewItem>
      <errorID>5e12c6e9-80f7-4273-9262-f15b42bbece9</errorID>
      <errorWord>，</errorWord>
      <group>L1_Punc</group>
      <groupName>标点问题</groupName>
      <ability>L2_Punc_CN</ability>
      <abilityName>标点符号问题</abilityName>
      <candidateList>
        <item>。</item>
      </candidateList>
      <explain/>
      <paraID>3566BC82</paraID>
      <start>50</start>
      <end>51</end>
      <status>unmodified</status>
      <modifiedWord/>
      <trackRevisions>false</trackRevisions>
    </reviewItem>
    <reviewItem>
      <errorID>9f271ec8-cc7a-4a59-89c6-f978696c8745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1D93CBEA</paraID>
      <start>25</start>
      <end>26</end>
      <status>unmodified</status>
      <modifiedWord/>
      <trackRevisions>false</trackRevisions>
    </reviewItem>
    <reviewItem>
      <errorID>6298c6c6-7e18-4476-8b8b-be08d1f9288e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1D93CBEA</paraID>
      <start>41</start>
      <end>42</end>
      <status>unmodified</status>
      <modifiedWord/>
      <trackRevisions>false</trackRevisions>
    </reviewItem>
    <reviewItem>
      <errorID>f517ec26-9b2d-4b7c-b413-933cb9a3d31b</errorID>
      <errorWord>。</errorWord>
      <group>L1_Grammar</group>
      <groupName>语法问题</groupName>
      <ability>L2_Grammar</ability>
      <abilityName>语法错误</abilityName>
      <candidateList>
        <item>的目的。</item>
      </candidateList>
      <explain/>
      <paraID>1CDFBBD9</paraID>
      <start>108</start>
      <end>109</end>
      <status>unmodified</status>
      <modifiedWord/>
      <trackRevisions>false</trackRevisions>
    </reviewItem>
    <reviewItem>
      <errorID>4bab3faf-aeec-4bb2-9826-8e31259a1772</errorID>
      <errorWord>拌合机</errorWord>
      <group>L1_Word</group>
      <groupName>字词问题</groupName>
      <ability>L2_Alias</ability>
      <abilityName>也作/曾用词</abilityName>
      <candidateList>
        <item>拌和机</item>
      </candidateList>
      <explain>词汇[拌合机]为不规范表述或旧称，其规范书面表述为[拌和机]。</explain>
      <paraID>6026B9B7</paraID>
      <start>112</start>
      <end>115</end>
      <status>unmodified</status>
      <modifiedWord/>
      <trackRevisions>false</trackRevisions>
    </reviewItem>
    <reviewItem>
      <errorID>ff69fe35-0ad4-4931-a3ae-0e79de8ad696</errorID>
      <errorWord>提高</errorWord>
      <group>L1_Grammar</group>
      <groupName>语法问题</groupName>
      <ability>L2_Grammar</ability>
      <abilityName>语法错误</abilityName>
      <candidateList>
        <item>增强</item>
      </candidateList>
      <explain>“提高～意识”搭配不当，建议修改为“增强～意识”。</explain>
      <paraID> CFE35CA</paraID>
      <start>36</start>
      <end>38</end>
      <status>unmodified</status>
      <modifiedWord/>
      <trackRevisions>false</trackRevisions>
    </reviewItem>
    <reviewItem>
      <errorID>b6872fb3-ffc1-4402-b2f2-aa9848567546</errorID>
      <errorWord>场地</errorWord>
      <group>L1_Grammar</group>
      <groupName>语法问题</groupName>
      <ability>L2_Grammar</ability>
      <abilityName>语法错误</abilityName>
      <candidateList>
        <item>进行场地</item>
      </candidateList>
      <explain/>
      <paraID>32F9A93C</paraID>
      <start>124</start>
      <end>126</end>
      <status>unmodified</status>
      <modifiedWord/>
      <trackRevisions>false</trackRevisions>
    </reviewItem>
    <reviewItem>
      <errorID>dc4349d0-4d89-4edd-9095-aab2948286ff</errorID>
      <errorWord>与</errorWord>
      <group>L1_Punc</group>
      <groupName>标点问题</groupName>
      <ability>L2_Punc_CN</ability>
      <abilityName>标点符号问题</abilityName>
      <candidateList>
        <item>，与</item>
      </candidateList>
      <explain/>
      <paraID>5DE4D192</paraID>
      <start>20</start>
      <end>21</end>
      <status>unmodified</status>
      <modifiedWord/>
      <trackRevisions>false</trackRevisions>
    </reviewItem>
    <reviewItem>
      <errorID>8858c263-58a3-4e66-b900-0d360ec90bec</errorID>
      <errorWord>出</errorWord>
      <group>L1_Grammar</group>
      <groupName>语法问题</groupName>
      <ability>L2_Grammar</ability>
      <abilityName>语法错误</abilityName>
      <candidateList>
        <item>，得出</item>
      </candidateList>
      <explain/>
      <paraID>5DE4D192</paraID>
      <start>50</start>
      <end>51</end>
      <status>unmodified</status>
      <modifiedWord/>
      <trackRevisions>false</trackRevisions>
    </reviewItem>
    <reviewItem>
      <errorID>bee51aba-77ba-4f9f-a80f-b9e75b98a91a</errorID>
      <errorWord>，</errorWord>
      <group>L1_Punc</group>
      <groupName>标点问题</groupName>
      <ability>L2_Punc_CN</ability>
      <abilityName>标点符号问题</abilityName>
      <candidateList>
        <item>；</item>
      </candidateList>
      <explain/>
      <paraID>5DE4D192</paraID>
      <start>97</start>
      <end>98</end>
      <status>unmodified</status>
      <modifiedWord/>
      <trackRevisions>false</trackRevisions>
    </reviewItem>
    <reviewItem>
      <errorID>bb6ba563-1ecb-4339-93cf-57a4f8367b11</errorID>
      <errorWord>，</errorWord>
      <group>L1_Punc</group>
      <groupName>标点问题</groupName>
      <ability>L2_Punc_CN</ability>
      <abilityName>标点符号问题</abilityName>
      <candidateList>
        <item>、</item>
      </candidateList>
      <explain/>
      <paraID>5DE4D192</paraID>
      <start>132</start>
      <end>133</end>
      <status>unmodified</status>
      <modifiedWord/>
      <trackRevisions>false</trackRevisions>
    </reviewItem>
    <reviewItem>
      <errorID>92b57fd4-e756-4cb0-bc45-0fc6812a467e</errorID>
      <errorWord>，</errorWord>
      <group>L1_Punc</group>
      <groupName>标点问题</groupName>
      <ability>L2_Punc_CN</ability>
      <abilityName>标点符号问题</abilityName>
      <candidateList>
        <item>；</item>
      </candidateList>
      <explain/>
      <paraID>6D767248</paraID>
      <start>17</start>
      <end>18</end>
      <status>unmodified</status>
      <modifiedWord/>
      <trackRevisions>false</trackRevisions>
    </reviewItem>
    <reviewItem>
      <errorID>149bc8a9-e33d-445d-aaee-380188837e5e</errorID>
      <errorWord>本</errorWord>
      <group>L1_Word</group>
      <groupName>字词问题</groupName>
      <ability>L2_Typo</ability>
      <abilityName>字词错误</abilityName>
      <candidateList>
        <item> 本</item>
      </candidateList>
      <explain/>
      <paraID>3245F11B</paraID>
      <start>4</start>
      <end>5</end>
      <status>unmodified</status>
      <modifiedWord/>
      <trackRevisions>false</trackRevisions>
    </reviewItem>
    <reviewItem>
      <errorID>96ad9ebb-e2df-4ae1-9fcd-da8e184d9366</errorID>
      <errorWord>外购</errorWord>
      <group>L1_Word</group>
      <groupName>字词问题</groupName>
      <ability>L2_Typo</ability>
      <abilityName>字词错误</abilityName>
      <candidateList>
        <item>从</item>
      </candidateList>
      <explain/>
      <paraID>14AD1C8F</paraID>
      <start>99</start>
      <end>101</end>
      <status>unmodified</status>
      <modifiedWord/>
      <trackRevisions>false</trackRevisions>
    </reviewItem>
    <reviewItem>
      <errorID>11457f1f-9534-4a6d-ba5f-8c1d55a27022</errorID>
      <errorWord>，</errorWord>
      <group>L1_Grammar</group>
      <groupName>语法问题</groupName>
      <ability>L2_Grammar</ability>
      <abilityName>语法错误</abilityName>
      <candidateList>
        <item>外购，</item>
      </candidateList>
      <explain/>
      <paraID>14AD1C8F</paraID>
      <start>112</start>
      <end>113</end>
      <status>unmodified</status>
      <modifiedWord/>
      <trackRevisions>false</trackRevisions>
    </reviewItem>
    <reviewItem>
      <errorID>09268304-ce90-40ca-b032-7149e86a2eba</errorID>
      <errorWord>项目</errorWord>
      <group>L1_Word</group>
      <groupName>字词问题</groupName>
      <ability>L2_Typo</ability>
      <abilityName>字词错误</abilityName>
      <candidateList>
        <item> 项目</item>
      </candidateList>
      <explain/>
      <paraID> 3AAF10A</paraID>
      <start>4</start>
      <end>6</end>
      <status>unmodified</status>
      <modifiedWord/>
      <trackRevisions>false</trackRevisions>
    </reviewItem>
    <reviewItem>
      <errorID>61a15412-01b3-401c-b12a-29725aed6578</errorID>
      <errorWord>：</errorWord>
      <group>L1_Punc</group>
      <groupName>标点问题</groupName>
      <ability>L2_Punc_CN</ability>
      <abilityName>标点符号问题</abilityName>
      <candidateList>
        <item>:</item>
      </candidateList>
      <explain/>
      <paraID>63EC492C</paraID>
      <start>66</start>
      <end>67</end>
      <status>unmodified</status>
      <modifiedWord/>
      <trackRevisions>false</trackRevisions>
    </reviewItem>
    <reviewItem>
      <errorID>ee0c9c6e-53bf-4d2e-8bea-a37233752d56</errorID>
      <errorWord>聚氨脂</errorWord>
      <group>L1_Word</group>
      <groupName>字词问题</groupName>
      <ability>L2_Typo</ability>
      <abilityName>字词错误</abilityName>
      <candidateList>
        <item>聚氨酯</item>
      </candidateList>
      <explain/>
      <paraID>63EC492C</paraID>
      <start>191</start>
      <end>194</end>
      <status>unmodified</status>
      <modifiedWord/>
      <trackRevisions>false</trackRevisions>
    </reviewItem>
    <reviewItem>
      <errorID>031a4d38-0b9e-44f2-b887-410984c9d6c0</errorID>
      <errorWord>：</errorWord>
      <group>L1_Format</group>
      <groupName>格式问题</groupName>
      <ability>L2_HalfPunc_CN</ability>
      <abilityName>全半角问题</abilityName>
      <candidateList>
        <item>:</item>
      </candidateList>
      <explain>文本全半角错误。</explain>
      <paraID>44DE72FD</paraID>
      <start>104</start>
      <end>105</end>
      <status>unmodified</status>
      <modifiedWord/>
      <trackRevisions>false</trackRevisions>
    </reviewItem>
    <reviewItem>
      <errorID>fe62c269-a872-4676-bccb-2eace50d1ac1</errorID>
      <errorWord>聚氨脂</errorWord>
      <group>L1_Word</group>
      <groupName>字词问题</groupName>
      <ability>L2_Typo</ability>
      <abilityName>字词错误</abilityName>
      <candidateList>
        <item>聚氨酯</item>
      </candidateList>
      <explain/>
      <paraID>44DE72FD</paraID>
      <start>185</start>
      <end>188</end>
      <status>unmodified</status>
      <modifiedWord/>
      <trackRevisions>false</trackRevisions>
    </reviewItem>
    <reviewItem>
      <errorID>06d52443-4e6e-4775-918a-100b026b0ec3</errorID>
      <errorWord>：</errorWord>
      <group>L1_Format</group>
      <groupName>格式问题</groupName>
      <ability>L2_HalfPunc_CN</ability>
      <abilityName>全半角问题</abilityName>
      <candidateList>
        <item>:</item>
      </candidateList>
      <explain>文本全半角错误。</explain>
      <paraID>69A06D5C</paraID>
      <start>52</start>
      <end>53</end>
      <status>unmodified</status>
      <modifiedWord/>
      <trackRevisions>false</trackRevisions>
    </reviewItem>
    <reviewItem>
      <errorID>3507728e-aaf4-416e-9ec4-a1f6373080d3</errorID>
      <errorWord>聚氨脂</errorWord>
      <group>L1_Word</group>
      <groupName>字词问题</groupName>
      <ability>L2_Typo</ability>
      <abilityName>字词错误</abilityName>
      <candidateList>
        <item>聚氨酯</item>
      </candidateList>
      <explain>存在发音相同字词的误用。</explain>
      <paraID>69A06D5C</paraID>
      <start>114</start>
      <end>117</end>
      <status>unmodified</status>
      <modifiedWord/>
      <trackRevisions>false</trackRevisions>
    </reviewItem>
    <reviewItem>
      <errorID>88260e91-9fa5-48e4-a0ef-5678964ad6ba</errorID>
      <errorWord>聚氨脂</errorWord>
      <group>L1_Word</group>
      <groupName>字词问题</groupName>
      <ability>L2_Typo</ability>
      <abilityName>字词错误</abilityName>
      <candidateList>
        <item>聚氨酯</item>
      </candidateList>
      <explain>存在发音相同字词的误用。</explain>
      <paraID>69A06D5C</paraID>
      <start>121</start>
      <end>124</end>
      <status>unmodified</status>
      <modifiedWord/>
      <trackRevisions>false</trackRevisions>
    </reviewItem>
    <reviewItem>
      <errorID>44080e5d-212f-42f7-b0a9-61539f587d47</errorID>
      <errorWord>，去</errorWord>
      <group>L1_Word</group>
      <groupName>字词问题</groupName>
      <ability>L2_Typo</ability>
      <abilityName>字词错误</abilityName>
      <candidateList>
        <item>，</item>
      </candidateList>
      <explain/>
      <paraID>5BFE8C92</paraID>
      <start>67</start>
      <end>69</end>
      <status>unmodified</status>
      <modifiedWord/>
      <trackRevisions>false</trackRevisions>
    </reviewItem>
    <reviewItem>
      <errorID>2b2acf04-1587-40b2-b682-a3070dc0550f</errorID>
      <errorWord>：</errorWord>
      <group>L1_Format</group>
      <groupName>格式问题</groupName>
      <ability>L2_HalfPunc_CN</ability>
      <abilityName>全半角问题</abilityName>
      <candidateList>
        <item>:</item>
      </candidateList>
      <explain>文本全半角错误。</explain>
      <paraID>5BFE8C92</paraID>
      <start>93</start>
      <end>94</end>
      <status>unmodified</status>
      <modifiedWord/>
      <trackRevisions>false</trackRevisions>
    </reviewItem>
    <reviewItem>
      <errorID>02b68fc6-e3f0-433c-b8a8-841a72a6cb2e</errorID>
      <errorWord>聚氨脂</errorWord>
      <group>L1_Word</group>
      <groupName>字词问题</groupName>
      <ability>L2_Typo</ability>
      <abilityName>字词错误</abilityName>
      <candidateList>
        <item>聚氨酯</item>
      </candidateList>
      <explain>存在发音相同字词的误用。</explain>
      <paraID>5BFE8C92</paraID>
      <start>155</start>
      <end>158</end>
      <status>unmodified</status>
      <modifiedWord/>
      <trackRevisions>false</trackRevisions>
    </reviewItem>
    <reviewItem>
      <errorID>deea227a-628a-4d4e-903e-36607c44a3bb</errorID>
      <errorWord>聚氨脂</errorWord>
      <group>L1_Word</group>
      <groupName>字词问题</groupName>
      <ability>L2_Typo</ability>
      <abilityName>字词错误</abilityName>
      <candidateList>
        <item>聚氨酯</item>
      </candidateList>
      <explain>存在发音相同字词的误用。</explain>
      <paraID>5BFE8C92</paraID>
      <start>162</start>
      <end>165</end>
      <status>unmodified</status>
      <modifiedWord/>
      <trackRevisions>false</trackRevisions>
    </reviewItem>
    <reviewItem>
      <errorID>47414ea2-9264-4ca0-82b2-37a519ca5b73</errorID>
      <errorWord>“L”型</errorWord>
      <group>L1_Word</group>
      <groupName>字词问题</groupName>
      <ability>L2_Typo</ability>
      <abilityName>字词错误</abilityName>
      <candidateList>
        <item>“L”形</item>
      </candidateList>
      <explain/>
      <paraID>1C74B53D</paraID>
      <start>57</start>
      <end>61</end>
      <status>unmodified</status>
      <modifiedWord/>
      <trackRevisions>false</trackRevisions>
    </reviewItem>
    <reviewItem>
      <errorID>7680e664-829b-4c53-894d-146b45396f65</errorID>
      <errorWord>：</errorWord>
      <group>L1_Format</group>
      <groupName>格式问题</groupName>
      <ability>L2_HalfPunc_CN</ability>
      <abilityName>全半角问题</abilityName>
      <candidateList>
        <item>:</item>
      </candidateList>
      <explain>文本全半角错误。</explain>
      <paraID>2202D2BB</paraID>
      <start>83</start>
      <end>84</end>
      <status>unmodified</status>
      <modifiedWord/>
      <trackRevisions>false</trackRevisions>
    </reviewItem>
    <reviewItem>
      <errorID>bdd18046-8e5f-40d0-87a6-6432a5d52cde</errorID>
      <errorWord>聚氨脂</errorWord>
      <group>L1_Word</group>
      <groupName>字词问题</groupName>
      <ability>L2_Typo</ability>
      <abilityName>字词错误</abilityName>
      <candidateList>
        <item>聚氨酯</item>
      </candidateList>
      <explain>存在发音相同字词的误用。</explain>
      <paraID>2202D2BB</paraID>
      <start>145</start>
      <end>148</end>
      <status>unmodified</status>
      <modifiedWord/>
      <trackRevisions>false</trackRevisions>
    </reviewItem>
    <reviewItem>
      <errorID>63f69999-401b-400e-82f3-fde47f31be66</errorID>
      <errorWord>聚氨脂</errorWord>
      <group>L1_Word</group>
      <groupName>字词问题</groupName>
      <ability>L2_Typo</ability>
      <abilityName>字词错误</abilityName>
      <candidateList>
        <item>聚氨酯</item>
      </candidateList>
      <explain>存在发音相同字词的误用。</explain>
      <paraID>2202D2BB</paraID>
      <start>152</start>
      <end>155</end>
      <status>unmodified</status>
      <modifiedWord/>
      <trackRevisions>false</trackRevisions>
    </reviewItem>
    <reviewItem>
      <errorID>3d30a481-79e4-434b-8452-0ab9f88dfb8d</errorID>
      <errorWord>，</errorWord>
      <group>L1_Punc</group>
      <groupName>标点问题</groupName>
      <ability>L2_Punc_CN</ability>
      <abilityName>标点符号问题</abilityName>
      <candidateList>
        <item>。</item>
      </candidateList>
      <explain/>
      <paraID>365958ED</paraID>
      <start>13</start>
      <end>14</end>
      <status>unmodified</status>
      <modifiedWord/>
      <trackRevisions>false</trackRevisions>
    </reviewItem>
    <reviewItem>
      <errorID>a8fe11ac-2c3a-4633-8fad-eb7b7d6d35d6</errorID>
      <errorWord>角度布置</errorWord>
      <group>L1_Grammar</group>
      <groupName>语法问题</groupName>
      <ability>L2_Grammar</ability>
      <abilityName>语法错误</abilityName>
      <candidateList>
        <item>角度</item>
      </candidateList>
      <explain/>
      <paraID>365958ED</paraID>
      <start>35</start>
      <end>39</end>
      <status>unmodified</status>
      <modifiedWord/>
      <trackRevisions>false</trackRevisions>
    </reviewItem>
    <reviewItem>
      <errorID>9ad05e60-b5ef-41f9-9390-fdb5a50aeb68</errorID>
      <errorWord>、</errorWord>
      <group>L1_Word</group>
      <groupName>字词问题</groupName>
      <ability>L2_Typo</ability>
      <abilityName>字词错误</abilityName>
      <candidateList>
        <item>和</item>
      </candidateList>
      <explain/>
      <paraID>365958ED</paraID>
      <start>70</start>
      <end>71</end>
      <status>unmodified</status>
      <modifiedWord/>
      <trackRevisions>false</trackRevisions>
    </reviewItem>
    <reviewItem>
      <errorID>2a42f93c-c8a9-40db-90ee-4263818ca700</errorID>
      <errorWord>，</errorWord>
      <group>L1_Punc</group>
      <groupName>标点问题</groupName>
      <ability>L2_Punc_CN</ability>
      <abilityName>标点符号问题</abilityName>
      <candidateList>
        <item>。</item>
      </candidateList>
      <explain/>
      <paraID>365958ED</paraID>
      <start>126</start>
      <end>127</end>
      <status>unmodified</status>
      <modifiedWord/>
      <trackRevisions>false</trackRevisions>
    </reviewItem>
    <reviewItem>
      <errorID>ad858a18-b383-4d2b-a7fc-17b0ebd3507f</errorID>
      <errorWord>，</errorWord>
      <group>L1_Punc</group>
      <groupName>标点问题</groupName>
      <ability>L2_Punc_CN</ability>
      <abilityName>标点符号问题</abilityName>
      <candidateList>
        <item>。</item>
      </candidateList>
      <explain/>
      <paraID>63581DC6</paraID>
      <start>15</start>
      <end>16</end>
      <status>unmodified</status>
      <modifiedWord/>
      <trackRevisions>false</trackRevisions>
    </reviewItem>
    <reviewItem>
      <errorID>4b75bfd7-b265-4b76-9f59-c1f20fc02028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49200465</paraID>
      <start>22</start>
      <end>23</end>
      <status>unmodified</status>
      <modifiedWord/>
      <trackRevisions>false</trackRevisions>
    </reviewItem>
    <reviewItem>
      <errorID>a21afa06-62a0-451e-8efc-d98bf88b3d16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49200465</paraID>
      <start>38</start>
      <end>39</end>
      <status>unmodified</status>
      <modifiedWord/>
      <trackRevisions>false</trackRevisions>
    </reviewItem>
    <reviewItem>
      <errorID>6dd068ae-0390-4891-a866-a85c6d8c1cf1</errorID>
      <errorWord>浇筑，</errorWord>
      <group>L1_Grammar</group>
      <groupName>语法问题</groupName>
      <ability>L2_Grammar</ability>
      <abilityName>语法错误</abilityName>
      <candidateList>
        <item>。</item>
      </candidateList>
      <explain/>
      <paraID>49200465</paraID>
      <start>55</start>
      <end>58</end>
      <status>unmodified</status>
      <modifiedWord/>
      <trackRevisions>false</trackRevisions>
    </reviewItem>
    <reviewItem>
      <errorID>e9f5e4c6-3e83-4708-a1cc-ffe1f064dcd8</errorID>
      <errorWord>浇筑，</errorWord>
      <group>L1_Grammar</group>
      <groupName>语法问题</groupName>
      <ability>L2_Grammar</ability>
      <abilityName>语法错误</abilityName>
      <candidateList>
        <item>。</item>
      </candidateList>
      <explain/>
      <paraID>49200465</paraID>
      <start>94</start>
      <end>97</end>
      <status>unmodified</status>
      <modifiedWord/>
      <trackRevisions>false</trackRevisions>
    </reviewItem>
    <reviewItem>
      <errorID>570a4943-2c21-477c-973d-f1f702e00485</errorID>
      <errorWord>浇筑，</errorWord>
      <group>L1_Grammar</group>
      <groupName>语法问题</groupName>
      <ability>L2_Grammar</ability>
      <abilityName>语法错误</abilityName>
      <candidateList>
        <item>。</item>
      </candidateList>
      <explain/>
      <paraID>49200465</paraID>
      <start>157</start>
      <end>160</end>
      <status>unmodified</status>
      <modifiedWord/>
      <trackRevisions>false</trackRevisions>
    </reviewItem>
    <reviewItem>
      <errorID>0023b453-2c57-438c-ada6-6c5aa39b057d</errorID>
      <errorWord>，</errorWord>
      <group>L1_Punc</group>
      <groupName>标点问题</groupName>
      <ability>L2_Punc_CN</ability>
      <abilityName>标点符号问题</abilityName>
      <candidateList>
        <item>。</item>
      </candidateList>
      <explain/>
      <paraID>49200465</paraID>
      <start>216</start>
      <end>217</end>
      <status>unmodified</status>
      <modifiedWord/>
      <trackRevisions>false</trackRevisions>
    </reviewItem>
    <reviewItem>
      <errorID>992dde9b-2ac6-45a3-9a83-a85200f06759</errorID>
      <errorWord>设计</errorWord>
      <group>L1_Punc</group>
      <groupName>标点问题</groupName>
      <ability>L2_Punc_CN</ability>
      <abilityName>标点符号问题</abilityName>
      <candidateList>
        <item>，设计</item>
      </candidateList>
      <explain/>
      <paraID>2DE69D66</paraID>
      <start>276</start>
      <end>278</end>
      <status>unmodified</status>
      <modifiedWord/>
      <trackRevisions>false</trackRevisions>
    </reviewItem>
    <reviewItem>
      <errorID>8b81d8be-3408-41cf-be1d-67900fd56113</errorID>
      <errorWord>改善</errorWord>
      <group>L1_Word</group>
      <groupName>字词问题</groupName>
      <ability>L2_Typo</ability>
      <abilityName>字词错误</abilityName>
      <candidateList>
        <item>提高</item>
      </candidateList>
      <explain/>
      <paraID>2DE69D66</paraID>
      <start>303</start>
      <end>305</end>
      <status>unmodified</status>
      <modifiedWord/>
      <trackRevisions>false</trackRevisions>
    </reviewItem>
    <reviewItem>
      <errorID>2326cecf-cd28-45a0-9116-42fe51bb8c31</errorID>
      <errorWord>改善</errorWord>
      <group>L1_Grammar</group>
      <groupName>语法问题</groupName>
      <ability>L2_Grammar</ability>
      <abilityName>语法错误</abilityName>
      <candidateList>
        <item>解决</item>
      </candidateList>
      <explain>“改善～问题”搭配不当，建议修改为“解决～问题”。</explain>
      <paraID>2DE69D66</paraID>
      <start>318</start>
      <end>320</end>
      <status>unmodified</status>
      <modifiedWord/>
      <trackRevisions>false</trackRevisions>
    </reviewItem>
    <reviewItem>
      <errorID>eaea7d1f-c974-4b2c-b0a4-5ad5853f2d3e</errorID>
      <errorWord>，</errorWord>
      <group>L1_Word</group>
      <groupName>字词问题</groupName>
      <ability>L2_Typo</ability>
      <abilityName>字词错误</abilityName>
      <candidateList>
        <item>，对</item>
      </candidateList>
      <explain/>
      <paraID>4897044B</paraID>
      <start>137</start>
      <end>138</end>
      <status>unmodified</status>
      <modifiedWord/>
      <trackRevisions>false</trackRevisions>
    </reviewItem>
    <reviewItem>
      <errorID>9af2a25b-c29c-4cd8-8c4b-790805ddb879</errorID>
      <errorWord>林</errorWord>
      <group>L1_Punc</group>
      <groupName>标点问题</groupName>
      <ability>L2_Punc_CN</ability>
      <abilityName>标点符号问题</abilityName>
      <candidateList>
        <item>、林</item>
      </candidateList>
      <explain/>
      <paraID>74697337</paraID>
      <start>67</start>
      <end>68</end>
      <status>unmodified</status>
      <modifiedWord/>
      <trackRevisions>false</trackRevisions>
    </reviewItem>
    <reviewItem>
      <errorID>3139da5a-9325-4021-9842-a3c60710ad0b</errorID>
      <errorWord>,</errorWord>
      <group>L1_Format</group>
      <groupName>格式问题</groupName>
      <ability>L2_HalfPunc_CN</ability>
      <abilityName>全半角问题</abilityName>
      <candidateList>
        <item>，</item>
      </candidateList>
      <explain>文本全半角错误。</explain>
      <paraID>6EF9024A</paraID>
      <start>12</start>
      <end>13</end>
      <status>unmodified</status>
      <modifiedWord/>
      <trackRevisions>false</trackRevisions>
    </reviewItem>
    <reviewItem>
      <errorID>4dda01e4-b01d-4fb5-a594-4c0805751f22</errorID>
      <errorWord>,</errorWord>
      <group>L1_Format</group>
      <groupName>格式问题</groupName>
      <ability>L2_HalfPunc_CN</ability>
      <abilityName>全半角问题</abilityName>
      <candidateList>
        <item>，</item>
      </candidateList>
      <explain>文本全半角错误。</explain>
      <paraID>6EF9024A</paraID>
      <start>76</start>
      <end>77</end>
      <status>unmodified</status>
      <modifiedWord/>
      <trackRevisions>false</trackRevisions>
    </reviewItem>
    <reviewItem>
      <errorID>7fd71d75-94b5-48b6-95ca-aa4046abd8e4</errorID>
      <errorWord>承担防治责任</errorWord>
      <group>L1_Grammar</group>
      <groupName>语法问题</groupName>
      <ability>L2_Grammar</ability>
      <abilityName>语法错误</abilityName>
      <candidateList>
        <item>承担</item>
      </candidateList>
      <explain/>
      <paraID>1919CEE1</paraID>
      <start>102</start>
      <end>108</end>
      <status>unmodified</status>
      <modifiedWord/>
      <trackRevisions>false</trackRevisions>
    </reviewItem>
    <reviewItem>
      <errorID>25065013-9688-41fd-9da6-12c90fe4d09c</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14219A30</paraID>
      <start>26</start>
      <end>27</end>
      <status>unmodified</status>
      <modifiedWord/>
      <trackRevisions>false</trackRevisions>
    </reviewItem>
    <reviewItem>
      <errorID>d4ec63ca-e5cc-4592-b6b6-05040b2078a2</errorID>
      <errorWord>，</errorWord>
      <group>L1_Punc</group>
      <groupName>标点问题</groupName>
      <ability>L2_Punc_CN</ability>
      <abilityName>标点符号问题</abilityName>
      <candidateList>
        <item>、</item>
      </candidateList>
      <explain/>
      <paraID>485F2F62</paraID>
      <start>24</start>
      <end>25</end>
      <status>unmodified</status>
      <modifiedWord/>
      <trackRevisions>false</trackRevisions>
    </reviewItem>
    <reviewItem>
      <errorID>96f46abd-cad1-4cba-8da2-f49e9b88e22a</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 FEB6F94</paraID>
      <start>41</start>
      <end>45</end>
      <status>unmodified</status>
      <modifiedWord/>
      <trackRevisions>false</trackRevisions>
    </reviewItem>
    <reviewItem>
      <errorID>8a6ba22b-42d0-4eb0-a261-99e450772261</errorID>
      <errorWord> </errorWord>
      <group>L1_Format</group>
      <groupName>格式问题</groupName>
      <ability>L2_Whitespace</ability>
      <abilityName>空白字符</abilityName>
      <candidateList>
        <item/>
      </candidateList>
      <explain>文本间存在多余的空白字符。</explain>
      <paraID>59D7B2BA</paraID>
      <start>1</start>
      <end>2</end>
      <status>unmodified</status>
      <modifiedWord/>
      <trackRevisions>false</trackRevisions>
    </reviewItem>
    <reviewItem>
      <errorID>b519d634-0a05-4dfd-a1e3-0a60d9668af9</errorID>
      <errorWord> </errorWord>
      <group>L1_Format</group>
      <groupName>格式问题</groupName>
      <ability>L2_Whitespace</ability>
      <abilityName>空白字符</abilityName>
      <candidateList>
        <item/>
      </candidateList>
      <explain>文本间存在多余的空白字符。</explain>
      <paraID>59D7B2BA</paraID>
      <start>5</start>
      <end>6</end>
      <status>unmodified</status>
      <modifiedWord/>
      <trackRevisions>false</trackRevisions>
    </reviewItem>
    <reviewItem>
      <errorID>26d5d3f7-033a-4fd5-b9da-c8fdeb704a23</errorID>
      <errorWord> </errorWord>
      <group>L1_Format</group>
      <groupName>格式问题</groupName>
      <ability>L2_Whitespace</ability>
      <abilityName>空白字符</abilityName>
      <candidateList>
        <item/>
      </candidateList>
      <explain>文本间存在多余的空白字符。</explain>
      <paraID>1FFCACC6</paraID>
      <start>1</start>
      <end>2</end>
      <status>unmodified</status>
      <modifiedWord/>
      <trackRevisions>false</trackRevisions>
    </reviewItem>
    <reviewItem>
      <errorID>4f34feca-a27c-485b-9c85-9d6508385686</errorID>
      <errorWord> </errorWord>
      <group>L1_Format</group>
      <groupName>格式问题</groupName>
      <ability>L2_Whitespace</ability>
      <abilityName>空白字符</abilityName>
      <candidateList>
        <item/>
      </candidateList>
      <explain>文本间存在多余的空白字符。</explain>
      <paraID>1FFCACC6</paraID>
      <start>5</start>
      <end>6</end>
      <status>unmodified</status>
      <modifiedWord/>
      <trackRevisions>false</trackRevisions>
    </reviewItem>
    <reviewItem>
      <errorID>d3afdc28-fe14-4700-8156-a54741759470</errorID>
      <errorWord> </errorWord>
      <group>L1_Format</group>
      <groupName>格式问题</groupName>
      <ability>L2_Whitespace</ability>
      <abilityName>空白字符</abilityName>
      <candidateList>
        <item/>
      </candidateList>
      <explain>文本间存在多余的空白字符。</explain>
      <paraID>  FB8A85</paraID>
      <start>1</start>
      <end>2</end>
      <status>unmodified</status>
      <modifiedWord/>
      <trackRevisions>false</trackRevisions>
    </reviewItem>
    <reviewItem>
      <errorID>8e61712b-24af-41b9-b0e6-e34030c1b1f5</errorID>
      <errorWord> </errorWord>
      <group>L1_Format</group>
      <groupName>格式问题</groupName>
      <ability>L2_Whitespace</ability>
      <abilityName>空白字符</abilityName>
      <candidateList>
        <item/>
      </candidateList>
      <explain>文本间存在多余的空白字符。</explain>
      <paraID>  FB8A85</paraID>
      <start>5</start>
      <end>6</end>
      <status>unmodified</status>
      <modifiedWord/>
      <trackRevisions>false</trackRevisions>
    </reviewItem>
    <reviewItem>
      <errorID>e8728bca-4016-440c-a098-cbb7b3370eb3</errorID>
      <errorWord>砼</errorWord>
      <group>L1_Punc</group>
      <groupName>标点问题</groupName>
      <ability>L2_Punc_CN</ability>
      <abilityName>标点符号问题</abilityName>
      <candidateList>
        <item>。砼</item>
      </candidateList>
      <explain/>
      <paraID>44A2212D</paraID>
      <start>90</start>
      <end>91</end>
      <status>unmodified</status>
      <modifiedWord/>
      <trackRevisions>false</trackRevisions>
    </reviewItem>
    <reviewItem>
      <errorID>4b017c1e-44a3-47f5-9b27-735d86786b90</errorID>
      <errorWord>拌合站</errorWord>
      <group>L1_Word</group>
      <groupName>字词问题</groupName>
      <ability>L2_Typo</ability>
      <abilityName>字词错误</abilityName>
      <candidateList>
        <item>拌和站</item>
      </candidateList>
      <explain>存在发音相同字词的误用。</explain>
      <paraID>44A2212D</paraID>
      <start>91</start>
      <end>94</end>
      <status>unmodified</status>
      <modifiedWord/>
      <trackRevisions>false</trackRevisions>
    </reviewItem>
    <reviewItem>
      <errorID>2cdedea2-dfc5-4d1f-80dd-a2f422de4159</errorID>
      <errorWord>酒水</errorWord>
      <group>L1_Word</group>
      <groupName>字词问题</groupName>
      <ability>L2_Typo</ability>
      <abilityName>字词错误</abilityName>
      <candidateList>
        <item>洒水</item>
      </candidateList>
      <explain/>
      <paraID>44A2212D</paraID>
      <start>198</start>
      <end>200</end>
      <status>unmodified</status>
      <modifiedWord/>
      <trackRevisions>false</trackRevisions>
    </reviewItem>
    <reviewItem>
      <errorID>d444d0d9-228f-409b-8b22-e96a28344be0</errorID>
      <errorWord>完</errorWord>
      <group>L1_Word</group>
      <groupName>字词问题</groupName>
      <ability>L2_Typo</ability>
      <abilityName>字词错误</abilityName>
      <candidateList>
        <item>完成</item>
      </candidateList>
      <explain>〈动〉按照预期的目的结束；做成：～任务｜～作业｜计划完得成。</explain>
      <paraID>44A2212D</paraID>
      <start>226</start>
      <end>227</end>
      <status>unmodified</status>
      <modifiedWord/>
      <trackRevisions>false</trackRevisions>
    </reviewItem>
    <reviewItem>
      <errorID>6be21b41-8fbb-4f69-aba0-8435adabf654</errorID>
      <errorWord>~</errorWord>
      <group>L1_Format</group>
      <groupName>格式问题</groupName>
      <ability>L2_HalfPunc_CN</ability>
      <abilityName>全半角问题</abilityName>
      <candidateList>
        <item>～</item>
      </candidateList>
      <explain>文本全半角错误。</explain>
      <paraID>248B8560</paraID>
      <start>22</start>
      <end>23</end>
      <status>unmodified</status>
      <modifiedWord/>
      <trackRevisions>false</trackRevisions>
    </reviewItem>
    <reviewItem>
      <errorID>d418bf51-f6d6-4e81-86c5-6aac7f9c5475</errorID>
      <errorWord>钢性</errorWord>
      <group>L1_Word</group>
      <groupName>字词问题</groupName>
      <ability>L2_Typo</ability>
      <abilityName>字词错误</abilityName>
      <candidateList>
        <item>刚性</item>
      </candidateList>
      <explain>存在发音相同字词的误用。</explain>
      <paraID>248B8560</paraID>
      <start>95</start>
      <end>97</end>
      <status>unmodified</status>
      <modifiedWord/>
      <trackRevisions>false</trackRevisions>
    </reviewItem>
    <reviewItem>
      <errorID>95fa1fcc-ef2e-4c9d-aa64-b68dae1001f6</errorID>
      <errorWord>钢筋</errorWord>
      <group>L1_Punc</group>
      <groupName>标点问题</groupName>
      <ability>L2_Punc_CN</ability>
      <abilityName>标点符号问题</abilityName>
      <candidateList>
        <item>钢筋。</item>
      </candidateList>
      <explain/>
      <paraID>5AE78088</paraID>
      <start>28</start>
      <end>30</end>
      <status>unmodified</status>
      <modifiedWord/>
      <trackRevisions>false</trackRevisions>
    </reviewItem>
    <reviewItem>
      <errorID>e7da07e9-1acd-4a05-ba51-75c3be770122</errorID>
      <errorWord>拌合站</errorWord>
      <group>L1_Word</group>
      <groupName>字词问题</groupName>
      <ability>L2_Typo</ability>
      <abilityName>字词错误</abilityName>
      <candidateList>
        <item>拌和站</item>
      </candidateList>
      <explain>存在发音相同字词的误用。</explain>
      <paraID>2319E134</paraID>
      <start>47</start>
      <end>50</end>
      <status>unmodified</status>
      <modifiedWord/>
      <trackRevisions>false</trackRevisions>
    </reviewItem>
    <reviewItem>
      <errorID>1432102f-e233-44b3-8671-6b3f5097776d</errorID>
      <errorWord>酒水</errorWord>
      <group>L1_Word</group>
      <groupName>字词问题</groupName>
      <ability>L2_Typo</ability>
      <abilityName>字词错误</abilityName>
      <candidateList>
        <item>，洒水</item>
      </candidateList>
      <explain/>
      <paraID>2319E134</paraID>
      <start>153</start>
      <end>155</end>
      <status>unmodified</status>
      <modifiedWord/>
      <trackRevisions>false</trackRevisions>
    </reviewItem>
    <reviewItem>
      <errorID>33074e4f-09bf-4126-88de-ce6d019115d2</errorID>
      <errorWord>生产区</errorWord>
      <group>L1_Word</group>
      <groupName>字词问题</groupName>
      <ability>L2_Typo</ability>
      <abilityName>字词错误</abilityName>
      <candidateList>
        <item>主产区</item>
      </candidateList>
      <explain/>
      <paraID>7365E0DE</paraID>
      <start>23</start>
      <end>26</end>
      <status>unmodified</status>
      <modifiedWord/>
      <trackRevisions>false</trackRevisions>
    </reviewItem>
    <reviewItem>
      <errorID>7752b440-4c74-4b96-bbfd-1627fe1bc190</errorID>
      <errorWord>即</errorWord>
      <group>L1_Word</group>
      <groupName>字词问题</groupName>
      <ability>L2_Typo</ability>
      <abilityName>字词错误</abilityName>
      <candidateList>
        <item>既</item>
      </candidateList>
      <explain/>
      <paraID>79283D47</paraID>
      <start>14</start>
      <end>15</end>
      <status>unmodified</status>
      <modifiedWord/>
      <trackRevisions>false</trackRevisions>
    </reviewItem>
    <reviewItem>
      <errorID>b98682cd-ec26-4954-ad0a-72366487bcf5</errorID>
      <errorWord>-</errorWord>
      <group>L1_Format</group>
      <groupName>格式问题</groupName>
      <ability>L2_HalfPunc_CN</ability>
      <abilityName>全半角问题</abilityName>
      <candidateList>
        <item>－</item>
      </candidateList>
      <explain>文本全半角错误。</explain>
      <paraID>  99EA8D</paraID>
      <start>49</start>
      <end>50</end>
      <status>unmodified</status>
      <modifiedWord/>
      <trackRevisions>false</trackRevisions>
    </reviewItem>
    <reviewItem>
      <errorID>81418c46-f86a-4993-bdda-f84ecfdbd6c7</errorID>
      <errorWord>项目</errorWord>
      <group>L1_Punc</group>
      <groupName>标点问题</groupName>
      <ability>L2_Punc_CN</ability>
      <abilityName>标点符号问题</abilityName>
      <candidateList>
        <item>，项目</item>
      </candidateList>
      <explain/>
      <paraID>5EEF2CE4</paraID>
      <start>5</start>
      <end>7</end>
      <status>unmodified</status>
      <modifiedWord/>
      <trackRevisions>false</trackRevisions>
    </reviewItem>
    <reviewItem>
      <errorID>d635ede8-a200-44cf-b2ce-21737e317a5b</errorID>
      <errorWord>珍惜</errorWord>
      <group>L1_Word</group>
      <groupName>字词问题</groupName>
      <ability>L2_Typo</ability>
      <abilityName>字词错误</abilityName>
      <candidateList>
        <item>珍稀</item>
      </candidateList>
      <explain>〈形〉珍贵而稀有：大熊猫、金丝猴、野牦牛是我国的～动物。</explain>
      <paraID>5EEF2CE4</paraID>
      <start>10</start>
      <end>12</end>
      <status>unmodified</status>
      <modifiedWord/>
      <trackRevisions>false</trackRevisions>
    </reviewItem>
    <reviewItem>
      <errorID>d8cef9d2-6ea8-49b3-b2d2-f2060ce675e4</errorID>
      <errorWord>-</errorWord>
      <group>L1_Format</group>
      <groupName>格式问题</groupName>
      <ability>L2_HalfPunc_CN</ability>
      <abilityName>全半角问题</abilityName>
      <candidateList>
        <item>－</item>
      </candidateList>
      <explain>文本全半角错误。</explain>
      <paraID>68EFBEEF</paraID>
      <start>2</start>
      <end>3</end>
      <status>unmodified</status>
      <modifiedWord/>
      <trackRevisions>false</trackRevisions>
    </reviewItem>
    <reviewItem>
      <errorID>42f59582-3087-46e6-89d0-630e1a507020</errorID>
      <errorWord>鹊鸨</errorWord>
      <group>L1_Word</group>
      <groupName>字词问题</groupName>
      <ability>L2_Typo</ability>
      <abilityName>字词错误</abilityName>
      <candidateList>
        <item>斑头雁</item>
      </candidateList>
      <explain/>
      <paraID>3281343C</paraID>
      <start>80</start>
      <end>82</end>
      <status>unmodified</status>
      <modifiedWord/>
      <trackRevisions>false</trackRevisions>
    </reviewItem>
    <reviewItem>
      <errorID>a60922d9-2d10-4dff-87d7-776c1feac944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21C3EFE4</paraID>
      <start>28</start>
      <end>29</end>
      <status>unmodified</status>
      <modifiedWord/>
      <trackRevisions>false</trackRevisions>
    </reviewItem>
    <reviewItem>
      <errorID>149cc73c-820b-4b57-99a8-e5dfaacd4ce6</errorID>
      <errorWord>新疆自治区</errorWord>
      <group>L1_Word</group>
      <groupName>字词问题</groupName>
      <ability>L2_Typo</ability>
      <abilityName>字词错误</abilityName>
      <candidateList>
        <item>新疆维吾尔自治区</item>
      </candidateList>
      <explain/>
      <paraID>21C3EFE4</paraID>
      <start>167</start>
      <end>172</end>
      <status>unmodified</status>
      <modifiedWord/>
      <trackRevisions>false</trackRevisions>
    </reviewItem>
    <reviewItem>
      <errorID>43b50d00-07bc-42d0-a95e-ebd0294ef41b</errorID>
      <errorWord>沙化监测</errorWord>
      <group>L1_Grammar</group>
      <groupName>语法问题</groupName>
      <ability>L2_Grammar</ability>
      <abilityName>语法错误</abilityName>
      <candidateList>
        <item>沙化</item>
      </candidateList>
      <explain/>
      <paraID>7E172CEB</paraID>
      <start>22</start>
      <end>26</end>
      <status>unmodified</status>
      <modifiedWord/>
      <trackRevisions>false</trackRevisions>
    </reviewItem>
    <reviewItem>
      <errorID>43f03ee8-a65d-4f48-b651-53103f4310b7</errorID>
      <errorWord>基本全部</errorWord>
      <group>L1_Grammar</group>
      <groupName>语法问题</groupName>
      <ability>L2_Grammar</ability>
      <abilityName>语法错误</abilityName>
      <candidateList>
        <item>基本</item>
      </candidateList>
      <explain/>
      <paraID>6A094D00</paraID>
      <start>112</start>
      <end>116</end>
      <status>unmodified</status>
      <modifiedWord/>
      <trackRevisions>false</trackRevisions>
    </reviewItem>
    <reviewItem>
      <errorID>f063e8aa-7bd0-4844-ac02-f132fa7e932f</errorID>
      <errorWord>山以下的丘陵</errorWord>
      <group>L1_Grammar</group>
      <groupName>语法问题</groupName>
      <ability>L2_Grammar</ability>
      <abilityName>语法错误</abilityName>
      <candidateList>
        <item>山</item>
      </candidateList>
      <explain/>
      <paraID>2217E327</paraID>
      <start>6</start>
      <end>12</end>
      <status>unmodified</status>
      <modifiedWord/>
      <trackRevisions>false</trackRevisions>
    </reviewItem>
    <reviewItem>
      <errorID>ebec7075-c52f-43b4-9d4b-2741c86517ef</errorID>
      <errorWord>水库是</errorWord>
      <group>L1_Word</group>
      <groupName>字词问题</groupName>
      <ability>L2_Typo</ability>
      <abilityName>字词错误</abilityName>
      <candidateList>
        <item>水库</item>
      </candidateList>
      <explain/>
      <paraID>692DE79A</paraID>
      <start>6</start>
      <end>9</end>
      <status>unmodified</status>
      <modifiedWord/>
      <trackRevisions>false</trackRevisions>
    </reviewItem>
    <reviewItem>
      <errorID>7d6e9f68-8eee-4b4d-9d22-71a8f6f7e7d5</errorID>
      <errorWord>碾压</errorWord>
      <group>L1_Word</group>
      <groupName>字词问题</groupName>
      <ability>L2_Typo</ability>
      <abilityName>字词错误</abilityName>
      <candidateList>
        <item>为碾压</item>
      </candidateList>
      <explain/>
      <paraID> A8A826F</paraID>
      <start>2</start>
      <end>4</end>
      <status>unmodified</status>
      <modifiedWord/>
      <trackRevisions>false</trackRevisions>
    </reviewItem>
    <reviewItem>
      <errorID>e4cf7d7c-fac6-4f87-97d5-d1b1ff470bfc</errorID>
      <errorWord>5</errorWord>
      <group>L1_Word</group>
      <groupName>字词问题</groupName>
      <ability>L2_Typo</ability>
      <abilityName>字词错误</abilityName>
      <candidateList>
        <item>从5</item>
      </candidateList>
      <explain/>
      <paraID> A8A826F</paraID>
      <start>198</start>
      <end>199</end>
      <status>unmodified</status>
      <modifiedWord/>
      <trackRevisions>false</trackRevisions>
    </reviewItem>
    <reviewItem>
      <errorID>89697882-31f6-4db3-8fd9-4b175b01d119</errorID>
      <errorWord>HJ2</errorWord>
      <group>L1_Word</group>
      <groupName>字词问题</groupName>
      <ability>L2_Typo</ability>
      <abilityName>字词错误</abilityName>
      <candidateList>
        <item>HJ 2</item>
      </candidateList>
      <explain/>
      <paraID>32ADCFE1</paraID>
      <start>23</start>
      <end>26</end>
      <status>unmodified</status>
      <modifiedWord/>
      <trackRevisions>false</trackRevisions>
    </reviewItem>
    <reviewItem>
      <errorID>0c33fe79-43b3-43a3-8a6c-b07b61d07fc0</errorID>
      <errorWord>GB3095</errorWord>
      <group>L1_Word</group>
      <groupName>字词问题</groupName>
      <ability>L2_Typo</ability>
      <abilityName>字词错误</abilityName>
      <candidateList>
        <item>GB 3095</item>
      </candidateList>
      <explain/>
      <paraID>32ADCFE1</paraID>
      <start>129</start>
      <end>135</end>
      <status>unmodified</status>
      <modifiedWord/>
      <trackRevisions>false</trackRevisions>
    </reviewItem>
    <reviewItem>
      <errorID>a104206a-a3b1-4ab8-bb59-1607eed5ef1c</errorID>
      <errorWord> </errorWord>
      <group>L1_Format</group>
      <groupName>格式问题</groupName>
      <ability>L2_Whitespace</ability>
      <abilityName>空白字符</abilityName>
      <candidateList>
        <item/>
      </candidateList>
      <explain>文本间存在多余的空白字符。</explain>
      <paraID>50C15453</paraID>
      <start>4</start>
      <end>5</end>
      <status>unmodified</status>
      <modifiedWord/>
      <trackRevisions>false</trackRevisions>
    </reviewItem>
    <reviewItem>
      <errorID>d4ad4a3c-7662-490c-9076-4af209c5a4dd</errorID>
      <errorWord>＜</errorWord>
      <group>L1_Format</group>
      <groupName>格式问题</groupName>
      <ability>L2_HalfPunc_CN</ability>
      <abilityName>全半角问题</abilityName>
      <candidateList>
        <item>&lt;</item>
      </candidateList>
      <explain>文本全半角错误。</explain>
      <paraID>190BB7B1</paraID>
      <start>0</start>
      <end>1</end>
      <status>unmodified</status>
      <modifiedWord/>
      <trackRevisions>false</trackRevisions>
    </reviewItem>
    <reviewItem>
      <errorID>3fdebfa1-014d-4a6c-985e-67ad6abaafc5</errorID>
      <errorWord>＜</errorWord>
      <group>L1_Format</group>
      <groupName>格式问题</groupName>
      <ability>L2_HalfPunc_CN</ability>
      <abilityName>全半角问题</abilityName>
      <candidateList>
        <item>&lt;</item>
      </candidateList>
      <explain>文本全半角错误。</explain>
      <paraID>36A95459</paraID>
      <start>0</start>
      <end>1</end>
      <status>unmodified</status>
      <modifiedWord/>
      <trackRevisions>false</trackRevisions>
    </reviewItem>
    <reviewItem>
      <errorID>da7d9daf-8811-48f6-9765-dde81ba003ba</errorID>
      <errorWord>＜</errorWord>
      <group>L1_Format</group>
      <groupName>格式问题</groupName>
      <ability>L2_HalfPunc_CN</ability>
      <abilityName>全半角问题</abilityName>
      <candidateList>
        <item>&lt;</item>
      </candidateList>
      <explain>文本全半角错误。</explain>
      <paraID>147F1778</paraID>
      <start>0</start>
      <end>1</end>
      <status>unmodified</status>
      <modifiedWord/>
      <trackRevisions>false</trackRevisions>
    </reviewItem>
    <reviewItem>
      <errorID>ffd0ac79-c9fa-4525-ac06-b9adb9157de4</errorID>
      <errorWord>＜</errorWord>
      <group>L1_Format</group>
      <groupName>格式问题</groupName>
      <ability>L2_HalfPunc_CN</ability>
      <abilityName>全半角问题</abilityName>
      <candidateList>
        <item>&lt;</item>
      </candidateList>
      <explain>文本全半角错误。</explain>
      <paraID> 23AD05F</paraID>
      <start>0</start>
      <end>1</end>
      <status>unmodified</status>
      <modifiedWord/>
      <trackRevisions>false</trackRevisions>
    </reviewItem>
    <reviewItem>
      <errorID>a2652efe-cecb-4b32-ac9d-24904f9ac621</errorID>
      <errorWord>＜</errorWord>
      <group>L1_Format</group>
      <groupName>格式问题</groupName>
      <ability>L2_HalfPunc_CN</ability>
      <abilityName>全半角问题</abilityName>
      <candidateList>
        <item>&lt;</item>
      </candidateList>
      <explain>文本全半角错误。</explain>
      <paraID>43BA3798</paraID>
      <start>0</start>
      <end>1</end>
      <status>unmodified</status>
      <modifiedWord/>
      <trackRevisions>false</trackRevisions>
    </reviewItem>
    <reviewItem>
      <errorID>7841fc71-c094-4767-82de-1fc4a5ff6ea4</errorID>
      <errorWord>＜</errorWord>
      <group>L1_Format</group>
      <groupName>格式问题</groupName>
      <ability>L2_HalfPunc_CN</ability>
      <abilityName>全半角问题</abilityName>
      <candidateList>
        <item>&lt;</item>
      </candidateList>
      <explain>文本全半角错误。</explain>
      <paraID>344FC4A5</paraID>
      <start>0</start>
      <end>1</end>
      <status>unmodified</status>
      <modifiedWord/>
      <trackRevisions>false</trackRevisions>
    </reviewItem>
    <reviewItem>
      <errorID>fcb751fc-99a0-41a1-908a-b04f26e91e34</errorID>
      <errorWord>＜</errorWord>
      <group>L1_Format</group>
      <groupName>格式问题</groupName>
      <ability>L2_HalfPunc_CN</ability>
      <abilityName>全半角问题</abilityName>
      <candidateList>
        <item>&lt;</item>
      </candidateList>
      <explain>文本全半角错误。</explain>
      <paraID>6C627EEF</paraID>
      <start>0</start>
      <end>1</end>
      <status>unmodified</status>
      <modifiedWord/>
      <trackRevisions>false</trackRevisions>
    </reviewItem>
    <reviewItem>
      <errorID>299c5bce-96d9-43a6-85d4-8817819e67c3</errorID>
      <errorWord>＜</errorWord>
      <group>L1_Format</group>
      <groupName>格式问题</groupName>
      <ability>L2_HalfPunc_CN</ability>
      <abilityName>全半角问题</abilityName>
      <candidateList>
        <item>&lt;</item>
      </candidateList>
      <explain>文本全半角错误。</explain>
      <paraID>3D0F3779</paraID>
      <start>0</start>
      <end>1</end>
      <status>unmodified</status>
      <modifiedWord/>
      <trackRevisions>false</trackRevisions>
    </reviewItem>
    <reviewItem>
      <errorID>d9a0ed23-8dda-4fea-b69a-078e8744af2b</errorID>
      <errorWord>＜</errorWord>
      <group>L1_Format</group>
      <groupName>格式问题</groupName>
      <ability>L2_HalfPunc_CN</ability>
      <abilityName>全半角问题</abilityName>
      <candidateList>
        <item>&lt;</item>
      </candidateList>
      <explain>文本全半角错误。</explain>
      <paraID>1F8D2698</paraID>
      <start>0</start>
      <end>1</end>
      <status>unmodified</status>
      <modifiedWord/>
      <trackRevisions>false</trackRevisions>
    </reviewItem>
    <reviewItem>
      <errorID>c5383d28-8fd9-4101-aadc-bf6a4cca7ba5</errorID>
      <errorWord>＜</errorWord>
      <group>L1_Format</group>
      <groupName>格式问题</groupName>
      <ability>L2_HalfPunc_CN</ability>
      <abilityName>全半角问题</abilityName>
      <candidateList>
        <item>&lt;</item>
      </candidateList>
      <explain>文本全半角错误。</explain>
      <paraID>3C3CBD3D</paraID>
      <start>0</start>
      <end>1</end>
      <status>unmodified</status>
      <modifiedWord/>
      <trackRevisions>false</trackRevisions>
    </reviewItem>
    <reviewItem>
      <errorID>dd38277b-a928-4c39-a912-18669b09cfbf</errorID>
      <errorWord>＜</errorWord>
      <group>L1_Format</group>
      <groupName>格式问题</groupName>
      <ability>L2_HalfPunc_CN</ability>
      <abilityName>全半角问题</abilityName>
      <candidateList>
        <item>&lt;</item>
      </candidateList>
      <explain>文本全半角错误。</explain>
      <paraID>744105ED</paraID>
      <start>0</start>
      <end>1</end>
      <status>unmodified</status>
      <modifiedWord/>
      <trackRevisions>false</trackRevisions>
    </reviewItem>
    <reviewItem>
      <errorID>55bfa023-f42e-497b-9f88-329bf7d5bab3</errorID>
      <errorWord>＜</errorWord>
      <group>L1_Format</group>
      <groupName>格式问题</groupName>
      <ability>L2_HalfPunc_CN</ability>
      <abilityName>全半角问题</abilityName>
      <candidateList>
        <item>&lt;</item>
      </candidateList>
      <explain>文本全半角错误。</explain>
      <paraID>44E2A97F</paraID>
      <start>0</start>
      <end>1</end>
      <status>unmodified</status>
      <modifiedWord/>
      <trackRevisions>false</trackRevisions>
    </reviewItem>
    <reviewItem>
      <errorID>0e0eea99-d992-45c1-8720-730f3189120a</errorID>
      <errorWord>＜</errorWord>
      <group>L1_Format</group>
      <groupName>格式问题</groupName>
      <ability>L2_HalfPunc_CN</ability>
      <abilityName>全半角问题</abilityName>
      <candidateList>
        <item>&lt;</item>
      </candidateList>
      <explain>文本全半角错误。</explain>
      <paraID>13297CEE</paraID>
      <start>0</start>
      <end>1</end>
      <status>unmodified</status>
      <modifiedWord/>
      <trackRevisions>false</trackRevisions>
    </reviewItem>
    <reviewItem>
      <errorID>1f68c06b-f085-48da-8ff2-4fbb6e5fcaab</errorID>
      <errorWord>根据收集的检测数据显示</errorWord>
      <group>L1_Grammar</group>
      <groupName>语法问题</groupName>
      <ability>L2_Grammar</ability>
      <abilityName>语法错误</abilityName>
      <candidateList>
        <item>根据收集的检测数据</item>
      </candidateList>
      <explain>该表达中的“根据收集的检测数据显示”存在语义重复。</explain>
      <paraID>24118FF4</paraID>
      <start>0</start>
      <end>11</end>
      <status>unmodified</status>
      <modifiedWord/>
      <trackRevisions>false</trackRevisions>
    </reviewItem>
    <reviewItem>
      <errorID>92f014f9-87e4-4d2f-a02f-fc3dc2b0bf13</errorID>
      <errorWord> </errorWord>
      <group>L1_Format</group>
      <groupName>格式问题</groupName>
      <ability>L2_Whitespace</ability>
      <abilityName>空白字符</abilityName>
      <candidateList>
        <item/>
      </candidateList>
      <explain>文本间存在多余的空白字符。</explain>
      <paraID>5065EAA8</paraID>
      <start>4</start>
      <end>5</end>
      <status>unmodified</status>
      <modifiedWord/>
      <trackRevisions>false</trackRevisions>
    </reviewItem>
    <reviewItem>
      <errorID>e7679a1a-cb97-458b-834d-5c97a76ddf9b</errorID>
      <errorWord>    </errorWord>
      <group>L1_Format</group>
      <groupName>格式问题</groupName>
      <ability>L2_Whitespace</ability>
      <abilityName>空白字符</abilityName>
      <candidateList>
        <item/>
      </candidateList>
      <explain>文本间存在多余的空白字符。</explain>
      <paraID>5065EAA8</paraID>
      <start>19</start>
      <end>23</end>
      <status>unmodified</status>
      <modifiedWord/>
      <trackRevisions>false</trackRevisions>
    </reviewItem>
    <reviewItem>
      <errorID>7c8bd350-0546-4f94-abf6-c5140a3d8d82</errorID>
      <errorWord>八十年代</errorWord>
      <group>L1_Word</group>
      <groupName>字词问题</groupName>
      <ability>L2_Typo</ability>
      <abilityName>字词错误</abilityName>
      <candidateList>
        <item>80年代</item>
      </candidateList>
      <explain/>
      <paraID>69F85C9F</paraID>
      <start>39</start>
      <end>43</end>
      <status>unmodified</status>
      <modifiedWord/>
      <trackRevisions>false</trackRevisions>
    </reviewItem>
    <reviewItem>
      <errorID>29b62761-4d2f-4f9e-8e7c-b6c1ae94fb41</errorID>
      <errorWord>改善</errorWord>
      <group>L1_Grammar</group>
      <groupName>语法问题</groupName>
      <ability>L2_Grammar</ability>
      <abilityName>语法错误</abilityName>
      <candidateList>
        <item>解决</item>
      </candidateList>
      <explain>“改善～问题”搭配不当，建议修改为“解决～问题”。</explain>
      <paraID>69F85C9F</paraID>
      <start>283</start>
      <end>285</end>
      <status>unmodified</status>
      <modifiedWord/>
      <trackRevisions>false</trackRevisions>
    </reviewItem>
    <reviewItem>
      <errorID>b1b31d9a-c269-400c-a5fb-f22e42df76b0</errorID>
      <errorWord>(</errorWord>
      <group>L1_Format</group>
      <groupName>格式问题</groupName>
      <ability>L2_HalfPunc_CN</ability>
      <abilityName>全半角问题</abilityName>
      <candidateList>
        <item>（</item>
      </candidateList>
      <explain>文本全半角错误。</explain>
      <paraID>71E4BAC7</paraID>
      <start>44</start>
      <end>45</end>
      <status>unmodified</status>
      <modifiedWord/>
      <trackRevisions>false</trackRevisions>
    </reviewItem>
    <reviewItem>
      <errorID>67cbc192-7d10-4fb7-82bd-d73d41dbb2fc</errorID>
      <errorWord>(</errorWord>
      <group>L1_Format</group>
      <groupName>格式问题</groupName>
      <ability>L2_HalfPunc_CN</ability>
      <abilityName>全半角问题</abilityName>
      <candidateList>
        <item>（</item>
      </candidateList>
      <explain>文本全半角错误。</explain>
      <paraID>71E4BAC7</paraID>
      <start>54</start>
      <end>55</end>
      <status>unmodified</status>
      <modifiedWord/>
      <trackRevisions>false</trackRevisions>
    </reviewItem>
    <reviewItem>
      <errorID>b91455c3-9f76-4240-bfc9-e0b67197c813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71E4BAC7</paraID>
      <start>57</start>
      <end>58</end>
      <status>unmodified</status>
      <modifiedWord/>
      <trackRevisions>false</trackRevisions>
    </reviewItem>
    <reviewItem>
      <errorID>7322e737-fdc8-40bf-bb40-80c4e68b4cf2</errorID>
      <errorWord>程</errorWord>
      <group>L1_Word</group>
      <groupName>字词问题</groupName>
      <ability>L2_Typo</ability>
      <abilityName>字词错误</abilityName>
      <candidateList>
        <item>程中</item>
      </candidateList>
      <explain/>
      <paraID>20F0767D</paraID>
      <start>33</start>
      <end>34</end>
      <status>unmodified</status>
      <modifiedWord/>
      <trackRevisions>false</trackRevisions>
    </reviewItem>
    <reviewItem>
      <errorID>8ca04eab-1b3b-4928-936c-de831747e121</errorID>
      <errorWord>程</errorWord>
      <group>L1_Word</group>
      <groupName>字词问题</groupName>
      <ability>L2_Typo</ability>
      <abilityName>字词错误</abilityName>
      <candidateList>
        <item>程中</item>
      </candidateList>
      <explain/>
      <paraID>74BB0096</paraID>
      <start>5</start>
      <end>6</end>
      <status>unmodified</status>
      <modifiedWord/>
      <trackRevisions>false</trackRevisions>
    </reviewItem>
    <reviewItem>
      <errorID>76d81b6d-6aa4-4e81-8de5-c586a7a21b28</errorID>
      <errorWord>程</errorWord>
      <group>L1_Word</group>
      <groupName>字词问题</groupName>
      <ability>L2_Typo</ability>
      <abilityName>字词错误</abilityName>
      <candidateList>
        <item>程中</item>
      </candidateList>
      <explain/>
      <paraID> CFAA150</paraID>
      <start>5</start>
      <end>6</end>
      <status>unmodified</status>
      <modifiedWord/>
      <trackRevisions>false</trackRevisions>
    </reviewItem>
    <reviewItem>
      <errorID>c2fb58fc-063c-4c92-a2d8-f7c89a93f91d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42F88DBA</paraID>
      <start>191</start>
      <end>192</end>
      <status>unmodified</status>
      <modifiedWord/>
      <trackRevisions>false</trackRevisions>
    </reviewItem>
    <reviewItem>
      <errorID>5aa92e5d-1756-4db5-8f2d-9ae86f495d54</errorID>
      <errorWord>拌合机</errorWord>
      <group>L1_Word</group>
      <groupName>字词问题</groupName>
      <ability>L2_Alias</ability>
      <abilityName>也作/曾用词</abilityName>
      <candidateList>
        <item>拌和机</item>
      </candidateList>
      <explain>词汇[拌合机]为不规范表述或旧称，其规范书面表述为[拌和机]。</explain>
      <paraID>2DCEE4CC</paraID>
      <start>3</start>
      <end>6</end>
      <status>unmodified</status>
      <modifiedWord/>
      <trackRevisions>false</trackRevisions>
    </reviewItem>
    <reviewItem>
      <errorID>51bf9f47-3ea9-429d-8f85-14477498dece</errorID>
      <errorWord>拌合机</errorWord>
      <group>L1_Word</group>
      <groupName>字词问题</groupName>
      <ability>L2_Alias</ability>
      <abilityName>也作/曾用词</abilityName>
      <candidateList>
        <item>拌和机</item>
      </candidateList>
      <explain>词汇[拌合机]为不规范表述或旧称，其规范书面表述为[拌和机]。</explain>
      <paraID>19B7E8F7</paraID>
      <start>39</start>
      <end>42</end>
      <status>unmodified</status>
      <modifiedWord/>
      <trackRevisions>false</trackRevisions>
    </reviewItem>
    <reviewItem>
      <errorID>cf77aac8-2782-4f70-9e71-298a4bc4a2b7</errorID>
      <errorWord>局部局部</errorWord>
      <group>L1_Word</group>
      <groupName>字词问题</groupName>
      <ability>L2_Typo</ability>
      <abilityName>字词错误</abilityName>
      <candidateList>
        <item>局部</item>
      </candidateList>
      <explain/>
      <paraID>3ACA2743</paraID>
      <start>42</start>
      <end>46</end>
      <status>unmodified</status>
      <modifiedWord/>
      <trackRevisions>false</trackRevisions>
    </reviewItem>
    <reviewItem>
      <errorID>52117c12-1181-40f4-bc4a-ada81429f8d0</errorID>
      <errorWord>程</errorWord>
      <group>L1_Word</group>
      <groupName>字词问题</groupName>
      <ability>L2_Typo</ability>
      <abilityName>字词错误</abilityName>
      <candidateList>
        <item>程中</item>
      </candidateList>
      <explain/>
      <paraID>5CC0B193</paraID>
      <start>38</start>
      <end>39</end>
      <status>unmodified</status>
      <modifiedWord/>
      <trackRevisions>false</trackRevisions>
    </reviewItem>
    <reviewItem>
      <errorID>02101241-518b-42c9-b04d-a04cff63d0ea</errorID>
      <errorWord>合理地</errorWord>
      <group>L1_Word</group>
      <groupName>字词问题</groupName>
      <ability>L2_Typo</ability>
      <abilityName>字词错误</abilityName>
      <candidateList>
        <item>合理</item>
      </candidateList>
      <explain/>
      <paraID>1DA0BE2E</paraID>
      <start>15</start>
      <end>18</end>
      <status>unmodified</status>
      <modifiedWord/>
      <trackRevisions>false</trackRevisions>
    </reviewItem>
    <reviewItem>
      <errorID>11959d03-7e29-4d92-b8c3-ff5d7a584ee1</errorID>
      <errorWord>噪音</errorWord>
      <group>L1_Word</group>
      <groupName>字词问题</groupName>
      <ability>L2_Alias</ability>
      <abilityName>也作/曾用词</abilityName>
      <candidateList>
        <item>噪声</item>
      </candidateList>
      <explain>词汇[噪音]为不规范表述或旧称，其规范书面表述为[噪声]。</explain>
      <paraID>1D449ED5</paraID>
      <start>67</start>
      <end>69</end>
      <status>unmodified</status>
      <modifiedWord/>
      <trackRevisions>false</trackRevisions>
    </reviewItem>
    <reviewItem>
      <errorID>b68f3777-12ad-461f-9ec0-5916da373518</errorID>
      <errorWord>拌合站</errorWord>
      <group>L1_Word</group>
      <groupName>字词问题</groupName>
      <ability>L2_Typo</ability>
      <abilityName>字词错误</abilityName>
      <candidateList>
        <item>拌和站</item>
      </candidateList>
      <explain/>
      <paraID>157938EF</paraID>
      <start>5</start>
      <end>8</end>
      <status>unmodified</status>
      <modifiedWord/>
      <trackRevisions>false</trackRevisions>
    </reviewItem>
    <reviewItem>
      <errorID>293a68d5-d740-4db7-a59d-5517327cdf22</errorID>
      <errorWord>进风</errorWord>
      <group>L1_Word</group>
      <groupName>字词问题</groupName>
      <ability>L2_Typo</ability>
      <abilityName>字词错误</abilityName>
      <candidateList>
        <item>通风</item>
      </candidateList>
      <explain/>
      <paraID>340C45B0</paraID>
      <start>44</start>
      <end>46</end>
      <status>unmodified</status>
      <modifiedWord/>
      <trackRevisions>false</trackRevisions>
    </reviewItem>
    <reviewItem>
      <errorID>d0025337-6082-47d3-ae07-c99b893ad970</errorID>
      <errorWord>防</errorWord>
      <group>L1_Word</group>
      <groupName>字词问题</groupName>
      <ability>L2_Typo</ability>
      <abilityName>字词错误</abilityName>
      <candidateList>
        <item>防止</item>
      </candidateList>
      <explain>〈动〉预先设法制止（坏事发生）：～煤气中毒｜～交通事故。</explain>
      <paraID>4B50372B</paraID>
      <start>44</start>
      <end>45</end>
      <status>unmodified</status>
      <modifiedWord/>
      <trackRevisions>false</trackRevisions>
    </reviewItem>
    <reviewItem>
      <errorID>bd4732d2-4351-471c-a1bd-5aa7054b6489</errorID>
      <errorWord>防</errorWord>
      <group>L1_Word</group>
      <groupName>字词问题</groupName>
      <ability>L2_Typo</ability>
      <abilityName>字词错误</abilityName>
      <candidateList>
        <item>防止</item>
      </candidateList>
      <explain>〈动〉预先设法制止（坏事发生）：～煤气中毒｜～交通事故。</explain>
      <paraID>579A3ECA</paraID>
      <start>78</start>
      <end>79</end>
      <status>unmodified</status>
      <modifiedWord/>
      <trackRevisions>false</trackRevisions>
    </reviewItem>
    <reviewItem>
      <errorID>fd52e96e-8365-40b9-a7d8-42c4d184d5e2</errorID>
      <errorWord>场</errorWord>
      <group>L1_Word</group>
      <groupName>字词问题</groupName>
      <ability>L2_Typo</ability>
      <abilityName>字词错误</abilityName>
      <candidateList>
        <item>厂</item>
      </candidateList>
      <explain>存在发音相同字词的误用。</explain>
      <paraID> B77B99E</paraID>
      <start>20</start>
      <end>21</end>
      <status>unmodified</status>
      <modifiedWord/>
      <trackRevisions>false</trackRevisions>
    </reviewItem>
    <reviewItem>
      <errorID>6cbf5787-b4d7-4cd8-8509-2655c6ed75e9</errorID>
      <errorWord>程</errorWord>
      <group>L1_Word</group>
      <groupName>字词问题</groupName>
      <ability>L2_Typo</ability>
      <abilityName>字词错误</abilityName>
      <candidateList>
        <item>程中</item>
      </candidateList>
      <explain/>
      <paraID>5FE5944A</paraID>
      <start>30</start>
      <end>31</end>
      <status>unmodified</status>
      <modifiedWord/>
      <trackRevisions>false</trackRevisions>
    </reviewItem>
    <reviewItem>
      <errorID>1261ed1f-3eff-4d0c-8a7e-2aca28ac3813</errorID>
      <errorWord>用</errorWord>
      <group>L1_Word</group>
      <groupName>字词问题</groupName>
      <ability>L2_Typo</ability>
      <abilityName>字词错误</abilityName>
      <candidateList>
        <item>用的</item>
      </candidateList>
      <explain/>
      <paraID>3E69D321</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4aaaa9-ca2b-424f-a7e5-8f11e09a8ed1}">
  <ds:schemaRefs/>
</ds:datastoreItem>
</file>

<file path=docProps\app.xml><?xml version="1.0" encoding="utf-8"?>
<Properties xmlns="http://schemas.openxmlformats.org/officeDocument/2006/extended-properties" xmlns:vt="http://schemas.openxmlformats.org/officeDocument/2006/docPropsVTypes">
  <Template>Normal.dotm</Template>
  <Pages>83</Pages>
  <Words>47739</Words>
  <Characters>52133</Characters>
  <Lines>0</Lines>
  <Paragraphs>0</Paragraphs>
  <TotalTime>6</TotalTime>
  <ScaleCrop>false</ScaleCrop>
  <LinksUpToDate>false</LinksUpToDate>
  <CharactersWithSpaces>52218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2025-11-17T05:29:00Z</dcterms:created>
  <dc:creator>赵--</dc:creator>
  <cp:lastModifiedBy>W</cp:lastModifiedBy>
  <dcterms:modified xsi:type="dcterms:W3CDTF">2026-06-30T02:57:07Z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494994DDB81F4362BF1D892F5DA37879_11</vt:lpwstr>
  </property>
  <property fmtid="{D5CDD505-2E9C-101B-9397-08002B2CF9AE}" pid="4" name="KSOTemplateDocerSaveRecord">
    <vt:lpwstr>eyJoZGlkIjoiNTY4ODNiODkyMWVjZWNhOTAxMzhhNTc3NWU2ODhmM2UiLCJ1c2VySWQiOiIzMjY4ODQyNjEifQ==</vt:lpwstr>
  </property>
</Properti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CE5E8">
      <w:pPr>
        <w:rPr>
          <w:rFonts w:hint="default" w:ascii="仿宋_GB2312" w:hAnsi="仿宋_GB2312" w:eastAsia="仿宋_GB2312" w:cs="仿宋_GB2312"/>
          <w:color w:val="auto"/>
          <w:sz w:val="36"/>
          <w:szCs w:val="36"/>
        </w:rPr>
      </w:pPr>
      <w:bookmarkStart w:id="0" w:name="_Hlk57883707"/>
    </w:p>
    <w:p w14:paraId="7FE8F4EE">
      <w:pPr>
        <w:rPr>
          <w:rFonts w:hint="default" w:ascii="仿宋_GB2312" w:hAnsi="仿宋_GB2312" w:eastAsia="仿宋_GB2312" w:cs="仿宋_GB2312"/>
          <w:color w:val="auto"/>
          <w:sz w:val="36"/>
          <w:szCs w:val="36"/>
        </w:rPr>
      </w:pPr>
    </w:p>
    <w:p w14:paraId="6E0F6EBA">
      <w:pPr>
        <w:rPr>
          <w:rFonts w:hint="default" w:ascii="仿宋_GB2312" w:hAnsi="仿宋_GB2312" w:eastAsia="仿宋_GB2312" w:cs="仿宋_GB2312"/>
          <w:color w:val="auto"/>
          <w:sz w:val="36"/>
          <w:szCs w:val="36"/>
        </w:rPr>
      </w:pPr>
    </w:p>
    <w:p w14:paraId="0857D27E">
      <w:pPr>
        <w:rPr>
          <w:rFonts w:hint="default" w:ascii="仿宋_GB2312" w:hAnsi="仿宋_GB2312" w:eastAsia="仿宋_GB2312" w:cs="仿宋_GB2312"/>
          <w:color w:val="auto"/>
          <w:sz w:val="36"/>
          <w:szCs w:val="36"/>
        </w:rPr>
      </w:pPr>
    </w:p>
    <w:bookmarkEnd w:id="0"/>
    <w:p w14:paraId="7FCE43C1">
      <w:pPr>
        <w:adjustRightInd w:val="0"/>
        <w:snapToGrid w:val="0"/>
        <w:jc w:val="center"/>
        <w:outlineLvl w:val="9"/>
        <w:rPr>
          <w:rFonts w:hint="default" w:ascii="Times New Roman" w:hAnsi="Times New Roman" w:eastAsia="方正小标宋_GBK" w:cs="Times New Roman"/>
          <w:bCs/>
          <w:color w:val="auto"/>
          <w:sz w:val="72"/>
          <w:szCs w:val="72"/>
          <w:highlight w:val="none"/>
        </w:rPr>
      </w:pPr>
      <w:bookmarkStart w:id="1" w:name="_Toc10563"/>
      <w:r>
        <w:rPr>
          <w:rFonts w:hint="default" w:ascii="Times New Roman" w:hAnsi="Times New Roman" w:eastAsia="方正小标宋_GBK" w:cs="Times New Roman"/>
          <w:bCs/>
          <w:color w:val="auto"/>
          <w:sz w:val="72"/>
          <w:szCs w:val="72"/>
          <w:highlight w:val="none"/>
        </w:rPr>
        <w:t>建设项目环境影响报告表</w:t>
      </w:r>
      <w:bookmarkEnd w:id="1"/>
    </w:p>
    <w:p w14:paraId="79F87807">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bookmarkStart w:id="2" w:name="_Hlk57883728"/>
      <w:r>
        <w:rPr>
          <w:rFonts w:hint="default" w:ascii="Times New Roman" w:hAnsi="Times New Roman" w:eastAsia="楷体_GB2312" w:cs="Times New Roman"/>
          <w:bCs/>
          <w:color w:val="auto"/>
          <w:sz w:val="48"/>
          <w:szCs w:val="48"/>
          <w:highlight w:val="none"/>
        </w:rPr>
        <w:t>（</w:t>
      </w:r>
      <w:r>
        <w:rPr>
          <w:rFonts w:hint="eastAsia" w:ascii="宋体" w:hAnsi="宋体" w:eastAsia="宋体" w:cs="宋体"/>
          <w:bCs/>
          <w:color w:val="auto"/>
          <w:sz w:val="48"/>
          <w:szCs w:val="48"/>
          <w:highlight w:val="none"/>
        </w:rPr>
        <w:t>生态影响类</w:t>
      </w:r>
      <w:r>
        <w:rPr>
          <w:rFonts w:hint="default" w:ascii="Times New Roman" w:hAnsi="Times New Roman" w:eastAsia="楷体_GB2312" w:cs="Times New Roman"/>
          <w:bCs/>
          <w:color w:val="auto"/>
          <w:sz w:val="48"/>
          <w:szCs w:val="48"/>
          <w:highlight w:val="none"/>
        </w:rPr>
        <w:t>）</w:t>
      </w:r>
    </w:p>
    <w:p w14:paraId="0B91EBFE">
      <w:pPr>
        <w:adjustRightInd w:val="0"/>
        <w:snapToGrid w:val="0"/>
        <w:spacing w:before="192" w:beforeLines="80"/>
        <w:jc w:val="center"/>
        <w:rPr>
          <w:rFonts w:hint="default" w:ascii="Times New Roman" w:hAnsi="Times New Roman" w:eastAsia="楷体_GB2312" w:cs="Times New Roman"/>
          <w:bCs/>
          <w:color w:val="auto"/>
          <w:sz w:val="36"/>
          <w:szCs w:val="36"/>
          <w:highlight w:val="none"/>
        </w:rPr>
      </w:pPr>
      <w:r>
        <w:rPr>
          <w:rFonts w:hint="eastAsia" w:ascii="宋体" w:hAnsi="宋体" w:eastAsia="宋体" w:cs="宋体"/>
          <w:bCs/>
          <w:color w:val="auto"/>
          <w:sz w:val="36"/>
          <w:szCs w:val="36"/>
          <w:highlight w:val="none"/>
        </w:rPr>
        <w:t>（</w:t>
      </w:r>
      <w:r>
        <w:rPr>
          <w:rFonts w:hint="eastAsia" w:ascii="宋体" w:hAnsi="宋体" w:cs="宋体"/>
          <w:bCs/>
          <w:color w:val="auto"/>
          <w:sz w:val="36"/>
          <w:szCs w:val="36"/>
          <w:highlight w:val="none"/>
          <w:lang w:val="en-US" w:eastAsia="zh-CN"/>
        </w:rPr>
        <w:t>报批</w:t>
      </w:r>
      <w:r>
        <w:rPr>
          <w:rFonts w:hint="eastAsia" w:ascii="宋体" w:hAnsi="宋体" w:eastAsia="宋体" w:cs="宋体"/>
          <w:bCs/>
          <w:color w:val="auto"/>
          <w:sz w:val="36"/>
          <w:szCs w:val="36"/>
          <w:highlight w:val="none"/>
          <w:lang w:val="en-US" w:eastAsia="zh-CN"/>
        </w:rPr>
        <w:t>稿</w:t>
      </w:r>
      <w:r>
        <w:rPr>
          <w:rFonts w:hint="eastAsia" w:ascii="宋体" w:hAnsi="宋体" w:eastAsia="宋体" w:cs="宋体"/>
          <w:bCs/>
          <w:color w:val="auto"/>
          <w:sz w:val="36"/>
          <w:szCs w:val="36"/>
          <w:highlight w:val="none"/>
        </w:rPr>
        <w:t>）</w:t>
      </w:r>
    </w:p>
    <w:p w14:paraId="3A8FB134">
      <w:pPr>
        <w:jc w:val="center"/>
        <w:rPr>
          <w:rFonts w:hint="default" w:ascii="Times New Roman" w:hAnsi="Times New Roman" w:eastAsia="仿宋" w:cs="Times New Roman"/>
          <w:color w:val="auto"/>
          <w:sz w:val="52"/>
          <w:szCs w:val="52"/>
          <w:highlight w:val="none"/>
        </w:rPr>
      </w:pPr>
    </w:p>
    <w:p w14:paraId="7E782E20">
      <w:pPr>
        <w:ind w:firstLine="1040"/>
        <w:rPr>
          <w:rFonts w:hint="default" w:ascii="Times New Roman" w:hAnsi="Times New Roman" w:eastAsia="仿宋" w:cs="Times New Roman"/>
          <w:color w:val="auto"/>
          <w:sz w:val="44"/>
          <w:szCs w:val="44"/>
          <w:highlight w:val="none"/>
        </w:rPr>
      </w:pPr>
    </w:p>
    <w:p w14:paraId="68030EB9">
      <w:pPr>
        <w:ind w:firstLine="1040"/>
        <w:rPr>
          <w:rFonts w:hint="default" w:ascii="Times New Roman" w:hAnsi="Times New Roman" w:eastAsia="仿宋" w:cs="Times New Roman"/>
          <w:color w:val="auto"/>
          <w:sz w:val="44"/>
          <w:szCs w:val="44"/>
          <w:highlight w:val="none"/>
        </w:rPr>
      </w:pPr>
    </w:p>
    <w:p w14:paraId="62744587">
      <w:pPr>
        <w:ind w:firstLine="1040"/>
        <w:rPr>
          <w:rFonts w:hint="default" w:ascii="Times New Roman" w:hAnsi="Times New Roman" w:eastAsia="仿宋" w:cs="Times New Roman"/>
          <w:color w:val="auto"/>
          <w:sz w:val="44"/>
          <w:szCs w:val="44"/>
          <w:highlight w:val="none"/>
        </w:rPr>
      </w:pPr>
    </w:p>
    <w:p w14:paraId="7B942DC3">
      <w:pPr>
        <w:ind w:firstLine="1040"/>
        <w:rPr>
          <w:rFonts w:hint="default" w:ascii="Times New Roman" w:hAnsi="Times New Roman" w:eastAsia="仿宋" w:cs="Times New Roman"/>
          <w:color w:val="auto"/>
          <w:sz w:val="44"/>
          <w:szCs w:val="44"/>
          <w:highlight w:val="none"/>
        </w:rPr>
      </w:pPr>
    </w:p>
    <w:bookmarkEnd w:id="2"/>
    <w:p w14:paraId="68119775">
      <w:pPr>
        <w:keepNext w:val="0"/>
        <w:keepLines w:val="0"/>
        <w:pageBreakBefore w:val="0"/>
        <w:widowControl w:val="0"/>
        <w:kinsoku/>
        <w:wordWrap/>
        <w:overflowPunct/>
        <w:topLinePunct w:val="0"/>
        <w:autoSpaceDE/>
        <w:autoSpaceDN/>
        <w:bidi w:val="0"/>
        <w:adjustRightInd w:val="0"/>
        <w:snapToGrid w:val="0"/>
        <w:spacing w:line="288" w:lineRule="auto"/>
        <w:ind w:left="2430" w:leftChars="300" w:right="630" w:rightChars="300" w:hanging="1800" w:hangingChars="500"/>
        <w:textAlignment w:val="auto"/>
        <w:rPr>
          <w:rFonts w:hint="eastAsia" w:ascii="宋体" w:hAnsi="宋体" w:eastAsia="宋体" w:cs="宋体"/>
          <w:color w:val="auto"/>
          <w:sz w:val="36"/>
          <w:szCs w:val="36"/>
          <w:highlight w:val="none"/>
          <w:u w:val="single"/>
        </w:rPr>
      </w:pPr>
      <w:r>
        <w:rPr>
          <w:rFonts w:hint="eastAsia" w:ascii="宋体" w:hAnsi="宋体" w:eastAsia="宋体" w:cs="宋体"/>
          <w:color w:val="auto"/>
          <w:sz w:val="36"/>
          <w:szCs w:val="36"/>
          <w:highlight w:val="none"/>
          <w:u w:val="none"/>
        </w:rPr>
        <w:t>项目名称：</w:t>
      </w:r>
      <w:r>
        <w:rPr>
          <w:rFonts w:hint="eastAsia" w:ascii="宋体" w:hAnsi="宋体" w:eastAsia="宋体" w:cs="宋体"/>
          <w:color w:val="auto"/>
          <w:sz w:val="36"/>
          <w:szCs w:val="36"/>
          <w:highlight w:val="none"/>
          <w:u w:val="single"/>
          <w:lang w:val="en-US" w:eastAsia="zh-CN"/>
        </w:rPr>
        <w:t>奇台县碧流河中型灌区续建配套与现代化改造工程</w:t>
      </w:r>
      <w:r>
        <w:rPr>
          <w:rFonts w:hint="eastAsia" w:ascii="宋体" w:hAnsi="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lang w:val="en-US" w:eastAsia="zh-CN"/>
        </w:rPr>
        <w:t xml:space="preserve">    </w:t>
      </w:r>
    </w:p>
    <w:p w14:paraId="384102D9">
      <w:pPr>
        <w:keepNext w:val="0"/>
        <w:keepLines w:val="0"/>
        <w:pageBreakBefore w:val="0"/>
        <w:widowControl w:val="0"/>
        <w:kinsoku/>
        <w:wordWrap/>
        <w:overflowPunct/>
        <w:topLinePunct w:val="0"/>
        <w:autoSpaceDE/>
        <w:autoSpaceDN/>
        <w:bidi w:val="0"/>
        <w:adjustRightInd w:val="0"/>
        <w:snapToGrid w:val="0"/>
        <w:spacing w:line="288" w:lineRule="auto"/>
        <w:ind w:left="630" w:leftChars="300" w:right="630" w:rightChars="300" w:firstLine="0"/>
        <w:textAlignment w:val="auto"/>
        <w:rPr>
          <w:rFonts w:hint="eastAsia" w:ascii="宋体" w:hAnsi="宋体" w:eastAsia="宋体" w:cs="宋体"/>
          <w:color w:val="auto"/>
          <w:sz w:val="36"/>
          <w:szCs w:val="36"/>
          <w:highlight w:val="none"/>
          <w:u w:val="single"/>
          <w:lang w:val="en-US" w:eastAsia="zh-CN"/>
        </w:rPr>
      </w:pPr>
      <w:r>
        <w:rPr>
          <w:rFonts w:hint="eastAsia" w:ascii="宋体" w:hAnsi="宋体" w:eastAsia="宋体" w:cs="宋体"/>
          <w:color w:val="auto"/>
          <w:spacing w:val="-20"/>
          <w:sz w:val="36"/>
          <w:szCs w:val="36"/>
          <w:highlight w:val="none"/>
          <w:u w:val="none"/>
        </w:rPr>
        <w:t>建设单位（盖章）：</w:t>
      </w:r>
      <w:r>
        <w:rPr>
          <w:rFonts w:hint="eastAsia" w:ascii="宋体" w:hAnsi="宋体" w:eastAsia="宋体" w:cs="宋体"/>
          <w:color w:val="auto"/>
          <w:sz w:val="36"/>
          <w:szCs w:val="36"/>
          <w:highlight w:val="none"/>
          <w:u w:val="single"/>
          <w:lang w:val="en-US" w:eastAsia="zh-CN"/>
        </w:rPr>
        <w:t>奇台县水利工程建设管理中心</w:t>
      </w:r>
    </w:p>
    <w:p w14:paraId="27F22697">
      <w:pPr>
        <w:keepNext w:val="0"/>
        <w:keepLines w:val="0"/>
        <w:pageBreakBefore w:val="0"/>
        <w:widowControl w:val="0"/>
        <w:kinsoku/>
        <w:wordWrap/>
        <w:overflowPunct/>
        <w:topLinePunct w:val="0"/>
        <w:autoSpaceDE/>
        <w:autoSpaceDN/>
        <w:bidi w:val="0"/>
        <w:adjustRightInd w:val="0"/>
        <w:snapToGrid w:val="0"/>
        <w:spacing w:line="288" w:lineRule="auto"/>
        <w:ind w:left="630" w:leftChars="300" w:right="630" w:rightChars="300" w:firstLine="0"/>
        <w:textAlignment w:val="auto"/>
        <w:rPr>
          <w:rFonts w:hint="default" w:ascii="Times New Roman" w:hAnsi="Times New Roman" w:eastAsia="仿宋_GB2312" w:cs="Times New Roman"/>
          <w:color w:val="auto"/>
          <w:sz w:val="36"/>
          <w:szCs w:val="36"/>
          <w:highlight w:val="none"/>
          <w:u w:val="single"/>
        </w:rPr>
      </w:pPr>
      <w:r>
        <w:rPr>
          <w:rFonts w:hint="eastAsia" w:ascii="宋体" w:hAnsi="宋体" w:eastAsia="宋体" w:cs="宋体"/>
          <w:color w:val="auto"/>
          <w:sz w:val="36"/>
          <w:szCs w:val="36"/>
          <w:highlight w:val="none"/>
          <w:u w:val="none"/>
        </w:rPr>
        <w:t>编制日期：</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2026年</w:t>
      </w:r>
      <w:r>
        <w:rPr>
          <w:rFonts w:hint="eastAsia" w:ascii="宋体" w:hAnsi="宋体" w:cs="宋体"/>
          <w:color w:val="auto"/>
          <w:sz w:val="36"/>
          <w:szCs w:val="36"/>
          <w:highlight w:val="none"/>
          <w:u w:val="single"/>
          <w:lang w:val="en-US" w:eastAsia="zh-CN"/>
        </w:rPr>
        <w:t>6</w:t>
      </w:r>
      <w:r>
        <w:rPr>
          <w:rFonts w:hint="eastAsia" w:ascii="宋体" w:hAnsi="宋体" w:eastAsia="宋体" w:cs="宋体"/>
          <w:color w:val="auto"/>
          <w:sz w:val="36"/>
          <w:szCs w:val="36"/>
          <w:highlight w:val="none"/>
          <w:u w:val="single"/>
          <w:lang w:val="en-US" w:eastAsia="zh-CN"/>
        </w:rPr>
        <w:t>月</w:t>
      </w:r>
      <w:r>
        <w:rPr>
          <w:rFonts w:hint="eastAsia" w:ascii="宋体" w:hAnsi="宋体" w:eastAsia="宋体" w:cs="宋体"/>
          <w:color w:val="auto"/>
          <w:sz w:val="36"/>
          <w:szCs w:val="36"/>
          <w:highlight w:val="none"/>
          <w:u w:val="single"/>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u w:val="single"/>
        </w:rPr>
        <w:t xml:space="preserve">   </w:t>
      </w:r>
    </w:p>
    <w:p w14:paraId="2EA7A12C">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0533097A">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1B11D90B">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56F0B805">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3AB74CA1">
      <w:pPr>
        <w:adjustRightInd w:val="0"/>
        <w:snapToGrid w:val="0"/>
        <w:spacing w:line="288" w:lineRule="auto"/>
        <w:ind w:firstLine="1040"/>
        <w:rPr>
          <w:rFonts w:hint="default" w:ascii="仿宋_GB2312" w:hAnsi="Times New Roman" w:eastAsia="仿宋_GB2312" w:cs="Times New Roman"/>
          <w:color w:val="auto"/>
          <w:sz w:val="36"/>
          <w:szCs w:val="36"/>
          <w:u w:val="single"/>
        </w:rPr>
      </w:pPr>
    </w:p>
    <w:p w14:paraId="0A28401A">
      <w:pPr>
        <w:adjustRightInd w:val="0"/>
        <w:snapToGrid w:val="0"/>
        <w:spacing w:line="288" w:lineRule="auto"/>
        <w:jc w:val="center"/>
        <w:outlineLvl w:val="9"/>
        <w:rPr>
          <w:rFonts w:hint="default" w:ascii="Times New Roman" w:hAnsi="Times New Roman" w:eastAsia="楷体_GB2312" w:cs="Times New Roman"/>
          <w:color w:val="auto"/>
          <w:sz w:val="36"/>
          <w:szCs w:val="36"/>
          <w:highlight w:val="none"/>
        </w:rPr>
      </w:pPr>
      <w:bookmarkStart w:id="3" w:name="_Toc20772"/>
      <w:r>
        <w:rPr>
          <w:rFonts w:hint="default" w:ascii="Times New Roman" w:hAnsi="Times New Roman" w:eastAsia="楷体_GB2312" w:cs="Times New Roman"/>
          <w:color w:val="auto"/>
          <w:sz w:val="36"/>
          <w:szCs w:val="36"/>
          <w:highlight w:val="none"/>
        </w:rPr>
        <w:t>中华人民共和国生态环境部制</w:t>
      </w:r>
      <w:bookmarkEnd w:id="3"/>
    </w:p>
    <w:p w14:paraId="42A11A3D">
      <w:pPr>
        <w:adjustRightInd w:val="0"/>
        <w:snapToGrid w:val="0"/>
        <w:spacing w:line="288" w:lineRule="auto"/>
        <w:jc w:val="center"/>
        <w:outlineLvl w:val="9"/>
        <w:rPr>
          <w:rFonts w:hint="default" w:ascii="Times New Roman" w:hAnsi="Times New Roman" w:eastAsia="楷体_GB2312" w:cs="Times New Roman"/>
          <w:color w:val="auto"/>
          <w:sz w:val="36"/>
          <w:szCs w:val="36"/>
          <w:highlight w:val="none"/>
        </w:rPr>
      </w:pPr>
    </w:p>
    <w:p w14:paraId="4FFCBC0C">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35EF421B">
      <w:pPr>
        <w:pStyle w:val="27"/>
        <w:rPr>
          <w:rFonts w:hint="default" w:ascii="Times New Roman" w:hAnsi="Times New Roman" w:eastAsia="宋体" w:cs="Times New Roman"/>
          <w:color w:val="auto"/>
          <w:lang w:eastAsia="zh-CN"/>
        </w:rPr>
      </w:pPr>
    </w:p>
    <w:p w14:paraId="38EF989E">
      <w:pPr>
        <w:pStyle w:val="27"/>
        <w:rPr>
          <w:rFonts w:hint="default" w:ascii="Times New Roman" w:hAnsi="Times New Roman" w:eastAsia="宋体" w:cs="Times New Roman"/>
          <w:color w:val="auto"/>
          <w:lang w:eastAsia="zh-CN"/>
        </w:rPr>
      </w:pPr>
    </w:p>
    <w:p w14:paraId="43C1DB05">
      <w:pPr>
        <w:pStyle w:val="27"/>
        <w:rPr>
          <w:rFonts w:hint="default" w:ascii="Times New Roman" w:hAnsi="Times New Roman" w:eastAsia="宋体" w:cs="Times New Roman"/>
          <w:color w:val="auto"/>
          <w:lang w:eastAsia="zh-CN"/>
        </w:rPr>
      </w:pPr>
    </w:p>
    <w:p w14:paraId="43FBB7FE">
      <w:pPr>
        <w:pStyle w:val="27"/>
        <w:rPr>
          <w:rFonts w:hint="default" w:ascii="Times New Roman" w:hAnsi="Times New Roman" w:eastAsia="宋体" w:cs="Times New Roman"/>
          <w:color w:val="auto"/>
          <w:lang w:eastAsia="zh-CN"/>
        </w:rPr>
      </w:pPr>
    </w:p>
    <w:p w14:paraId="695413DC">
      <w:pPr>
        <w:pStyle w:val="27"/>
        <w:rPr>
          <w:rFonts w:hint="default" w:ascii="Times New Roman" w:hAnsi="Times New Roman" w:eastAsia="宋体" w:cs="Times New Roman"/>
          <w:color w:val="auto"/>
          <w:lang w:eastAsia="zh-CN"/>
        </w:rPr>
      </w:pPr>
    </w:p>
    <w:p w14:paraId="4F934F34">
      <w:pPr>
        <w:pStyle w:val="27"/>
        <w:rPr>
          <w:rFonts w:hint="default" w:ascii="Times New Roman" w:hAnsi="Times New Roman" w:eastAsia="宋体" w:cs="Times New Roman"/>
          <w:color w:val="auto"/>
          <w:lang w:eastAsia="zh-CN"/>
        </w:rPr>
      </w:pPr>
    </w:p>
    <w:p w14:paraId="3EE50C7B">
      <w:pPr>
        <w:pStyle w:val="27"/>
        <w:rPr>
          <w:rFonts w:hint="default" w:ascii="Times New Roman" w:hAnsi="Times New Roman" w:eastAsia="宋体" w:cs="Times New Roman"/>
          <w:color w:val="auto"/>
          <w:lang w:eastAsia="zh-CN"/>
        </w:rPr>
      </w:pPr>
    </w:p>
    <w:p w14:paraId="580D0910">
      <w:pPr>
        <w:pStyle w:val="27"/>
        <w:rPr>
          <w:rFonts w:hint="default" w:ascii="Times New Roman" w:hAnsi="Times New Roman" w:eastAsia="宋体" w:cs="Times New Roman"/>
          <w:color w:val="auto"/>
          <w:lang w:eastAsia="zh-CN"/>
        </w:rPr>
      </w:pPr>
    </w:p>
    <w:p w14:paraId="37CD7D2F">
      <w:pPr>
        <w:pStyle w:val="27"/>
        <w:rPr>
          <w:rFonts w:hint="default" w:ascii="Times New Roman" w:hAnsi="Times New Roman" w:eastAsia="宋体" w:cs="Times New Roman"/>
          <w:color w:val="auto"/>
          <w:lang w:eastAsia="zh-CN"/>
        </w:rPr>
      </w:pPr>
    </w:p>
    <w:p w14:paraId="694153EC">
      <w:pPr>
        <w:pStyle w:val="27"/>
        <w:rPr>
          <w:rFonts w:hint="default" w:ascii="Times New Roman" w:hAnsi="Times New Roman" w:eastAsia="宋体" w:cs="Times New Roman"/>
          <w:color w:val="auto"/>
          <w:lang w:eastAsia="zh-CN"/>
        </w:rPr>
      </w:pPr>
    </w:p>
    <w:p w14:paraId="3A330459">
      <w:pPr>
        <w:pStyle w:val="27"/>
        <w:rPr>
          <w:rFonts w:hint="default" w:ascii="Times New Roman" w:hAnsi="Times New Roman" w:eastAsia="宋体" w:cs="Times New Roman"/>
          <w:color w:val="auto"/>
          <w:lang w:eastAsia="zh-CN"/>
        </w:rPr>
      </w:pPr>
    </w:p>
    <w:p w14:paraId="2B9FAC59">
      <w:pPr>
        <w:pStyle w:val="27"/>
        <w:rPr>
          <w:rFonts w:hint="default" w:ascii="Times New Roman" w:hAnsi="Times New Roman" w:eastAsia="宋体" w:cs="Times New Roman"/>
          <w:color w:val="auto"/>
          <w:lang w:eastAsia="zh-CN"/>
        </w:rPr>
      </w:pPr>
    </w:p>
    <w:p w14:paraId="498F4716">
      <w:pPr>
        <w:pStyle w:val="27"/>
        <w:rPr>
          <w:rFonts w:hint="default" w:ascii="Times New Roman" w:hAnsi="Times New Roman" w:eastAsia="宋体" w:cs="Times New Roman"/>
          <w:color w:val="auto"/>
          <w:lang w:eastAsia="zh-CN"/>
        </w:rPr>
      </w:pPr>
    </w:p>
    <w:p w14:paraId="43D0C61A">
      <w:pPr>
        <w:pStyle w:val="27"/>
        <w:rPr>
          <w:rFonts w:hint="default" w:ascii="Times New Roman" w:hAnsi="Times New Roman" w:eastAsia="宋体" w:cs="Times New Roman"/>
          <w:color w:val="auto"/>
          <w:lang w:eastAsia="zh-CN"/>
        </w:rPr>
      </w:pPr>
    </w:p>
    <w:p w14:paraId="33FE1235">
      <w:pPr>
        <w:pStyle w:val="27"/>
        <w:rPr>
          <w:rFonts w:hint="default" w:ascii="Times New Roman" w:hAnsi="Times New Roman" w:eastAsia="宋体" w:cs="Times New Roman"/>
          <w:color w:val="auto"/>
          <w:lang w:eastAsia="zh-CN"/>
        </w:rPr>
      </w:pPr>
    </w:p>
    <w:p w14:paraId="1DBE79E7">
      <w:pPr>
        <w:pStyle w:val="27"/>
        <w:rPr>
          <w:rFonts w:hint="default" w:ascii="Times New Roman" w:hAnsi="Times New Roman" w:eastAsia="宋体" w:cs="Times New Roman"/>
          <w:color w:val="auto"/>
          <w:lang w:eastAsia="zh-CN"/>
        </w:rPr>
      </w:pPr>
    </w:p>
    <w:p w14:paraId="212C177F">
      <w:pPr>
        <w:pStyle w:val="27"/>
        <w:rPr>
          <w:rFonts w:hint="default" w:ascii="Times New Roman" w:hAnsi="Times New Roman" w:eastAsia="宋体" w:cs="Times New Roman"/>
          <w:color w:val="auto"/>
          <w:lang w:eastAsia="zh-CN"/>
        </w:rPr>
      </w:pPr>
    </w:p>
    <w:p w14:paraId="189ADC06">
      <w:pPr>
        <w:pStyle w:val="27"/>
        <w:rPr>
          <w:rFonts w:hint="default" w:ascii="Times New Roman" w:hAnsi="Times New Roman" w:eastAsia="宋体" w:cs="Times New Roman"/>
          <w:color w:val="auto"/>
          <w:lang w:eastAsia="zh-CN"/>
        </w:rPr>
      </w:pPr>
    </w:p>
    <w:p w14:paraId="760F8045">
      <w:pPr>
        <w:pStyle w:val="27"/>
        <w:rPr>
          <w:rFonts w:hint="default" w:ascii="Times New Roman" w:hAnsi="Times New Roman" w:eastAsia="宋体" w:cs="Times New Roman"/>
          <w:color w:val="auto"/>
          <w:lang w:eastAsia="zh-CN"/>
        </w:rPr>
      </w:pPr>
    </w:p>
    <w:p w14:paraId="01E79F17">
      <w:pPr>
        <w:pStyle w:val="27"/>
        <w:rPr>
          <w:rFonts w:hint="default" w:ascii="Times New Roman" w:hAnsi="Times New Roman" w:eastAsia="宋体" w:cs="Times New Roman"/>
          <w:color w:val="auto"/>
          <w:lang w:eastAsia="zh-CN"/>
        </w:rPr>
      </w:pPr>
    </w:p>
    <w:p w14:paraId="4B960B9E">
      <w:pPr>
        <w:pStyle w:val="27"/>
        <w:rPr>
          <w:rFonts w:hint="default" w:ascii="Times New Roman" w:hAnsi="Times New Roman" w:eastAsia="宋体" w:cs="Times New Roman"/>
          <w:color w:val="auto"/>
          <w:lang w:eastAsia="zh-CN"/>
        </w:rPr>
      </w:pPr>
    </w:p>
    <w:p w14:paraId="18AEC2E6">
      <w:pPr>
        <w:jc w:val="center"/>
        <w:rPr>
          <w:rFonts w:hint="default" w:ascii="Times New Roman" w:hAnsi="Times New Roman" w:cs="Times New Roman"/>
          <w:b/>
          <w:color w:val="auto"/>
          <w:kern w:val="0"/>
          <w:sz w:val="30"/>
          <w:szCs w:val="30"/>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tbl>
      <w:tblPr>
        <w:tblStyle w:val="31"/>
        <w:tblW w:w="0" w:type="auto"/>
        <w:jc w:val="center"/>
        <w:tblLayout w:type="fixed"/>
        <w:tblCellMar>
          <w:top w:w="0" w:type="dxa"/>
          <w:left w:w="108" w:type="dxa"/>
          <w:bottom w:w="0" w:type="dxa"/>
          <w:right w:w="108" w:type="dxa"/>
        </w:tblCellMar>
      </w:tblPr>
      <w:tblGrid>
        <w:gridCol w:w="4562"/>
        <w:gridCol w:w="4498"/>
      </w:tblGrid>
      <w:tr w14:paraId="70D944CB">
        <w:tblPrEx>
          <w:tblCellMar>
            <w:top w:w="0" w:type="dxa"/>
            <w:left w:w="108" w:type="dxa"/>
            <w:bottom w:w="0" w:type="dxa"/>
            <w:right w:w="108" w:type="dxa"/>
          </w:tblCellMar>
        </w:tblPrEx>
        <w:trPr>
          <w:trHeight w:val="3528" w:hRule="atLeast"/>
          <w:jc w:val="center"/>
        </w:trPr>
        <w:tc>
          <w:tcPr>
            <w:tcW w:w="4562" w:type="dxa"/>
            <w:noWrap w:val="0"/>
            <w:vAlign w:val="center"/>
          </w:tcPr>
          <w:p w14:paraId="2966C2AB">
            <w:pPr>
              <w:adjustRightInd w:val="0"/>
              <w:snapToGrid w:val="0"/>
              <w:jc w:val="center"/>
              <w:rPr>
                <w:rFonts w:hint="eastAsia" w:ascii="宋体" w:hAnsi="宋体" w:eastAsia="宋体" w:cs="宋体"/>
                <w:color w:val="auto"/>
                <w:sz w:val="36"/>
                <w:szCs w:val="36"/>
                <w:lang w:eastAsia="zh-CN"/>
              </w:rPr>
            </w:pPr>
            <w:r>
              <w:rPr>
                <w:rFonts w:hint="eastAsia" w:ascii="宋体" w:hAnsi="宋体" w:eastAsia="宋体" w:cs="宋体"/>
                <w:color w:val="auto"/>
              </w:rPr>
              <w:drawing>
                <wp:inline distT="0" distB="0" distL="114300" distR="114300">
                  <wp:extent cx="2520315" cy="1800225"/>
                  <wp:effectExtent l="0" t="0" r="3810" b="0"/>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9"/>
                          <a:stretch>
                            <a:fillRect/>
                          </a:stretch>
                        </pic:blipFill>
                        <pic:spPr>
                          <a:xfrm>
                            <a:off x="0" y="0"/>
                            <a:ext cx="2520315" cy="1800225"/>
                          </a:xfrm>
                          <a:prstGeom prst="rect">
                            <a:avLst/>
                          </a:prstGeom>
                          <a:noFill/>
                          <a:ln>
                            <a:noFill/>
                          </a:ln>
                        </pic:spPr>
                      </pic:pic>
                    </a:graphicData>
                  </a:graphic>
                </wp:inline>
              </w:drawing>
            </w:r>
          </w:p>
        </w:tc>
        <w:tc>
          <w:tcPr>
            <w:tcW w:w="4498" w:type="dxa"/>
            <w:noWrap w:val="0"/>
            <w:vAlign w:val="center"/>
          </w:tcPr>
          <w:p w14:paraId="5DAAD7A7">
            <w:pPr>
              <w:adjustRightInd w:val="0"/>
              <w:snapToGrid w:val="0"/>
              <w:rPr>
                <w:rFonts w:hint="eastAsia" w:ascii="宋体" w:hAnsi="宋体" w:eastAsia="宋体" w:cs="宋体"/>
                <w:color w:val="auto"/>
                <w:sz w:val="36"/>
                <w:szCs w:val="36"/>
                <w:lang w:eastAsia="zh-CN"/>
              </w:rPr>
            </w:pPr>
            <w:r>
              <w:rPr>
                <w:rFonts w:hint="eastAsia" w:ascii="宋体" w:hAnsi="宋体" w:eastAsia="宋体" w:cs="宋体"/>
                <w:color w:val="auto"/>
              </w:rPr>
              <w:drawing>
                <wp:inline distT="0" distB="0" distL="114300" distR="114300">
                  <wp:extent cx="2520315" cy="1800225"/>
                  <wp:effectExtent l="0" t="0" r="3810" b="0"/>
                  <wp:docPr id="5" name="图片 2"/>
                  <wp:cNvGraphicFramePr/>
                  <a:graphic xmlns:a="http://schemas.openxmlformats.org/drawingml/2006/main">
                    <a:graphicData uri="http://schemas.openxmlformats.org/drawingml/2006/picture">
                      <pic:pic xmlns:pic="http://schemas.openxmlformats.org/drawingml/2006/picture">
                        <pic:nvPicPr>
                          <pic:cNvPr id="5" name="图片 2"/>
                          <pic:cNvPicPr/>
                        </pic:nvPicPr>
                        <pic:blipFill>
                          <a:blip r:embed="rId10"/>
                          <a:stretch>
                            <a:fillRect/>
                          </a:stretch>
                        </pic:blipFill>
                        <pic:spPr>
                          <a:xfrm>
                            <a:off x="0" y="0"/>
                            <a:ext cx="2520315" cy="1800225"/>
                          </a:xfrm>
                          <a:prstGeom prst="rect">
                            <a:avLst/>
                          </a:prstGeom>
                          <a:noFill/>
                          <a:ln>
                            <a:noFill/>
                          </a:ln>
                        </pic:spPr>
                      </pic:pic>
                    </a:graphicData>
                  </a:graphic>
                </wp:inline>
              </w:drawing>
            </w:r>
          </w:p>
        </w:tc>
      </w:tr>
      <w:tr w14:paraId="6E2C900F">
        <w:tblPrEx>
          <w:tblCellMar>
            <w:top w:w="0" w:type="dxa"/>
            <w:left w:w="108" w:type="dxa"/>
            <w:bottom w:w="0" w:type="dxa"/>
            <w:right w:w="108" w:type="dxa"/>
          </w:tblCellMar>
        </w:tblPrEx>
        <w:trPr>
          <w:trHeight w:val="542" w:hRule="atLeast"/>
          <w:jc w:val="center"/>
        </w:trPr>
        <w:tc>
          <w:tcPr>
            <w:tcW w:w="4562" w:type="dxa"/>
            <w:noWrap w:val="0"/>
            <w:vAlign w:val="center"/>
          </w:tcPr>
          <w:p w14:paraId="47DAD0BD">
            <w:pPr>
              <w:adjustRightInd w:val="0"/>
              <w:snapToGrid w:val="0"/>
              <w:jc w:val="center"/>
              <w:rPr>
                <w:rFonts w:hint="eastAsia" w:ascii="宋体" w:hAnsi="宋体" w:eastAsia="宋体" w:cs="宋体"/>
                <w:color w:val="auto"/>
                <w:sz w:val="36"/>
                <w:szCs w:val="36"/>
                <w:lang w:val="en-US" w:eastAsia="zh-CN"/>
              </w:rPr>
            </w:pPr>
            <w:r>
              <w:rPr>
                <w:rFonts w:hint="eastAsia" w:ascii="宋体" w:hAnsi="宋体" w:eastAsia="宋体" w:cs="宋体"/>
                <w:b/>
                <w:bCs/>
                <w:color w:val="auto"/>
                <w:sz w:val="24"/>
              </w:rPr>
              <w:t>图1西干渠现场</w:t>
            </w:r>
            <w:r>
              <w:rPr>
                <w:rFonts w:hint="eastAsia" w:ascii="宋体" w:hAnsi="宋体" w:eastAsia="宋体" w:cs="宋体"/>
                <w:b/>
                <w:bCs/>
                <w:color w:val="auto"/>
                <w:sz w:val="24"/>
                <w:lang w:val="en-US" w:eastAsia="zh-CN"/>
              </w:rPr>
              <w:t>照片</w:t>
            </w:r>
          </w:p>
        </w:tc>
        <w:tc>
          <w:tcPr>
            <w:tcW w:w="4498" w:type="dxa"/>
            <w:noWrap w:val="0"/>
            <w:vAlign w:val="center"/>
          </w:tcPr>
          <w:p w14:paraId="3891E0BB">
            <w:pPr>
              <w:adjustRightInd w:val="0"/>
              <w:snapToGrid w:val="0"/>
              <w:jc w:val="center"/>
              <w:rPr>
                <w:rFonts w:hint="eastAsia" w:ascii="宋体" w:hAnsi="宋体" w:eastAsia="宋体" w:cs="宋体"/>
                <w:color w:val="auto"/>
                <w:sz w:val="36"/>
                <w:szCs w:val="36"/>
                <w:lang w:val="en-US" w:eastAsia="zh-CN"/>
              </w:rPr>
            </w:pPr>
            <w:r>
              <w:rPr>
                <w:rFonts w:hint="eastAsia" w:ascii="宋体" w:hAnsi="宋体" w:eastAsia="宋体" w:cs="宋体"/>
                <w:b/>
                <w:bCs/>
                <w:color w:val="auto"/>
                <w:sz w:val="24"/>
              </w:rPr>
              <w:t>图2皇宫村支渠</w:t>
            </w:r>
            <w:r>
              <w:rPr>
                <w:rFonts w:hint="eastAsia" w:ascii="宋体" w:hAnsi="宋体" w:eastAsia="宋体" w:cs="宋体"/>
                <w:b/>
                <w:bCs/>
                <w:color w:val="auto"/>
                <w:sz w:val="24"/>
                <w:lang w:val="en-US" w:eastAsia="zh-CN"/>
              </w:rPr>
              <w:t>现场照片</w:t>
            </w:r>
          </w:p>
        </w:tc>
      </w:tr>
      <w:tr w14:paraId="49F0731F">
        <w:tblPrEx>
          <w:tblCellMar>
            <w:top w:w="0" w:type="dxa"/>
            <w:left w:w="108" w:type="dxa"/>
            <w:bottom w:w="0" w:type="dxa"/>
            <w:right w:w="108" w:type="dxa"/>
          </w:tblCellMar>
        </w:tblPrEx>
        <w:trPr>
          <w:trHeight w:val="3980" w:hRule="atLeast"/>
          <w:jc w:val="center"/>
        </w:trPr>
        <w:tc>
          <w:tcPr>
            <w:tcW w:w="4562" w:type="dxa"/>
            <w:noWrap w:val="0"/>
            <w:vAlign w:val="center"/>
          </w:tcPr>
          <w:p w14:paraId="75567D51">
            <w:pPr>
              <w:adjustRightInd w:val="0"/>
              <w:snapToGrid w:val="0"/>
              <w:jc w:val="center"/>
              <w:rPr>
                <w:rFonts w:hint="eastAsia" w:ascii="宋体" w:hAnsi="宋体" w:eastAsia="宋体" w:cs="宋体"/>
                <w:color w:val="auto"/>
                <w:sz w:val="36"/>
                <w:szCs w:val="36"/>
                <w:lang w:eastAsia="zh-CN"/>
              </w:rPr>
            </w:pPr>
            <w:r>
              <w:rPr>
                <w:rFonts w:hint="eastAsia" w:ascii="宋体" w:hAnsi="宋体" w:eastAsia="宋体" w:cs="宋体"/>
                <w:color w:val="auto"/>
              </w:rPr>
              <w:drawing>
                <wp:inline distT="0" distB="0" distL="114300" distR="114300">
                  <wp:extent cx="2520315" cy="1800225"/>
                  <wp:effectExtent l="0" t="0" r="3810" b="0"/>
                  <wp:docPr id="6" name="图片 3"/>
                  <wp:cNvGraphicFramePr/>
                  <a:graphic xmlns:a="http://schemas.openxmlformats.org/drawingml/2006/main">
                    <a:graphicData uri="http://schemas.openxmlformats.org/drawingml/2006/picture">
                      <pic:pic xmlns:pic="http://schemas.openxmlformats.org/drawingml/2006/picture">
                        <pic:nvPicPr>
                          <pic:cNvPr id="6" name="图片 3"/>
                          <pic:cNvPicPr/>
                        </pic:nvPicPr>
                        <pic:blipFill>
                          <a:blip r:embed="rId11"/>
                          <a:stretch>
                            <a:fillRect/>
                          </a:stretch>
                        </pic:blipFill>
                        <pic:spPr>
                          <a:xfrm>
                            <a:off x="0" y="0"/>
                            <a:ext cx="2520315" cy="1800225"/>
                          </a:xfrm>
                          <a:prstGeom prst="rect">
                            <a:avLst/>
                          </a:prstGeom>
                          <a:noFill/>
                          <a:ln>
                            <a:noFill/>
                          </a:ln>
                        </pic:spPr>
                      </pic:pic>
                    </a:graphicData>
                  </a:graphic>
                </wp:inline>
              </w:drawing>
            </w:r>
          </w:p>
        </w:tc>
        <w:tc>
          <w:tcPr>
            <w:tcW w:w="4498" w:type="dxa"/>
            <w:noWrap w:val="0"/>
            <w:vAlign w:val="center"/>
          </w:tcPr>
          <w:p w14:paraId="29E39321">
            <w:pPr>
              <w:adjustRightInd w:val="0"/>
              <w:snapToGrid w:val="0"/>
              <w:jc w:val="center"/>
              <w:rPr>
                <w:rFonts w:hint="eastAsia" w:ascii="宋体" w:hAnsi="宋体" w:eastAsia="宋体" w:cs="宋体"/>
                <w:color w:val="auto"/>
                <w:sz w:val="36"/>
                <w:szCs w:val="36"/>
                <w:lang w:eastAsia="zh-CN"/>
              </w:rPr>
            </w:pPr>
            <w:r>
              <w:rPr>
                <w:rFonts w:hint="eastAsia" w:ascii="宋体" w:hAnsi="宋体" w:eastAsia="宋体" w:cs="宋体"/>
                <w:color w:val="auto"/>
              </w:rPr>
              <w:drawing>
                <wp:inline distT="0" distB="0" distL="114300" distR="114300">
                  <wp:extent cx="2520315" cy="1800225"/>
                  <wp:effectExtent l="0" t="0" r="3810" b="0"/>
                  <wp:docPr id="7" name="图片 4"/>
                  <wp:cNvGraphicFramePr/>
                  <a:graphic xmlns:a="http://schemas.openxmlformats.org/drawingml/2006/main">
                    <a:graphicData uri="http://schemas.openxmlformats.org/drawingml/2006/picture">
                      <pic:pic xmlns:pic="http://schemas.openxmlformats.org/drawingml/2006/picture">
                        <pic:nvPicPr>
                          <pic:cNvPr id="7" name="图片 4"/>
                          <pic:cNvPicPr/>
                        </pic:nvPicPr>
                        <pic:blipFill>
                          <a:blip r:embed="rId12"/>
                          <a:stretch>
                            <a:fillRect/>
                          </a:stretch>
                        </pic:blipFill>
                        <pic:spPr>
                          <a:xfrm>
                            <a:off x="0" y="0"/>
                            <a:ext cx="2520315" cy="1800225"/>
                          </a:xfrm>
                          <a:prstGeom prst="rect">
                            <a:avLst/>
                          </a:prstGeom>
                          <a:noFill/>
                          <a:ln>
                            <a:noFill/>
                          </a:ln>
                        </pic:spPr>
                      </pic:pic>
                    </a:graphicData>
                  </a:graphic>
                </wp:inline>
              </w:drawing>
            </w:r>
          </w:p>
        </w:tc>
      </w:tr>
      <w:tr w14:paraId="3F223AEB">
        <w:tblPrEx>
          <w:tblCellMar>
            <w:top w:w="0" w:type="dxa"/>
            <w:left w:w="108" w:type="dxa"/>
            <w:bottom w:w="0" w:type="dxa"/>
            <w:right w:w="108" w:type="dxa"/>
          </w:tblCellMar>
        </w:tblPrEx>
        <w:trPr>
          <w:trHeight w:val="555" w:hRule="atLeast"/>
          <w:jc w:val="center"/>
        </w:trPr>
        <w:tc>
          <w:tcPr>
            <w:tcW w:w="4562" w:type="dxa"/>
            <w:noWrap w:val="0"/>
            <w:vAlign w:val="center"/>
          </w:tcPr>
          <w:p w14:paraId="3856595F">
            <w:pPr>
              <w:adjustRightInd w:val="0"/>
              <w:snapToGrid w:val="0"/>
              <w:jc w:val="center"/>
              <w:rPr>
                <w:rFonts w:hint="eastAsia" w:ascii="宋体" w:hAnsi="宋体" w:eastAsia="宋体" w:cs="宋体"/>
                <w:color w:val="auto"/>
                <w:sz w:val="36"/>
                <w:szCs w:val="36"/>
                <w:lang w:val="en-US" w:eastAsia="zh-CN"/>
              </w:rPr>
            </w:pPr>
            <w:r>
              <w:rPr>
                <w:rFonts w:hint="eastAsia" w:ascii="宋体" w:hAnsi="宋体" w:eastAsia="宋体" w:cs="宋体"/>
                <w:b/>
                <w:bCs/>
                <w:color w:val="auto"/>
                <w:sz w:val="24"/>
              </w:rPr>
              <w:t>图3永丰渠村1组支渠</w:t>
            </w:r>
            <w:r>
              <w:rPr>
                <w:rFonts w:hint="eastAsia" w:ascii="宋体" w:hAnsi="宋体" w:eastAsia="宋体" w:cs="宋体"/>
                <w:b/>
                <w:bCs/>
                <w:color w:val="auto"/>
                <w:sz w:val="24"/>
                <w:lang w:val="en-US" w:eastAsia="zh-CN"/>
              </w:rPr>
              <w:t>现场照片</w:t>
            </w:r>
          </w:p>
        </w:tc>
        <w:tc>
          <w:tcPr>
            <w:tcW w:w="4498" w:type="dxa"/>
            <w:noWrap w:val="0"/>
            <w:vAlign w:val="center"/>
          </w:tcPr>
          <w:p w14:paraId="49379CA7">
            <w:pPr>
              <w:adjustRightInd w:val="0"/>
              <w:snapToGrid w:val="0"/>
              <w:jc w:val="center"/>
              <w:rPr>
                <w:rFonts w:hint="eastAsia" w:ascii="宋体" w:hAnsi="宋体" w:eastAsia="宋体" w:cs="宋体"/>
                <w:color w:val="auto"/>
                <w:sz w:val="36"/>
                <w:szCs w:val="36"/>
                <w:lang w:val="en-US" w:eastAsia="zh-CN"/>
              </w:rPr>
            </w:pPr>
            <w:r>
              <w:rPr>
                <w:rFonts w:hint="eastAsia" w:ascii="宋体" w:hAnsi="宋体" w:eastAsia="宋体" w:cs="宋体"/>
                <w:b/>
                <w:bCs/>
                <w:color w:val="auto"/>
                <w:sz w:val="24"/>
              </w:rPr>
              <w:t>图4永丰渠村2组支渠</w:t>
            </w:r>
            <w:r>
              <w:rPr>
                <w:rFonts w:hint="eastAsia" w:ascii="宋体" w:hAnsi="宋体" w:eastAsia="宋体" w:cs="宋体"/>
                <w:b/>
                <w:bCs/>
                <w:color w:val="auto"/>
                <w:sz w:val="24"/>
                <w:lang w:val="en-US" w:eastAsia="zh-CN"/>
              </w:rPr>
              <w:t>现场照片</w:t>
            </w:r>
          </w:p>
        </w:tc>
      </w:tr>
      <w:tr w14:paraId="0CF36375">
        <w:tblPrEx>
          <w:tblCellMar>
            <w:top w:w="0" w:type="dxa"/>
            <w:left w:w="108" w:type="dxa"/>
            <w:bottom w:w="0" w:type="dxa"/>
            <w:right w:w="108" w:type="dxa"/>
          </w:tblCellMar>
        </w:tblPrEx>
        <w:trPr>
          <w:trHeight w:val="555" w:hRule="atLeast"/>
          <w:jc w:val="center"/>
        </w:trPr>
        <w:tc>
          <w:tcPr>
            <w:tcW w:w="4562" w:type="dxa"/>
            <w:noWrap w:val="0"/>
            <w:vAlign w:val="center"/>
          </w:tcPr>
          <w:p w14:paraId="39A7416E">
            <w:pPr>
              <w:adjustRightInd w:val="0"/>
              <w:snapToGrid w:val="0"/>
              <w:jc w:val="center"/>
              <w:rPr>
                <w:rFonts w:hint="eastAsia" w:ascii="宋体" w:hAnsi="宋体" w:eastAsia="宋体" w:cs="宋体"/>
                <w:b/>
                <w:bCs/>
                <w:color w:val="auto"/>
                <w:sz w:val="24"/>
                <w:lang w:eastAsia="zh-CN"/>
              </w:rPr>
            </w:pPr>
            <w:r>
              <w:rPr>
                <w:rFonts w:hint="eastAsia" w:ascii="宋体" w:hAnsi="宋体" w:eastAsia="宋体" w:cs="宋体"/>
                <w:color w:val="auto"/>
              </w:rPr>
              <w:drawing>
                <wp:inline distT="0" distB="0" distL="114300" distR="114300">
                  <wp:extent cx="2520315" cy="1800225"/>
                  <wp:effectExtent l="0" t="0" r="3810" b="0"/>
                  <wp:docPr id="12" name="图片 6"/>
                  <wp:cNvGraphicFramePr/>
                  <a:graphic xmlns:a="http://schemas.openxmlformats.org/drawingml/2006/main">
                    <a:graphicData uri="http://schemas.openxmlformats.org/drawingml/2006/picture">
                      <pic:pic xmlns:pic="http://schemas.openxmlformats.org/drawingml/2006/picture">
                        <pic:nvPicPr>
                          <pic:cNvPr id="12" name="图片 6"/>
                          <pic:cNvPicPr/>
                        </pic:nvPicPr>
                        <pic:blipFill>
                          <a:blip r:embed="rId13"/>
                          <a:stretch>
                            <a:fillRect/>
                          </a:stretch>
                        </pic:blipFill>
                        <pic:spPr>
                          <a:xfrm>
                            <a:off x="0" y="0"/>
                            <a:ext cx="2520315" cy="1800225"/>
                          </a:xfrm>
                          <a:prstGeom prst="rect">
                            <a:avLst/>
                          </a:prstGeom>
                          <a:noFill/>
                          <a:ln>
                            <a:noFill/>
                          </a:ln>
                        </pic:spPr>
                      </pic:pic>
                    </a:graphicData>
                  </a:graphic>
                </wp:inline>
              </w:drawing>
            </w:r>
          </w:p>
        </w:tc>
        <w:tc>
          <w:tcPr>
            <w:tcW w:w="4498" w:type="dxa"/>
            <w:noWrap w:val="0"/>
            <w:vAlign w:val="center"/>
          </w:tcPr>
          <w:p w14:paraId="26589B1A">
            <w:pPr>
              <w:adjustRightInd w:val="0"/>
              <w:snapToGrid w:val="0"/>
              <w:jc w:val="center"/>
              <w:rPr>
                <w:rFonts w:hint="eastAsia" w:ascii="宋体" w:hAnsi="宋体" w:eastAsia="宋体" w:cs="宋体"/>
                <w:b/>
                <w:bCs/>
                <w:color w:val="auto"/>
                <w:sz w:val="24"/>
                <w:lang w:eastAsia="zh-CN"/>
              </w:rPr>
            </w:pPr>
            <w:r>
              <w:rPr>
                <w:rFonts w:hint="eastAsia" w:ascii="宋体" w:hAnsi="宋体" w:eastAsia="宋体" w:cs="宋体"/>
                <w:color w:val="auto"/>
              </w:rPr>
              <w:drawing>
                <wp:inline distT="0" distB="0" distL="114300" distR="114300">
                  <wp:extent cx="2520315" cy="1800225"/>
                  <wp:effectExtent l="0" t="0" r="3810" b="0"/>
                  <wp:docPr id="13" name="图片 7"/>
                  <wp:cNvGraphicFramePr/>
                  <a:graphic xmlns:a="http://schemas.openxmlformats.org/drawingml/2006/main">
                    <a:graphicData uri="http://schemas.openxmlformats.org/drawingml/2006/picture">
                      <pic:pic xmlns:pic="http://schemas.openxmlformats.org/drawingml/2006/picture">
                        <pic:nvPicPr>
                          <pic:cNvPr id="13" name="图片 7"/>
                          <pic:cNvPicPr/>
                        </pic:nvPicPr>
                        <pic:blipFill>
                          <a:blip r:embed="rId14"/>
                          <a:stretch>
                            <a:fillRect/>
                          </a:stretch>
                        </pic:blipFill>
                        <pic:spPr>
                          <a:xfrm>
                            <a:off x="0" y="0"/>
                            <a:ext cx="2520315" cy="1800225"/>
                          </a:xfrm>
                          <a:prstGeom prst="rect">
                            <a:avLst/>
                          </a:prstGeom>
                          <a:noFill/>
                          <a:ln>
                            <a:noFill/>
                          </a:ln>
                        </pic:spPr>
                      </pic:pic>
                    </a:graphicData>
                  </a:graphic>
                </wp:inline>
              </w:drawing>
            </w:r>
          </w:p>
        </w:tc>
      </w:tr>
      <w:tr w14:paraId="05CC6CF5">
        <w:tblPrEx>
          <w:tblCellMar>
            <w:top w:w="0" w:type="dxa"/>
            <w:left w:w="108" w:type="dxa"/>
            <w:bottom w:w="0" w:type="dxa"/>
            <w:right w:w="108" w:type="dxa"/>
          </w:tblCellMar>
        </w:tblPrEx>
        <w:trPr>
          <w:trHeight w:val="555" w:hRule="atLeast"/>
          <w:jc w:val="center"/>
        </w:trPr>
        <w:tc>
          <w:tcPr>
            <w:tcW w:w="4562" w:type="dxa"/>
            <w:noWrap w:val="0"/>
            <w:vAlign w:val="center"/>
          </w:tcPr>
          <w:p w14:paraId="042F14AE">
            <w:pPr>
              <w:adjustRightInd w:val="0"/>
              <w:snapToGrid w:val="0"/>
              <w:jc w:val="center"/>
              <w:rPr>
                <w:rFonts w:hint="eastAsia" w:ascii="宋体" w:hAnsi="宋体" w:eastAsia="宋体" w:cs="宋体"/>
                <w:b/>
                <w:bCs/>
                <w:color w:val="auto"/>
                <w:sz w:val="24"/>
                <w:lang w:val="en-US"/>
              </w:rPr>
            </w:pPr>
            <w:r>
              <w:rPr>
                <w:rFonts w:hint="eastAsia" w:ascii="宋体" w:hAnsi="宋体" w:eastAsia="宋体" w:cs="宋体"/>
                <w:b/>
                <w:bCs/>
                <w:color w:val="auto"/>
                <w:sz w:val="24"/>
              </w:rPr>
              <w:t>图</w:t>
            </w:r>
            <w:r>
              <w:rPr>
                <w:rFonts w:hint="eastAsia" w:ascii="宋体" w:hAnsi="宋体" w:eastAsia="宋体" w:cs="宋体"/>
                <w:b/>
                <w:bCs/>
                <w:color w:val="auto"/>
                <w:sz w:val="24"/>
                <w:lang w:val="en-US" w:eastAsia="zh-CN"/>
              </w:rPr>
              <w:t>5西戈壁支渠现场照片</w:t>
            </w:r>
          </w:p>
        </w:tc>
        <w:tc>
          <w:tcPr>
            <w:tcW w:w="4498" w:type="dxa"/>
            <w:noWrap w:val="0"/>
            <w:vAlign w:val="center"/>
          </w:tcPr>
          <w:p w14:paraId="13E2D253">
            <w:pPr>
              <w:adjustRightInd w:val="0"/>
              <w:snapToGrid w:val="0"/>
              <w:jc w:val="center"/>
              <w:rPr>
                <w:rFonts w:hint="eastAsia" w:ascii="宋体" w:hAnsi="宋体" w:eastAsia="宋体" w:cs="宋体"/>
                <w:b/>
                <w:bCs/>
                <w:color w:val="auto"/>
                <w:sz w:val="24"/>
                <w:lang w:val="en-US"/>
              </w:rPr>
            </w:pPr>
            <w:r>
              <w:rPr>
                <w:rFonts w:hint="eastAsia" w:ascii="宋体" w:hAnsi="宋体" w:eastAsia="宋体" w:cs="宋体"/>
                <w:b/>
                <w:bCs/>
                <w:color w:val="auto"/>
                <w:sz w:val="24"/>
              </w:rPr>
              <w:t>图</w:t>
            </w:r>
            <w:r>
              <w:rPr>
                <w:rFonts w:hint="eastAsia" w:ascii="宋体" w:hAnsi="宋体" w:eastAsia="宋体" w:cs="宋体"/>
                <w:b/>
                <w:bCs/>
                <w:color w:val="auto"/>
                <w:sz w:val="24"/>
                <w:lang w:val="en-US" w:eastAsia="zh-CN"/>
              </w:rPr>
              <w:t>6洞子口西支渠现场照片</w:t>
            </w:r>
          </w:p>
        </w:tc>
      </w:tr>
    </w:tbl>
    <w:p w14:paraId="682D3B42">
      <w:pPr>
        <w:rPr>
          <w:rFonts w:hint="default" w:ascii="Times New Roman" w:hAnsi="Times New Roman" w:eastAsia="宋体" w:cs="Times New Roman"/>
          <w:color w:val="auto"/>
          <w:lang w:eastAsia="zh-CN"/>
        </w:rPr>
      </w:pPr>
    </w:p>
    <w:p w14:paraId="3EC8DCD9">
      <w:pPr>
        <w:pStyle w:val="37"/>
        <w:rPr>
          <w:rFonts w:hint="default" w:ascii="Times New Roman" w:hAnsi="Times New Roman" w:eastAsia="宋体" w:cs="Times New Roman"/>
          <w:color w:val="auto"/>
          <w:lang w:eastAsia="zh-CN"/>
        </w:rPr>
      </w:pPr>
    </w:p>
    <w:p w14:paraId="1831AA4C">
      <w:pPr>
        <w:rPr>
          <w:rFonts w:hint="default" w:ascii="Times New Roman" w:hAnsi="Times New Roman" w:eastAsia="宋体" w:cs="Times New Roman"/>
          <w:color w:val="auto"/>
          <w:lang w:eastAsia="zh-CN"/>
        </w:rPr>
      </w:pPr>
    </w:p>
    <w:p w14:paraId="16B33925">
      <w:pPr>
        <w:pStyle w:val="25"/>
        <w:rPr>
          <w:rFonts w:hint="default"/>
          <w:color w:val="auto"/>
          <w:lang w:eastAsia="zh-CN"/>
        </w:rPr>
      </w:pPr>
    </w:p>
    <w:p w14:paraId="3F3291DF">
      <w:pPr>
        <w:rPr>
          <w:rFonts w:hint="default"/>
          <w:color w:val="auto"/>
          <w:lang w:eastAsia="zh-CN"/>
        </w:rPr>
      </w:pPr>
    </w:p>
    <w:p w14:paraId="38EEEC58">
      <w:pPr>
        <w:rPr>
          <w:rFonts w:hint="default" w:ascii="Times New Roman" w:hAnsi="Times New Roman" w:eastAsia="宋体" w:cs="Times New Roman"/>
          <w:color w:val="auto"/>
          <w:lang w:eastAsia="zh-CN"/>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cols w:space="720" w:num="1"/>
          <w:docGrid w:linePitch="312" w:charSpace="0"/>
        </w:sectPr>
      </w:pPr>
    </w:p>
    <w:sdt>
      <w:sdtPr>
        <w:rPr>
          <w:rFonts w:hint="default" w:ascii="Times New Roman" w:hAnsi="Times New Roman" w:eastAsia="黑体" w:cs="Times New Roman"/>
          <w:snapToGrid w:val="0"/>
          <w:color w:val="auto"/>
          <w:kern w:val="0"/>
          <w:sz w:val="30"/>
          <w:szCs w:val="30"/>
          <w:highlight w:val="none"/>
          <w:lang w:val="en-US" w:eastAsia="zh-CN" w:bidi="ar-SA"/>
        </w:rPr>
        <w:id w:val="147482799"/>
        <w15:color w:val="DBDBDB"/>
        <w:docPartObj>
          <w:docPartGallery w:val="Table of Contents"/>
          <w:docPartUnique/>
        </w:docPartObj>
      </w:sdtPr>
      <w:sdtEndPr>
        <w:rPr>
          <w:rFonts w:hint="default" w:ascii="Times New Roman" w:hAnsi="Times New Roman" w:eastAsia="仿宋_GB2312" w:cs="Times New Roman"/>
          <w:snapToGrid w:val="0"/>
          <w:color w:val="auto"/>
          <w:kern w:val="0"/>
          <w:sz w:val="30"/>
          <w:szCs w:val="28"/>
          <w:highlight w:val="none"/>
          <w:lang w:val="en-US" w:eastAsia="zh-CN" w:bidi="ar-SA"/>
        </w:rPr>
      </w:sdtEndPr>
      <w:sdtContent>
        <w:p w14:paraId="74A9E92A">
          <w:pPr>
            <w:widowControl/>
            <w:spacing w:before="100" w:beforeAutospacing="1" w:after="100" w:afterAutospacing="1"/>
            <w:jc w:val="center"/>
            <w:outlineLvl w:val="9"/>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黑体" w:cs="Times New Roman"/>
              <w:snapToGrid w:val="0"/>
              <w:color w:val="auto"/>
              <w:kern w:val="0"/>
              <w:sz w:val="30"/>
              <w:szCs w:val="30"/>
              <w:highlight w:val="none"/>
              <w:lang w:val="en-US" w:eastAsia="zh-CN" w:bidi="ar-SA"/>
            </w:rPr>
            <w:t>目录</w:t>
          </w:r>
        </w:p>
        <w:p w14:paraId="0ACADA81">
          <w:pPr>
            <w:pStyle w:val="22"/>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仿宋_GB2312" w:cs="Times New Roman"/>
              <w:snapToGrid w:val="0"/>
              <w:color w:val="auto"/>
              <w:sz w:val="28"/>
              <w:szCs w:val="28"/>
              <w:highlight w:val="none"/>
            </w:rPr>
            <w:fldChar w:fldCharType="begin"/>
          </w:r>
          <w:r>
            <w:rPr>
              <w:rFonts w:hint="default" w:ascii="Times New Roman" w:hAnsi="Times New Roman" w:eastAsia="仿宋_GB2312" w:cs="Times New Roman"/>
              <w:snapToGrid w:val="0"/>
              <w:color w:val="auto"/>
              <w:sz w:val="28"/>
              <w:szCs w:val="28"/>
              <w:highlight w:val="none"/>
            </w:rPr>
            <w:instrText xml:space="preserve">TOC \o "1-3" \h \u </w:instrText>
          </w:r>
          <w:r>
            <w:rPr>
              <w:rFonts w:hint="default" w:ascii="Times New Roman" w:hAnsi="Times New Roman" w:eastAsia="仿宋_GB2312" w:cs="Times New Roman"/>
              <w:snapToGrid w:val="0"/>
              <w:color w:val="auto"/>
              <w:sz w:val="28"/>
              <w:szCs w:val="28"/>
              <w:highlight w:val="none"/>
            </w:rPr>
            <w:fldChar w:fldCharType="separate"/>
          </w: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_Toc29721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一、建设项目基本情况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_Toc29721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6B960460">
          <w:pPr>
            <w:pStyle w:val="22"/>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_Toc21128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二、建设内容</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_Toc21128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18</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4B7EF002">
          <w:pPr>
            <w:pStyle w:val="22"/>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_Toc16566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三、生态环境现状、保护目标及评价标准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_Toc16566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34</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14A19CCB">
          <w:pPr>
            <w:pStyle w:val="22"/>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_Toc11500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color w:val="auto"/>
              <w:lang w:eastAsia="zh-CN"/>
            </w:rPr>
            <w:t>四、</w:t>
          </w:r>
          <w:r>
            <w:rPr>
              <w:rFonts w:hint="default" w:ascii="Times New Roman" w:hAnsi="Times New Roman" w:eastAsia="宋体" w:cs="Times New Roman"/>
              <w:color w:val="auto"/>
            </w:rPr>
            <w:t>生态环境影响分析</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_Toc11500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45</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08089108">
          <w:pPr>
            <w:pStyle w:val="22"/>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_Toc2685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五、主要生态环境保护措施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_Toc2685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57</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0940F829">
          <w:pPr>
            <w:pStyle w:val="22"/>
            <w:tabs>
              <w:tab w:val="right" w:leader="dot" w:pos="8844"/>
              <w:tab w:val="clear" w:pos="420"/>
              <w:tab w:val="clear" w:pos="8303"/>
            </w:tabs>
            <w:spacing w:line="360" w:lineRule="auto"/>
            <w:rPr>
              <w:rFonts w:hint="default" w:ascii="Times New Roman" w:hAnsi="Times New Roman" w:eastAsia="宋体"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_Toc30688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snapToGrid w:val="0"/>
              <w:color w:val="auto"/>
              <w:szCs w:val="30"/>
            </w:rPr>
            <w:t>六、生态环境保护措施监督检查清单</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_Toc30688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75</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0A9B8405">
          <w:pPr>
            <w:pStyle w:val="22"/>
            <w:tabs>
              <w:tab w:val="right" w:leader="dot" w:pos="8844"/>
              <w:tab w:val="clear" w:pos="420"/>
              <w:tab w:val="clear" w:pos="8303"/>
            </w:tabs>
            <w:spacing w:line="360" w:lineRule="auto"/>
            <w:rPr>
              <w:rFonts w:hint="default" w:ascii="Times New Roman" w:hAnsi="Times New Roman" w:cs="Times New Roman"/>
              <w:color w:val="auto"/>
            </w:rPr>
          </w:pPr>
          <w:r>
            <w:rPr>
              <w:rFonts w:hint="default" w:ascii="Times New Roman" w:hAnsi="Times New Roman" w:eastAsia="宋体" w:cs="Times New Roman"/>
              <w:snapToGrid w:val="0"/>
              <w:color w:val="auto"/>
              <w:szCs w:val="28"/>
              <w:highlight w:val="none"/>
            </w:rPr>
            <w:fldChar w:fldCharType="begin"/>
          </w:r>
          <w:r>
            <w:rPr>
              <w:rFonts w:hint="default" w:ascii="Times New Roman" w:hAnsi="Times New Roman" w:eastAsia="宋体" w:cs="Times New Roman"/>
              <w:snapToGrid w:val="0"/>
              <w:color w:val="auto"/>
              <w:szCs w:val="28"/>
              <w:highlight w:val="none"/>
            </w:rPr>
            <w:instrText xml:space="preserve"> HYPERLINK \l _Toc5988 </w:instrText>
          </w:r>
          <w:r>
            <w:rPr>
              <w:rFonts w:hint="default" w:ascii="Times New Roman" w:hAnsi="Times New Roman" w:eastAsia="宋体" w:cs="Times New Roman"/>
              <w:snapToGrid w:val="0"/>
              <w:color w:val="auto"/>
              <w:szCs w:val="28"/>
              <w:highlight w:val="none"/>
            </w:rPr>
            <w:fldChar w:fldCharType="separate"/>
          </w:r>
          <w:r>
            <w:rPr>
              <w:rFonts w:hint="default" w:ascii="Times New Roman" w:hAnsi="Times New Roman" w:eastAsia="宋体" w:cs="Times New Roman"/>
              <w:bCs/>
              <w:snapToGrid w:val="0"/>
              <w:color w:val="auto"/>
              <w:szCs w:val="30"/>
            </w:rPr>
            <w:t>七、结论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_Toc5988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77</w:t>
          </w:r>
          <w:r>
            <w:rPr>
              <w:rFonts w:hint="default" w:ascii="Times New Roman" w:hAnsi="Times New Roman" w:eastAsia="宋体" w:cs="Times New Roman"/>
              <w:color w:val="auto"/>
            </w:rPr>
            <w:fldChar w:fldCharType="end"/>
          </w:r>
          <w:r>
            <w:rPr>
              <w:rFonts w:hint="default" w:ascii="Times New Roman" w:hAnsi="Times New Roman" w:eastAsia="宋体" w:cs="Times New Roman"/>
              <w:snapToGrid w:val="0"/>
              <w:color w:val="auto"/>
              <w:szCs w:val="28"/>
              <w:highlight w:val="none"/>
            </w:rPr>
            <w:fldChar w:fldCharType="end"/>
          </w:r>
        </w:p>
        <w:p w14:paraId="6A9405CA">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both"/>
            <w:textAlignment w:val="auto"/>
            <w:outlineLvl w:val="9"/>
            <w:rPr>
              <w:rFonts w:hint="default" w:ascii="Times New Roman" w:hAnsi="Times New Roman" w:eastAsia="黑体" w:cs="Times New Roman"/>
              <w:snapToGrid w:val="0"/>
              <w:color w:val="auto"/>
              <w:kern w:val="0"/>
              <w:sz w:val="30"/>
              <w:szCs w:val="30"/>
              <w:highlight w:val="none"/>
              <w:lang w:val="en-US" w:eastAsia="zh-CN" w:bidi="ar-SA"/>
            </w:rPr>
          </w:pPr>
          <w:r>
            <w:rPr>
              <w:rFonts w:hint="default" w:ascii="Times New Roman" w:hAnsi="Times New Roman" w:eastAsia="仿宋_GB2312" w:cs="Times New Roman"/>
              <w:snapToGrid w:val="0"/>
              <w:color w:val="auto"/>
              <w:szCs w:val="28"/>
              <w:highlight w:val="none"/>
            </w:rPr>
            <w:fldChar w:fldCharType="end"/>
          </w:r>
        </w:p>
      </w:sdtContent>
    </w:sdt>
    <w:p w14:paraId="76E0A0F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bookmarkStart w:id="4" w:name="_Toc23717"/>
      <w:r>
        <w:rPr>
          <w:rFonts w:hint="default" w:ascii="Times New Roman" w:hAnsi="Times New Roman" w:eastAsia="宋体" w:cs="Times New Roman"/>
          <w:snapToGrid w:val="0"/>
          <w:color w:val="auto"/>
          <w:kern w:val="0"/>
          <w:sz w:val="28"/>
          <w:szCs w:val="28"/>
          <w:highlight w:val="none"/>
          <w:lang w:val="en-US" w:eastAsia="zh-CN" w:bidi="ar-SA"/>
        </w:rPr>
        <w:t>附件1：委托书</w:t>
      </w:r>
    </w:p>
    <w:p w14:paraId="128F7656">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bookmarkStart w:id="5" w:name="_Toc16701"/>
      <w:r>
        <w:rPr>
          <w:rFonts w:hint="default" w:ascii="Times New Roman" w:hAnsi="Times New Roman" w:eastAsia="宋体" w:cs="Times New Roman"/>
          <w:snapToGrid w:val="0"/>
          <w:color w:val="auto"/>
          <w:kern w:val="0"/>
          <w:sz w:val="28"/>
          <w:szCs w:val="28"/>
          <w:highlight w:val="none"/>
          <w:lang w:val="en-US" w:eastAsia="zh-CN" w:bidi="ar-SA"/>
        </w:rPr>
        <w:t>附件2：</w:t>
      </w:r>
      <w:bookmarkEnd w:id="5"/>
      <w:r>
        <w:rPr>
          <w:rFonts w:hint="eastAsia" w:cs="Times New Roman"/>
          <w:snapToGrid w:val="0"/>
          <w:color w:val="auto"/>
          <w:kern w:val="0"/>
          <w:sz w:val="28"/>
          <w:szCs w:val="28"/>
          <w:highlight w:val="none"/>
          <w:lang w:val="en-US" w:eastAsia="zh-CN" w:bidi="ar-SA"/>
        </w:rPr>
        <w:t>事业单位法人证书</w:t>
      </w:r>
    </w:p>
    <w:p w14:paraId="153EABA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bookmarkStart w:id="6" w:name="_Toc261"/>
      <w:r>
        <w:rPr>
          <w:rFonts w:hint="default" w:ascii="Times New Roman" w:hAnsi="Times New Roman" w:eastAsia="宋体" w:cs="Times New Roman"/>
          <w:snapToGrid w:val="0"/>
          <w:color w:val="auto"/>
          <w:kern w:val="0"/>
          <w:sz w:val="28"/>
          <w:szCs w:val="28"/>
          <w:highlight w:val="none"/>
          <w:lang w:val="en-US" w:eastAsia="zh-CN" w:bidi="ar-SA"/>
        </w:rPr>
        <w:t>附件3：项目</w:t>
      </w:r>
      <w:r>
        <w:rPr>
          <w:rFonts w:hint="eastAsia" w:cs="Times New Roman"/>
          <w:snapToGrid w:val="0"/>
          <w:color w:val="auto"/>
          <w:kern w:val="0"/>
          <w:sz w:val="28"/>
          <w:szCs w:val="28"/>
          <w:highlight w:val="none"/>
          <w:lang w:val="en-US" w:eastAsia="zh-CN" w:bidi="ar-SA"/>
        </w:rPr>
        <w:t>立项文件</w:t>
      </w:r>
    </w:p>
    <w:p w14:paraId="30B63D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eastAsia"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附件4：</w:t>
      </w:r>
      <w:bookmarkEnd w:id="6"/>
      <w:r>
        <w:rPr>
          <w:rFonts w:hint="eastAsia" w:cs="Times New Roman"/>
          <w:snapToGrid w:val="0"/>
          <w:color w:val="auto"/>
          <w:kern w:val="0"/>
          <w:sz w:val="28"/>
          <w:szCs w:val="28"/>
          <w:highlight w:val="none"/>
          <w:lang w:val="en-US" w:eastAsia="zh-CN" w:bidi="ar-SA"/>
        </w:rPr>
        <w:t>奇台县自然资源局，关于《关于新疆昌吉州奇台县碧流河中型灌区续建配套与现代化改造工程项目用地情况函》的复函</w:t>
      </w:r>
    </w:p>
    <w:p w14:paraId="2FE1F29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eastAsia"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附件</w:t>
      </w:r>
      <w:r>
        <w:rPr>
          <w:rFonts w:hint="eastAsia" w:ascii="Times New Roman" w:hAnsi="Times New Roman" w:eastAsia="宋体" w:cs="Times New Roman"/>
          <w:snapToGrid w:val="0"/>
          <w:color w:val="auto"/>
          <w:kern w:val="0"/>
          <w:sz w:val="28"/>
          <w:szCs w:val="28"/>
          <w:highlight w:val="none"/>
          <w:lang w:val="en-US" w:eastAsia="zh-CN" w:bidi="ar-SA"/>
        </w:rPr>
        <w:t>5</w:t>
      </w:r>
      <w:r>
        <w:rPr>
          <w:rFonts w:hint="default" w:ascii="Times New Roman" w:hAnsi="Times New Roman" w:eastAsia="宋体" w:cs="Times New Roman"/>
          <w:snapToGrid w:val="0"/>
          <w:color w:val="auto"/>
          <w:kern w:val="0"/>
          <w:sz w:val="28"/>
          <w:szCs w:val="28"/>
          <w:highlight w:val="none"/>
          <w:lang w:val="en-US" w:eastAsia="zh-CN" w:bidi="ar-SA"/>
        </w:rPr>
        <w:t>：</w:t>
      </w:r>
      <w:r>
        <w:rPr>
          <w:rFonts w:hint="eastAsia" w:ascii="Times New Roman" w:hAnsi="Times New Roman" w:eastAsia="宋体" w:cs="Times New Roman"/>
          <w:snapToGrid w:val="0"/>
          <w:color w:val="auto"/>
          <w:kern w:val="0"/>
          <w:sz w:val="28"/>
          <w:szCs w:val="28"/>
          <w:highlight w:val="none"/>
          <w:lang w:val="en-US" w:eastAsia="zh-CN" w:bidi="ar-SA"/>
        </w:rPr>
        <w:t>声环境检测报告</w:t>
      </w:r>
    </w:p>
    <w:p w14:paraId="3F031CA2">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附件</w:t>
      </w:r>
      <w:r>
        <w:rPr>
          <w:rFonts w:hint="eastAsia" w:ascii="Times New Roman" w:hAnsi="Times New Roman" w:eastAsia="宋体" w:cs="Times New Roman"/>
          <w:snapToGrid w:val="0"/>
          <w:color w:val="auto"/>
          <w:kern w:val="0"/>
          <w:sz w:val="28"/>
          <w:szCs w:val="28"/>
          <w:highlight w:val="none"/>
          <w:lang w:val="en-US" w:eastAsia="zh-CN" w:bidi="ar-SA"/>
        </w:rPr>
        <w:t>6</w:t>
      </w:r>
      <w:r>
        <w:rPr>
          <w:rFonts w:hint="default" w:ascii="Times New Roman" w:hAnsi="Times New Roman" w:eastAsia="宋体" w:cs="Times New Roman"/>
          <w:snapToGrid w:val="0"/>
          <w:color w:val="auto"/>
          <w:kern w:val="0"/>
          <w:sz w:val="28"/>
          <w:szCs w:val="28"/>
          <w:highlight w:val="none"/>
          <w:lang w:val="en-US" w:eastAsia="zh-CN" w:bidi="ar-SA"/>
        </w:rPr>
        <w:t>：</w:t>
      </w:r>
      <w:r>
        <w:rPr>
          <w:rFonts w:hint="eastAsia" w:ascii="Times New Roman" w:hAnsi="Times New Roman" w:eastAsia="宋体" w:cs="Times New Roman"/>
          <w:snapToGrid w:val="0"/>
          <w:color w:val="auto"/>
          <w:kern w:val="0"/>
          <w:sz w:val="28"/>
          <w:szCs w:val="28"/>
          <w:highlight w:val="none"/>
          <w:lang w:val="en-US" w:eastAsia="zh-CN" w:bidi="ar-SA"/>
        </w:rPr>
        <w:t>奇台县碧流河地表水环境检测报告</w:t>
      </w:r>
    </w:p>
    <w:p w14:paraId="693DA8EF">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color w:val="auto"/>
          <w:sz w:val="28"/>
          <w:szCs w:val="28"/>
          <w:lang w:val="en-US" w:eastAsia="zh-CN"/>
        </w:rPr>
      </w:pPr>
    </w:p>
    <w:p w14:paraId="079587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附图1：项目地理位置示意图</w:t>
      </w:r>
      <w:bookmarkEnd w:id="4"/>
    </w:p>
    <w:p w14:paraId="6305594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bookmarkStart w:id="7" w:name="_Toc28453"/>
      <w:r>
        <w:rPr>
          <w:rFonts w:hint="default"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2</w:t>
      </w:r>
      <w:r>
        <w:rPr>
          <w:rFonts w:hint="default" w:ascii="Times New Roman" w:hAnsi="Times New Roman" w:eastAsia="宋体" w:cs="Times New Roman"/>
          <w:snapToGrid w:val="0"/>
          <w:color w:val="auto"/>
          <w:kern w:val="0"/>
          <w:sz w:val="28"/>
          <w:szCs w:val="28"/>
          <w:highlight w:val="none"/>
          <w:lang w:val="en-US" w:eastAsia="zh-CN" w:bidi="ar-SA"/>
        </w:rPr>
        <w:t>：</w:t>
      </w:r>
      <w:bookmarkEnd w:id="7"/>
      <w:r>
        <w:rPr>
          <w:rFonts w:hint="eastAsia" w:ascii="Times New Roman" w:hAnsi="Times New Roman" w:eastAsia="宋体" w:cs="Times New Roman"/>
          <w:snapToGrid w:val="0"/>
          <w:color w:val="auto"/>
          <w:kern w:val="0"/>
          <w:sz w:val="28"/>
          <w:szCs w:val="28"/>
          <w:highlight w:val="none"/>
          <w:lang w:val="en-US" w:eastAsia="zh-CN" w:bidi="ar-SA"/>
        </w:rPr>
        <w:t>本项目在昌吉回族自治州</w:t>
      </w:r>
      <w:r>
        <w:rPr>
          <w:rFonts w:hint="default" w:ascii="Times New Roman" w:hAnsi="Times New Roman" w:eastAsia="宋体" w:cs="Times New Roman"/>
          <w:snapToGrid w:val="0"/>
          <w:color w:val="auto"/>
          <w:kern w:val="0"/>
          <w:sz w:val="28"/>
          <w:szCs w:val="28"/>
          <w:highlight w:val="none"/>
          <w:lang w:val="en-US" w:eastAsia="zh-CN" w:bidi="ar-SA"/>
        </w:rPr>
        <w:t>环境管控单元分布图</w:t>
      </w:r>
    </w:p>
    <w:p w14:paraId="6969E9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3</w:t>
      </w:r>
      <w:r>
        <w:rPr>
          <w:rFonts w:hint="default" w:ascii="Times New Roman" w:hAnsi="Times New Roman" w:eastAsia="宋体" w:cs="Times New Roman"/>
          <w:snapToGrid w:val="0"/>
          <w:color w:val="auto"/>
          <w:kern w:val="0"/>
          <w:sz w:val="28"/>
          <w:szCs w:val="28"/>
          <w:highlight w:val="none"/>
          <w:lang w:val="en-US" w:eastAsia="zh-CN" w:bidi="ar-SA"/>
        </w:rPr>
        <w:t>：环境管控单元</w:t>
      </w:r>
      <w:r>
        <w:rPr>
          <w:rFonts w:hint="eastAsia" w:ascii="Times New Roman" w:hAnsi="Times New Roman" w:eastAsia="宋体" w:cs="Times New Roman"/>
          <w:snapToGrid w:val="0"/>
          <w:color w:val="auto"/>
          <w:kern w:val="0"/>
          <w:sz w:val="28"/>
          <w:szCs w:val="28"/>
          <w:highlight w:val="none"/>
          <w:lang w:val="en-US" w:eastAsia="zh-CN" w:bidi="ar-SA"/>
        </w:rPr>
        <w:t>详图</w:t>
      </w:r>
    </w:p>
    <w:p w14:paraId="7328AED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4</w:t>
      </w:r>
      <w:r>
        <w:rPr>
          <w:rFonts w:hint="default" w:ascii="Times New Roman" w:hAnsi="Times New Roman" w:eastAsia="宋体" w:cs="Times New Roman"/>
          <w:snapToGrid w:val="0"/>
          <w:color w:val="auto"/>
          <w:kern w:val="0"/>
          <w:sz w:val="28"/>
          <w:szCs w:val="28"/>
          <w:highlight w:val="none"/>
          <w:lang w:val="en-US" w:eastAsia="zh-CN" w:bidi="ar-SA"/>
        </w:rPr>
        <w:t>：土壤类型分布图</w:t>
      </w:r>
    </w:p>
    <w:p w14:paraId="50DE0987">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bookmarkStart w:id="8" w:name="_Toc28533"/>
      <w:r>
        <w:rPr>
          <w:rFonts w:hint="default"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5</w:t>
      </w:r>
      <w:r>
        <w:rPr>
          <w:rFonts w:hint="default" w:ascii="Times New Roman" w:hAnsi="Times New Roman" w:eastAsia="宋体" w:cs="Times New Roman"/>
          <w:snapToGrid w:val="0"/>
          <w:color w:val="auto"/>
          <w:kern w:val="0"/>
          <w:sz w:val="28"/>
          <w:szCs w:val="28"/>
          <w:highlight w:val="none"/>
          <w:lang w:val="en-US" w:eastAsia="zh-CN" w:bidi="ar-SA"/>
        </w:rPr>
        <w:t>：</w:t>
      </w:r>
      <w:bookmarkEnd w:id="8"/>
      <w:r>
        <w:rPr>
          <w:rFonts w:hint="default" w:ascii="Times New Roman" w:hAnsi="Times New Roman" w:eastAsia="宋体" w:cs="Times New Roman"/>
          <w:snapToGrid w:val="0"/>
          <w:color w:val="auto"/>
          <w:kern w:val="0"/>
          <w:sz w:val="28"/>
          <w:szCs w:val="28"/>
          <w:highlight w:val="none"/>
          <w:lang w:val="en-US" w:eastAsia="zh-CN" w:bidi="ar-SA"/>
        </w:rPr>
        <w:t>植被类型分布图</w:t>
      </w:r>
    </w:p>
    <w:p w14:paraId="2E24B92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6</w:t>
      </w:r>
      <w:r>
        <w:rPr>
          <w:rFonts w:hint="default" w:ascii="Times New Roman" w:hAnsi="Times New Roman" w:eastAsia="宋体" w:cs="Times New Roman"/>
          <w:snapToGrid w:val="0"/>
          <w:color w:val="auto"/>
          <w:kern w:val="0"/>
          <w:sz w:val="28"/>
          <w:szCs w:val="28"/>
          <w:highlight w:val="none"/>
          <w:lang w:val="en-US" w:eastAsia="zh-CN" w:bidi="ar-SA"/>
        </w:rPr>
        <w:t>：土地利用现状图</w:t>
      </w:r>
    </w:p>
    <w:p w14:paraId="3C55D786">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r>
        <w:rPr>
          <w:rFonts w:hint="default"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7</w:t>
      </w:r>
      <w:r>
        <w:rPr>
          <w:rFonts w:hint="default" w:ascii="Times New Roman" w:hAnsi="Times New Roman" w:eastAsia="宋体" w:cs="Times New Roman"/>
          <w:snapToGrid w:val="0"/>
          <w:color w:val="auto"/>
          <w:kern w:val="0"/>
          <w:sz w:val="28"/>
          <w:szCs w:val="28"/>
          <w:highlight w:val="none"/>
          <w:lang w:val="en-US" w:eastAsia="zh-CN" w:bidi="ar-SA"/>
        </w:rPr>
        <w:t>：</w:t>
      </w:r>
      <w:r>
        <w:rPr>
          <w:rFonts w:hint="eastAsia" w:ascii="Times New Roman" w:hAnsi="Times New Roman" w:eastAsia="宋体" w:cs="Times New Roman"/>
          <w:snapToGrid w:val="0"/>
          <w:color w:val="auto"/>
          <w:kern w:val="0"/>
          <w:sz w:val="28"/>
          <w:szCs w:val="28"/>
          <w:highlight w:val="none"/>
          <w:lang w:val="en-US" w:eastAsia="zh-CN" w:bidi="ar-SA"/>
        </w:rPr>
        <w:t>生态环境功能</w:t>
      </w:r>
      <w:r>
        <w:rPr>
          <w:rFonts w:hint="eastAsia" w:cs="Times New Roman"/>
          <w:snapToGrid w:val="0"/>
          <w:color w:val="auto"/>
          <w:kern w:val="0"/>
          <w:sz w:val="28"/>
          <w:szCs w:val="28"/>
          <w:highlight w:val="none"/>
          <w:lang w:val="en-US" w:eastAsia="zh-CN" w:bidi="ar-SA"/>
        </w:rPr>
        <w:t>区划</w:t>
      </w:r>
      <w:r>
        <w:rPr>
          <w:rFonts w:hint="eastAsia" w:ascii="Times New Roman" w:hAnsi="Times New Roman" w:eastAsia="宋体" w:cs="Times New Roman"/>
          <w:snapToGrid w:val="0"/>
          <w:color w:val="auto"/>
          <w:kern w:val="0"/>
          <w:sz w:val="28"/>
          <w:szCs w:val="28"/>
          <w:highlight w:val="none"/>
          <w:lang w:val="en-US" w:eastAsia="zh-CN" w:bidi="ar-SA"/>
        </w:rPr>
        <w:t>位置图</w:t>
      </w:r>
    </w:p>
    <w:p w14:paraId="4C3918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bookmarkStart w:id="9" w:name="_Toc14641"/>
      <w:r>
        <w:rPr>
          <w:rFonts w:hint="default"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8</w:t>
      </w:r>
      <w:r>
        <w:rPr>
          <w:rFonts w:hint="default" w:ascii="Times New Roman" w:hAnsi="Times New Roman" w:eastAsia="宋体" w:cs="Times New Roman"/>
          <w:snapToGrid w:val="0"/>
          <w:color w:val="auto"/>
          <w:kern w:val="0"/>
          <w:sz w:val="28"/>
          <w:szCs w:val="28"/>
          <w:highlight w:val="none"/>
          <w:lang w:val="en-US" w:eastAsia="zh-CN" w:bidi="ar-SA"/>
        </w:rPr>
        <w:t>：</w:t>
      </w:r>
      <w:bookmarkEnd w:id="9"/>
      <w:r>
        <w:rPr>
          <w:rFonts w:hint="default" w:ascii="Times New Roman" w:hAnsi="Times New Roman" w:eastAsia="宋体" w:cs="Times New Roman"/>
          <w:snapToGrid w:val="0"/>
          <w:color w:val="auto"/>
          <w:kern w:val="0"/>
          <w:sz w:val="28"/>
          <w:szCs w:val="28"/>
          <w:highlight w:val="none"/>
          <w:lang w:val="en-US" w:eastAsia="zh-CN" w:bidi="ar-SA"/>
        </w:rPr>
        <w:t>项目占用两区截图</w:t>
      </w:r>
    </w:p>
    <w:p w14:paraId="1A5725F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eastAsia" w:ascii="Times New Roman" w:hAnsi="Times New Roman" w:eastAsia="宋体" w:cs="Times New Roman"/>
          <w:snapToGrid w:val="0"/>
          <w:color w:val="auto"/>
          <w:kern w:val="0"/>
          <w:sz w:val="28"/>
          <w:szCs w:val="28"/>
          <w:highlight w:val="none"/>
          <w:lang w:val="en-US" w:eastAsia="zh-CN" w:bidi="ar-SA"/>
        </w:rPr>
      </w:pPr>
      <w:r>
        <w:rPr>
          <w:rFonts w:hint="eastAsia"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9</w:t>
      </w:r>
      <w:r>
        <w:rPr>
          <w:rFonts w:hint="eastAsia" w:ascii="Times New Roman" w:hAnsi="Times New Roman" w:eastAsia="宋体" w:cs="Times New Roman"/>
          <w:snapToGrid w:val="0"/>
          <w:color w:val="auto"/>
          <w:kern w:val="0"/>
          <w:sz w:val="28"/>
          <w:szCs w:val="28"/>
          <w:highlight w:val="none"/>
          <w:lang w:val="en-US" w:eastAsia="zh-CN" w:bidi="ar-SA"/>
        </w:rPr>
        <w:t>：项目监测点位示意图</w:t>
      </w:r>
    </w:p>
    <w:p w14:paraId="2BC8DFA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eastAsia" w:ascii="Times New Roman" w:hAnsi="Times New Roman" w:eastAsia="宋体" w:cs="Times New Roman"/>
          <w:snapToGrid w:val="0"/>
          <w:color w:val="auto"/>
          <w:kern w:val="0"/>
          <w:sz w:val="28"/>
          <w:szCs w:val="28"/>
          <w:highlight w:val="none"/>
          <w:lang w:val="en-US" w:eastAsia="zh-CN" w:bidi="ar-SA"/>
        </w:rPr>
      </w:pPr>
      <w:r>
        <w:rPr>
          <w:rFonts w:hint="eastAsia" w:ascii="Times New Roman" w:hAnsi="Times New Roman" w:eastAsia="宋体" w:cs="Times New Roman"/>
          <w:snapToGrid w:val="0"/>
          <w:color w:val="auto"/>
          <w:kern w:val="0"/>
          <w:sz w:val="28"/>
          <w:szCs w:val="28"/>
          <w:highlight w:val="none"/>
          <w:lang w:val="en-US" w:eastAsia="zh-CN" w:bidi="ar-SA"/>
        </w:rPr>
        <w:t>附图</w:t>
      </w:r>
      <w:r>
        <w:rPr>
          <w:rFonts w:hint="eastAsia" w:cs="Times New Roman"/>
          <w:snapToGrid w:val="0"/>
          <w:color w:val="auto"/>
          <w:kern w:val="0"/>
          <w:sz w:val="28"/>
          <w:szCs w:val="28"/>
          <w:highlight w:val="none"/>
          <w:lang w:val="en-US" w:eastAsia="zh-CN" w:bidi="ar-SA"/>
        </w:rPr>
        <w:t>10</w:t>
      </w:r>
      <w:r>
        <w:rPr>
          <w:rFonts w:hint="eastAsia" w:ascii="Times New Roman" w:hAnsi="Times New Roman" w:eastAsia="宋体" w:cs="Times New Roman"/>
          <w:snapToGrid w:val="0"/>
          <w:color w:val="auto"/>
          <w:kern w:val="0"/>
          <w:sz w:val="28"/>
          <w:szCs w:val="28"/>
          <w:highlight w:val="none"/>
          <w:lang w:val="en-US" w:eastAsia="zh-CN" w:bidi="ar-SA"/>
        </w:rPr>
        <w:t>：本项目与周围敏感点分布图</w:t>
      </w:r>
    </w:p>
    <w:p w14:paraId="5B604AED">
      <w:pPr>
        <w:pStyle w:val="23"/>
        <w:rPr>
          <w:rFonts w:hint="default"/>
          <w:color w:val="auto"/>
          <w:lang w:val="en-US" w:eastAsia="zh-CN"/>
        </w:rPr>
      </w:pPr>
      <w:r>
        <w:rPr>
          <w:rFonts w:hint="eastAsia" w:cs="Times New Roman"/>
          <w:snapToGrid w:val="0"/>
          <w:color w:val="auto"/>
          <w:kern w:val="0"/>
          <w:sz w:val="28"/>
          <w:szCs w:val="28"/>
          <w:highlight w:val="none"/>
          <w:lang w:val="en-US" w:eastAsia="zh-CN" w:bidi="ar-SA"/>
        </w:rPr>
        <w:t>附图11：项目区平面布置图与施工生产区平面图</w:t>
      </w:r>
    </w:p>
    <w:p w14:paraId="546F4C4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outlineLvl w:val="9"/>
        <w:rPr>
          <w:rFonts w:hint="default" w:ascii="Times New Roman" w:hAnsi="Times New Roman" w:eastAsia="宋体" w:cs="Times New Roman"/>
          <w:snapToGrid w:val="0"/>
          <w:color w:val="auto"/>
          <w:kern w:val="0"/>
          <w:sz w:val="28"/>
          <w:szCs w:val="28"/>
          <w:highlight w:val="none"/>
          <w:lang w:val="en-US" w:eastAsia="zh-CN" w:bidi="ar-SA"/>
        </w:rPr>
      </w:pPr>
    </w:p>
    <w:p w14:paraId="7808C938">
      <w:pPr>
        <w:rPr>
          <w:rFonts w:hint="default" w:ascii="Times New Roman" w:hAnsi="Times New Roman" w:eastAsia="宋体" w:cs="Times New Roman"/>
          <w:color w:val="auto"/>
          <w:lang w:eastAsia="zh-CN"/>
        </w:rPr>
      </w:pPr>
    </w:p>
    <w:p w14:paraId="0888C542">
      <w:pPr>
        <w:rPr>
          <w:rFonts w:hint="default" w:ascii="Times New Roman" w:hAnsi="Times New Roman" w:eastAsia="宋体" w:cs="Times New Roman"/>
          <w:color w:val="auto"/>
          <w:lang w:eastAsia="zh-CN"/>
        </w:rPr>
      </w:pPr>
    </w:p>
    <w:p w14:paraId="7CC55906">
      <w:pPr>
        <w:rPr>
          <w:rFonts w:hint="default" w:ascii="Times New Roman" w:hAnsi="Times New Roman" w:eastAsia="宋体" w:cs="Times New Roman"/>
          <w:color w:val="auto"/>
          <w:lang w:eastAsia="zh-CN"/>
        </w:rPr>
      </w:pPr>
    </w:p>
    <w:p w14:paraId="3A2665F9">
      <w:pPr>
        <w:rPr>
          <w:rFonts w:hint="default" w:ascii="Times New Roman" w:hAnsi="Times New Roman" w:eastAsia="宋体" w:cs="Times New Roman"/>
          <w:color w:val="auto"/>
          <w:lang w:eastAsia="zh-CN"/>
        </w:rPr>
      </w:pPr>
    </w:p>
    <w:p w14:paraId="67517883">
      <w:pPr>
        <w:rPr>
          <w:rFonts w:hint="default" w:ascii="Times New Roman" w:hAnsi="Times New Roman" w:eastAsia="宋体" w:cs="Times New Roman"/>
          <w:color w:val="auto"/>
          <w:lang w:eastAsia="zh-CN"/>
        </w:rPr>
      </w:pPr>
    </w:p>
    <w:p w14:paraId="11377634">
      <w:pPr>
        <w:rPr>
          <w:rFonts w:hint="default" w:ascii="Times New Roman" w:hAnsi="Times New Roman" w:eastAsia="宋体" w:cs="Times New Roman"/>
          <w:color w:val="auto"/>
          <w:lang w:eastAsia="zh-CN"/>
        </w:rPr>
      </w:pPr>
    </w:p>
    <w:p w14:paraId="06D3EAEF">
      <w:pPr>
        <w:rPr>
          <w:rFonts w:hint="default" w:ascii="Times New Roman" w:hAnsi="Times New Roman" w:eastAsia="宋体" w:cs="Times New Roman"/>
          <w:color w:val="auto"/>
          <w:lang w:eastAsia="zh-CN"/>
        </w:rPr>
      </w:pPr>
    </w:p>
    <w:p w14:paraId="34FE2C7B">
      <w:pPr>
        <w:rPr>
          <w:rFonts w:hint="default" w:ascii="Times New Roman" w:hAnsi="Times New Roman" w:eastAsia="宋体" w:cs="Times New Roman"/>
          <w:color w:val="auto"/>
          <w:lang w:eastAsia="zh-CN"/>
        </w:rPr>
      </w:pPr>
    </w:p>
    <w:p w14:paraId="74B17C56">
      <w:pPr>
        <w:rPr>
          <w:rFonts w:hint="default" w:ascii="Times New Roman" w:hAnsi="Times New Roman" w:eastAsia="宋体" w:cs="Times New Roman"/>
          <w:color w:val="auto"/>
          <w:lang w:eastAsia="zh-CN"/>
        </w:rPr>
      </w:pPr>
    </w:p>
    <w:p w14:paraId="4091E5E5">
      <w:pPr>
        <w:rPr>
          <w:rFonts w:hint="default" w:ascii="Times New Roman" w:hAnsi="Times New Roman" w:eastAsia="宋体" w:cs="Times New Roman"/>
          <w:color w:val="auto"/>
          <w:lang w:eastAsia="zh-CN"/>
        </w:rPr>
      </w:pPr>
    </w:p>
    <w:p w14:paraId="75FC79EA">
      <w:pPr>
        <w:rPr>
          <w:rFonts w:hint="default" w:ascii="Times New Roman" w:hAnsi="Times New Roman" w:eastAsia="宋体" w:cs="Times New Roman"/>
          <w:color w:val="auto"/>
          <w:lang w:eastAsia="zh-CN"/>
        </w:rPr>
      </w:pPr>
    </w:p>
    <w:p w14:paraId="749AFF10">
      <w:pPr>
        <w:rPr>
          <w:rFonts w:hint="default" w:ascii="Times New Roman" w:hAnsi="Times New Roman" w:eastAsia="宋体" w:cs="Times New Roman"/>
          <w:color w:val="auto"/>
          <w:lang w:eastAsia="zh-CN"/>
        </w:rPr>
      </w:pPr>
    </w:p>
    <w:p w14:paraId="5D771830">
      <w:pPr>
        <w:rPr>
          <w:rFonts w:hint="default" w:ascii="Times New Roman" w:hAnsi="Times New Roman" w:eastAsia="宋体" w:cs="Times New Roman"/>
          <w:color w:val="auto"/>
          <w:lang w:eastAsia="zh-CN"/>
        </w:rPr>
      </w:pPr>
    </w:p>
    <w:p w14:paraId="12138183">
      <w:pPr>
        <w:rPr>
          <w:rFonts w:hint="default" w:ascii="Times New Roman" w:hAnsi="Times New Roman" w:eastAsia="宋体" w:cs="Times New Roman"/>
          <w:color w:val="auto"/>
          <w:lang w:eastAsia="zh-CN"/>
        </w:rPr>
      </w:pPr>
    </w:p>
    <w:p w14:paraId="754E0A14">
      <w:pPr>
        <w:rPr>
          <w:rFonts w:hint="default" w:ascii="Times New Roman" w:hAnsi="Times New Roman" w:eastAsia="宋体" w:cs="Times New Roman"/>
          <w:color w:val="auto"/>
          <w:lang w:eastAsia="zh-CN"/>
        </w:rPr>
      </w:pPr>
    </w:p>
    <w:p w14:paraId="52523630">
      <w:pPr>
        <w:rPr>
          <w:rFonts w:hint="default" w:ascii="Times New Roman" w:hAnsi="Times New Roman" w:eastAsia="宋体" w:cs="Times New Roman"/>
          <w:color w:val="auto"/>
          <w:lang w:eastAsia="zh-CN"/>
        </w:rPr>
      </w:pPr>
    </w:p>
    <w:p w14:paraId="2B9F7DEA">
      <w:pPr>
        <w:rPr>
          <w:rFonts w:hint="default" w:ascii="Times New Roman" w:hAnsi="Times New Roman" w:eastAsia="宋体" w:cs="Times New Roman"/>
          <w:color w:val="auto"/>
          <w:lang w:eastAsia="zh-CN"/>
        </w:rPr>
      </w:pPr>
    </w:p>
    <w:p w14:paraId="58E7FCE5">
      <w:pPr>
        <w:rPr>
          <w:rFonts w:hint="default" w:ascii="Times New Roman" w:hAnsi="Times New Roman" w:eastAsia="宋体" w:cs="Times New Roman"/>
          <w:color w:val="auto"/>
          <w:lang w:eastAsia="zh-CN"/>
        </w:rPr>
      </w:pPr>
    </w:p>
    <w:p w14:paraId="0B719F23">
      <w:pPr>
        <w:rPr>
          <w:rFonts w:hint="default" w:ascii="Times New Roman" w:hAnsi="Times New Roman" w:eastAsia="宋体" w:cs="Times New Roman"/>
          <w:color w:val="auto"/>
          <w:lang w:eastAsia="zh-CN"/>
        </w:rPr>
      </w:pPr>
    </w:p>
    <w:p w14:paraId="1C488B06">
      <w:pPr>
        <w:rPr>
          <w:rFonts w:hint="default" w:ascii="Times New Roman" w:hAnsi="Times New Roman" w:eastAsia="宋体" w:cs="Times New Roman"/>
          <w:color w:val="auto"/>
          <w:lang w:eastAsia="zh-CN"/>
        </w:rPr>
      </w:pPr>
    </w:p>
    <w:p w14:paraId="0E1B1BC7">
      <w:pPr>
        <w:rPr>
          <w:rFonts w:hint="default" w:ascii="Times New Roman" w:hAnsi="Times New Roman" w:eastAsia="宋体" w:cs="Times New Roman"/>
          <w:color w:val="auto"/>
          <w:lang w:eastAsia="zh-CN"/>
        </w:rPr>
      </w:pPr>
    </w:p>
    <w:p w14:paraId="4E1852F7">
      <w:pPr>
        <w:rPr>
          <w:rFonts w:hint="default" w:ascii="Times New Roman" w:hAnsi="Times New Roman" w:eastAsia="宋体" w:cs="Times New Roman"/>
          <w:color w:val="auto"/>
          <w:lang w:eastAsia="zh-CN"/>
        </w:rPr>
      </w:pPr>
    </w:p>
    <w:p w14:paraId="5AEC022A">
      <w:pPr>
        <w:rPr>
          <w:rFonts w:hint="default" w:ascii="Times New Roman" w:hAnsi="Times New Roman" w:eastAsia="宋体" w:cs="Times New Roman"/>
          <w:color w:val="auto"/>
          <w:lang w:eastAsia="zh-CN"/>
        </w:rPr>
      </w:pPr>
    </w:p>
    <w:p w14:paraId="525F8C8C">
      <w:pPr>
        <w:rPr>
          <w:rFonts w:hint="default" w:ascii="Times New Roman" w:hAnsi="Times New Roman" w:eastAsia="宋体" w:cs="Times New Roman"/>
          <w:color w:val="auto"/>
          <w:lang w:eastAsia="zh-CN"/>
        </w:rPr>
      </w:pPr>
    </w:p>
    <w:p w14:paraId="5A64C0D1">
      <w:pPr>
        <w:rPr>
          <w:rFonts w:hint="default" w:ascii="Times New Roman" w:hAnsi="Times New Roman" w:eastAsia="宋体" w:cs="Times New Roman"/>
          <w:color w:val="auto"/>
          <w:lang w:eastAsia="zh-CN"/>
        </w:rPr>
      </w:pPr>
    </w:p>
    <w:p w14:paraId="520E3915">
      <w:pPr>
        <w:rPr>
          <w:rFonts w:hint="default" w:ascii="Times New Roman" w:hAnsi="Times New Roman" w:eastAsia="宋体" w:cs="Times New Roman"/>
          <w:color w:val="auto"/>
          <w:lang w:eastAsia="zh-CN"/>
        </w:rPr>
      </w:pPr>
    </w:p>
    <w:p w14:paraId="281C9D70">
      <w:pPr>
        <w:rPr>
          <w:rFonts w:hint="default" w:ascii="Times New Roman" w:hAnsi="Times New Roman" w:eastAsia="宋体" w:cs="Times New Roman"/>
          <w:color w:val="auto"/>
          <w:lang w:eastAsia="zh-CN"/>
        </w:rPr>
      </w:pPr>
    </w:p>
    <w:p w14:paraId="0DA51AF4">
      <w:pPr>
        <w:rPr>
          <w:rFonts w:hint="default" w:ascii="Times New Roman" w:hAnsi="Times New Roman" w:eastAsia="宋体" w:cs="Times New Roman"/>
          <w:color w:val="auto"/>
          <w:lang w:eastAsia="zh-CN"/>
        </w:rPr>
      </w:pPr>
    </w:p>
    <w:p w14:paraId="73273E95">
      <w:pPr>
        <w:rPr>
          <w:rFonts w:hint="default" w:ascii="Times New Roman" w:hAnsi="Times New Roman" w:eastAsia="宋体" w:cs="Times New Roman"/>
          <w:color w:val="auto"/>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fmt="numberInDash"/>
          <w:cols w:space="720" w:num="1"/>
          <w:docGrid w:linePitch="312" w:charSpace="0"/>
        </w:sectPr>
      </w:pPr>
    </w:p>
    <w:p w14:paraId="5AE92F27">
      <w:pPr>
        <w:pStyle w:val="28"/>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10" w:name="_Toc29721"/>
      <w:bookmarkStart w:id="11" w:name="_Toc17568"/>
      <w:r>
        <w:rPr>
          <w:rFonts w:hint="default" w:ascii="Times New Roman" w:hAnsi="Times New Roman" w:eastAsia="黑体" w:cs="Times New Roman"/>
          <w:snapToGrid w:val="0"/>
          <w:color w:val="auto"/>
          <w:sz w:val="30"/>
          <w:szCs w:val="30"/>
        </w:rPr>
        <w:t>一、建设项目基本情况</w:t>
      </w:r>
      <w:bookmarkEnd w:id="10"/>
      <w:bookmarkEnd w:id="11"/>
    </w:p>
    <w:tbl>
      <w:tblPr>
        <w:tblStyle w:val="31"/>
        <w:tblW w:w="4995"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55"/>
        <w:gridCol w:w="1939"/>
        <w:gridCol w:w="1610"/>
        <w:gridCol w:w="3657"/>
      </w:tblGrid>
      <w:tr w14:paraId="5BC93C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34" w:type="pct"/>
            <w:noWrap w:val="0"/>
            <w:tcMar>
              <w:top w:w="16" w:type="dxa"/>
              <w:left w:w="16" w:type="dxa"/>
              <w:right w:w="16" w:type="dxa"/>
            </w:tcMar>
            <w:vAlign w:val="bottom"/>
          </w:tcPr>
          <w:p w14:paraId="00985192">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4065" w:type="pct"/>
            <w:gridSpan w:val="3"/>
            <w:noWrap w:val="0"/>
            <w:vAlign w:val="bottom"/>
          </w:tcPr>
          <w:p w14:paraId="3C97AA7E">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奇台县碧流河中型灌区续建配套与现代化改造工程</w:t>
            </w:r>
          </w:p>
        </w:tc>
      </w:tr>
      <w:tr w14:paraId="226FB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934" w:type="pct"/>
            <w:noWrap w:val="0"/>
            <w:tcMar>
              <w:top w:w="16" w:type="dxa"/>
              <w:left w:w="16" w:type="dxa"/>
              <w:right w:w="16" w:type="dxa"/>
            </w:tcMar>
            <w:vAlign w:val="center"/>
          </w:tcPr>
          <w:p w14:paraId="71C4468C">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项目代码</w:t>
            </w:r>
          </w:p>
        </w:tc>
        <w:tc>
          <w:tcPr>
            <w:tcW w:w="4065" w:type="pct"/>
            <w:gridSpan w:val="3"/>
            <w:noWrap w:val="0"/>
            <w:vAlign w:val="center"/>
          </w:tcPr>
          <w:p w14:paraId="0149E456">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2602-652325-19-01-607205</w:t>
            </w:r>
          </w:p>
        </w:tc>
      </w:tr>
      <w:tr w14:paraId="0D04EA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934" w:type="pct"/>
            <w:noWrap w:val="0"/>
            <w:tcMar>
              <w:top w:w="16" w:type="dxa"/>
              <w:left w:w="16" w:type="dxa"/>
              <w:right w:w="16" w:type="dxa"/>
            </w:tcMar>
            <w:vAlign w:val="center"/>
          </w:tcPr>
          <w:p w14:paraId="39058850">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建设单位联系人</w:t>
            </w:r>
          </w:p>
        </w:tc>
        <w:tc>
          <w:tcPr>
            <w:tcW w:w="1094" w:type="pct"/>
            <w:noWrap w:val="0"/>
            <w:vAlign w:val="center"/>
          </w:tcPr>
          <w:p w14:paraId="1647A1A6">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李剑</w:t>
            </w:r>
          </w:p>
        </w:tc>
        <w:tc>
          <w:tcPr>
            <w:tcW w:w="908" w:type="pct"/>
            <w:noWrap w:val="0"/>
            <w:vAlign w:val="center"/>
          </w:tcPr>
          <w:p w14:paraId="0B51FCFE">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2062" w:type="pct"/>
            <w:noWrap w:val="0"/>
            <w:vAlign w:val="center"/>
          </w:tcPr>
          <w:p w14:paraId="3DECC70C">
            <w:pPr>
              <w:keepNext w:val="0"/>
              <w:keepLines w:val="0"/>
              <w:pageBreakBefore w:val="0"/>
              <w:wordWrap/>
              <w:overflowPunct/>
              <w:topLinePunct w:val="0"/>
              <w:bidi w:val="0"/>
              <w:adjustRightInd w:val="0"/>
              <w:snapToGrid w:val="0"/>
              <w:spacing w:line="240" w:lineRule="auto"/>
              <w:ind w:left="42" w:leftChars="20" w:right="113"/>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13040505954</w:t>
            </w:r>
          </w:p>
        </w:tc>
      </w:tr>
      <w:tr w14:paraId="5506B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934" w:type="pct"/>
            <w:noWrap w:val="0"/>
            <w:tcMar>
              <w:top w:w="16" w:type="dxa"/>
              <w:left w:w="16" w:type="dxa"/>
              <w:right w:w="16" w:type="dxa"/>
            </w:tcMar>
            <w:vAlign w:val="center"/>
          </w:tcPr>
          <w:p w14:paraId="1BF8B4CE">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建设地点</w:t>
            </w:r>
          </w:p>
        </w:tc>
        <w:tc>
          <w:tcPr>
            <w:tcW w:w="4065" w:type="pct"/>
            <w:gridSpan w:val="3"/>
            <w:noWrap w:val="0"/>
            <w:vAlign w:val="center"/>
          </w:tcPr>
          <w:p w14:paraId="12807F94">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val="en-US"/>
              </w:rPr>
            </w:pPr>
            <w:r>
              <w:rPr>
                <w:rFonts w:hint="default" w:ascii="Times New Roman" w:hAnsi="Times New Roman" w:eastAsia="宋体" w:cs="Times New Roman"/>
                <w:color w:val="auto"/>
                <w:sz w:val="24"/>
                <w:lang w:val="en-US" w:eastAsia="zh-CN"/>
              </w:rPr>
              <w:t>新疆昌吉回族自治州奇台县碧流河镇</w:t>
            </w:r>
          </w:p>
        </w:tc>
      </w:tr>
      <w:tr w14:paraId="361C9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934" w:type="pct"/>
            <w:noWrap w:val="0"/>
            <w:tcMar>
              <w:top w:w="16" w:type="dxa"/>
              <w:left w:w="16" w:type="dxa"/>
              <w:right w:w="16" w:type="dxa"/>
            </w:tcMar>
            <w:vAlign w:val="center"/>
          </w:tcPr>
          <w:p w14:paraId="0500D95A">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地理坐标</w:t>
            </w:r>
          </w:p>
        </w:tc>
        <w:tc>
          <w:tcPr>
            <w:tcW w:w="4065" w:type="pct"/>
            <w:gridSpan w:val="3"/>
            <w:noWrap w:val="0"/>
            <w:vAlign w:val="center"/>
          </w:tcPr>
          <w:p w14:paraId="49D5C9D7">
            <w:pPr>
              <w:keepNext w:val="0"/>
              <w:keepLines w:val="0"/>
              <w:pageBreakBefore w:val="0"/>
              <w:widowControl w:val="0"/>
              <w:kinsoku/>
              <w:wordWrap/>
              <w:overflowPunct/>
              <w:topLinePunct w:val="0"/>
              <w:autoSpaceDE/>
              <w:autoSpaceDN/>
              <w:bidi w:val="0"/>
              <w:adjustRightInd w:val="0"/>
              <w:snapToGrid w:val="0"/>
              <w:spacing w:line="240" w:lineRule="auto"/>
              <w:ind w:right="113"/>
              <w:jc w:val="left"/>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碧流河西干渠起点坐标</w:t>
            </w:r>
            <w:r>
              <w:rPr>
                <w:rFonts w:hint="default" w:ascii="Times New Roman" w:hAnsi="Times New Roman" w:eastAsia="宋体" w:cs="Times New Roman"/>
                <w:color w:val="auto"/>
                <w:sz w:val="24"/>
                <w:lang w:eastAsia="zh-CN"/>
              </w:rPr>
              <w:t>：89°34′3.557″,43°38′54.529″，</w:t>
            </w:r>
          </w:p>
          <w:p w14:paraId="1C2127D9">
            <w:pPr>
              <w:pStyle w:val="25"/>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val="en-US" w:eastAsia="zh-CN"/>
              </w:rPr>
              <w:t>碧流河西干渠终点坐标</w:t>
            </w:r>
            <w:r>
              <w:rPr>
                <w:rFonts w:hint="default" w:ascii="Times New Roman" w:hAnsi="Times New Roman" w:eastAsia="宋体" w:cs="Times New Roman"/>
                <w:color w:val="auto"/>
                <w:sz w:val="24"/>
                <w:lang w:eastAsia="zh-CN"/>
              </w:rPr>
              <w:t>：89°35′0.875″,43°42′44.746″。</w:t>
            </w:r>
          </w:p>
          <w:p w14:paraId="78E3E9A8">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洞子口西支渠起点坐标：89°33′58.001″,43°39′48.728″，</w:t>
            </w:r>
          </w:p>
          <w:p w14:paraId="214228A9">
            <w:pPr>
              <w:pStyle w:val="25"/>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洞子口西支渠终点坐标：89°33′19.806″,43°40′38.876″。</w:t>
            </w:r>
          </w:p>
          <w:p w14:paraId="76D25A6B">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皇宫村支渠起点坐标：89°37′20.058″,43°41′48.099″，</w:t>
            </w:r>
          </w:p>
          <w:p w14:paraId="62B872D8">
            <w:pPr>
              <w:pStyle w:val="25"/>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皇宫村支渠终点坐标：89°34′54.929″,43°39′57.258″。</w:t>
            </w:r>
          </w:p>
          <w:p w14:paraId="3C1853D6">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宽沟至塘坊门村支渠起点坐标：89°38′24.925″,43°40′55.181″，</w:t>
            </w:r>
          </w:p>
          <w:p w14:paraId="453FD6EA">
            <w:pPr>
              <w:pStyle w:val="25"/>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宽沟至塘坊门村支渠终点坐标：89°37′12.931″,43°38′56.591″。</w:t>
            </w:r>
          </w:p>
          <w:p w14:paraId="09B31A7B">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洞子口南沟渠起点坐标：89°33′55.606″,43°39′53.208″，</w:t>
            </w:r>
          </w:p>
          <w:p w14:paraId="4CCCE031">
            <w:pPr>
              <w:pStyle w:val="25"/>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洞子口南沟渠终点坐标：89°33′30.838″,43°40′9.778″。</w:t>
            </w:r>
          </w:p>
          <w:p w14:paraId="04625A79">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永丰渠村1组支渠起点坐标：89°34′17.993″,43°42′35.109″，</w:t>
            </w:r>
          </w:p>
          <w:p w14:paraId="0AAA98D2">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永丰渠村1组支渠终点坐标：89°34′52.272″,43°42′53.784″。</w:t>
            </w:r>
          </w:p>
          <w:p w14:paraId="18F475DB">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永丰渠村2组支渠起点坐标：89°34′32.602″,43°42′43.442″，</w:t>
            </w:r>
          </w:p>
          <w:p w14:paraId="22227682">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永丰渠村2组支渠终点坐标：89°34′46.893″,43°42′59.375″。</w:t>
            </w:r>
          </w:p>
          <w:p w14:paraId="451E41C7">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西戈壁支渠起点坐标：89°35′35.559″,43°45′51.019″，</w:t>
            </w:r>
          </w:p>
          <w:p w14:paraId="41FB6BD1">
            <w:pPr>
              <w:pStyle w:val="25"/>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西戈壁支渠终点坐标：89°36′30.569″,43°51′59.423″。</w:t>
            </w:r>
          </w:p>
          <w:p w14:paraId="38B7CE1B">
            <w:pP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东戈壁支渠起点坐标：89°38′22.028″,43°46′54.101″，</w:t>
            </w:r>
          </w:p>
          <w:p w14:paraId="05157088">
            <w:pPr>
              <w:pStyle w:val="25"/>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lang w:val="en-US" w:eastAsia="zh-CN"/>
              </w:rPr>
              <w:t>东戈壁支渠终点坐标：89°38′28.130″,43°54′24.841″。</w:t>
            </w:r>
          </w:p>
        </w:tc>
      </w:tr>
      <w:tr w14:paraId="56E639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36" w:hRule="atLeast"/>
        </w:trPr>
        <w:tc>
          <w:tcPr>
            <w:tcW w:w="934" w:type="pct"/>
            <w:noWrap w:val="0"/>
            <w:tcMar>
              <w:top w:w="16" w:type="dxa"/>
              <w:left w:w="16" w:type="dxa"/>
              <w:right w:w="16" w:type="dxa"/>
            </w:tcMar>
            <w:vAlign w:val="center"/>
          </w:tcPr>
          <w:p w14:paraId="483D071A">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建设项目</w:t>
            </w:r>
          </w:p>
          <w:p w14:paraId="5CFD3894">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行业类别</w:t>
            </w:r>
          </w:p>
        </w:tc>
        <w:tc>
          <w:tcPr>
            <w:tcW w:w="1094" w:type="pct"/>
            <w:noWrap w:val="0"/>
            <w:vAlign w:val="center"/>
          </w:tcPr>
          <w:p w14:paraId="7ACC904E">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五</w:t>
            </w:r>
            <w:r>
              <w:rPr>
                <w:rFonts w:hint="default" w:ascii="Times New Roman" w:hAnsi="Times New Roman" w:eastAsia="宋体" w:cs="Times New Roman"/>
                <w:color w:val="auto"/>
                <w:sz w:val="24"/>
              </w:rPr>
              <w:t>十一、</w:t>
            </w:r>
            <w:r>
              <w:rPr>
                <w:rFonts w:hint="default" w:ascii="Times New Roman" w:hAnsi="Times New Roman" w:eastAsia="宋体" w:cs="Times New Roman"/>
                <w:color w:val="auto"/>
                <w:sz w:val="24"/>
                <w:lang w:val="en-US" w:eastAsia="zh-CN"/>
              </w:rPr>
              <w:t>水利</w:t>
            </w:r>
          </w:p>
          <w:p w14:paraId="2FF120C1">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125、灌区工程（不含水源工程的）</w:t>
            </w:r>
          </w:p>
        </w:tc>
        <w:tc>
          <w:tcPr>
            <w:tcW w:w="908" w:type="pct"/>
            <w:noWrap w:val="0"/>
            <w:vAlign w:val="center"/>
          </w:tcPr>
          <w:p w14:paraId="751B8959">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用地（用海）面积（</w:t>
            </w:r>
            <w:r>
              <w:rPr>
                <w:rFonts w:hint="default" w:ascii="Times New Roman" w:hAnsi="Times New Roman" w:eastAsia="宋体" w:cs="Times New Roman"/>
                <w:color w:val="auto"/>
                <w:sz w:val="24"/>
                <w:lang w:val="en-US" w:eastAsia="zh-CN"/>
              </w:rPr>
              <w:t>h</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2</w:t>
            </w:r>
            <w:r>
              <w:rPr>
                <w:rFonts w:hint="default" w:ascii="Times New Roman" w:hAnsi="Times New Roman" w:eastAsia="宋体" w:cs="Times New Roman"/>
                <w:color w:val="auto"/>
                <w:sz w:val="24"/>
              </w:rPr>
              <w:t>）/长度（km）</w:t>
            </w:r>
          </w:p>
        </w:tc>
        <w:tc>
          <w:tcPr>
            <w:tcW w:w="2062" w:type="pct"/>
            <w:noWrap w:val="0"/>
            <w:vAlign w:val="center"/>
          </w:tcPr>
          <w:p w14:paraId="31DAFF5C">
            <w:pPr>
              <w:keepNext w:val="0"/>
              <w:keepLines w:val="0"/>
              <w:pageBreakBefore w:val="0"/>
              <w:kinsoku/>
              <w:wordWrap/>
              <w:overflowPunct/>
              <w:topLinePunct w:val="0"/>
              <w:bidi w:val="0"/>
              <w:spacing w:line="240" w:lineRule="auto"/>
              <w:ind w:left="42" w:leftChars="20" w:right="113" w:rightChars="0"/>
              <w:rPr>
                <w:rFonts w:hint="default" w:ascii="Times New Roman" w:hAnsi="Times New Roman" w:eastAsia="宋体" w:cs="Times New Roman"/>
                <w:color w:val="auto"/>
              </w:rPr>
            </w:pPr>
            <w:r>
              <w:rPr>
                <w:rFonts w:hint="default" w:ascii="Times New Roman" w:hAnsi="Times New Roman" w:eastAsia="宋体" w:cs="Times New Roman"/>
                <w:bCs/>
                <w:color w:val="auto"/>
                <w:sz w:val="24"/>
                <w:lang w:val="en-US" w:eastAsia="zh-CN"/>
              </w:rPr>
              <w:t>27.59hm</w:t>
            </w:r>
            <w:r>
              <w:rPr>
                <w:rFonts w:hint="default" w:ascii="Times New Roman" w:hAnsi="Times New Roman" w:eastAsia="宋体"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/49.663km</w:t>
            </w:r>
          </w:p>
        </w:tc>
      </w:tr>
      <w:tr w14:paraId="42838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934" w:type="pct"/>
            <w:noWrap w:val="0"/>
            <w:tcMar>
              <w:top w:w="16" w:type="dxa"/>
              <w:left w:w="16" w:type="dxa"/>
              <w:right w:w="16" w:type="dxa"/>
            </w:tcMar>
            <w:vAlign w:val="center"/>
          </w:tcPr>
          <w:p w14:paraId="7D354A80">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建设性质</w:t>
            </w:r>
          </w:p>
        </w:tc>
        <w:tc>
          <w:tcPr>
            <w:tcW w:w="1094" w:type="pct"/>
            <w:noWrap w:val="0"/>
            <w:vAlign w:val="center"/>
          </w:tcPr>
          <w:p w14:paraId="368F3E63">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新建（迁建）</w:t>
            </w:r>
          </w:p>
          <w:p w14:paraId="39C25696">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改建</w:t>
            </w:r>
          </w:p>
          <w:p w14:paraId="2BEFD054">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扩建</w:t>
            </w:r>
          </w:p>
          <w:p w14:paraId="323EE69C">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技术改造</w:t>
            </w:r>
          </w:p>
        </w:tc>
        <w:tc>
          <w:tcPr>
            <w:tcW w:w="908" w:type="pct"/>
            <w:noWrap w:val="0"/>
            <w:vAlign w:val="center"/>
          </w:tcPr>
          <w:p w14:paraId="658BF7C3">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建设项目</w:t>
            </w:r>
          </w:p>
          <w:p w14:paraId="6E212D68">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申报情形</w:t>
            </w:r>
          </w:p>
        </w:tc>
        <w:tc>
          <w:tcPr>
            <w:tcW w:w="2062" w:type="pct"/>
            <w:noWrap w:val="0"/>
            <w:vAlign w:val="center"/>
          </w:tcPr>
          <w:p w14:paraId="725CB1BD">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首次申报项目</w:t>
            </w:r>
          </w:p>
          <w:p w14:paraId="39D3613A">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不予批准后再次申报项目</w:t>
            </w:r>
          </w:p>
          <w:p w14:paraId="17514953">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超五年重新审核项目</w:t>
            </w:r>
          </w:p>
          <w:p w14:paraId="5AD5E95E">
            <w:pPr>
              <w:keepNext w:val="0"/>
              <w:keepLines w:val="0"/>
              <w:pageBreakBefore w:val="0"/>
              <w:widowControl w:val="0"/>
              <w:kinsoku/>
              <w:wordWrap/>
              <w:overflowPunct/>
              <w:topLinePunct w:val="0"/>
              <w:autoSpaceDE/>
              <w:autoSpaceDN/>
              <w:bidi w:val="0"/>
              <w:adjustRightInd w:val="0"/>
              <w:snapToGrid w:val="0"/>
              <w:spacing w:line="240" w:lineRule="auto"/>
              <w:ind w:left="42" w:leftChars="20" w:right="113"/>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重大变动重新报批项目</w:t>
            </w:r>
          </w:p>
        </w:tc>
      </w:tr>
      <w:tr w14:paraId="7ADDD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934" w:type="pct"/>
            <w:noWrap w:val="0"/>
            <w:tcMar>
              <w:top w:w="16" w:type="dxa"/>
              <w:left w:w="16" w:type="dxa"/>
              <w:right w:w="16" w:type="dxa"/>
            </w:tcMar>
            <w:vAlign w:val="center"/>
          </w:tcPr>
          <w:p w14:paraId="240B71CB">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项目审批（核准/备案）部门（选填）</w:t>
            </w:r>
          </w:p>
        </w:tc>
        <w:tc>
          <w:tcPr>
            <w:tcW w:w="1094" w:type="pct"/>
            <w:noWrap w:val="0"/>
            <w:vAlign w:val="center"/>
          </w:tcPr>
          <w:p w14:paraId="143632B0">
            <w:pPr>
              <w:pStyle w:val="28"/>
              <w:keepNext w:val="0"/>
              <w:keepLines w:val="0"/>
              <w:pageBreakBefore w:val="0"/>
              <w:widowControl/>
              <w:suppressLineNumbers w:val="0"/>
              <w:wordWrap/>
              <w:overflowPunct/>
              <w:topLinePunct w:val="0"/>
              <w:bidi w:val="0"/>
              <w:spacing w:before="0" w:beforeAutospacing="0" w:after="0" w:afterAutospacing="0" w:line="240" w:lineRule="auto"/>
              <w:ind w:left="42" w:leftChars="20" w:right="113" w:firstLine="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lang w:val="en-US" w:eastAsia="zh-CN"/>
              </w:rPr>
              <w:t>昌吉回族自治州发展和改革委员会</w:t>
            </w:r>
          </w:p>
        </w:tc>
        <w:tc>
          <w:tcPr>
            <w:tcW w:w="908" w:type="pct"/>
            <w:noWrap w:val="0"/>
            <w:vAlign w:val="center"/>
          </w:tcPr>
          <w:p w14:paraId="32451C21">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项目审批（核准/备案）文号（选填）</w:t>
            </w:r>
          </w:p>
        </w:tc>
        <w:tc>
          <w:tcPr>
            <w:tcW w:w="2062" w:type="pct"/>
            <w:noWrap w:val="0"/>
            <w:vAlign w:val="center"/>
          </w:tcPr>
          <w:p w14:paraId="4428DECD">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昌州发改农发〔2026〕25号</w:t>
            </w:r>
          </w:p>
        </w:tc>
      </w:tr>
      <w:tr w14:paraId="5045D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31" w:hRule="atLeast"/>
        </w:trPr>
        <w:tc>
          <w:tcPr>
            <w:tcW w:w="934" w:type="pct"/>
            <w:noWrap w:val="0"/>
            <w:tcMar>
              <w:top w:w="16" w:type="dxa"/>
              <w:left w:w="16" w:type="dxa"/>
              <w:right w:w="16" w:type="dxa"/>
            </w:tcMar>
            <w:vAlign w:val="center"/>
          </w:tcPr>
          <w:p w14:paraId="1065565F">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总投资（万元）</w:t>
            </w:r>
          </w:p>
        </w:tc>
        <w:tc>
          <w:tcPr>
            <w:tcW w:w="1094" w:type="pct"/>
            <w:noWrap w:val="0"/>
            <w:vAlign w:val="center"/>
          </w:tcPr>
          <w:p w14:paraId="12EC2D9E">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11652</w:t>
            </w:r>
          </w:p>
        </w:tc>
        <w:tc>
          <w:tcPr>
            <w:tcW w:w="908" w:type="pct"/>
            <w:noWrap w:val="0"/>
            <w:tcMar>
              <w:top w:w="16" w:type="dxa"/>
              <w:left w:w="16" w:type="dxa"/>
              <w:right w:w="16" w:type="dxa"/>
            </w:tcMar>
            <w:vAlign w:val="center"/>
          </w:tcPr>
          <w:p w14:paraId="2ACEC5B6">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环保投资</w:t>
            </w:r>
          </w:p>
          <w:p w14:paraId="5F173EB6">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（万元）</w:t>
            </w:r>
          </w:p>
        </w:tc>
        <w:tc>
          <w:tcPr>
            <w:tcW w:w="2062" w:type="pct"/>
            <w:noWrap w:val="0"/>
            <w:vAlign w:val="center"/>
          </w:tcPr>
          <w:p w14:paraId="4E515CCE">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174.6</w:t>
            </w:r>
          </w:p>
        </w:tc>
      </w:tr>
      <w:tr w14:paraId="0CFED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0" w:hRule="atLeast"/>
        </w:trPr>
        <w:tc>
          <w:tcPr>
            <w:tcW w:w="934" w:type="pct"/>
            <w:noWrap w:val="0"/>
            <w:tcMar>
              <w:top w:w="16" w:type="dxa"/>
              <w:left w:w="16" w:type="dxa"/>
              <w:right w:w="16" w:type="dxa"/>
            </w:tcMar>
            <w:vAlign w:val="center"/>
          </w:tcPr>
          <w:p w14:paraId="75ACF822">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环保投资占比（%）</w:t>
            </w:r>
          </w:p>
        </w:tc>
        <w:tc>
          <w:tcPr>
            <w:tcW w:w="1094" w:type="pct"/>
            <w:noWrap w:val="0"/>
            <w:vAlign w:val="center"/>
          </w:tcPr>
          <w:p w14:paraId="58952E4C">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lang w:val="en-US"/>
              </w:rPr>
            </w:pPr>
            <w:r>
              <w:rPr>
                <w:rFonts w:hint="default" w:ascii="Times New Roman" w:hAnsi="Times New Roman" w:eastAsia="宋体" w:cs="Times New Roman"/>
                <w:color w:val="auto"/>
                <w:sz w:val="24"/>
                <w:lang w:val="en-US" w:eastAsia="zh-CN"/>
              </w:rPr>
              <w:t>1.</w:t>
            </w:r>
            <w:r>
              <w:rPr>
                <w:rFonts w:hint="eastAsia" w:cs="Times New Roman"/>
                <w:color w:val="auto"/>
                <w:sz w:val="24"/>
                <w:lang w:val="en-US" w:eastAsia="zh-CN"/>
              </w:rPr>
              <w:t>5</w:t>
            </w:r>
          </w:p>
        </w:tc>
        <w:tc>
          <w:tcPr>
            <w:tcW w:w="908" w:type="pct"/>
            <w:noWrap w:val="0"/>
            <w:tcMar>
              <w:top w:w="16" w:type="dxa"/>
              <w:left w:w="16" w:type="dxa"/>
              <w:right w:w="16" w:type="dxa"/>
            </w:tcMar>
            <w:vAlign w:val="center"/>
          </w:tcPr>
          <w:p w14:paraId="37C29FC7">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施工工期</w:t>
            </w:r>
          </w:p>
        </w:tc>
        <w:tc>
          <w:tcPr>
            <w:tcW w:w="2062" w:type="pct"/>
            <w:noWrap w:val="0"/>
            <w:vAlign w:val="center"/>
          </w:tcPr>
          <w:p w14:paraId="650D1423">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19</w:t>
            </w:r>
            <w:r>
              <w:rPr>
                <w:rFonts w:hint="default" w:ascii="Times New Roman" w:hAnsi="Times New Roman" w:eastAsia="宋体" w:cs="Times New Roman"/>
                <w:color w:val="auto"/>
                <w:sz w:val="24"/>
              </w:rPr>
              <w:t>个月</w:t>
            </w:r>
          </w:p>
        </w:tc>
      </w:tr>
      <w:tr w14:paraId="0AC6B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934" w:type="pct"/>
            <w:noWrap w:val="0"/>
            <w:tcMar>
              <w:top w:w="16" w:type="dxa"/>
              <w:left w:w="16" w:type="dxa"/>
              <w:right w:w="16" w:type="dxa"/>
            </w:tcMar>
            <w:vAlign w:val="center"/>
          </w:tcPr>
          <w:p w14:paraId="574E637C">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是否开工建设</w:t>
            </w:r>
          </w:p>
        </w:tc>
        <w:tc>
          <w:tcPr>
            <w:tcW w:w="4065" w:type="pct"/>
            <w:gridSpan w:val="3"/>
            <w:noWrap w:val="0"/>
            <w:vAlign w:val="center"/>
          </w:tcPr>
          <w:p w14:paraId="098363AA">
            <w:pPr>
              <w:keepNext w:val="0"/>
              <w:keepLines w:val="0"/>
              <w:pageBreakBefore w:val="0"/>
              <w:widowControl w:val="0"/>
              <w:kinsoku/>
              <w:wordWrap/>
              <w:overflowPunct/>
              <w:topLinePunct w:val="0"/>
              <w:bidi w:val="0"/>
              <w:adjustRightInd w:val="0"/>
              <w:snapToGrid w:val="0"/>
              <w:spacing w:line="240" w:lineRule="auto"/>
              <w:ind w:left="42" w:leftChars="20" w:right="113" w:firstLine="105"/>
              <w:jc w:val="left"/>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2" w:char="0052"/>
            </w:r>
            <w:r>
              <w:rPr>
                <w:rFonts w:hint="default" w:ascii="Times New Roman" w:hAnsi="Times New Roman" w:eastAsia="宋体" w:cs="Times New Roman"/>
                <w:color w:val="auto"/>
                <w:sz w:val="24"/>
              </w:rPr>
              <w:t>否</w:t>
            </w:r>
          </w:p>
          <w:p w14:paraId="1126D7AB">
            <w:pPr>
              <w:keepNext w:val="0"/>
              <w:keepLines w:val="0"/>
              <w:pageBreakBefore w:val="0"/>
              <w:widowControl w:val="0"/>
              <w:kinsoku/>
              <w:wordWrap/>
              <w:overflowPunct/>
              <w:topLinePunct w:val="0"/>
              <w:bidi w:val="0"/>
              <w:adjustRightInd w:val="0"/>
              <w:snapToGrid w:val="0"/>
              <w:spacing w:line="240" w:lineRule="auto"/>
              <w:ind w:left="42" w:leftChars="20" w:right="113" w:firstLine="92"/>
              <w:jc w:val="left"/>
              <w:textAlignment w:val="auto"/>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是</w:t>
            </w:r>
            <w:r>
              <w:rPr>
                <w:rFonts w:hint="default" w:ascii="Times New Roman" w:hAnsi="Times New Roman" w:eastAsia="宋体" w:cs="Times New Roman"/>
                <w:color w:val="auto"/>
                <w:sz w:val="24"/>
                <w:szCs w:val="24"/>
                <w:highlight w:val="none"/>
              </w:rPr>
              <w:t>：</w:t>
            </w:r>
          </w:p>
        </w:tc>
      </w:tr>
      <w:tr w14:paraId="6A186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0" w:hRule="atLeast"/>
        </w:trPr>
        <w:tc>
          <w:tcPr>
            <w:tcW w:w="934" w:type="pct"/>
            <w:noWrap w:val="0"/>
            <w:tcMar>
              <w:top w:w="16" w:type="dxa"/>
              <w:left w:w="16" w:type="dxa"/>
              <w:right w:w="16" w:type="dxa"/>
            </w:tcMar>
            <w:vAlign w:val="center"/>
          </w:tcPr>
          <w:p w14:paraId="417CA37B">
            <w:pPr>
              <w:keepNext w:val="0"/>
              <w:keepLines w:val="0"/>
              <w:pageBreakBefore w:val="0"/>
              <w:widowControl w:val="0"/>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lang w:val="en-US" w:eastAsia="zh-CN"/>
              </w:rPr>
            </w:pPr>
            <w:r>
              <w:rPr>
                <w:rFonts w:hint="eastAsia" w:cs="Times New Roman"/>
                <w:color w:val="auto"/>
                <w:kern w:val="0"/>
                <w:sz w:val="24"/>
                <w:lang w:val="en-US" w:eastAsia="zh-CN"/>
              </w:rPr>
              <w:t>本项目前期工作进展</w:t>
            </w:r>
          </w:p>
        </w:tc>
        <w:tc>
          <w:tcPr>
            <w:tcW w:w="4065" w:type="pct"/>
            <w:gridSpan w:val="3"/>
            <w:noWrap w:val="0"/>
            <w:tcMar>
              <w:top w:w="16" w:type="dxa"/>
              <w:left w:w="16" w:type="dxa"/>
              <w:right w:w="16" w:type="dxa"/>
            </w:tcMar>
            <w:vAlign w:val="center"/>
          </w:tcPr>
          <w:p w14:paraId="4AAF48D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2026年1月30日取得奇台县自然资源局，关于《关于新疆昌吉州奇台县碧流河中型灌区续建配套与现代化改造工程项目用地情况函》的复函；</w:t>
            </w:r>
          </w:p>
          <w:p w14:paraId="360E44D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2026年2月2日取得昌吉州发展和改革委员会文件（昌州发改农发〔2026〕10号）昌吉州发展改革委关于奇台县碧流河中型灌区续建配套与现代化改造工程项目建议书的批复；</w:t>
            </w:r>
          </w:p>
          <w:p w14:paraId="56DB2AF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color w:val="auto"/>
                <w:lang w:val="en-US" w:eastAsia="zh-CN"/>
              </w:rPr>
            </w:pPr>
            <w:r>
              <w:rPr>
                <w:rFonts w:hint="eastAsia" w:ascii="Times New Roman" w:hAnsi="Times New Roman" w:eastAsia="宋体" w:cs="Times New Roman"/>
                <w:color w:val="auto"/>
                <w:kern w:val="0"/>
                <w:sz w:val="24"/>
                <w:szCs w:val="24"/>
                <w:highlight w:val="none"/>
                <w:lang w:val="en-US" w:eastAsia="zh-CN"/>
              </w:rPr>
              <w:t>2026年5月奇台县水利工程建设管理中心委托我公司进行本环境影响报告表的编制工作。</w:t>
            </w:r>
          </w:p>
        </w:tc>
      </w:tr>
      <w:tr w14:paraId="6A0F3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90" w:hRule="atLeast"/>
        </w:trPr>
        <w:tc>
          <w:tcPr>
            <w:tcW w:w="934" w:type="pct"/>
            <w:noWrap w:val="0"/>
            <w:tcMar>
              <w:top w:w="16" w:type="dxa"/>
              <w:left w:w="16" w:type="dxa"/>
              <w:right w:w="16" w:type="dxa"/>
            </w:tcMar>
            <w:vAlign w:val="center"/>
          </w:tcPr>
          <w:p w14:paraId="0D936DA0">
            <w:pPr>
              <w:keepNext w:val="0"/>
              <w:keepLines w:val="0"/>
              <w:pageBreakBefore w:val="0"/>
              <w:widowControl w:val="0"/>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专项评价设置情况</w:t>
            </w:r>
          </w:p>
        </w:tc>
        <w:tc>
          <w:tcPr>
            <w:tcW w:w="4065" w:type="pct"/>
            <w:gridSpan w:val="3"/>
            <w:noWrap w:val="0"/>
            <w:tcMar>
              <w:top w:w="16" w:type="dxa"/>
              <w:left w:w="16" w:type="dxa"/>
              <w:right w:w="16" w:type="dxa"/>
            </w:tcMar>
            <w:vAlign w:val="center"/>
          </w:tcPr>
          <w:p w14:paraId="2BF73705">
            <w:pPr>
              <w:keepNext w:val="0"/>
              <w:keepLines w:val="0"/>
              <w:pageBreakBefore w:val="0"/>
              <w:widowControl w:val="0"/>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lang w:eastAsia="zh-CN"/>
              </w:rPr>
            </w:pPr>
            <w:r>
              <w:rPr>
                <w:rFonts w:hint="default" w:ascii="Times New Roman" w:hAnsi="Times New Roman" w:eastAsia="宋体" w:cs="Times New Roman"/>
                <w:color w:val="auto"/>
                <w:kern w:val="0"/>
                <w:sz w:val="24"/>
              </w:rPr>
              <w:t>无</w:t>
            </w:r>
          </w:p>
        </w:tc>
      </w:tr>
      <w:tr w14:paraId="72DB66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0" w:hRule="atLeast"/>
        </w:trPr>
        <w:tc>
          <w:tcPr>
            <w:tcW w:w="934" w:type="pct"/>
            <w:noWrap w:val="0"/>
            <w:tcMar>
              <w:top w:w="16" w:type="dxa"/>
              <w:left w:w="16" w:type="dxa"/>
              <w:right w:w="16" w:type="dxa"/>
            </w:tcMar>
            <w:vAlign w:val="center"/>
          </w:tcPr>
          <w:p w14:paraId="2AB8105C">
            <w:pPr>
              <w:keepNext w:val="0"/>
              <w:keepLines w:val="0"/>
              <w:pageBreakBefore w:val="0"/>
              <w:widowControl w:val="0"/>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sz w:val="24"/>
              </w:rPr>
              <w:t>规划情况</w:t>
            </w:r>
          </w:p>
        </w:tc>
        <w:tc>
          <w:tcPr>
            <w:tcW w:w="4065" w:type="pct"/>
            <w:gridSpan w:val="3"/>
            <w:noWrap w:val="0"/>
            <w:tcMar>
              <w:top w:w="16" w:type="dxa"/>
              <w:left w:w="16" w:type="dxa"/>
              <w:right w:w="16" w:type="dxa"/>
            </w:tcMar>
            <w:vAlign w:val="center"/>
          </w:tcPr>
          <w:p w14:paraId="65FEA4CD">
            <w:pPr>
              <w:keepNext w:val="0"/>
              <w:keepLines w:val="0"/>
              <w:pageBreakBefore w:val="0"/>
              <w:widowControl w:val="0"/>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无</w:t>
            </w:r>
          </w:p>
        </w:tc>
      </w:tr>
      <w:tr w14:paraId="2E944C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5" w:hRule="atLeast"/>
        </w:trPr>
        <w:tc>
          <w:tcPr>
            <w:tcW w:w="934" w:type="pct"/>
            <w:noWrap w:val="0"/>
            <w:tcMar>
              <w:top w:w="16" w:type="dxa"/>
              <w:left w:w="16" w:type="dxa"/>
              <w:right w:w="16" w:type="dxa"/>
            </w:tcMar>
            <w:vAlign w:val="center"/>
          </w:tcPr>
          <w:p w14:paraId="06D0E3B4">
            <w:pPr>
              <w:keepNext w:val="0"/>
              <w:keepLines w:val="0"/>
              <w:pageBreakBefore w:val="0"/>
              <w:widowControl w:val="0"/>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规划环境影响</w:t>
            </w:r>
          </w:p>
          <w:p w14:paraId="45A8AD10">
            <w:pPr>
              <w:keepNext w:val="0"/>
              <w:keepLines w:val="0"/>
              <w:pageBreakBefore w:val="0"/>
              <w:widowControl w:val="0"/>
              <w:kinsoku/>
              <w:wordWrap/>
              <w:overflowPunct/>
              <w:topLinePunct w:val="0"/>
              <w:autoSpaceDE w:val="0"/>
              <w:autoSpaceDN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sz w:val="24"/>
              </w:rPr>
              <w:t>评价情况</w:t>
            </w:r>
          </w:p>
        </w:tc>
        <w:tc>
          <w:tcPr>
            <w:tcW w:w="4065" w:type="pct"/>
            <w:gridSpan w:val="3"/>
            <w:noWrap w:val="0"/>
            <w:tcMar>
              <w:top w:w="16" w:type="dxa"/>
              <w:left w:w="16" w:type="dxa"/>
              <w:right w:w="16" w:type="dxa"/>
            </w:tcMar>
            <w:vAlign w:val="center"/>
          </w:tcPr>
          <w:p w14:paraId="5BA66A8C">
            <w:pPr>
              <w:keepNext w:val="0"/>
              <w:keepLines w:val="0"/>
              <w:pageBreakBefore w:val="0"/>
              <w:widowControl w:val="0"/>
              <w:kinsoku/>
              <w:wordWrap/>
              <w:overflowPunct/>
              <w:topLinePunct w:val="0"/>
              <w:bidi w:val="0"/>
              <w:adjustRightInd w:val="0"/>
              <w:snapToGrid w:val="0"/>
              <w:spacing w:line="240" w:lineRule="auto"/>
              <w:ind w:left="42" w:leftChars="20" w:right="113"/>
              <w:jc w:val="center"/>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无</w:t>
            </w:r>
          </w:p>
        </w:tc>
      </w:tr>
      <w:tr w14:paraId="54407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08" w:hRule="atLeast"/>
        </w:trPr>
        <w:tc>
          <w:tcPr>
            <w:tcW w:w="934" w:type="pct"/>
            <w:noWrap w:val="0"/>
            <w:tcMar>
              <w:top w:w="16" w:type="dxa"/>
              <w:left w:w="16" w:type="dxa"/>
              <w:right w:w="16" w:type="dxa"/>
            </w:tcMar>
            <w:vAlign w:val="center"/>
          </w:tcPr>
          <w:p w14:paraId="018AD33D">
            <w:pPr>
              <w:keepNext w:val="0"/>
              <w:keepLines w:val="0"/>
              <w:pageBreakBefore w:val="0"/>
              <w:wordWrap/>
              <w:overflowPunct/>
              <w:topLinePunct w:val="0"/>
              <w:autoSpaceDE w:val="0"/>
              <w:autoSpaceDN w:val="0"/>
              <w:bidi w:val="0"/>
              <w:adjustRightInd w:val="0"/>
              <w:snapToGrid w:val="0"/>
              <w:spacing w:line="240" w:lineRule="auto"/>
              <w:ind w:left="42" w:leftChars="20" w:right="113"/>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规划及</w:t>
            </w:r>
            <w:r>
              <w:rPr>
                <w:rFonts w:hint="default" w:ascii="Times New Roman" w:hAnsi="Times New Roman" w:eastAsia="宋体" w:cs="Times New Roman"/>
                <w:color w:val="auto"/>
                <w:sz w:val="24"/>
              </w:rPr>
              <w:t>规划环境影响评价</w:t>
            </w:r>
            <w:r>
              <w:rPr>
                <w:rFonts w:hint="default" w:ascii="Times New Roman" w:hAnsi="Times New Roman" w:eastAsia="宋体" w:cs="Times New Roman"/>
                <w:color w:val="auto"/>
                <w:kern w:val="0"/>
                <w:sz w:val="24"/>
              </w:rPr>
              <w:t>符合性分析</w:t>
            </w:r>
          </w:p>
        </w:tc>
        <w:tc>
          <w:tcPr>
            <w:tcW w:w="4065" w:type="pct"/>
            <w:gridSpan w:val="3"/>
            <w:noWrap w:val="0"/>
            <w:tcMar>
              <w:top w:w="16" w:type="dxa"/>
              <w:left w:w="16" w:type="dxa"/>
              <w:right w:w="16" w:type="dxa"/>
            </w:tcMar>
            <w:vAlign w:val="center"/>
          </w:tcPr>
          <w:p w14:paraId="798CC97E">
            <w:pPr>
              <w:keepNext w:val="0"/>
              <w:keepLines w:val="0"/>
              <w:pageBreakBefore w:val="0"/>
              <w:wordWrap/>
              <w:overflowPunct/>
              <w:topLinePunct w:val="0"/>
              <w:autoSpaceDE w:val="0"/>
              <w:autoSpaceDN w:val="0"/>
              <w:bidi w:val="0"/>
              <w:adjustRightInd w:val="0"/>
              <w:snapToGrid w:val="0"/>
              <w:spacing w:line="240" w:lineRule="auto"/>
              <w:ind w:left="42" w:leftChars="20" w:right="113"/>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无</w:t>
            </w:r>
          </w:p>
        </w:tc>
      </w:tr>
      <w:tr w14:paraId="12A4A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34" w:type="pct"/>
            <w:noWrap w:val="0"/>
            <w:tcMar>
              <w:top w:w="16" w:type="dxa"/>
              <w:left w:w="16" w:type="dxa"/>
              <w:right w:w="16" w:type="dxa"/>
            </w:tcMar>
            <w:vAlign w:val="center"/>
          </w:tcPr>
          <w:p w14:paraId="3E0EB9BB">
            <w:pPr>
              <w:keepNext w:val="0"/>
              <w:keepLines w:val="0"/>
              <w:pageBreakBefore w:val="0"/>
              <w:wordWrap/>
              <w:overflowPunct/>
              <w:topLinePunct w:val="0"/>
              <w:autoSpaceDE w:val="0"/>
              <w:autoSpaceDN w:val="0"/>
              <w:bidi w:val="0"/>
              <w:adjustRightInd w:val="0"/>
              <w:snapToGrid w:val="0"/>
              <w:spacing w:line="240" w:lineRule="auto"/>
              <w:ind w:left="42" w:leftChars="20" w:right="113"/>
              <w:jc w:val="center"/>
              <w:rPr>
                <w:rFonts w:hint="default" w:ascii="Times New Roman" w:hAnsi="Times New Roman" w:eastAsia="宋体" w:cs="Times New Roman"/>
                <w:color w:val="auto"/>
                <w:kern w:val="0"/>
                <w:sz w:val="24"/>
              </w:rPr>
            </w:pPr>
            <w:bookmarkStart w:id="12" w:name="_Hlk56690880"/>
            <w:r>
              <w:rPr>
                <w:rFonts w:hint="default" w:ascii="Times New Roman" w:hAnsi="Times New Roman" w:eastAsia="宋体" w:cs="Times New Roman"/>
                <w:color w:val="auto"/>
                <w:kern w:val="0"/>
                <w:sz w:val="24"/>
              </w:rPr>
              <w:t>其他符合性分析</w:t>
            </w:r>
            <w:bookmarkEnd w:id="12"/>
          </w:p>
        </w:tc>
        <w:tc>
          <w:tcPr>
            <w:tcW w:w="4065" w:type="pct"/>
            <w:gridSpan w:val="3"/>
            <w:noWrap w:val="0"/>
            <w:tcMar>
              <w:top w:w="16" w:type="dxa"/>
              <w:left w:w="16" w:type="dxa"/>
              <w:right w:w="16" w:type="dxa"/>
            </w:tcMar>
            <w:vAlign w:val="center"/>
          </w:tcPr>
          <w:p w14:paraId="6CABEC32">
            <w:pPr>
              <w:keepNext w:val="0"/>
              <w:keepLines w:val="0"/>
              <w:pageBreakBefore w:val="0"/>
              <w:widowControl w:val="0"/>
              <w:numPr>
                <w:ilvl w:val="0"/>
                <w:numId w:val="2"/>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与产业政策的符合性分析</w:t>
            </w:r>
          </w:p>
          <w:p w14:paraId="32C7875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本项目为</w:t>
            </w:r>
            <w:r>
              <w:rPr>
                <w:rFonts w:hint="default" w:ascii="Times New Roman" w:hAnsi="Times New Roman" w:eastAsia="宋体" w:cs="Times New Roman"/>
                <w:color w:val="auto"/>
                <w:kern w:val="0"/>
                <w:sz w:val="24"/>
                <w:szCs w:val="24"/>
                <w:highlight w:val="none"/>
                <w:lang w:val="en-US" w:eastAsia="zh-CN"/>
              </w:rPr>
              <w:t>水利项目</w:t>
            </w:r>
            <w:r>
              <w:rPr>
                <w:rFonts w:hint="default" w:ascii="Times New Roman" w:hAnsi="Times New Roman" w:eastAsia="宋体" w:cs="Times New Roman"/>
                <w:color w:val="auto"/>
                <w:kern w:val="0"/>
                <w:sz w:val="24"/>
                <w:szCs w:val="24"/>
                <w:highlight w:val="none"/>
              </w:rPr>
              <w:t>，属于《国民经济行业分类（GB/T4754-2017）》及</w:t>
            </w:r>
            <w:r>
              <w:rPr>
                <w:rFonts w:hint="default" w:ascii="Times New Roman" w:hAnsi="Times New Roman" w:eastAsia="宋体" w:cs="Times New Roman"/>
                <w:color w:val="auto"/>
                <w:kern w:val="0"/>
                <w:sz w:val="24"/>
                <w:szCs w:val="24"/>
                <w:highlight w:val="none"/>
                <w:lang w:eastAsia="zh-CN"/>
              </w:rPr>
              <w:t>国家统计局</w:t>
            </w:r>
            <w:r>
              <w:rPr>
                <w:rFonts w:hint="default" w:ascii="Times New Roman" w:hAnsi="Times New Roman" w:eastAsia="宋体" w:cs="Times New Roman"/>
                <w:color w:val="auto"/>
                <w:kern w:val="0"/>
                <w:sz w:val="24"/>
                <w:szCs w:val="24"/>
                <w:highlight w:val="none"/>
              </w:rPr>
              <w:t>《执行国民经济行业分类第1号修改单的通知（国统字〔2019〕66号）》中“</w:t>
            </w:r>
            <w:r>
              <w:rPr>
                <w:rFonts w:hint="default" w:ascii="Times New Roman" w:hAnsi="Times New Roman" w:eastAsia="宋体" w:cs="Times New Roman"/>
                <w:color w:val="auto"/>
                <w:kern w:val="0"/>
                <w:sz w:val="24"/>
                <w:szCs w:val="24"/>
                <w:highlight w:val="none"/>
                <w:lang w:val="en-US" w:eastAsia="zh-CN"/>
              </w:rPr>
              <w:t>76水利管理业、7690其他水利管理业</w:t>
            </w:r>
            <w:r>
              <w:rPr>
                <w:rFonts w:hint="default" w:ascii="Times New Roman" w:hAnsi="Times New Roman" w:eastAsia="宋体" w:cs="Times New Roman"/>
                <w:color w:val="auto"/>
                <w:kern w:val="0"/>
                <w:sz w:val="24"/>
                <w:szCs w:val="24"/>
                <w:highlight w:val="none"/>
              </w:rPr>
              <w:t>”，项目建设属于《产业结构调整指导目录（2024年本）》中规定的鼓励类“二、水利2．节水供水工程中的灌区及配套设施建设、改造”</w:t>
            </w:r>
            <w:r>
              <w:rPr>
                <w:rFonts w:hint="default" w:ascii="Times New Roman" w:hAnsi="Times New Roman" w:eastAsia="宋体" w:cs="Times New Roman"/>
                <w:color w:val="auto"/>
                <w:kern w:val="0"/>
                <w:sz w:val="24"/>
                <w:szCs w:val="24"/>
                <w:highlight w:val="none"/>
                <w:lang w:val="en-US" w:eastAsia="zh-CN"/>
              </w:rPr>
              <w:t>工程</w:t>
            </w:r>
            <w:r>
              <w:rPr>
                <w:rFonts w:hint="default" w:ascii="Times New Roman" w:hAnsi="Times New Roman" w:eastAsia="宋体" w:cs="Times New Roman"/>
                <w:color w:val="auto"/>
                <w:kern w:val="0"/>
                <w:sz w:val="24"/>
                <w:szCs w:val="24"/>
                <w:highlight w:val="none"/>
              </w:rPr>
              <w:t>。</w:t>
            </w:r>
          </w:p>
          <w:p w14:paraId="0BE7693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2026年4月14日，本项目已取得昌吉州发展和改革委员会出具的《昌吉州发展和改革委关于奇台县碧流河中型灌区续建配套与现代化改造工程可行性研究报告的批复》（昌州发改农发〔2026〕25号），同意本项目建设。</w:t>
            </w:r>
          </w:p>
          <w:p w14:paraId="0E023A5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综上，本项目的建设符合国家产业政策。</w:t>
            </w:r>
          </w:p>
          <w:p w14:paraId="7C5FAC31">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与“三线一单”的符合性分析</w:t>
            </w:r>
          </w:p>
          <w:p w14:paraId="7050D27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1</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生态保护红线</w:t>
            </w:r>
          </w:p>
          <w:p w14:paraId="33137429">
            <w:pPr>
              <w:pStyle w:val="60"/>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新疆维吾尔自治区“三线一单”生态环境分区管控方案（2023调整方案）要求，生态保护红线按照“生态功能不降低、面积不减少、性质不改变”的基本要求，对划定的生态保护红线实施严格管控，保障和维护国家生态安全的底线和生命线。</w:t>
            </w:r>
            <w:r>
              <w:rPr>
                <w:rFonts w:hint="default" w:ascii="Times New Roman" w:hAnsi="Times New Roman" w:eastAsia="宋体" w:cs="Times New Roman"/>
                <w:color w:val="auto"/>
                <w:sz w:val="24"/>
                <w:szCs w:val="24"/>
                <w:highlight w:val="none"/>
              </w:rPr>
              <w:t>该项目在原河道管理范围内，不新增</w:t>
            </w:r>
            <w:r>
              <w:rPr>
                <w:rFonts w:hint="eastAsia" w:cs="Times New Roman"/>
                <w:color w:val="auto"/>
                <w:sz w:val="24"/>
                <w:szCs w:val="24"/>
                <w:highlight w:val="none"/>
                <w:lang w:val="en-US" w:eastAsia="zh-CN"/>
              </w:rPr>
              <w:t>水利设施</w:t>
            </w:r>
            <w:r>
              <w:rPr>
                <w:rFonts w:hint="default" w:ascii="Times New Roman" w:hAnsi="Times New Roman" w:eastAsia="宋体" w:cs="Times New Roman"/>
                <w:color w:val="auto"/>
                <w:sz w:val="24"/>
                <w:szCs w:val="24"/>
                <w:highlight w:val="none"/>
              </w:rPr>
              <w:t>用地</w:t>
            </w:r>
            <w:r>
              <w:rPr>
                <w:rFonts w:hint="eastAsia" w:ascii="Times New Roman" w:hAnsi="Times New Roman" w:cs="Times New Roman"/>
                <w:color w:val="auto"/>
                <w:sz w:val="24"/>
                <w:szCs w:val="24"/>
                <w:highlight w:val="none"/>
                <w:lang w:eastAsia="zh-CN"/>
              </w:rPr>
              <w:t>，</w:t>
            </w:r>
            <w:r>
              <w:rPr>
                <w:rFonts w:hint="eastAsia" w:ascii="Times New Roman" w:hAnsi="Times New Roman" w:eastAsia="宋体" w:cs="Times New Roman"/>
                <w:color w:val="auto"/>
                <w:kern w:val="2"/>
                <w:sz w:val="24"/>
                <w:szCs w:val="24"/>
                <w:highlight w:val="none"/>
                <w:lang w:val="en-US" w:eastAsia="zh-CN" w:bidi="ar-SA"/>
              </w:rPr>
              <w:t>经核实，项目区周围无自然保护区、饮用水源保护区等生态保护目标，本项目不涉及生态红线区域，符合生态红线保护要求，不会导致辖区内生态服务功能下降。</w:t>
            </w:r>
          </w:p>
          <w:p w14:paraId="3A6A5B8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2</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环境质量底线</w:t>
            </w:r>
          </w:p>
          <w:p w14:paraId="509D969D">
            <w:pPr>
              <w:keepNext w:val="0"/>
              <w:keepLines w:val="0"/>
              <w:pageBreakBefore w:val="0"/>
              <w:widowControl w:val="0"/>
              <w:kinsoku/>
              <w:wordWrap/>
              <w:overflowPunct w:val="0"/>
              <w:topLinePunct w:val="0"/>
              <w:autoSpaceDE/>
              <w:autoSpaceDN/>
              <w:bidi w:val="0"/>
              <w:adjustRightInd w:val="0"/>
              <w:snapToGrid w:val="0"/>
              <w:spacing w:line="360" w:lineRule="auto"/>
              <w:ind w:left="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根据大气环境现状调查，项目区属于大气达标区</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本工程为</w:t>
            </w:r>
            <w:r>
              <w:rPr>
                <w:rFonts w:hint="eastAsia" w:eastAsia="宋体" w:cs="Times New Roman"/>
                <w:color w:val="auto"/>
                <w:sz w:val="24"/>
                <w:szCs w:val="24"/>
                <w:highlight w:val="none"/>
                <w:lang w:val="en-US" w:eastAsia="zh-CN"/>
              </w:rPr>
              <w:t>灌区工程</w:t>
            </w:r>
            <w:r>
              <w:rPr>
                <w:rFonts w:hint="default" w:ascii="Times New Roman" w:hAnsi="Times New Roman" w:eastAsia="宋体" w:cs="Times New Roman"/>
                <w:color w:val="auto"/>
                <w:sz w:val="24"/>
                <w:szCs w:val="24"/>
                <w:highlight w:val="none"/>
              </w:rPr>
              <w:t>，采取了有效的污染防治措施，可确保污染得到</w:t>
            </w:r>
            <w:r>
              <w:rPr>
                <w:rFonts w:hint="eastAsia" w:ascii="Times New Roman" w:hAnsi="Times New Roman" w:cs="Times New Roman"/>
                <w:color w:val="auto"/>
                <w:sz w:val="24"/>
                <w:szCs w:val="24"/>
                <w:highlight w:val="none"/>
                <w:lang w:eastAsia="zh-CN"/>
              </w:rPr>
              <w:t>有效控制</w:t>
            </w:r>
            <w:r>
              <w:rPr>
                <w:rFonts w:hint="default" w:ascii="Times New Roman" w:hAnsi="Times New Roman" w:eastAsia="宋体" w:cs="Times New Roman"/>
                <w:color w:val="auto"/>
                <w:sz w:val="24"/>
                <w:szCs w:val="24"/>
                <w:highlight w:val="none"/>
              </w:rPr>
              <w:t>，不会对周围大气环境产生明显影响。</w:t>
            </w:r>
          </w:p>
          <w:p w14:paraId="5A44527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资源利用上线</w:t>
            </w:r>
          </w:p>
          <w:p w14:paraId="097F981F">
            <w:pPr>
              <w:pStyle w:val="60"/>
              <w:keepNext w:val="0"/>
              <w:keepLines w:val="0"/>
              <w:pageBreakBefore w:val="0"/>
              <w:widowControl w:val="0"/>
              <w:kinsoku/>
              <w:wordWrap/>
              <w:topLinePunct w:val="0"/>
              <w:autoSpaceDE/>
              <w:autoSpaceDN/>
              <w:bidi w:val="0"/>
              <w:adjustRightInd w:val="0"/>
              <w:snapToGrid w:val="0"/>
              <w:spacing w:line="360" w:lineRule="auto"/>
              <w:ind w:left="0" w:firstLine="473"/>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工程建设过程中会消耗电能，不新增</w:t>
            </w:r>
            <w:r>
              <w:rPr>
                <w:rFonts w:hint="eastAsia" w:cs="Times New Roman"/>
                <w:color w:val="auto"/>
                <w:sz w:val="24"/>
                <w:szCs w:val="24"/>
                <w:highlight w:val="none"/>
                <w:lang w:val="en-US" w:eastAsia="zh-CN"/>
              </w:rPr>
              <w:t>水利设施</w:t>
            </w:r>
            <w:r>
              <w:rPr>
                <w:rFonts w:hint="default" w:ascii="Times New Roman" w:hAnsi="Times New Roman" w:eastAsia="宋体" w:cs="Times New Roman"/>
                <w:color w:val="auto"/>
                <w:sz w:val="24"/>
                <w:szCs w:val="24"/>
                <w:highlight w:val="none"/>
              </w:rPr>
              <w:t>用地。本工程</w:t>
            </w:r>
            <w:r>
              <w:rPr>
                <w:rFonts w:hint="eastAsia" w:eastAsia="宋体" w:cs="Times New Roman"/>
                <w:color w:val="auto"/>
                <w:sz w:val="24"/>
                <w:szCs w:val="24"/>
                <w:highlight w:val="none"/>
                <w:lang w:val="en-US" w:eastAsia="zh-CN"/>
              </w:rPr>
              <w:t>仅是对原有渠道进行防渗衬砌，不会改变区域灌区面积，不会新增灌区水资源用量，不会突破区域水资源利用上线，项目建设</w:t>
            </w:r>
            <w:r>
              <w:rPr>
                <w:rFonts w:hint="default" w:ascii="Times New Roman" w:hAnsi="Times New Roman" w:eastAsia="宋体" w:cs="Times New Roman"/>
                <w:color w:val="auto"/>
                <w:sz w:val="24"/>
                <w:szCs w:val="24"/>
                <w:highlight w:val="none"/>
              </w:rPr>
              <w:t>资源消耗量相对区域资源利用总量较少，符合区域资源利用要求。</w:t>
            </w:r>
          </w:p>
          <w:p w14:paraId="469305B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eastAsia="en-US"/>
              </w:rPr>
              <w:t>环境管控单元划分</w:t>
            </w:r>
          </w:p>
          <w:p w14:paraId="40D7D00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根据《新疆维吾尔自治区“三线一单”生态环境分区管控方案》及《新疆维吾尔自治区生态环境分区管控动态更新成果》，自治区共划定1777个环境管控单元，分为优先保护单元、重点管控单元和一般管控单元三类，实施分类管控。优先保护单元925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重点管控单元713个，主要包括城镇建成区、工业园区和开发强度大、污染物排放强度高的工业聚集区等。重点管控单元要着力优化空间布局，不断提升资源利用效率，有针对性地加强污染物排放管控和环境风险防控，解决生态环境质量不达标、生态环境风险高等问题。一般管控单元139个，主要包括优先保护单元和重点管控单元之外的其他区域。一般管控单元主要落实生态环境保护基本要求，推动区域环境质量持续改善。</w:t>
            </w:r>
          </w:p>
          <w:p w14:paraId="5A547C2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w:t>
            </w:r>
            <w:r>
              <w:rPr>
                <w:rFonts w:hint="eastAsia"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lang w:eastAsia="en-US"/>
              </w:rPr>
              <w:t>）分区管控要求</w:t>
            </w:r>
          </w:p>
          <w:p w14:paraId="46EDF4E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新疆维吾尔自治区“三线一单”生态环境分区管控方案》中提到，“基于新疆各地自然地理条件、资源环境禀赋、经济社会发展状况的差异性，将全区划分为七大片区，包括北疆北部（塔城地区、阿勒泰地区）、伊犁河谷、克奎乌-博州、乌昌石、吐哈、天山南坡（巴州、阿克苏地区）和南疆三地州片区。北疆北部片区重点突出阿尔泰山、准噶尔西部山地等水源涵养功能和生物多样性功能维护、额尔齐斯河和额敏河环境风险防控；伊犁河谷片区重点突出西天山水源涵养功能和生物多样性功能维护、伊犁河环境风险防控、城镇大气污染控制；克奎乌博州片区重点突出大气污染治理、</w:t>
            </w:r>
            <w:r>
              <w:rPr>
                <w:rFonts w:hint="default" w:ascii="Times New Roman" w:hAnsi="Times New Roman" w:eastAsia="宋体" w:cs="Times New Roman"/>
                <w:color w:val="auto"/>
                <w:kern w:val="0"/>
                <w:sz w:val="24"/>
                <w:szCs w:val="24"/>
                <w:highlight w:val="none"/>
                <w:lang w:eastAsia="zh-CN"/>
              </w:rPr>
              <w:t>生物多样性保护</w:t>
            </w:r>
            <w:r>
              <w:rPr>
                <w:rFonts w:hint="default" w:ascii="Times New Roman" w:hAnsi="Times New Roman" w:eastAsia="宋体" w:cs="Times New Roman"/>
                <w:color w:val="auto"/>
                <w:kern w:val="0"/>
                <w:sz w:val="24"/>
                <w:szCs w:val="24"/>
                <w:highlight w:val="none"/>
                <w:lang w:eastAsia="en-US"/>
              </w:rPr>
              <w:t>和荒漠化防治；乌昌石片区重点突出大气污染治理、资源能源利用效率提升；吐哈片区重点突出荒漠化防治、水资源利用效率提升；天山南坡片区重点突出塔里木盆地北缘荒漠化防治、保障生态用水和博斯腾湖综合治理；南疆三地州片区重点突出塔里木盆地南缘荒漠化防治、土地利用效率和水资源利用效率提升。”</w:t>
            </w:r>
          </w:p>
          <w:p w14:paraId="4B482D6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本项目位于昌吉回族自治州</w:t>
            </w:r>
            <w:r>
              <w:rPr>
                <w:rFonts w:hint="default" w:ascii="Times New Roman" w:hAnsi="Times New Roman" w:eastAsia="宋体" w:cs="Times New Roman"/>
                <w:color w:val="auto"/>
                <w:kern w:val="0"/>
                <w:sz w:val="24"/>
                <w:szCs w:val="24"/>
                <w:highlight w:val="none"/>
                <w:lang w:val="en-US" w:eastAsia="zh-CN"/>
              </w:rPr>
              <w:t>奇台</w:t>
            </w:r>
            <w:r>
              <w:rPr>
                <w:rFonts w:hint="default" w:ascii="Times New Roman" w:hAnsi="Times New Roman" w:eastAsia="宋体" w:cs="Times New Roman"/>
                <w:color w:val="auto"/>
                <w:kern w:val="0"/>
                <w:sz w:val="24"/>
                <w:szCs w:val="24"/>
                <w:highlight w:val="none"/>
                <w:lang w:eastAsia="zh-CN"/>
              </w:rPr>
              <w:t>县</w:t>
            </w:r>
            <w:r>
              <w:rPr>
                <w:rFonts w:hint="default" w:ascii="Times New Roman" w:hAnsi="Times New Roman" w:eastAsia="宋体" w:cs="Times New Roman"/>
                <w:color w:val="auto"/>
                <w:kern w:val="0"/>
                <w:sz w:val="24"/>
                <w:szCs w:val="24"/>
                <w:highlight w:val="none"/>
                <w:lang w:eastAsia="en-US"/>
              </w:rPr>
              <w:t>，属于七大片区中的乌昌石片区。根据《新疆维吾尔自治区七大片区“三线一单”生态环境分区管控要求》，乌昌石片区管控要求为：</w:t>
            </w:r>
          </w:p>
          <w:p w14:paraId="0C6D1E6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乌昌石片区包括乌鲁木齐市、昌吉回族自治州和沙湾市。除国家规划项目外，乌鲁木齐市七区一县、昌吉市、阜康市、玛纳斯县、呼图壁县、沙湾市建成区及周边敏感区域内不再布局建设煤化工、电解铝、燃煤纯发电机组、金属硅、碳化硅、聚氯乙烯（电石法）、焦炭（含半焦）等新增产能项目，具备风光电清洁供暖建设条件的区域原则上不新批热电联产项目。坚持属地负责与区域大气污染联防联控相结合，以明显降低细颗粒物浓度为重点，协同推进“乌-昌-石”区域大气环境治理，强化与生产建设兵团第六师、第八师、第十一师、第十二师的同防同治，确保区域环境空气质量持续改善。所有新建、改建、扩建工业项目执行最严格的大气污染物排放标准。强化氮氧化物深度治理。强化挥发性有机物污染防治措施。推广使用低挥发性有机物原辅料，推动有条件的园区（工业集聚区）建设集中喷涂工程中心，配备高效治污设施，替代企业独立喷涂工序。</w:t>
            </w:r>
          </w:p>
          <w:p w14:paraId="67719CA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强化企业清洁生产改造，推进节水型企业、节水型工业园区建设，提高资源集约节约利用水平。积极推进地下水超采治理，逐步压减地下水超采量，实现地下水采补平衡。强化油（气）资源开发区土壤环境污染综合整治。加强涉重金属行业污染防控与工业废物处理处置。</w:t>
            </w:r>
          </w:p>
          <w:p w14:paraId="7A12EDA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煤炭、石油、天然气开发单位应当制定生态保护和恢复治理方案，并予以实施。生态保护和恢复治理方案内容应当向社会公布，接受社会监督。”</w:t>
            </w:r>
          </w:p>
          <w:p w14:paraId="59F31E9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本项目施工期较短，施工期产生的废气主要为扬尘、机械废气等，施工期废气污染相对集中且排放量较小，这种污染是短期的，工程结束后，将不复存在；项目运营</w:t>
            </w:r>
            <w:r>
              <w:rPr>
                <w:rFonts w:hint="default" w:ascii="Times New Roman" w:hAnsi="Times New Roman" w:eastAsia="宋体" w:cs="Times New Roman"/>
                <w:color w:val="auto"/>
                <w:kern w:val="0"/>
                <w:sz w:val="24"/>
                <w:szCs w:val="24"/>
                <w:highlight w:val="none"/>
                <w:lang w:val="en-US" w:eastAsia="zh-CN"/>
              </w:rPr>
              <w:t>期无废气产生</w:t>
            </w:r>
            <w:r>
              <w:rPr>
                <w:rFonts w:hint="default" w:ascii="Times New Roman" w:hAnsi="Times New Roman" w:eastAsia="宋体" w:cs="Times New Roman"/>
                <w:color w:val="auto"/>
                <w:kern w:val="0"/>
                <w:sz w:val="24"/>
                <w:szCs w:val="24"/>
                <w:highlight w:val="none"/>
                <w:lang w:eastAsia="en-US"/>
              </w:rPr>
              <w:t>。</w:t>
            </w:r>
            <w:r>
              <w:rPr>
                <w:rFonts w:hint="default" w:ascii="Times New Roman" w:hAnsi="Times New Roman" w:eastAsia="宋体" w:cs="Times New Roman"/>
                <w:color w:val="auto"/>
                <w:kern w:val="0"/>
                <w:sz w:val="24"/>
                <w:szCs w:val="24"/>
                <w:highlight w:val="none"/>
                <w:lang w:val="en-US" w:eastAsia="zh-CN"/>
              </w:rPr>
              <w:t>本项目的建设对</w:t>
            </w:r>
            <w:r>
              <w:rPr>
                <w:rFonts w:hint="default" w:ascii="Times New Roman" w:hAnsi="Times New Roman" w:eastAsia="宋体" w:cs="Times New Roman"/>
                <w:color w:val="auto"/>
                <w:kern w:val="0"/>
                <w:sz w:val="24"/>
                <w:szCs w:val="24"/>
                <w:highlight w:val="none"/>
                <w:lang w:eastAsia="en-US"/>
              </w:rPr>
              <w:t>区域环境空气质量</w:t>
            </w:r>
            <w:r>
              <w:rPr>
                <w:rFonts w:hint="default" w:ascii="Times New Roman" w:hAnsi="Times New Roman" w:eastAsia="宋体" w:cs="Times New Roman"/>
                <w:color w:val="auto"/>
                <w:kern w:val="0"/>
                <w:sz w:val="24"/>
                <w:szCs w:val="24"/>
                <w:highlight w:val="none"/>
                <w:lang w:val="en-US" w:eastAsia="zh-CN"/>
              </w:rPr>
              <w:t>基本不会产生不利影响</w:t>
            </w:r>
            <w:r>
              <w:rPr>
                <w:rFonts w:hint="default" w:ascii="Times New Roman" w:hAnsi="Times New Roman" w:eastAsia="宋体" w:cs="Times New Roman"/>
                <w:color w:val="auto"/>
                <w:kern w:val="0"/>
                <w:sz w:val="24"/>
                <w:szCs w:val="24"/>
                <w:highlight w:val="none"/>
                <w:lang w:eastAsia="en-US"/>
              </w:rPr>
              <w:t>。项目施工期间，按照本次评价的要求，可最大程度降低地表扰动、减少对生态环境的破坏。</w:t>
            </w:r>
          </w:p>
          <w:p w14:paraId="1A7674B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综上，本项目建设符合《新疆维吾尔自治区“三线一单”生态环境分区管控方案》及《新疆维吾尔自治区生态环境分区管控动态更新成果》的相关要求。</w:t>
            </w:r>
          </w:p>
          <w:p w14:paraId="0E27097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20" w:firstLineChars="200"/>
              <w:textAlignment w:val="auto"/>
              <w:rPr>
                <w:rFonts w:hint="default" w:ascii="Times New Roman" w:hAnsi="Times New Roman" w:eastAsia="宋体" w:cs="Times New Roman"/>
                <w:color w:val="auto"/>
                <w:lang w:eastAsia="en-US"/>
              </w:rPr>
            </w:pPr>
            <w:r>
              <w:rPr>
                <w:rFonts w:hint="default" w:ascii="Times New Roman" w:hAnsi="Times New Roman" w:eastAsia="宋体" w:cs="Times New Roman"/>
                <w:color w:val="auto"/>
                <w:kern w:val="2"/>
                <w:sz w:val="21"/>
                <w:szCs w:val="24"/>
                <w:lang w:val="en-US" w:eastAsia="en-US" w:bidi="ar-SA"/>
              </w:rPr>
              <w:t>（</w:t>
            </w:r>
            <w:r>
              <w:rPr>
                <w:rFonts w:hint="eastAsia" w:cs="Times New Roman"/>
                <w:color w:val="auto"/>
                <w:kern w:val="2"/>
                <w:sz w:val="21"/>
                <w:szCs w:val="24"/>
                <w:lang w:val="en-US" w:eastAsia="zh-CN" w:bidi="ar-SA"/>
              </w:rPr>
              <w:t>6</w:t>
            </w:r>
            <w:r>
              <w:rPr>
                <w:rFonts w:hint="default" w:ascii="Times New Roman" w:hAnsi="Times New Roman" w:eastAsia="宋体" w:cs="Times New Roman"/>
                <w:color w:val="auto"/>
                <w:kern w:val="2"/>
                <w:sz w:val="21"/>
                <w:szCs w:val="24"/>
                <w:lang w:val="en-US" w:eastAsia="en-US" w:bidi="ar-SA"/>
              </w:rPr>
              <w:t>）</w:t>
            </w:r>
            <w:r>
              <w:rPr>
                <w:rFonts w:hint="default" w:ascii="Times New Roman" w:hAnsi="Times New Roman" w:eastAsia="宋体" w:cs="Times New Roman"/>
                <w:color w:val="auto"/>
                <w:kern w:val="0"/>
                <w:sz w:val="24"/>
                <w:szCs w:val="24"/>
                <w:highlight w:val="none"/>
                <w:lang w:val="en-US" w:eastAsia="zh-CN"/>
              </w:rPr>
              <w:t>与昌吉州“三线一单”环境管控单元生态环境准入清单（2023版）符合性分析</w:t>
            </w:r>
          </w:p>
          <w:p w14:paraId="43C6013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eastAsia="en-US"/>
              </w:rPr>
            </w:pPr>
            <w:r>
              <w:rPr>
                <w:rFonts w:hint="default" w:ascii="Times New Roman" w:hAnsi="Times New Roman" w:eastAsia="宋体" w:cs="Times New Roman"/>
                <w:color w:val="auto"/>
                <w:kern w:val="0"/>
                <w:sz w:val="24"/>
                <w:szCs w:val="24"/>
                <w:highlight w:val="none"/>
                <w:lang w:eastAsia="en-US"/>
              </w:rPr>
              <w:t>2024年12月，昌吉回族自治州生态环境局发布《昌吉回族自治州生态环境分区管控动态更新成果》（2023版）文件，昌吉回族自治州共划分193个环境管控单元，分为优先保护单元、重点管控单元、一般管控单元三类，实施分类管控。其中优先保护单元94个，重点管控单元92个，一般管控单元7个。根据《昌吉回族自治州环境管控单元分类图》，本项目区属于划定的重点管控单元（ZH65232520007）和一般管控单元（ZH65232530001），本项目与《昌吉回族自治州生态环境分区管控动态更新成果》（2023版）符合性分析见</w:t>
            </w:r>
            <w:r>
              <w:rPr>
                <w:rFonts w:hint="default" w:ascii="Times New Roman" w:hAnsi="Times New Roman" w:eastAsia="宋体" w:cs="Times New Roman"/>
                <w:color w:val="auto"/>
                <w:kern w:val="0"/>
                <w:sz w:val="24"/>
                <w:szCs w:val="24"/>
                <w:highlight w:val="none"/>
                <w:lang w:val="en-US" w:eastAsia="zh-CN"/>
              </w:rPr>
              <w:t>下</w:t>
            </w:r>
            <w:r>
              <w:rPr>
                <w:rFonts w:hint="default" w:ascii="Times New Roman" w:hAnsi="Times New Roman" w:eastAsia="宋体" w:cs="Times New Roman"/>
                <w:color w:val="auto"/>
                <w:kern w:val="0"/>
                <w:sz w:val="24"/>
                <w:szCs w:val="24"/>
                <w:highlight w:val="none"/>
                <w:lang w:eastAsia="en-US"/>
              </w:rPr>
              <w:t>表，与昌吉回族自治州环境管控单元分布位置关系图见附图。</w:t>
            </w:r>
          </w:p>
          <w:p w14:paraId="639B323F">
            <w:pPr>
              <w:pStyle w:val="4"/>
              <w:keepNext/>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zh-CN"/>
              </w:rPr>
            </w:pPr>
            <w:r>
              <w:rPr>
                <w:rFonts w:hint="default" w:ascii="Times New Roman" w:hAnsi="Times New Roman" w:eastAsia="宋体" w:cs="Times New Roman"/>
                <w:color w:val="auto"/>
                <w:kern w:val="0"/>
                <w:sz w:val="24"/>
                <w:szCs w:val="24"/>
                <w:highlight w:val="none"/>
                <w:vertAlign w:val="baseline"/>
                <w:lang w:val="en-US" w:eastAsia="zh-CN"/>
              </w:rPr>
              <w:t>表1-1项目与昌吉州“三线一单”环境管控单元生态环境准入清单</w:t>
            </w:r>
          </w:p>
          <w:p w14:paraId="2E557EB0">
            <w:pPr>
              <w:pStyle w:val="4"/>
              <w:keepNext/>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zh-CN"/>
              </w:rPr>
            </w:pPr>
            <w:r>
              <w:rPr>
                <w:rFonts w:hint="default" w:ascii="Times New Roman" w:hAnsi="Times New Roman" w:eastAsia="宋体" w:cs="Times New Roman"/>
                <w:color w:val="auto"/>
                <w:kern w:val="0"/>
                <w:sz w:val="24"/>
                <w:szCs w:val="24"/>
                <w:highlight w:val="none"/>
                <w:vertAlign w:val="baseline"/>
                <w:lang w:val="en-US" w:eastAsia="zh-CN"/>
              </w:rPr>
              <w:t>符合性分析一览表</w:t>
            </w:r>
          </w:p>
          <w:tbl>
            <w:tblPr>
              <w:tblStyle w:val="32"/>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804"/>
              <w:gridCol w:w="2380"/>
              <w:gridCol w:w="1600"/>
              <w:gridCol w:w="583"/>
            </w:tblGrid>
            <w:tr w14:paraId="64BBC1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58" w:type="pct"/>
                  <w:tcBorders>
                    <w:tl2br w:val="nil"/>
                    <w:tr2bl w:val="nil"/>
                  </w:tcBorders>
                  <w:noWrap w:val="0"/>
                  <w:vAlign w:val="center"/>
                </w:tcPr>
                <w:p w14:paraId="459A318D">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管控单元</w:t>
                  </w:r>
                </w:p>
              </w:tc>
              <w:tc>
                <w:tcPr>
                  <w:tcW w:w="560" w:type="pct"/>
                  <w:tcBorders>
                    <w:tl2br w:val="nil"/>
                    <w:tr2bl w:val="nil"/>
                  </w:tcBorders>
                  <w:noWrap w:val="0"/>
                  <w:vAlign w:val="center"/>
                </w:tcPr>
                <w:p w14:paraId="73073C37">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管控维度</w:t>
                  </w:r>
                </w:p>
              </w:tc>
              <w:tc>
                <w:tcPr>
                  <w:tcW w:w="1658" w:type="pct"/>
                  <w:tcBorders>
                    <w:tl2br w:val="nil"/>
                    <w:tr2bl w:val="nil"/>
                  </w:tcBorders>
                  <w:noWrap w:val="0"/>
                  <w:vAlign w:val="center"/>
                </w:tcPr>
                <w:p w14:paraId="5C87E85D">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管控内容</w:t>
                  </w:r>
                </w:p>
              </w:tc>
              <w:tc>
                <w:tcPr>
                  <w:tcW w:w="1115" w:type="pct"/>
                  <w:tcBorders>
                    <w:tl2br w:val="nil"/>
                    <w:tr2bl w:val="nil"/>
                  </w:tcBorders>
                  <w:noWrap w:val="0"/>
                  <w:vAlign w:val="center"/>
                </w:tcPr>
                <w:p w14:paraId="0BF75BB8">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项目概况</w:t>
                  </w:r>
                </w:p>
              </w:tc>
              <w:tc>
                <w:tcPr>
                  <w:tcW w:w="406" w:type="pct"/>
                  <w:tcBorders>
                    <w:tl2br w:val="nil"/>
                    <w:tr2bl w:val="nil"/>
                  </w:tcBorders>
                  <w:noWrap w:val="0"/>
                  <w:vAlign w:val="center"/>
                </w:tcPr>
                <w:p w14:paraId="547E5568">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b/>
                      <w:bCs/>
                      <w:color w:val="auto"/>
                      <w:kern w:val="21"/>
                      <w:sz w:val="21"/>
                      <w:szCs w:val="21"/>
                      <w:highlight w:val="none"/>
                      <w:vertAlign w:val="baseline"/>
                      <w:lang w:val="en-US" w:eastAsia="zh-CN"/>
                    </w:rPr>
                  </w:pPr>
                  <w:r>
                    <w:rPr>
                      <w:rFonts w:hint="default" w:ascii="Times New Roman" w:hAnsi="Times New Roman" w:eastAsia="宋体" w:cs="Times New Roman"/>
                      <w:b/>
                      <w:bCs/>
                      <w:color w:val="auto"/>
                      <w:kern w:val="21"/>
                      <w:sz w:val="21"/>
                      <w:szCs w:val="21"/>
                      <w:highlight w:val="none"/>
                      <w:vertAlign w:val="baseline"/>
                      <w:lang w:val="en-US" w:eastAsia="zh-CN"/>
                    </w:rPr>
                    <w:t>符合性</w:t>
                  </w:r>
                </w:p>
              </w:tc>
            </w:tr>
            <w:tr w14:paraId="1C29AF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258" w:type="pct"/>
                  <w:vMerge w:val="restart"/>
                  <w:tcBorders>
                    <w:tl2br w:val="nil"/>
                    <w:tr2bl w:val="nil"/>
                  </w:tcBorders>
                  <w:noWrap w:val="0"/>
                  <w:vAlign w:val="center"/>
                </w:tcPr>
                <w:p w14:paraId="22C4DAD1">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重点管控单元单元编码：ZH65232810013</w:t>
                  </w:r>
                </w:p>
              </w:tc>
              <w:tc>
                <w:tcPr>
                  <w:tcW w:w="560" w:type="pct"/>
                  <w:tcBorders>
                    <w:tl2br w:val="nil"/>
                    <w:tr2bl w:val="nil"/>
                  </w:tcBorders>
                  <w:noWrap w:val="0"/>
                  <w:vAlign w:val="center"/>
                </w:tcPr>
                <w:p w14:paraId="7FEA2C23">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空间布局约束</w:t>
                  </w:r>
                </w:p>
              </w:tc>
              <w:tc>
                <w:tcPr>
                  <w:tcW w:w="1658" w:type="pct"/>
                  <w:tcBorders>
                    <w:tl2br w:val="nil"/>
                    <w:tr2bl w:val="nil"/>
                  </w:tcBorders>
                  <w:noWrap w:val="0"/>
                  <w:vAlign w:val="center"/>
                </w:tcPr>
                <w:p w14:paraId="547C57AD">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1、严格控制缺水地区、水污染严重区域和敏感区域高耗水、高污染行业发展。</w:t>
                  </w:r>
                </w:p>
              </w:tc>
              <w:tc>
                <w:tcPr>
                  <w:tcW w:w="1115" w:type="pct"/>
                  <w:tcBorders>
                    <w:tl2br w:val="nil"/>
                    <w:tr2bl w:val="nil"/>
                  </w:tcBorders>
                  <w:noWrap w:val="0"/>
                  <w:vAlign w:val="center"/>
                </w:tcPr>
                <w:p w14:paraId="735D0803">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本项目不属于高耗水、高污染行业。</w:t>
                  </w:r>
                </w:p>
              </w:tc>
              <w:tc>
                <w:tcPr>
                  <w:tcW w:w="406" w:type="pct"/>
                  <w:tcBorders>
                    <w:tl2br w:val="nil"/>
                    <w:tr2bl w:val="nil"/>
                  </w:tcBorders>
                  <w:noWrap w:val="0"/>
                  <w:vAlign w:val="center"/>
                </w:tcPr>
                <w:p w14:paraId="4821AF8F">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260490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258" w:type="pct"/>
                  <w:vMerge w:val="continue"/>
                  <w:tcBorders>
                    <w:tl2br w:val="nil"/>
                    <w:tr2bl w:val="nil"/>
                  </w:tcBorders>
                  <w:noWrap w:val="0"/>
                  <w:vAlign w:val="center"/>
                </w:tcPr>
                <w:p w14:paraId="533F0246">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p>
              </w:tc>
              <w:tc>
                <w:tcPr>
                  <w:tcW w:w="560" w:type="pct"/>
                  <w:tcBorders>
                    <w:tl2br w:val="nil"/>
                    <w:tr2bl w:val="nil"/>
                  </w:tcBorders>
                  <w:noWrap w:val="0"/>
                  <w:vAlign w:val="center"/>
                </w:tcPr>
                <w:p w14:paraId="0D446799">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污染物排放管控</w:t>
                  </w:r>
                </w:p>
              </w:tc>
              <w:tc>
                <w:tcPr>
                  <w:tcW w:w="1658" w:type="pct"/>
                  <w:tcBorders>
                    <w:tl2br w:val="nil"/>
                    <w:tr2bl w:val="nil"/>
                  </w:tcBorders>
                  <w:noWrap w:val="0"/>
                  <w:vAlign w:val="center"/>
                </w:tcPr>
                <w:p w14:paraId="6CC305BE">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115" w:type="pct"/>
                  <w:tcBorders>
                    <w:tl2br w:val="nil"/>
                    <w:tr2bl w:val="nil"/>
                  </w:tcBorders>
                  <w:noWrap w:val="0"/>
                  <w:vAlign w:val="center"/>
                </w:tcPr>
                <w:p w14:paraId="6D8C5267">
                  <w:pPr>
                    <w:pStyle w:val="15"/>
                    <w:keepNext w:val="0"/>
                    <w:keepLines w:val="0"/>
                    <w:pageBreakBefore w:val="0"/>
                    <w:wordWrap/>
                    <w:overflowPunct/>
                    <w:topLinePunct w:val="0"/>
                    <w:bidi w:val="0"/>
                    <w:spacing w:before="0" w:after="0" w:line="240" w:lineRule="auto"/>
                    <w:ind w:left="42" w:leftChars="20" w:right="113"/>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本项目施工期施工废水经过处理后回用不外排，生活污水由市政部门统一回收处置；运营期不产生废水。</w:t>
                  </w:r>
                </w:p>
              </w:tc>
              <w:tc>
                <w:tcPr>
                  <w:tcW w:w="406" w:type="pct"/>
                  <w:tcBorders>
                    <w:tl2br w:val="nil"/>
                    <w:tr2bl w:val="nil"/>
                  </w:tcBorders>
                  <w:noWrap w:val="0"/>
                  <w:vAlign w:val="center"/>
                </w:tcPr>
                <w:p w14:paraId="66211DBA">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375341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vMerge w:val="continue"/>
                  <w:tcBorders>
                    <w:tl2br w:val="nil"/>
                    <w:tr2bl w:val="nil"/>
                  </w:tcBorders>
                  <w:noWrap w:val="0"/>
                  <w:vAlign w:val="center"/>
                </w:tcPr>
                <w:p w14:paraId="12F8EEE6">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p>
              </w:tc>
              <w:tc>
                <w:tcPr>
                  <w:tcW w:w="560" w:type="pct"/>
                  <w:tcBorders>
                    <w:tl2br w:val="nil"/>
                    <w:tr2bl w:val="nil"/>
                  </w:tcBorders>
                  <w:noWrap w:val="0"/>
                  <w:vAlign w:val="center"/>
                </w:tcPr>
                <w:p w14:paraId="6C57E6C9">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环境风险防控</w:t>
                  </w:r>
                </w:p>
              </w:tc>
              <w:tc>
                <w:tcPr>
                  <w:tcW w:w="1658" w:type="pct"/>
                  <w:tcBorders>
                    <w:tl2br w:val="nil"/>
                    <w:tr2bl w:val="nil"/>
                  </w:tcBorders>
                  <w:noWrap w:val="0"/>
                  <w:vAlign w:val="center"/>
                </w:tcPr>
                <w:p w14:paraId="372A6D6C">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1、强化重点区域地下水环境风险管控。对化学品生产企业、工业集聚区、尾矿库、矿山开采区、危险废物处置场、垃圾填埋场等地下水污染源及周边区域，逐步开展地下水环境状况调查评估，加强风险管控。</w:t>
                  </w:r>
                </w:p>
              </w:tc>
              <w:tc>
                <w:tcPr>
                  <w:tcW w:w="1115" w:type="pct"/>
                  <w:tcBorders>
                    <w:tl2br w:val="nil"/>
                    <w:tr2bl w:val="nil"/>
                  </w:tcBorders>
                  <w:noWrap w:val="0"/>
                  <w:vAlign w:val="center"/>
                </w:tcPr>
                <w:p w14:paraId="6E57C972">
                  <w:pPr>
                    <w:pStyle w:val="15"/>
                    <w:keepNext w:val="0"/>
                    <w:keepLines w:val="0"/>
                    <w:pageBreakBefore w:val="0"/>
                    <w:wordWrap/>
                    <w:overflowPunct/>
                    <w:topLinePunct w:val="0"/>
                    <w:bidi w:val="0"/>
                    <w:spacing w:before="0" w:after="0" w:line="240" w:lineRule="auto"/>
                    <w:ind w:left="42" w:leftChars="20" w:right="113"/>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本项目建设不会对地下水产生不利影响。</w:t>
                  </w:r>
                </w:p>
              </w:tc>
              <w:tc>
                <w:tcPr>
                  <w:tcW w:w="406" w:type="pct"/>
                  <w:tcBorders>
                    <w:tl2br w:val="nil"/>
                    <w:tr2bl w:val="nil"/>
                  </w:tcBorders>
                  <w:noWrap w:val="0"/>
                  <w:vAlign w:val="center"/>
                </w:tcPr>
                <w:p w14:paraId="3131DB48">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078160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vMerge w:val="continue"/>
                  <w:tcBorders>
                    <w:tl2br w:val="nil"/>
                    <w:tr2bl w:val="nil"/>
                  </w:tcBorders>
                  <w:noWrap w:val="0"/>
                  <w:vAlign w:val="center"/>
                </w:tcPr>
                <w:p w14:paraId="07A4EC55">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p>
              </w:tc>
              <w:tc>
                <w:tcPr>
                  <w:tcW w:w="560" w:type="pct"/>
                  <w:tcBorders>
                    <w:tl2br w:val="nil"/>
                    <w:tr2bl w:val="nil"/>
                  </w:tcBorders>
                  <w:noWrap w:val="0"/>
                  <w:vAlign w:val="center"/>
                </w:tcPr>
                <w:p w14:paraId="7208D071">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资源利用效率</w:t>
                  </w:r>
                </w:p>
              </w:tc>
              <w:tc>
                <w:tcPr>
                  <w:tcW w:w="1658" w:type="pct"/>
                  <w:tcBorders>
                    <w:tl2br w:val="nil"/>
                    <w:tr2bl w:val="nil"/>
                  </w:tcBorders>
                  <w:noWrap w:val="0"/>
                  <w:vAlign w:val="center"/>
                </w:tcPr>
                <w:p w14:paraId="30B14ADB">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县级以上人民政府水行政主管部门应当合理配置地表水、地下水，从严控制地下水取水总量。2、严守水资源开发利用控制、用水效率控制和水功能区限制纳污“三条红线”，严格实行区域用水总量和强度控制，强化用水定额管理。推进地下水超采综合治理。</w:t>
                  </w:r>
                </w:p>
              </w:tc>
              <w:tc>
                <w:tcPr>
                  <w:tcW w:w="1115" w:type="pct"/>
                  <w:tcBorders>
                    <w:tl2br w:val="nil"/>
                    <w:tr2bl w:val="nil"/>
                  </w:tcBorders>
                  <w:noWrap w:val="0"/>
                  <w:vAlign w:val="center"/>
                </w:tcPr>
                <w:p w14:paraId="7B955F25">
                  <w:pPr>
                    <w:pStyle w:val="15"/>
                    <w:keepNext w:val="0"/>
                    <w:keepLines w:val="0"/>
                    <w:pageBreakBefore w:val="0"/>
                    <w:wordWrap/>
                    <w:overflowPunct/>
                    <w:topLinePunct w:val="0"/>
                    <w:bidi w:val="0"/>
                    <w:spacing w:before="0" w:after="0" w:line="240" w:lineRule="auto"/>
                    <w:ind w:left="42" w:leftChars="20" w:right="113" w:rightChars="0"/>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本项目主要对老旧渠道改建、配套建设渠系建筑，有利于水资源开发利用，不会对地表水、地下水资源配置产生不利影响。</w:t>
                  </w:r>
                </w:p>
              </w:tc>
              <w:tc>
                <w:tcPr>
                  <w:tcW w:w="406" w:type="pct"/>
                  <w:tcBorders>
                    <w:tl2br w:val="nil"/>
                    <w:tr2bl w:val="nil"/>
                  </w:tcBorders>
                  <w:noWrap w:val="0"/>
                  <w:vAlign w:val="center"/>
                </w:tcPr>
                <w:p w14:paraId="4A6E0AD8">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67535C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vMerge w:val="restart"/>
                  <w:tcBorders>
                    <w:tl2br w:val="nil"/>
                    <w:tr2bl w:val="nil"/>
                  </w:tcBorders>
                  <w:noWrap w:val="0"/>
                  <w:vAlign w:val="center"/>
                </w:tcPr>
                <w:p w14:paraId="0DC03BEA">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一般管控单元单元编码：ZH65232530001</w:t>
                  </w:r>
                </w:p>
              </w:tc>
              <w:tc>
                <w:tcPr>
                  <w:tcW w:w="804" w:type="dxa"/>
                  <w:tcBorders>
                    <w:tl2br w:val="nil"/>
                    <w:tr2bl w:val="nil"/>
                  </w:tcBorders>
                  <w:noWrap w:val="0"/>
                  <w:vAlign w:val="center"/>
                </w:tcPr>
                <w:p w14:paraId="156C483C">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空间布局约束</w:t>
                  </w:r>
                </w:p>
              </w:tc>
              <w:tc>
                <w:tcPr>
                  <w:tcW w:w="1658" w:type="pct"/>
                  <w:tcBorders>
                    <w:tl2br w:val="nil"/>
                    <w:tr2bl w:val="nil"/>
                  </w:tcBorders>
                  <w:noWrap w:val="0"/>
                  <w:vAlign w:val="center"/>
                </w:tcPr>
                <w:p w14:paraId="4B541A58">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1、建立集镇居住商业区、耕地保护区与工业功能区等集聚区块之间的防护带。严格执行畜禽养殖禁养区规定，根据区域用地和消纳水平，合理确定养殖规模。加强基本农田保护，严格限制非农项目占用耕地。</w:t>
                  </w:r>
                </w:p>
              </w:tc>
              <w:tc>
                <w:tcPr>
                  <w:tcW w:w="1115" w:type="pct"/>
                  <w:tcBorders>
                    <w:tl2br w:val="nil"/>
                    <w:tr2bl w:val="nil"/>
                  </w:tcBorders>
                  <w:noWrap w:val="0"/>
                  <w:vAlign w:val="center"/>
                </w:tcPr>
                <w:p w14:paraId="3CF76C22">
                  <w:pPr>
                    <w:pStyle w:val="15"/>
                    <w:keepNext w:val="0"/>
                    <w:keepLines w:val="0"/>
                    <w:pageBreakBefore w:val="0"/>
                    <w:wordWrap/>
                    <w:overflowPunct/>
                    <w:topLinePunct w:val="0"/>
                    <w:bidi w:val="0"/>
                    <w:spacing w:before="0" w:after="0" w:line="240" w:lineRule="auto"/>
                    <w:ind w:left="42" w:leftChars="20" w:right="113" w:rightChars="0"/>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本项目为灌区工程（不含水源工程），项目建设永久占地未占用耕地。</w:t>
                  </w:r>
                </w:p>
              </w:tc>
              <w:tc>
                <w:tcPr>
                  <w:tcW w:w="406" w:type="pct"/>
                  <w:tcBorders>
                    <w:tl2br w:val="nil"/>
                    <w:tr2bl w:val="nil"/>
                  </w:tcBorders>
                  <w:noWrap w:val="0"/>
                  <w:vAlign w:val="center"/>
                </w:tcPr>
                <w:p w14:paraId="0B7B3FB6">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4D8E72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vMerge w:val="continue"/>
                  <w:tcBorders>
                    <w:tl2br w:val="nil"/>
                    <w:tr2bl w:val="nil"/>
                  </w:tcBorders>
                  <w:noWrap w:val="0"/>
                  <w:vAlign w:val="center"/>
                </w:tcPr>
                <w:p w14:paraId="3A897785">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p>
              </w:tc>
              <w:tc>
                <w:tcPr>
                  <w:tcW w:w="804" w:type="dxa"/>
                  <w:tcBorders>
                    <w:tl2br w:val="nil"/>
                    <w:tr2bl w:val="nil"/>
                  </w:tcBorders>
                  <w:noWrap w:val="0"/>
                  <w:vAlign w:val="center"/>
                </w:tcPr>
                <w:p w14:paraId="147B9EC7">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污染物排放管控</w:t>
                  </w:r>
                </w:p>
              </w:tc>
              <w:tc>
                <w:tcPr>
                  <w:tcW w:w="1658" w:type="pct"/>
                  <w:tcBorders>
                    <w:tl2br w:val="nil"/>
                    <w:tr2bl w:val="nil"/>
                  </w:tcBorders>
                  <w:noWrap w:val="0"/>
                  <w:vAlign w:val="center"/>
                </w:tcPr>
                <w:p w14:paraId="325926CC">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1、加强农业面源污染治理，科学合理使用化肥农药，逐步削减农业面源污染物排放量。</w:t>
                  </w:r>
                </w:p>
                <w:p w14:paraId="40A15588">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2、到2025年，主要污染物排放总量持续下降，单位地区生产总值二氧化碳排放完成国家下达指标。</w:t>
                  </w:r>
                </w:p>
                <w:p w14:paraId="29329A82">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3、城镇生活污水处理率达到97%以上、城镇生活垃圾无害化处理率保持在98%以上，农村生活污水治理率达到30%左右，土壤污染风险得到有效管控，固体废物和新污染物治理能力明显增强。</w:t>
                  </w:r>
                </w:p>
                <w:p w14:paraId="4773BA7A">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4、施工工地全面落实“六个百分之百”（施工工地周边围挡、物料堆放覆盖、出入车辆冲洗、施工现场地面硬化、拆迁工地湿法作业、渣土车辆密闭运输）。</w:t>
                  </w:r>
                </w:p>
              </w:tc>
              <w:tc>
                <w:tcPr>
                  <w:tcW w:w="1115" w:type="pct"/>
                  <w:tcBorders>
                    <w:tl2br w:val="nil"/>
                    <w:tr2bl w:val="nil"/>
                  </w:tcBorders>
                  <w:noWrap w:val="0"/>
                  <w:vAlign w:val="center"/>
                </w:tcPr>
                <w:p w14:paraId="5C66A452">
                  <w:pPr>
                    <w:pStyle w:val="15"/>
                    <w:keepNext w:val="0"/>
                    <w:keepLines w:val="0"/>
                    <w:pageBreakBefore w:val="0"/>
                    <w:wordWrap/>
                    <w:overflowPunct/>
                    <w:topLinePunct w:val="0"/>
                    <w:bidi w:val="0"/>
                    <w:spacing w:before="0" w:after="0" w:line="240" w:lineRule="auto"/>
                    <w:ind w:left="42" w:leftChars="20" w:right="113" w:rightChars="0"/>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不产生农业面源污染；本项目为灌区工程（不含水源工程的）运营期不产生污染物；本项目施工期施工废水经过处理后回用不外排，生活污水由市政部门统一回收处置；运营期不产生废水；施工时全面落实“六个百分之百”。</w:t>
                  </w:r>
                </w:p>
              </w:tc>
              <w:tc>
                <w:tcPr>
                  <w:tcW w:w="406" w:type="pct"/>
                  <w:tcBorders>
                    <w:tl2br w:val="nil"/>
                    <w:tr2bl w:val="nil"/>
                  </w:tcBorders>
                  <w:noWrap w:val="0"/>
                  <w:vAlign w:val="center"/>
                </w:tcPr>
                <w:p w14:paraId="3060D412">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7F5780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vMerge w:val="continue"/>
                  <w:tcBorders>
                    <w:tl2br w:val="nil"/>
                    <w:tr2bl w:val="nil"/>
                  </w:tcBorders>
                  <w:noWrap w:val="0"/>
                  <w:vAlign w:val="center"/>
                </w:tcPr>
                <w:p w14:paraId="2749D6EE">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p>
              </w:tc>
              <w:tc>
                <w:tcPr>
                  <w:tcW w:w="804" w:type="dxa"/>
                  <w:tcBorders>
                    <w:tl2br w:val="nil"/>
                    <w:tr2bl w:val="nil"/>
                  </w:tcBorders>
                  <w:noWrap w:val="0"/>
                  <w:vAlign w:val="center"/>
                </w:tcPr>
                <w:p w14:paraId="48D6EF1B">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环境风险防控</w:t>
                  </w:r>
                </w:p>
              </w:tc>
              <w:tc>
                <w:tcPr>
                  <w:tcW w:w="1658" w:type="pct"/>
                  <w:tcBorders>
                    <w:tl2br w:val="nil"/>
                    <w:tr2bl w:val="nil"/>
                  </w:tcBorders>
                  <w:noWrap w:val="0"/>
                  <w:vAlign w:val="center"/>
                </w:tcPr>
                <w:p w14:paraId="59D04D16">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加强生态公益林保护与建设，防止水土流失。禁止向农用地排放重金属或者其他有毒有害物质含量超标的污水、污泥，以及可能造成土壤污染的尾矿、矿渣等。加强农田土壤、灌溉水的监测及评价，对周边或区域环境风险源进行评估。</w:t>
                  </w:r>
                </w:p>
                <w:p w14:paraId="190B5CA3">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2、统筹农村河湖管控与生态治理保护，深入开展河湖监督检查，强化河长湖长履职尽责，严厉打击河道乱占、乱采、乱堆、乱建等违法违规行为。建立健全促进水质改善的长效运行维护机制。</w:t>
                  </w:r>
                </w:p>
              </w:tc>
              <w:tc>
                <w:tcPr>
                  <w:tcW w:w="1115" w:type="pct"/>
                  <w:tcBorders>
                    <w:tl2br w:val="nil"/>
                    <w:tr2bl w:val="nil"/>
                  </w:tcBorders>
                  <w:noWrap w:val="0"/>
                  <w:vAlign w:val="center"/>
                </w:tcPr>
                <w:p w14:paraId="16BD516B">
                  <w:pPr>
                    <w:pStyle w:val="15"/>
                    <w:keepNext w:val="0"/>
                    <w:keepLines w:val="0"/>
                    <w:pageBreakBefore w:val="0"/>
                    <w:wordWrap/>
                    <w:overflowPunct/>
                    <w:topLinePunct w:val="0"/>
                    <w:bidi w:val="0"/>
                    <w:spacing w:before="0" w:after="0" w:line="240" w:lineRule="auto"/>
                    <w:ind w:left="42" w:leftChars="20" w:right="113" w:rightChars="0"/>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本项目不会向农用地排放重金属或者其他有毒有害物质含量超标的污水、污泥等；项目建设严格按照规划用地。</w:t>
                  </w:r>
                </w:p>
              </w:tc>
              <w:tc>
                <w:tcPr>
                  <w:tcW w:w="406" w:type="pct"/>
                  <w:tcBorders>
                    <w:tl2br w:val="nil"/>
                    <w:tr2bl w:val="nil"/>
                  </w:tcBorders>
                  <w:noWrap w:val="0"/>
                  <w:vAlign w:val="center"/>
                </w:tcPr>
                <w:p w14:paraId="26ED1BF3">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r w14:paraId="222E6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8" w:type="pct"/>
                  <w:vMerge w:val="continue"/>
                  <w:tcBorders>
                    <w:tl2br w:val="nil"/>
                    <w:tr2bl w:val="nil"/>
                  </w:tcBorders>
                  <w:noWrap w:val="0"/>
                  <w:vAlign w:val="center"/>
                </w:tcPr>
                <w:p w14:paraId="67E3B9ED">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p>
              </w:tc>
              <w:tc>
                <w:tcPr>
                  <w:tcW w:w="804" w:type="dxa"/>
                  <w:tcBorders>
                    <w:tl2br w:val="nil"/>
                    <w:tr2bl w:val="nil"/>
                  </w:tcBorders>
                  <w:noWrap w:val="0"/>
                  <w:vAlign w:val="center"/>
                </w:tcPr>
                <w:p w14:paraId="01165827">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rightChars="0"/>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资源利用效率</w:t>
                  </w:r>
                </w:p>
              </w:tc>
              <w:tc>
                <w:tcPr>
                  <w:tcW w:w="1658" w:type="pct"/>
                  <w:tcBorders>
                    <w:tl2br w:val="nil"/>
                    <w:tr2bl w:val="nil"/>
                  </w:tcBorders>
                  <w:noWrap w:val="0"/>
                  <w:vAlign w:val="center"/>
                </w:tcPr>
                <w:p w14:paraId="46661677">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1、实行水资源消耗总量和强度双控，推进农业节水，提高农业用水效率。优化能源结构，加强能源清洁利用。</w:t>
                  </w:r>
                </w:p>
                <w:p w14:paraId="53903FE2">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2、实施节水行动，强化农业节水增效、工业节水减排、城镇节水降损。推进污水资源化利用，到2025年全区城镇生活污水再生利用率力争达到60%。</w:t>
                  </w:r>
                </w:p>
                <w:p w14:paraId="0DCAD0D0">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3、壮大清洁能源产业，加快非化石能源发展，实施绿电替代，优化用能结构，到2025年非化石能源消费比重提高到18%左右。推进大型清洁能源基地建设，积极开发分布式太阳能发电和分散式风电。积极推动储能产业进步，推进抽水蓄能电站建设，加快新型储能技术和模式示范推广应用。持续完善750千伏骨干电网及农村电网建设，积极发展可再生能源微电网、局域网，提高可再生能源的推广和消纳能力。</w:t>
                  </w:r>
                </w:p>
                <w:p w14:paraId="12CF4381">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4、严格保护优先保护类农用地，确保其面积不减少、土壤环境质量不下降。加强耕地污染源源头控制，推进耕地周边涉镉等重金属行业企业排查整治。鼓励采取种植结构调整等措施，确保受污染耕地全部实现安全利用。动态调整耕地土壤环境质量类别。</w:t>
                  </w:r>
                </w:p>
              </w:tc>
              <w:tc>
                <w:tcPr>
                  <w:tcW w:w="1115" w:type="pct"/>
                  <w:tcBorders>
                    <w:tl2br w:val="nil"/>
                    <w:tr2bl w:val="nil"/>
                  </w:tcBorders>
                  <w:noWrap w:val="0"/>
                  <w:vAlign w:val="center"/>
                </w:tcPr>
                <w:p w14:paraId="01417FC3">
                  <w:pPr>
                    <w:pStyle w:val="15"/>
                    <w:keepNext w:val="0"/>
                    <w:keepLines w:val="0"/>
                    <w:pageBreakBefore w:val="0"/>
                    <w:wordWrap/>
                    <w:overflowPunct/>
                    <w:topLinePunct w:val="0"/>
                    <w:bidi w:val="0"/>
                    <w:spacing w:before="0" w:after="0" w:line="240" w:lineRule="auto"/>
                    <w:ind w:left="42" w:leftChars="20" w:right="113" w:rightChars="0"/>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本项目主要对老旧渠道进行改建，配套建设渠系建筑，有利于水资源开发利用，不会对地表水、地下水资源配置产生不利影响，项目永久占地不占用耕地。</w:t>
                  </w:r>
                </w:p>
              </w:tc>
              <w:tc>
                <w:tcPr>
                  <w:tcW w:w="406" w:type="pct"/>
                  <w:tcBorders>
                    <w:tl2br w:val="nil"/>
                    <w:tr2bl w:val="nil"/>
                  </w:tcBorders>
                  <w:noWrap w:val="0"/>
                  <w:vAlign w:val="center"/>
                </w:tcPr>
                <w:p w14:paraId="22D4C2A0">
                  <w:pPr>
                    <w:pStyle w:val="17"/>
                    <w:keepNext w:val="0"/>
                    <w:keepLines w:val="0"/>
                    <w:pageBreakBefore w:val="0"/>
                    <w:widowControl w:val="0"/>
                    <w:kinsoku/>
                    <w:wordWrap/>
                    <w:overflowPunct/>
                    <w:topLinePunct w:val="0"/>
                    <w:autoSpaceDE/>
                    <w:autoSpaceDN/>
                    <w:bidi w:val="0"/>
                    <w:adjustRightInd/>
                    <w:snapToGrid/>
                    <w:spacing w:after="0" w:line="240" w:lineRule="auto"/>
                    <w:ind w:left="42" w:leftChars="20" w:right="113"/>
                    <w:jc w:val="center"/>
                    <w:textAlignment w:val="auto"/>
                    <w:rPr>
                      <w:rFonts w:hint="default" w:ascii="Times New Roman" w:hAnsi="Times New Roman" w:eastAsia="宋体" w:cs="Times New Roman"/>
                      <w:color w:val="auto"/>
                      <w:kern w:val="21"/>
                      <w:sz w:val="21"/>
                      <w:szCs w:val="21"/>
                      <w:highlight w:val="none"/>
                      <w:vertAlign w:val="baseline"/>
                      <w:lang w:val="en-US" w:eastAsia="zh-CN"/>
                    </w:rPr>
                  </w:pPr>
                  <w:r>
                    <w:rPr>
                      <w:rFonts w:hint="default" w:ascii="Times New Roman" w:hAnsi="Times New Roman" w:eastAsia="宋体" w:cs="Times New Roman"/>
                      <w:color w:val="auto"/>
                      <w:kern w:val="21"/>
                      <w:sz w:val="21"/>
                      <w:szCs w:val="21"/>
                      <w:highlight w:val="none"/>
                      <w:vertAlign w:val="baseline"/>
                      <w:lang w:val="en-US" w:eastAsia="zh-CN"/>
                    </w:rPr>
                    <w:t>符合</w:t>
                  </w:r>
                </w:p>
              </w:tc>
            </w:tr>
          </w:tbl>
          <w:p w14:paraId="0D82B1B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0" w:leftChars="0" w:right="0" w:rightChars="0" w:firstLine="0" w:firstLineChars="0"/>
              <w:jc w:val="both"/>
              <w:textAlignment w:val="auto"/>
              <w:rPr>
                <w:rFonts w:hint="eastAsia" w:ascii="Times New Roman" w:hAnsi="Times New Roman" w:eastAsia="宋体" w:cs="Times New Roman"/>
                <w:b/>
                <w:bCs/>
                <w:color w:val="auto"/>
                <w:kern w:val="0"/>
                <w:sz w:val="24"/>
                <w:szCs w:val="24"/>
                <w:highlight w:val="none"/>
                <w:lang w:val="en-US" w:eastAsia="zh-CN" w:bidi="ar-SA"/>
              </w:rPr>
            </w:pPr>
            <w:r>
              <w:rPr>
                <w:rFonts w:hint="eastAsia" w:ascii="Times New Roman" w:hAnsi="Times New Roman" w:eastAsia="宋体" w:cs="Times New Roman"/>
                <w:b/>
                <w:bCs/>
                <w:color w:val="auto"/>
                <w:kern w:val="0"/>
                <w:sz w:val="24"/>
                <w:szCs w:val="24"/>
                <w:highlight w:val="none"/>
                <w:lang w:val="en-US" w:eastAsia="zh-CN" w:bidi="ar-SA"/>
              </w:rPr>
              <w:drawing>
                <wp:inline distT="0" distB="0" distL="114300" distR="114300">
                  <wp:extent cx="4547235" cy="3173730"/>
                  <wp:effectExtent l="0" t="0" r="5715" b="7620"/>
                  <wp:docPr id="4" name="图片 4" descr="bec0642178e4b7e445d0dc78d9c45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ec0642178e4b7e445d0dc78d9c45e47"/>
                          <pic:cNvPicPr>
                            <a:picLocks noChangeAspect="1"/>
                          </pic:cNvPicPr>
                        </pic:nvPicPr>
                        <pic:blipFill>
                          <a:blip r:embed="rId15"/>
                          <a:stretch>
                            <a:fillRect/>
                          </a:stretch>
                        </pic:blipFill>
                        <pic:spPr>
                          <a:xfrm>
                            <a:off x="0" y="0"/>
                            <a:ext cx="4547235" cy="3173730"/>
                          </a:xfrm>
                          <a:prstGeom prst="rect">
                            <a:avLst/>
                          </a:prstGeom>
                        </pic:spPr>
                      </pic:pic>
                    </a:graphicData>
                  </a:graphic>
                </wp:inline>
              </w:drawing>
            </w:r>
          </w:p>
          <w:p w14:paraId="2762936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42" w:leftChars="20" w:right="42" w:rightChars="20" w:firstLine="482" w:firstLineChars="200"/>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bidi="ar-SA"/>
              </w:rPr>
              <w:t>图1-1项目在</w:t>
            </w:r>
            <w:r>
              <w:rPr>
                <w:rFonts w:hint="eastAsia" w:cs="Times New Roman"/>
                <w:b/>
                <w:bCs/>
                <w:color w:val="auto"/>
                <w:kern w:val="0"/>
                <w:sz w:val="24"/>
                <w:szCs w:val="24"/>
                <w:highlight w:val="none"/>
                <w:lang w:val="en-US" w:eastAsia="zh-CN" w:bidi="ar-SA"/>
              </w:rPr>
              <w:t>新疆维吾</w:t>
            </w:r>
            <w:r>
              <w:rPr>
                <w:rFonts w:hint="eastAsia" w:ascii="Times New Roman" w:hAnsi="Times New Roman" w:eastAsia="宋体" w:cs="Times New Roman"/>
                <w:b/>
                <w:bCs/>
                <w:color w:val="auto"/>
                <w:kern w:val="0"/>
                <w:sz w:val="24"/>
                <w:szCs w:val="24"/>
                <w:highlight w:val="none"/>
                <w:lang w:val="en-US" w:eastAsia="zh-CN" w:bidi="ar-SA"/>
              </w:rPr>
              <w:t>尔自治区“三线一单”信息应用平台查询结果</w:t>
            </w:r>
          </w:p>
          <w:p w14:paraId="200FD23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综上分析，项目的建设符合“三线一单”的要求。</w:t>
            </w:r>
          </w:p>
          <w:p w14:paraId="1BE5D13E">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与《新疆生态环境保护“十四五”规划》的符合性分析</w:t>
            </w:r>
          </w:p>
          <w:p w14:paraId="32A13916">
            <w:pPr>
              <w:pStyle w:val="63"/>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新疆生态环境保护“十四五”规划》深入贯彻落实习近平生态文明思想，坚持绿水青山就是金山银山的理念，把碳达峰、碳中和纳入生态文明建设整体布局，坚定走生态优先、绿色发展之路，健全生态环境保护机制，加强生态环境保护建设，统筹综合治理、系统治理、源头治理，推进山水林田湖草沙一体化保护和修复，坚决遏制“两高”项目盲目发展，坚决守住生态保护红线，加快推进生态环境治理体系和治理能力现代化，建立健全绿色低碳循环发展经济体系，推动减污降碳协同增效、促进经济社会发展全面绿色转型，让大美新疆天更蓝、山更绿、水更清。</w:t>
            </w:r>
          </w:p>
          <w:p w14:paraId="374E32BE">
            <w:pPr>
              <w:pStyle w:val="63"/>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本项目</w:t>
            </w:r>
            <w:r>
              <w:rPr>
                <w:rFonts w:hint="default" w:ascii="Times New Roman" w:hAnsi="Times New Roman" w:eastAsia="宋体" w:cs="Times New Roman"/>
                <w:color w:val="auto"/>
                <w:lang w:eastAsia="zh-CN"/>
              </w:rPr>
              <w:t>属于</w:t>
            </w:r>
            <w:r>
              <w:rPr>
                <w:rFonts w:hint="default" w:ascii="Times New Roman" w:hAnsi="Times New Roman" w:eastAsia="宋体" w:cs="Times New Roman"/>
                <w:color w:val="auto"/>
                <w:lang w:val="en-US" w:eastAsia="zh-CN"/>
              </w:rPr>
              <w:t>产业指导目录中</w:t>
            </w:r>
            <w:r>
              <w:rPr>
                <w:rFonts w:hint="default" w:ascii="Times New Roman" w:hAnsi="Times New Roman" w:eastAsia="宋体" w:cs="Times New Roman"/>
                <w:color w:val="auto"/>
              </w:rPr>
              <w:t>五十一、水利</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125、灌区工程（不含水源工程），项目建成后不产生废水、废气、固废等污染物，不属于高能耗、高污染的项目。项目建成运行后可减少沿渠水土流失，减少淤积灾害，有利于提高灌区的引水条件，提高输水效率；有效提高过水能力和抗冲能力，保障沿渠农田、道路和公共设施的安全运行；有效控制地下水位及土壤盐碱化程度。因此本项目符合《新疆生态环境保护“十四五”规划》要求。</w:t>
            </w:r>
          </w:p>
          <w:p w14:paraId="3D1D5581">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与《昌吉回族自治州生态环境保护与建设“十四五”规划》符合性分析</w:t>
            </w:r>
          </w:p>
          <w:p w14:paraId="10F36917">
            <w:pPr>
              <w:pStyle w:val="63"/>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根据《昌吉回族自治州生态环境保护与建设“十四五”规划》要求，在全面建成小康社会的基础上，综合考虑昌吉回族自治州生态环境保护现阶段的特点和“十四五”期间经济社会发展趋势，“十四五”期间生态环境保护目标设定为：“十四五”时期，昌吉州生态环境质量得到持续改善。全州PM</w:t>
            </w:r>
            <w:r>
              <w:rPr>
                <w:rFonts w:hint="default" w:ascii="Times New Roman" w:hAnsi="Times New Roman" w:eastAsia="宋体" w:cs="Times New Roman"/>
                <w:color w:val="auto"/>
                <w:vertAlign w:val="subscript"/>
              </w:rPr>
              <w:t>2.5</w:t>
            </w:r>
            <w:r>
              <w:rPr>
                <w:rFonts w:hint="default" w:ascii="Times New Roman" w:hAnsi="Times New Roman" w:eastAsia="宋体" w:cs="Times New Roman"/>
                <w:color w:val="auto"/>
              </w:rPr>
              <w:t>、PM</w:t>
            </w:r>
            <w:r>
              <w:rPr>
                <w:rFonts w:hint="default" w:ascii="Times New Roman" w:hAnsi="Times New Roman" w:eastAsia="宋体" w:cs="Times New Roman"/>
                <w:color w:val="auto"/>
                <w:vertAlign w:val="subscript"/>
              </w:rPr>
              <w:t>10</w:t>
            </w:r>
            <w:r>
              <w:rPr>
                <w:rFonts w:hint="default" w:ascii="Times New Roman" w:hAnsi="Times New Roman" w:eastAsia="宋体" w:cs="Times New Roman"/>
                <w:color w:val="auto"/>
              </w:rPr>
              <w:t>浓度持续下降，空气质量稳步提升，严重污染天气持续减少；水环境质量持续改善，水生态建设得到加强；土壤安全利用水平稳中求进；固体废物与化学品环境风险防控能力明显增强，环境风险有效控制；主要污染物排放总量持续减少，有效控制温室气体排放；生态系统质量和稳定性进一步提升，社会经济发展与生态环境保护进一步融合，生态环境治理体系与治理能力现代化迈出重大步伐，治理效能得到新提升，生态文明建设实现新进步，蓝天白云、清水绿岸、良田沃土成为美丽昌吉的鲜明特征，人民群众生态环境获得感、幸福感和安全感进一步提升。坚持“以水定城、以水定地、以水定人、以水定产”的发展思路，强化水资源承载能力刚性约束，大力推进农业、工业、城镇等领域节水。严守水资源管理“三条红线”，严格实行区域用水总量和强度控制，健全州、县（市）、乡（镇）三级行政区用水总量和用水强度控制指标体系，规范农业灌溉用水定额管理，严格执行国家、自治区和行业用水定额标准，强化节水约束性指标管理。建立差异化的水资源政策导向。</w:t>
            </w:r>
          </w:p>
          <w:p w14:paraId="6CF6A92A">
            <w:pPr>
              <w:pStyle w:val="63"/>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本项目</w:t>
            </w:r>
            <w:r>
              <w:rPr>
                <w:rFonts w:hint="eastAsia" w:cs="Times New Roman"/>
                <w:color w:val="auto"/>
                <w:lang w:eastAsia="zh-CN"/>
              </w:rPr>
              <w:t>属于</w:t>
            </w:r>
            <w:r>
              <w:rPr>
                <w:rFonts w:hint="default" w:ascii="Times New Roman" w:hAnsi="Times New Roman" w:eastAsia="宋体" w:cs="Times New Roman"/>
                <w:color w:val="auto"/>
                <w:lang w:val="en-US" w:eastAsia="zh-CN"/>
              </w:rPr>
              <w:t>产业指导目录中</w:t>
            </w:r>
            <w:r>
              <w:rPr>
                <w:rFonts w:hint="default" w:ascii="Times New Roman" w:hAnsi="Times New Roman" w:eastAsia="宋体" w:cs="Times New Roman"/>
                <w:color w:val="auto"/>
              </w:rPr>
              <w:t>五十一、水利</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125、灌区工程（不含水源工程），项目建成后不产生废水、废气、固废等污染物，不属于高能耗、高污染的项目。项目建成运行后</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可减少沿渠水土流失，减少淤积灾害，有利于</w:t>
            </w:r>
            <w:r>
              <w:rPr>
                <w:rFonts w:hint="default" w:ascii="Times New Roman" w:hAnsi="Times New Roman" w:eastAsia="宋体" w:cs="Times New Roman"/>
                <w:color w:val="auto"/>
                <w:lang w:eastAsia="zh-CN"/>
              </w:rPr>
              <w:t>改善</w:t>
            </w:r>
            <w:r>
              <w:rPr>
                <w:rFonts w:hint="default" w:ascii="Times New Roman" w:hAnsi="Times New Roman" w:eastAsia="宋体" w:cs="Times New Roman"/>
                <w:color w:val="auto"/>
              </w:rPr>
              <w:t>灌区的引水条件，提高输水效率；有效提高过水能力和抗冲能力，保障沿渠农田、道路和公共设施的安全运行；有效控制地下水位及土壤盐碱化程度。因此本项目符合《昌吉回族自治州生态环境保护与建设“十四五”规划》要求。</w:t>
            </w:r>
          </w:p>
          <w:p w14:paraId="632C5652">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与《新疆维吾尔自治区主体功能区规划》的符合性分析</w:t>
            </w:r>
          </w:p>
          <w:p w14:paraId="4C96809E">
            <w:pPr>
              <w:pStyle w:val="63"/>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根据主体功能区开发的理念，结合新疆独特的自然地理状况和新时期跨越式发展的需要，《新疆维吾尔自治区主体功能区规划》将新疆国土空间划分为重点开发、限制开发和禁止开发区域</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按开发内容，分为城市化地区、农产品主产区和重点生态功能区</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按层级，包括国家和自治区两个层面（其中</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国家层面主体功能区是《全国主体功能区规划》从我国战略全局出发划定的，自治区层面主体功能区是按要求在国家层面以外的区域划定的）。重点开发、限制开发和禁止开发三类主体功能区，是基于不同区域的资源环境承载能力、现有开发强度和未来发展潜力，以是否适宜</w:t>
            </w:r>
            <w:r>
              <w:rPr>
                <w:rFonts w:hint="default" w:ascii="Times New Roman" w:hAnsi="Times New Roman" w:eastAsia="宋体" w:cs="Times New Roman"/>
                <w:color w:val="auto"/>
                <w:lang w:eastAsia="zh-CN"/>
              </w:rPr>
              <w:t>以及</w:t>
            </w:r>
            <w:r>
              <w:rPr>
                <w:rFonts w:hint="default" w:ascii="Times New Roman" w:hAnsi="Times New Roman" w:eastAsia="宋体" w:cs="Times New Roman"/>
                <w:color w:val="auto"/>
              </w:rPr>
              <w:t>如何进行大规模、高强度的工业化城镇化开发为基准划分的。新疆主体功能区划中，重点开发区域和限制开发区域覆盖国土全域，而禁止开发区域镶嵌于重点开发区域或者限制开发区域内。</w:t>
            </w:r>
          </w:p>
          <w:p w14:paraId="2FE427E8">
            <w:pPr>
              <w:pStyle w:val="63"/>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项目位于国家级农产品主产区，在全面提升农产品主产区发展水平的同时，从确保新疆及国家粮食安全和食物安全的大局出发，充分发挥各地比较优势，促进农业向区域化、标准化、规模化、产业化方向发展，</w:t>
            </w:r>
            <w:r>
              <w:rPr>
                <w:rFonts w:hint="default" w:ascii="Times New Roman" w:hAnsi="Times New Roman" w:eastAsia="宋体" w:cs="Times New Roman"/>
                <w:color w:val="auto"/>
                <w:lang w:eastAsia="zh-CN"/>
              </w:rPr>
              <w:t>强化</w:t>
            </w:r>
            <w:r>
              <w:rPr>
                <w:rFonts w:hint="default" w:ascii="Times New Roman" w:hAnsi="Times New Roman" w:eastAsia="宋体" w:cs="Times New Roman"/>
                <w:color w:val="auto"/>
              </w:rPr>
              <w:t>农产品粮食和加工原料供给主导功能，提升农业综合生产能力和整体竞争力，推进粮食、棉花、特色林果和畜牧业发展，重点建设以“天北与天南两带”为主体的国家级农产品主产区。</w:t>
            </w:r>
          </w:p>
          <w:p w14:paraId="0D33F64F">
            <w:pPr>
              <w:pStyle w:val="63"/>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rPr>
              <w:t>本次</w:t>
            </w:r>
            <w:r>
              <w:rPr>
                <w:rFonts w:hint="default" w:ascii="Times New Roman" w:hAnsi="Times New Roman" w:eastAsia="宋体" w:cs="Times New Roman"/>
                <w:color w:val="auto"/>
                <w:lang w:val="en-US" w:eastAsia="zh-CN"/>
              </w:rPr>
              <w:t>工程主要对</w:t>
            </w:r>
            <w:r>
              <w:rPr>
                <w:rFonts w:hint="default" w:ascii="Times New Roman" w:hAnsi="Times New Roman" w:eastAsia="宋体" w:cs="Times New Roman"/>
                <w:color w:val="auto"/>
              </w:rPr>
              <w:t>灌</w:t>
            </w:r>
            <w:r>
              <w:rPr>
                <w:rFonts w:hint="default" w:ascii="Times New Roman" w:hAnsi="Times New Roman" w:eastAsia="宋体" w:cs="Times New Roman"/>
                <w:color w:val="auto"/>
                <w:lang w:val="en-US" w:eastAsia="zh-CN"/>
              </w:rPr>
              <w:t>区老旧渠道</w:t>
            </w:r>
            <w:r>
              <w:rPr>
                <w:rFonts w:hint="default" w:ascii="Times New Roman" w:hAnsi="Times New Roman" w:eastAsia="宋体" w:cs="Times New Roman"/>
                <w:color w:val="auto"/>
              </w:rPr>
              <w:t>进行防渗</w:t>
            </w:r>
            <w:r>
              <w:rPr>
                <w:rFonts w:hint="default" w:ascii="Times New Roman" w:hAnsi="Times New Roman" w:eastAsia="宋体" w:cs="Times New Roman"/>
                <w:color w:val="auto"/>
                <w:lang w:val="en-US" w:eastAsia="zh-CN"/>
              </w:rPr>
              <w:t>改建，配套建设渠系建筑物</w:t>
            </w:r>
            <w:r>
              <w:rPr>
                <w:rFonts w:hint="default" w:ascii="Times New Roman" w:hAnsi="Times New Roman" w:eastAsia="宋体" w:cs="Times New Roman"/>
                <w:color w:val="auto"/>
              </w:rPr>
              <w:t>，实施后可减少沿渠水土流失，减少淤积灾害，有利于提高灌区的引水条件，提高输水效率；有效提高过水能力和抗冲能力，保障沿渠农田、道路和公共设施的安全运行；有效控制地下水位及土壤盐碱化程度。项目的建设符合《新疆维吾尔自治区主体功能区划》的要求。</w:t>
            </w:r>
          </w:p>
          <w:p w14:paraId="25DB9513">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lang w:val="en-US" w:eastAsia="zh-CN"/>
              </w:rPr>
              <w:t>与《新疆生态功能区划》的符合性分析</w:t>
            </w:r>
          </w:p>
          <w:p w14:paraId="5568370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根据生态功能区划的原则和全国的区划方案，新疆的生态功能区划采用生态区、生态亚区、生态功能区三级分区系统。根据地貌特点、温湿状况和典型生态系统类型，生态系统类型、生态系统服务功能类型、生态服务功能重要性和生态环境敏感性，新疆维吾尔自治区全境共划分出76个生态功能区。</w:t>
            </w:r>
          </w:p>
          <w:p w14:paraId="71FE809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根据《新疆生态功能区划》，本项目属于Ⅱ准噶尔盆地温性荒漠与绿洲农业生态区-Ⅱ5准噶尔盆地南部荒漠绿洲农业生态亚区-28.阜康—木垒绿洲农业、荒漠草地保护生态功能区。保护措施是节水灌溉、草场休牧、对坡耕地和沙化土地实施退耕还林（草），在水源无保障、植被稀少、生态脆弱地带禁止开荒，加强农田投入品的使用管理。</w:t>
            </w:r>
          </w:p>
          <w:p w14:paraId="1AB371F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本次工程主要对灌区老旧渠道进行防渗改建，配套建设渠系建筑物，实施后有利于节水灌溉措施的实施。项目建设符合《新疆生态功能区划》的要求。</w:t>
            </w:r>
          </w:p>
          <w:p w14:paraId="0198D371">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cs="Times New Roman" w:eastAsiaTheme="minorEastAsia"/>
                <w:b/>
                <w:bCs/>
                <w:color w:val="auto"/>
                <w:kern w:val="0"/>
                <w:sz w:val="24"/>
                <w:szCs w:val="24"/>
                <w:highlight w:val="none"/>
                <w:lang w:val="en-US" w:eastAsia="zh-CN"/>
              </w:rPr>
              <w:t>与《自然资源部关于规范临时用地管理的通知》自然资规</w:t>
            </w:r>
            <w:r>
              <w:rPr>
                <w:rFonts w:hint="eastAsia" w:cs="Times New Roman" w:eastAsiaTheme="minorEastAsia"/>
                <w:b/>
                <w:bCs/>
                <w:color w:val="auto"/>
                <w:kern w:val="0"/>
                <w:sz w:val="24"/>
                <w:szCs w:val="24"/>
                <w:highlight w:val="none"/>
                <w:lang w:val="en-US" w:eastAsia="zh-CN"/>
              </w:rPr>
              <w:t>〔2021〕2号）</w:t>
            </w:r>
            <w:r>
              <w:rPr>
                <w:rFonts w:hint="default" w:ascii="Times New Roman" w:hAnsi="Times New Roman" w:cs="Times New Roman" w:eastAsiaTheme="minorEastAsia"/>
                <w:b/>
                <w:bCs/>
                <w:color w:val="auto"/>
                <w:kern w:val="0"/>
                <w:sz w:val="24"/>
                <w:szCs w:val="24"/>
                <w:highlight w:val="none"/>
                <w:lang w:val="en-US" w:eastAsia="zh-CN"/>
              </w:rPr>
              <w:t>的符合性分析</w:t>
            </w:r>
          </w:p>
          <w:p w14:paraId="5776565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根据20</w:t>
            </w:r>
            <w:r>
              <w:rPr>
                <w:rFonts w:hint="eastAsia" w:ascii="Times New Roman" w:hAnsi="Times New Roman" w:cs="Times New Roman"/>
                <w:color w:val="auto"/>
                <w:sz w:val="24"/>
                <w:lang w:val="en-US" w:eastAsia="zh-CN"/>
              </w:rPr>
              <w:t>21</w:t>
            </w:r>
            <w:r>
              <w:rPr>
                <w:rFonts w:hint="default" w:ascii="Times New Roman" w:hAnsi="Times New Roman" w:eastAsia="宋体" w:cs="Times New Roman"/>
                <w:color w:val="auto"/>
                <w:sz w:val="24"/>
                <w:lang w:val="en-US" w:eastAsia="zh-CN"/>
              </w:rPr>
              <w:t>年</w:t>
            </w:r>
            <w:r>
              <w:rPr>
                <w:rFonts w:hint="eastAsia" w:ascii="Times New Roman" w:hAnsi="Times New Roman" w:cs="Times New Roman"/>
                <w:color w:val="auto"/>
                <w:sz w:val="24"/>
                <w:lang w:val="en-US" w:eastAsia="zh-CN"/>
              </w:rPr>
              <w:t>11</w:t>
            </w:r>
            <w:r>
              <w:rPr>
                <w:rFonts w:hint="default" w:ascii="Times New Roman" w:hAnsi="Times New Roman" w:eastAsia="宋体" w:cs="Times New Roman"/>
                <w:color w:val="auto"/>
                <w:sz w:val="24"/>
                <w:lang w:val="en-US" w:eastAsia="zh-CN"/>
              </w:rPr>
              <w:t>月</w:t>
            </w:r>
            <w:r>
              <w:rPr>
                <w:rFonts w:hint="eastAsia" w:ascii="Times New Roman" w:hAnsi="Times New Roman" w:cs="Times New Roman"/>
                <w:color w:val="auto"/>
                <w:sz w:val="24"/>
                <w:lang w:val="en-US" w:eastAsia="zh-CN"/>
              </w:rPr>
              <w:t>10</w:t>
            </w:r>
            <w:r>
              <w:rPr>
                <w:rFonts w:hint="default" w:ascii="Times New Roman" w:hAnsi="Times New Roman" w:eastAsia="宋体" w:cs="Times New Roman"/>
                <w:color w:val="auto"/>
                <w:sz w:val="24"/>
                <w:lang w:val="en-US" w:eastAsia="zh-CN"/>
              </w:rPr>
              <w:t>日自然资源部印发的《自然资源部关于规范临时用地管理的通知》，本项目与其符合性分析见下表。</w:t>
            </w:r>
          </w:p>
          <w:p w14:paraId="426F4623">
            <w:pPr>
              <w:pStyle w:val="4"/>
              <w:keepNext/>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eastAsia" w:ascii="Times New Roman" w:hAnsi="Times New Roman" w:cs="Times New Roman"/>
                <w:color w:val="auto"/>
                <w:kern w:val="0"/>
                <w:sz w:val="24"/>
                <w:szCs w:val="24"/>
                <w:highlight w:val="none"/>
                <w:vertAlign w:val="baseline"/>
                <w:lang w:val="en-US" w:eastAsia="zh-CN"/>
              </w:rPr>
            </w:pPr>
            <w:r>
              <w:rPr>
                <w:rFonts w:hint="default" w:ascii="Times New Roman" w:hAnsi="Times New Roman" w:eastAsia="宋体" w:cs="Times New Roman"/>
                <w:color w:val="auto"/>
                <w:kern w:val="0"/>
                <w:sz w:val="24"/>
                <w:szCs w:val="24"/>
                <w:highlight w:val="none"/>
                <w:vertAlign w:val="baseline"/>
                <w:lang w:val="en-US" w:eastAsia="zh-CN"/>
              </w:rPr>
              <w:t>表1-</w:t>
            </w:r>
            <w:r>
              <w:rPr>
                <w:rFonts w:hint="eastAsia" w:ascii="Times New Roman" w:hAnsi="Times New Roman" w:cs="Times New Roman"/>
                <w:color w:val="auto"/>
                <w:kern w:val="0"/>
                <w:sz w:val="24"/>
                <w:szCs w:val="24"/>
                <w:highlight w:val="none"/>
                <w:vertAlign w:val="baseline"/>
                <w:lang w:val="en-US" w:eastAsia="zh-CN"/>
              </w:rPr>
              <w:t>2《自然资源部关于规范临时用地管理的通知》自然资规</w:t>
            </w:r>
            <w:r>
              <w:rPr>
                <w:rFonts w:hint="eastAsia" w:cs="Times New Roman"/>
                <w:color w:val="auto"/>
                <w:kern w:val="0"/>
                <w:sz w:val="24"/>
                <w:szCs w:val="24"/>
                <w:highlight w:val="none"/>
                <w:vertAlign w:val="baseline"/>
                <w:lang w:val="en-US" w:eastAsia="zh-CN"/>
              </w:rPr>
              <w:t>〔2021〕2号</w:t>
            </w:r>
            <w:r>
              <w:rPr>
                <w:rFonts w:hint="eastAsia" w:ascii="Times New Roman" w:hAnsi="Times New Roman" w:cs="Times New Roman"/>
                <w:color w:val="auto"/>
                <w:kern w:val="0"/>
                <w:sz w:val="24"/>
                <w:szCs w:val="24"/>
                <w:highlight w:val="none"/>
                <w:vertAlign w:val="baseline"/>
                <w:lang w:val="en-US" w:eastAsia="zh-CN"/>
              </w:rPr>
              <w:t>）的符合性分析</w:t>
            </w:r>
          </w:p>
          <w:tbl>
            <w:tblPr>
              <w:tblStyle w:val="32"/>
              <w:tblW w:w="4998" w:type="pct"/>
              <w:tblInd w:w="5"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4137"/>
              <w:gridCol w:w="2007"/>
              <w:gridCol w:w="1027"/>
            </w:tblGrid>
            <w:tr w14:paraId="1AA6CE1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trPr>
              <w:tc>
                <w:tcPr>
                  <w:tcW w:w="2884" w:type="pct"/>
                  <w:tcBorders>
                    <w:tl2br w:val="nil"/>
                    <w:tr2bl w:val="nil"/>
                  </w:tcBorders>
                  <w:vAlign w:val="center"/>
                </w:tcPr>
                <w:p w14:paraId="4DFFFD9B">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bCs/>
                      <w:color w:val="auto"/>
                      <w:spacing w:val="6"/>
                      <w:sz w:val="21"/>
                      <w:szCs w:val="21"/>
                      <w:lang w:val="en-US" w:eastAsia="zh-CN"/>
                    </w:rPr>
                    <w:t>通知要求</w:t>
                  </w:r>
                </w:p>
              </w:tc>
              <w:tc>
                <w:tcPr>
                  <w:tcW w:w="1399" w:type="pct"/>
                  <w:tcBorders>
                    <w:tl2br w:val="nil"/>
                    <w:tr2bl w:val="nil"/>
                  </w:tcBorders>
                  <w:vAlign w:val="center"/>
                </w:tcPr>
                <w:p w14:paraId="1A1204D7">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bCs/>
                      <w:color w:val="auto"/>
                      <w:spacing w:val="6"/>
                      <w:sz w:val="21"/>
                      <w:szCs w:val="21"/>
                    </w:rPr>
                    <w:t>本项目情况</w:t>
                  </w:r>
                </w:p>
              </w:tc>
              <w:tc>
                <w:tcPr>
                  <w:tcW w:w="716" w:type="pct"/>
                  <w:tcBorders>
                    <w:tl2br w:val="nil"/>
                    <w:tr2bl w:val="nil"/>
                  </w:tcBorders>
                  <w:vAlign w:val="center"/>
                </w:tcPr>
                <w:p w14:paraId="263FF90F">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bCs/>
                      <w:color w:val="auto"/>
                      <w:spacing w:val="5"/>
                      <w:sz w:val="21"/>
                      <w:szCs w:val="21"/>
                    </w:rPr>
                    <w:t>符合性</w:t>
                  </w:r>
                </w:p>
              </w:tc>
            </w:tr>
            <w:tr w14:paraId="27676A5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404" w:hRule="atLeast"/>
              </w:trPr>
              <w:tc>
                <w:tcPr>
                  <w:tcW w:w="2884" w:type="pct"/>
                  <w:tcBorders>
                    <w:tl2br w:val="nil"/>
                    <w:tr2bl w:val="nil"/>
                  </w:tcBorders>
                  <w:vAlign w:val="center"/>
                </w:tcPr>
                <w:p w14:paraId="3AAE9E62">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b/>
                      <w:bCs/>
                      <w:color w:val="auto"/>
                      <w:spacing w:val="6"/>
                      <w:sz w:val="21"/>
                      <w:szCs w:val="21"/>
                      <w:lang w:val="en-US" w:eastAsia="zh-CN"/>
                    </w:rPr>
                  </w:pPr>
                  <w:r>
                    <w:rPr>
                      <w:rFonts w:hint="default" w:ascii="Times New Roman" w:hAnsi="Times New Roman" w:eastAsia="宋体" w:cs="Times New Roman"/>
                      <w:b w:val="0"/>
                      <w:bCs w:val="0"/>
                      <w:color w:val="auto"/>
                      <w:spacing w:val="6"/>
                      <w:sz w:val="21"/>
                      <w:szCs w:val="21"/>
                      <w:lang w:val="en-US" w:eastAsia="zh-CN"/>
                    </w:rPr>
                    <w:t>1.建设项目施工、地质勘查使用临时用地时应坚持</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用多少、批多少占多少、尽量不占或者少占耕地。</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使用后土地复垦难度较大的临时用地要严格控制占用耕地。铁路、公路等单独选址建设项目，应科学组织施工，节约集约使用临时用地。制梁场、拌合站等难以恢复原种植条件的不得以临时用地方式占用耕地和永久基本农田，可以建设用地方式或者临时占用未利用地方式使用土地。临时用地确需占用永久基本农田的，必须能够恢复原种植条件，并符合《自然资源部农业农村部关于加强和改进永久基本农田保护工作的通知》</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自然资规</w:t>
                  </w:r>
                  <w:r>
                    <w:rPr>
                      <w:rFonts w:hint="eastAsia" w:cs="Times New Roman"/>
                      <w:b w:val="0"/>
                      <w:bCs w:val="0"/>
                      <w:color w:val="auto"/>
                      <w:spacing w:val="6"/>
                      <w:sz w:val="21"/>
                      <w:szCs w:val="21"/>
                      <w:lang w:val="en-US" w:eastAsia="zh-CN"/>
                    </w:rPr>
                    <w:t>〔2019〕1号）</w:t>
                  </w:r>
                  <w:r>
                    <w:rPr>
                      <w:rFonts w:hint="default" w:ascii="Times New Roman" w:hAnsi="Times New Roman" w:eastAsia="宋体" w:cs="Times New Roman"/>
                      <w:b w:val="0"/>
                      <w:bCs w:val="0"/>
                      <w:color w:val="auto"/>
                      <w:spacing w:val="6"/>
                      <w:sz w:val="21"/>
                      <w:szCs w:val="21"/>
                      <w:lang w:val="en-US" w:eastAsia="zh-CN"/>
                    </w:rPr>
                    <w:t>中申请条件、土壤剥离、复垦验收等有关规定。临时用地使用期限一般不超过两年。建设周期较长的能源、交通、水利等基础设施建设项目施工使用的临时用地，期限不超过四年。城摸开发边界内临时建设用地规划许可、临时建设工程规划许可的期限应当与临时用地期限相衔接。临时用地使用期限，从批准之日起算。</w:t>
                  </w:r>
                </w:p>
              </w:tc>
              <w:tc>
                <w:tcPr>
                  <w:tcW w:w="1399" w:type="pct"/>
                  <w:tcBorders>
                    <w:tl2br w:val="nil"/>
                    <w:tr2bl w:val="nil"/>
                  </w:tcBorders>
                  <w:vAlign w:val="center"/>
                </w:tcPr>
                <w:p w14:paraId="3B4F6B5D">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bCs/>
                      <w:color w:val="auto"/>
                      <w:spacing w:val="6"/>
                      <w:sz w:val="21"/>
                      <w:szCs w:val="21"/>
                    </w:rPr>
                  </w:pPr>
                  <w:r>
                    <w:rPr>
                      <w:rFonts w:hint="default" w:ascii="Times New Roman" w:hAnsi="Times New Roman" w:eastAsia="宋体" w:cs="Times New Roman"/>
                      <w:b w:val="0"/>
                      <w:bCs w:val="0"/>
                      <w:color w:val="auto"/>
                      <w:spacing w:val="6"/>
                      <w:kern w:val="0"/>
                      <w:sz w:val="21"/>
                      <w:szCs w:val="21"/>
                      <w:lang w:val="en-US" w:eastAsia="zh-CN" w:bidi="ar-SA"/>
                    </w:rPr>
                    <w:t>尽可能利用现有施工场地或工程永久管理范围占地作为施工期临时用地，减少征地范围。临时拌合站不占用耕地。本工程施工期为</w:t>
                  </w:r>
                  <w:r>
                    <w:rPr>
                      <w:rFonts w:hint="eastAsia" w:ascii="Times New Roman" w:hAnsi="Times New Roman" w:eastAsia="宋体" w:cs="Times New Roman"/>
                      <w:b w:val="0"/>
                      <w:bCs w:val="0"/>
                      <w:color w:val="auto"/>
                      <w:spacing w:val="6"/>
                      <w:kern w:val="0"/>
                      <w:sz w:val="21"/>
                      <w:szCs w:val="21"/>
                      <w:lang w:val="en-US" w:eastAsia="zh-CN" w:bidi="ar-SA"/>
                    </w:rPr>
                    <w:t>19</w:t>
                  </w:r>
                  <w:r>
                    <w:rPr>
                      <w:rFonts w:hint="default" w:ascii="Times New Roman" w:hAnsi="Times New Roman" w:eastAsia="宋体" w:cs="Times New Roman"/>
                      <w:b w:val="0"/>
                      <w:bCs w:val="0"/>
                      <w:color w:val="auto"/>
                      <w:spacing w:val="6"/>
                      <w:kern w:val="0"/>
                      <w:sz w:val="21"/>
                      <w:szCs w:val="21"/>
                      <w:lang w:val="en-US" w:eastAsia="zh-CN" w:bidi="ar-SA"/>
                    </w:rPr>
                    <w:t>个月，施工结束后，对临时用地及时恢复。</w:t>
                  </w:r>
                </w:p>
              </w:tc>
              <w:tc>
                <w:tcPr>
                  <w:tcW w:w="716" w:type="pct"/>
                  <w:tcBorders>
                    <w:tl2br w:val="nil"/>
                    <w:tr2bl w:val="nil"/>
                  </w:tcBorders>
                  <w:vAlign w:val="center"/>
                </w:tcPr>
                <w:p w14:paraId="3C7A1237">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bCs/>
                      <w:color w:val="auto"/>
                      <w:spacing w:val="5"/>
                      <w:sz w:val="21"/>
                      <w:szCs w:val="21"/>
                      <w:lang w:val="en-US" w:eastAsia="zh-CN"/>
                    </w:rPr>
                  </w:pPr>
                  <w:r>
                    <w:rPr>
                      <w:rFonts w:hint="default" w:ascii="Times New Roman" w:hAnsi="Times New Roman" w:eastAsia="宋体" w:cs="Times New Roman"/>
                      <w:b w:val="0"/>
                      <w:bCs w:val="0"/>
                      <w:color w:val="auto"/>
                      <w:spacing w:val="6"/>
                      <w:kern w:val="0"/>
                      <w:sz w:val="21"/>
                      <w:szCs w:val="21"/>
                      <w:lang w:val="en-US" w:eastAsia="zh-CN" w:bidi="ar-SA"/>
                    </w:rPr>
                    <w:t>符合</w:t>
                  </w:r>
                </w:p>
              </w:tc>
            </w:tr>
            <w:tr w14:paraId="2961DD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76" w:hRule="atLeast"/>
              </w:trPr>
              <w:tc>
                <w:tcPr>
                  <w:tcW w:w="2884" w:type="pct"/>
                  <w:tcBorders>
                    <w:tl2br w:val="nil"/>
                    <w:tr2bl w:val="nil"/>
                  </w:tcBorders>
                  <w:vAlign w:val="center"/>
                </w:tcPr>
                <w:p w14:paraId="2C60ED30">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b w:val="0"/>
                      <w:bCs w:val="0"/>
                      <w:color w:val="auto"/>
                      <w:spacing w:val="6"/>
                      <w:sz w:val="21"/>
                      <w:szCs w:val="21"/>
                      <w:lang w:val="en-US" w:eastAsia="zh-CN"/>
                    </w:rPr>
                  </w:pPr>
                  <w:r>
                    <w:rPr>
                      <w:rFonts w:hint="default" w:ascii="Times New Roman" w:hAnsi="Times New Roman" w:eastAsia="宋体" w:cs="Times New Roman"/>
                      <w:b w:val="0"/>
                      <w:bCs w:val="0"/>
                      <w:color w:val="auto"/>
                      <w:spacing w:val="6"/>
                      <w:sz w:val="21"/>
                      <w:szCs w:val="21"/>
                      <w:lang w:val="en-US" w:eastAsia="zh-CN"/>
                    </w:rPr>
                    <w:t>2.县</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市</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自然资源主管部门负责临时用地审批，其中涉及占用耕地和永久基本农田的，由市级或者市级以上自然资源主管部门负责审批。临时用地申请人应当编制临时用地土地复垦方案报告表，由有关自然资源主管部门负责审核。</w:t>
                  </w:r>
                </w:p>
              </w:tc>
              <w:tc>
                <w:tcPr>
                  <w:tcW w:w="1399" w:type="pct"/>
                  <w:tcBorders>
                    <w:tl2br w:val="nil"/>
                    <w:tr2bl w:val="nil"/>
                  </w:tcBorders>
                  <w:vAlign w:val="center"/>
                </w:tcPr>
                <w:p w14:paraId="07E9342A">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6"/>
                      <w:kern w:val="0"/>
                      <w:sz w:val="21"/>
                      <w:szCs w:val="21"/>
                      <w:lang w:val="en-US" w:eastAsia="zh-CN" w:bidi="ar-SA"/>
                    </w:rPr>
                  </w:pPr>
                  <w:r>
                    <w:rPr>
                      <w:rFonts w:hint="eastAsia" w:ascii="Times New Roman" w:hAnsi="Times New Roman" w:eastAsia="宋体" w:cs="Times New Roman"/>
                      <w:b w:val="0"/>
                      <w:bCs w:val="0"/>
                      <w:color w:val="auto"/>
                      <w:spacing w:val="6"/>
                      <w:kern w:val="0"/>
                      <w:sz w:val="21"/>
                      <w:szCs w:val="21"/>
                      <w:lang w:val="en-US" w:eastAsia="zh-CN" w:bidi="ar-SA"/>
                    </w:rPr>
                    <w:t>本项目临时用地不占用</w:t>
                  </w:r>
                  <w:r>
                    <w:rPr>
                      <w:rFonts w:hint="default" w:ascii="Times New Roman" w:hAnsi="Times New Roman" w:eastAsia="宋体" w:cs="Times New Roman"/>
                      <w:b w:val="0"/>
                      <w:bCs w:val="0"/>
                      <w:color w:val="auto"/>
                      <w:spacing w:val="6"/>
                      <w:sz w:val="21"/>
                      <w:szCs w:val="21"/>
                      <w:lang w:val="en-US" w:eastAsia="zh-CN"/>
                    </w:rPr>
                    <w:t>耕地和永久基本农田</w:t>
                  </w:r>
                  <w:r>
                    <w:rPr>
                      <w:rFonts w:hint="eastAsia" w:ascii="Times New Roman" w:hAnsi="Times New Roman" w:eastAsia="宋体" w:cs="Times New Roman"/>
                      <w:b w:val="0"/>
                      <w:bCs w:val="0"/>
                      <w:color w:val="auto"/>
                      <w:spacing w:val="6"/>
                      <w:sz w:val="21"/>
                      <w:szCs w:val="21"/>
                      <w:lang w:val="en-US" w:eastAsia="zh-CN"/>
                    </w:rPr>
                    <w:t>，临时用地手续正在办理中。</w:t>
                  </w:r>
                </w:p>
              </w:tc>
              <w:tc>
                <w:tcPr>
                  <w:tcW w:w="716" w:type="pct"/>
                  <w:tcBorders>
                    <w:tl2br w:val="nil"/>
                    <w:tr2bl w:val="nil"/>
                  </w:tcBorders>
                  <w:vAlign w:val="center"/>
                </w:tcPr>
                <w:p w14:paraId="73AA8EEA">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6"/>
                      <w:kern w:val="0"/>
                      <w:sz w:val="21"/>
                      <w:szCs w:val="21"/>
                      <w:lang w:val="en-US" w:eastAsia="zh-CN" w:bidi="ar-SA"/>
                    </w:rPr>
                  </w:pPr>
                  <w:r>
                    <w:rPr>
                      <w:rFonts w:hint="eastAsia" w:ascii="Times New Roman" w:hAnsi="Times New Roman" w:eastAsia="宋体" w:cs="Times New Roman"/>
                      <w:b w:val="0"/>
                      <w:bCs w:val="0"/>
                      <w:color w:val="auto"/>
                      <w:spacing w:val="6"/>
                      <w:kern w:val="0"/>
                      <w:sz w:val="21"/>
                      <w:szCs w:val="21"/>
                      <w:lang w:val="en-US" w:eastAsia="zh-CN" w:bidi="ar-SA"/>
                    </w:rPr>
                    <w:t>基本</w:t>
                  </w:r>
                  <w:r>
                    <w:rPr>
                      <w:rFonts w:hint="default" w:ascii="Times New Roman" w:hAnsi="Times New Roman" w:eastAsia="宋体" w:cs="Times New Roman"/>
                      <w:b w:val="0"/>
                      <w:bCs w:val="0"/>
                      <w:color w:val="auto"/>
                      <w:spacing w:val="6"/>
                      <w:kern w:val="0"/>
                      <w:sz w:val="21"/>
                      <w:szCs w:val="21"/>
                      <w:lang w:val="en-US" w:eastAsia="zh-CN" w:bidi="ar-SA"/>
                    </w:rPr>
                    <w:t>符合</w:t>
                  </w:r>
                </w:p>
              </w:tc>
            </w:tr>
            <w:tr w14:paraId="0AB724A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63" w:hRule="atLeast"/>
              </w:trPr>
              <w:tc>
                <w:tcPr>
                  <w:tcW w:w="2884" w:type="pct"/>
                  <w:tcBorders>
                    <w:tl2br w:val="nil"/>
                    <w:tr2bl w:val="nil"/>
                  </w:tcBorders>
                  <w:vAlign w:val="center"/>
                </w:tcPr>
                <w:p w14:paraId="1273922F">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b w:val="0"/>
                      <w:bCs w:val="0"/>
                      <w:color w:val="auto"/>
                      <w:spacing w:val="6"/>
                      <w:sz w:val="21"/>
                      <w:szCs w:val="21"/>
                      <w:lang w:val="en-US" w:eastAsia="zh-CN"/>
                    </w:rPr>
                  </w:pPr>
                  <w:r>
                    <w:rPr>
                      <w:rFonts w:hint="default" w:ascii="Times New Roman" w:hAnsi="Times New Roman" w:eastAsia="宋体" w:cs="Times New Roman"/>
                      <w:b w:val="0"/>
                      <w:bCs w:val="0"/>
                      <w:color w:val="auto"/>
                      <w:spacing w:val="6"/>
                      <w:sz w:val="21"/>
                      <w:szCs w:val="21"/>
                      <w:lang w:val="en-US" w:eastAsia="zh-CN"/>
                    </w:rPr>
                    <w:t>3.临时用地使用人应当按照批准的用途使用土地，不得转让、出租、抵押临时用地。临时用地使用人应当自临时用地期满之日起一年内完成土地复垦，因气候、灾害等不可抗力因素影响复垦的，经批准可以适当延长复垦期限。严格落实临时用地恢复责任，临时用地期满后应当拆除临时建</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构</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筑物，使用耕地的应当复垦为耕地，确保耕地面积不减少、质量不降低</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使用耕地以外的其他农用地的应当恢复为农用地</w:t>
                  </w:r>
                  <w:r>
                    <w:rPr>
                      <w:rFonts w:hint="eastAsia"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使用未利用地的，对于符合条件的鼓励复垦为耕地。</w:t>
                  </w:r>
                </w:p>
              </w:tc>
              <w:tc>
                <w:tcPr>
                  <w:tcW w:w="1399" w:type="pct"/>
                  <w:tcBorders>
                    <w:tl2br w:val="nil"/>
                    <w:tr2bl w:val="nil"/>
                  </w:tcBorders>
                  <w:vAlign w:val="center"/>
                </w:tcPr>
                <w:p w14:paraId="472FE42A">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6"/>
                      <w:kern w:val="0"/>
                      <w:sz w:val="21"/>
                      <w:szCs w:val="21"/>
                      <w:lang w:val="en-US" w:eastAsia="zh-CN" w:bidi="ar-SA"/>
                    </w:rPr>
                  </w:pPr>
                  <w:r>
                    <w:rPr>
                      <w:rFonts w:hint="default" w:ascii="Times New Roman" w:hAnsi="Times New Roman" w:eastAsia="宋体" w:cs="Times New Roman"/>
                      <w:b w:val="0"/>
                      <w:bCs w:val="0"/>
                      <w:color w:val="auto"/>
                      <w:spacing w:val="6"/>
                      <w:kern w:val="0"/>
                      <w:sz w:val="21"/>
                      <w:szCs w:val="21"/>
                      <w:lang w:val="en-US" w:eastAsia="zh-CN" w:bidi="ar-SA"/>
                    </w:rPr>
                    <w:t>本项目临时用地用于</w:t>
                  </w:r>
                  <w:r>
                    <w:rPr>
                      <w:rFonts w:hint="eastAsia" w:ascii="Times New Roman" w:hAnsi="Times New Roman" w:eastAsia="宋体" w:cs="Times New Roman"/>
                      <w:b w:val="0"/>
                      <w:bCs w:val="0"/>
                      <w:color w:val="auto"/>
                      <w:spacing w:val="6"/>
                      <w:kern w:val="0"/>
                      <w:sz w:val="21"/>
                      <w:szCs w:val="21"/>
                      <w:lang w:val="en-US" w:eastAsia="zh-CN" w:bidi="ar-SA"/>
                    </w:rPr>
                    <w:t>服务本工程建设</w:t>
                  </w:r>
                  <w:r>
                    <w:rPr>
                      <w:rFonts w:hint="default" w:ascii="Times New Roman" w:hAnsi="Times New Roman" w:eastAsia="宋体" w:cs="Times New Roman"/>
                      <w:b w:val="0"/>
                      <w:bCs w:val="0"/>
                      <w:color w:val="auto"/>
                      <w:spacing w:val="6"/>
                      <w:kern w:val="0"/>
                      <w:sz w:val="21"/>
                      <w:szCs w:val="21"/>
                      <w:lang w:val="en-US" w:eastAsia="zh-CN" w:bidi="ar-SA"/>
                    </w:rPr>
                    <w:t>，不转让、出租、抵押临时用地，本工程施工期为</w:t>
                  </w:r>
                  <w:r>
                    <w:rPr>
                      <w:rFonts w:hint="eastAsia" w:ascii="Times New Roman" w:hAnsi="Times New Roman" w:eastAsia="宋体" w:cs="Times New Roman"/>
                      <w:b w:val="0"/>
                      <w:bCs w:val="0"/>
                      <w:color w:val="auto"/>
                      <w:spacing w:val="6"/>
                      <w:kern w:val="0"/>
                      <w:sz w:val="21"/>
                      <w:szCs w:val="21"/>
                      <w:lang w:val="en-US" w:eastAsia="zh-CN" w:bidi="ar-SA"/>
                    </w:rPr>
                    <w:t>19</w:t>
                  </w:r>
                  <w:r>
                    <w:rPr>
                      <w:rFonts w:hint="default" w:ascii="Times New Roman" w:hAnsi="Times New Roman" w:eastAsia="宋体" w:cs="Times New Roman"/>
                      <w:b w:val="0"/>
                      <w:bCs w:val="0"/>
                      <w:color w:val="auto"/>
                      <w:spacing w:val="6"/>
                      <w:kern w:val="0"/>
                      <w:sz w:val="21"/>
                      <w:szCs w:val="21"/>
                      <w:lang w:val="en-US" w:eastAsia="zh-CN" w:bidi="ar-SA"/>
                    </w:rPr>
                    <w:t>个月，施工结束后，拆除</w:t>
                  </w:r>
                  <w:r>
                    <w:rPr>
                      <w:rFonts w:hint="default" w:ascii="Times New Roman" w:hAnsi="Times New Roman" w:eastAsia="宋体" w:cs="Times New Roman"/>
                      <w:b w:val="0"/>
                      <w:bCs w:val="0"/>
                      <w:color w:val="auto"/>
                      <w:spacing w:val="6"/>
                      <w:sz w:val="21"/>
                      <w:szCs w:val="21"/>
                      <w:lang w:val="en-US" w:eastAsia="zh-CN"/>
                    </w:rPr>
                    <w:t>临时建</w:t>
                  </w:r>
                  <w:r>
                    <w:rPr>
                      <w:rFonts w:hint="eastAsia" w:eastAsia="宋体"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构</w:t>
                  </w:r>
                  <w:r>
                    <w:rPr>
                      <w:rFonts w:hint="eastAsia" w:eastAsia="宋体" w:cs="Times New Roman"/>
                      <w:b w:val="0"/>
                      <w:bCs w:val="0"/>
                      <w:color w:val="auto"/>
                      <w:spacing w:val="6"/>
                      <w:sz w:val="21"/>
                      <w:szCs w:val="21"/>
                      <w:lang w:val="en-US" w:eastAsia="zh-CN"/>
                    </w:rPr>
                    <w:t>）</w:t>
                  </w:r>
                  <w:r>
                    <w:rPr>
                      <w:rFonts w:hint="default" w:ascii="Times New Roman" w:hAnsi="Times New Roman" w:eastAsia="宋体" w:cs="Times New Roman"/>
                      <w:b w:val="0"/>
                      <w:bCs w:val="0"/>
                      <w:color w:val="auto"/>
                      <w:spacing w:val="6"/>
                      <w:sz w:val="21"/>
                      <w:szCs w:val="21"/>
                      <w:lang w:val="en-US" w:eastAsia="zh-CN"/>
                    </w:rPr>
                    <w:t>筑物，履行恢复责任</w:t>
                  </w:r>
                  <w:r>
                    <w:rPr>
                      <w:rFonts w:hint="default" w:ascii="Times New Roman" w:hAnsi="Times New Roman" w:eastAsia="宋体" w:cs="Times New Roman"/>
                      <w:b w:val="0"/>
                      <w:bCs w:val="0"/>
                      <w:color w:val="auto"/>
                      <w:spacing w:val="6"/>
                      <w:kern w:val="0"/>
                      <w:sz w:val="21"/>
                      <w:szCs w:val="21"/>
                      <w:lang w:val="en-US" w:eastAsia="zh-CN" w:bidi="ar-SA"/>
                    </w:rPr>
                    <w:t>。</w:t>
                  </w:r>
                </w:p>
              </w:tc>
              <w:tc>
                <w:tcPr>
                  <w:tcW w:w="716" w:type="pct"/>
                  <w:tcBorders>
                    <w:tl2br w:val="nil"/>
                    <w:tr2bl w:val="nil"/>
                  </w:tcBorders>
                  <w:vAlign w:val="center"/>
                </w:tcPr>
                <w:p w14:paraId="0C1A7ADA">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6"/>
                      <w:kern w:val="0"/>
                      <w:sz w:val="21"/>
                      <w:szCs w:val="21"/>
                      <w:lang w:val="en-US" w:eastAsia="zh-CN" w:bidi="ar-SA"/>
                    </w:rPr>
                  </w:pPr>
                  <w:r>
                    <w:rPr>
                      <w:rFonts w:hint="default" w:ascii="Times New Roman" w:hAnsi="Times New Roman" w:eastAsia="宋体" w:cs="Times New Roman"/>
                      <w:b w:val="0"/>
                      <w:bCs w:val="0"/>
                      <w:color w:val="auto"/>
                      <w:spacing w:val="6"/>
                      <w:kern w:val="0"/>
                      <w:sz w:val="21"/>
                      <w:szCs w:val="21"/>
                      <w:lang w:val="en-US" w:eastAsia="zh-CN" w:bidi="ar-SA"/>
                    </w:rPr>
                    <w:t>符合</w:t>
                  </w:r>
                </w:p>
              </w:tc>
            </w:tr>
          </w:tbl>
          <w:p w14:paraId="39262C7F">
            <w:pPr>
              <w:keepNext w:val="0"/>
              <w:keepLines w:val="0"/>
              <w:pageBreakBefore w:val="0"/>
              <w:widowControl w:val="0"/>
              <w:numPr>
                <w:ilvl w:val="0"/>
                <w:numId w:val="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与“水利建设项目（灌区工程）环境影响评价文件”相关政策符合性分析</w:t>
            </w:r>
          </w:p>
          <w:p w14:paraId="1DA24B7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根据2018年7月21日环境保护部办公厅印发的《水利建设项目（灌区工程）环境影响评价文件审批原则（试行）》，本项目与其符合性分析见下表。</w:t>
            </w:r>
          </w:p>
          <w:p w14:paraId="5B27BE47">
            <w:pPr>
              <w:pStyle w:val="4"/>
              <w:keepNext/>
              <w:keepLines/>
              <w:pageBreakBefore w:val="0"/>
              <w:widowControl/>
              <w:numPr>
                <w:ilvl w:val="2"/>
                <w:numId w:val="0"/>
              </w:numPr>
              <w:kinsoku/>
              <w:wordWrap/>
              <w:overflowPunct/>
              <w:topLinePunct w:val="0"/>
              <w:autoSpaceDE/>
              <w:autoSpaceDN/>
              <w:bidi w:val="0"/>
              <w:adjustRightInd w:val="0"/>
              <w:snapToGrid w:val="0"/>
              <w:spacing w:before="0" w:beforeLines="-2147483648" w:beforeAutospacing="0" w:after="0" w:afterLines="-2147483648" w:afterAutospacing="0" w:line="360" w:lineRule="auto"/>
              <w:ind w:leftChars="0"/>
              <w:jc w:val="center"/>
              <w:textAlignment w:val="auto"/>
              <w:outlineLvl w:val="9"/>
              <w:rPr>
                <w:rFonts w:hint="default" w:ascii="Times New Roman" w:hAnsi="Times New Roman" w:eastAsia="宋体" w:cs="Times New Roman"/>
                <w:color w:val="auto"/>
                <w:kern w:val="0"/>
                <w:sz w:val="24"/>
                <w:szCs w:val="24"/>
                <w:highlight w:val="none"/>
                <w:vertAlign w:val="baseline"/>
                <w:lang w:val="en-US" w:eastAsia="zh-CN"/>
              </w:rPr>
            </w:pPr>
            <w:r>
              <w:rPr>
                <w:rFonts w:hint="default" w:ascii="Times New Roman" w:hAnsi="Times New Roman" w:eastAsia="宋体" w:cs="Times New Roman"/>
                <w:color w:val="auto"/>
                <w:kern w:val="0"/>
                <w:sz w:val="24"/>
                <w:szCs w:val="24"/>
                <w:highlight w:val="none"/>
                <w:vertAlign w:val="baseline"/>
                <w:lang w:val="en-US" w:eastAsia="zh-CN"/>
              </w:rPr>
              <w:t>表1-</w:t>
            </w:r>
            <w:r>
              <w:rPr>
                <w:rFonts w:hint="eastAsia" w:cs="Times New Roman"/>
                <w:color w:val="auto"/>
                <w:kern w:val="0"/>
                <w:sz w:val="24"/>
                <w:szCs w:val="24"/>
                <w:highlight w:val="none"/>
                <w:vertAlign w:val="baseline"/>
                <w:lang w:val="en-US" w:eastAsia="zh-CN"/>
              </w:rPr>
              <w:t>3</w:t>
            </w:r>
            <w:r>
              <w:rPr>
                <w:rFonts w:hint="default" w:ascii="Times New Roman" w:hAnsi="Times New Roman" w:eastAsia="宋体" w:cs="Times New Roman"/>
                <w:color w:val="auto"/>
                <w:kern w:val="0"/>
                <w:sz w:val="24"/>
                <w:szCs w:val="24"/>
                <w:highlight w:val="none"/>
                <w:vertAlign w:val="baseline"/>
                <w:lang w:val="en-US" w:eastAsia="zh-CN"/>
              </w:rPr>
              <w:t>水利建设项目环境影响评价文件审批原则符合性对照表</w:t>
            </w:r>
          </w:p>
          <w:tbl>
            <w:tblPr>
              <w:tblStyle w:val="3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3574"/>
              <w:gridCol w:w="2103"/>
              <w:gridCol w:w="908"/>
            </w:tblGrid>
            <w:tr w14:paraId="3A672B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0879FF8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序号</w:t>
                  </w:r>
                </w:p>
              </w:tc>
              <w:tc>
                <w:tcPr>
                  <w:tcW w:w="3574" w:type="dxa"/>
                  <w:tcBorders>
                    <w:tl2br w:val="nil"/>
                    <w:tr2bl w:val="nil"/>
                  </w:tcBorders>
                  <w:vAlign w:val="center"/>
                </w:tcPr>
                <w:p w14:paraId="46A5A75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水利工程环境影响评价文件审批原则相关要求</w:t>
                  </w:r>
                </w:p>
              </w:tc>
              <w:tc>
                <w:tcPr>
                  <w:tcW w:w="2103" w:type="dxa"/>
                  <w:tcBorders>
                    <w:tl2br w:val="nil"/>
                    <w:tr2bl w:val="nil"/>
                  </w:tcBorders>
                  <w:vAlign w:val="center"/>
                </w:tcPr>
                <w:p w14:paraId="27B0DDC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本工程</w:t>
                  </w:r>
                </w:p>
              </w:tc>
              <w:tc>
                <w:tcPr>
                  <w:tcW w:w="908" w:type="dxa"/>
                  <w:tcBorders>
                    <w:tl2br w:val="nil"/>
                    <w:tr2bl w:val="nil"/>
                  </w:tcBorders>
                  <w:vAlign w:val="center"/>
                </w:tcPr>
                <w:p w14:paraId="60100AC0">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符合性</w:t>
                  </w:r>
                </w:p>
              </w:tc>
            </w:tr>
            <w:tr w14:paraId="7EC314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4CE97CB7">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3574" w:type="dxa"/>
                  <w:tcBorders>
                    <w:tl2br w:val="nil"/>
                    <w:tr2bl w:val="nil"/>
                  </w:tcBorders>
                  <w:vAlign w:val="center"/>
                </w:tcPr>
                <w:p w14:paraId="1ED2B9E3">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第二条</w:t>
                  </w:r>
                  <w:r>
                    <w:rPr>
                      <w:rFonts w:hint="default" w:ascii="Times New Roman" w:hAnsi="Times New Roman" w:eastAsia="宋体" w:cs="Times New Roman"/>
                      <w:color w:val="auto"/>
                      <w:sz w:val="21"/>
                      <w:szCs w:val="21"/>
                      <w:vertAlign w:val="baseline"/>
                      <w:lang w:val="en-US" w:eastAsia="zh-CN"/>
                    </w:rPr>
                    <w:t>项目符合生态环境及资源相关法律法规和政策要求，与主体功能区规划、生态功能区划、水（环境）功能区划、水污染防治规划、生态环境保护规划等相协调，项目开发任务、供水量、供水范围和对象、灌区规模、种植结构等主要内容总体符合流域区域综合规划、水资源规划、灌区规划、农业生产规划、节水规划等相关规划及规划环评要求。</w:t>
                  </w:r>
                </w:p>
                <w:p w14:paraId="7769AADF">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项目水资源开发利用符合以水定产、以水定地原则，未超出流域区域水资源利用上限，灌溉定额、灌溉用水保证率、灌溉水有效利用系数满足流域区域用水效率控制要求。</w:t>
                  </w:r>
                </w:p>
              </w:tc>
              <w:tc>
                <w:tcPr>
                  <w:tcW w:w="2103" w:type="dxa"/>
                  <w:tcBorders>
                    <w:tl2br w:val="nil"/>
                    <w:tr2bl w:val="nil"/>
                  </w:tcBorders>
                  <w:vAlign w:val="center"/>
                </w:tcPr>
                <w:p w14:paraId="79F45D2A">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本次工程主要对灌区老旧渠道进行防渗改建，配套建设渠系建筑物，项目符合相关法律法规和政策要求，与主体功能区规划相协调，项目区不涉及敏感保护区，项目占地为</w:t>
                  </w:r>
                  <w:r>
                    <w:rPr>
                      <w:rFonts w:hint="eastAsia" w:ascii="Times New Roman" w:cs="Times New Roman"/>
                      <w:color w:val="auto"/>
                      <w:sz w:val="21"/>
                      <w:szCs w:val="21"/>
                      <w:vertAlign w:val="baseline"/>
                      <w:lang w:val="en-US" w:eastAsia="zh-CN"/>
                    </w:rPr>
                    <w:t>水域及水利设施用地</w:t>
                  </w:r>
                  <w:r>
                    <w:rPr>
                      <w:rFonts w:hint="default" w:ascii="Times New Roman" w:hAnsi="Times New Roman" w:eastAsia="宋体" w:cs="Times New Roman"/>
                      <w:color w:val="auto"/>
                      <w:sz w:val="21"/>
                      <w:szCs w:val="21"/>
                      <w:vertAlign w:val="baseline"/>
                      <w:lang w:val="en-US" w:eastAsia="zh-CN"/>
                    </w:rPr>
                    <w:t>，没有改变其用地性质，基本符合生态功能区划。</w:t>
                  </w:r>
                </w:p>
              </w:tc>
              <w:tc>
                <w:tcPr>
                  <w:tcW w:w="908" w:type="dxa"/>
                  <w:tcBorders>
                    <w:tl2br w:val="nil"/>
                    <w:tr2bl w:val="nil"/>
                  </w:tcBorders>
                  <w:vAlign w:val="center"/>
                </w:tcPr>
                <w:p w14:paraId="5053A25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63A882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4393751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3574" w:type="dxa"/>
                  <w:tcBorders>
                    <w:tl2br w:val="nil"/>
                    <w:tr2bl w:val="nil"/>
                  </w:tcBorders>
                  <w:vAlign w:val="center"/>
                </w:tcPr>
                <w:p w14:paraId="5EA2CDAF">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第三条</w:t>
                  </w:r>
                  <w:r>
                    <w:rPr>
                      <w:rFonts w:hint="default" w:ascii="Times New Roman" w:hAnsi="Times New Roman" w:eastAsia="宋体" w:cs="Times New Roman"/>
                      <w:color w:val="auto"/>
                      <w:sz w:val="21"/>
                      <w:szCs w:val="21"/>
                      <w:vertAlign w:val="baseline"/>
                      <w:lang w:val="en-US" w:eastAsia="zh-CN"/>
                    </w:rPr>
                    <w:t>项目选址选线、取（蓄）水工程淹没、施工布置等不占用自然保护区、风景名胜区、世界文化和自然遗产地以及其他生态保护红线中法律法规禁止占用的区域，并与饮用水水源保护区、重要湿地等环境敏感区的保护要求相协调。</w:t>
                  </w:r>
                </w:p>
              </w:tc>
              <w:tc>
                <w:tcPr>
                  <w:tcW w:w="2103" w:type="dxa"/>
                  <w:tcBorders>
                    <w:tl2br w:val="nil"/>
                    <w:tr2bl w:val="nil"/>
                  </w:tcBorders>
                  <w:vAlign w:val="center"/>
                </w:tcPr>
                <w:p w14:paraId="279D1100">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本项目建设改善配水、用水条件的同时大幅度改善人居环境状况，有利于进一步提高灌区农业生产力。项目不涉及敏感保护区，运营期不产生污染物，项目永久占地均为于</w:t>
                  </w:r>
                  <w:r>
                    <w:rPr>
                      <w:rFonts w:hint="eastAsia" w:ascii="Times New Roman" w:cs="Times New Roman"/>
                      <w:color w:val="auto"/>
                      <w:sz w:val="21"/>
                      <w:szCs w:val="21"/>
                      <w:vertAlign w:val="baseline"/>
                      <w:lang w:val="en-US" w:eastAsia="zh-CN"/>
                    </w:rPr>
                    <w:t>水域及水利设施用地</w:t>
                  </w:r>
                  <w:r>
                    <w:rPr>
                      <w:rFonts w:hint="default" w:ascii="Times New Roman" w:hAnsi="Times New Roman" w:eastAsia="宋体" w:cs="Times New Roman"/>
                      <w:color w:val="auto"/>
                      <w:sz w:val="21"/>
                      <w:szCs w:val="21"/>
                      <w:vertAlign w:val="baseline"/>
                      <w:lang w:val="en-US" w:eastAsia="zh-CN"/>
                    </w:rPr>
                    <w:t>和</w:t>
                  </w:r>
                  <w:r>
                    <w:rPr>
                      <w:rFonts w:hint="eastAsia" w:ascii="Times New Roman" w:cs="Times New Roman"/>
                      <w:color w:val="auto"/>
                      <w:sz w:val="21"/>
                      <w:szCs w:val="21"/>
                      <w:vertAlign w:val="baseline"/>
                      <w:lang w:val="en-US" w:eastAsia="zh-CN"/>
                    </w:rPr>
                    <w:t>裸土地</w:t>
                  </w:r>
                  <w:r>
                    <w:rPr>
                      <w:rFonts w:hint="default" w:ascii="Times New Roman" w:hAnsi="Times New Roman" w:eastAsia="宋体" w:cs="Times New Roman"/>
                      <w:color w:val="auto"/>
                      <w:sz w:val="21"/>
                      <w:szCs w:val="21"/>
                      <w:vertAlign w:val="baseline"/>
                      <w:lang w:val="en-US" w:eastAsia="zh-CN"/>
                    </w:rPr>
                    <w:t>。</w:t>
                  </w:r>
                </w:p>
              </w:tc>
              <w:tc>
                <w:tcPr>
                  <w:tcW w:w="908" w:type="dxa"/>
                  <w:tcBorders>
                    <w:tl2br w:val="nil"/>
                    <w:tr2bl w:val="nil"/>
                  </w:tcBorders>
                  <w:vAlign w:val="center"/>
                </w:tcPr>
                <w:p w14:paraId="28697157">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44A001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25E63753">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w:t>
                  </w:r>
                </w:p>
              </w:tc>
              <w:tc>
                <w:tcPr>
                  <w:tcW w:w="3574" w:type="dxa"/>
                  <w:tcBorders>
                    <w:tl2br w:val="nil"/>
                    <w:tr2bl w:val="nil"/>
                  </w:tcBorders>
                  <w:vAlign w:val="center"/>
                </w:tcPr>
                <w:p w14:paraId="13891E63">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第四条</w:t>
                  </w:r>
                  <w:r>
                    <w:rPr>
                      <w:rFonts w:hint="default" w:ascii="Times New Roman" w:hAnsi="Times New Roman" w:eastAsia="宋体" w:cs="Times New Roman"/>
                      <w:color w:val="auto"/>
                      <w:sz w:val="21"/>
                      <w:szCs w:val="21"/>
                      <w:vertAlign w:val="baseline"/>
                      <w:lang w:val="en-US" w:eastAsia="zh-CN"/>
                    </w:rPr>
                    <w:t>项目取（蓄）水造成河、湖或水库水文情势改变且带来不利影响的，统筹考虑了上、下游河道水环境、水生生态、景观、湿地等生态用水及生产、生活用水需求，提出了优化取水方案、泄放生态流量、实施在线监控等措施。通过节水、置换等措施获得供水水量的，用水方式和规模具有环境合理性和可行性。</w:t>
                  </w:r>
                </w:p>
                <w:p w14:paraId="01C4572D">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采取上述措施后，未造成河道脱水，河道生态环境及生产、生活用水需求能够得到满足。</w:t>
                  </w:r>
                </w:p>
              </w:tc>
              <w:tc>
                <w:tcPr>
                  <w:tcW w:w="2103" w:type="dxa"/>
                  <w:tcBorders>
                    <w:tl2br w:val="nil"/>
                    <w:tr2bl w:val="nil"/>
                  </w:tcBorders>
                  <w:vAlign w:val="center"/>
                </w:tcPr>
                <w:p w14:paraId="11967EB3">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本工程实施不会改变水动力条件或水文过程，不改变其用地性质。</w:t>
                  </w:r>
                </w:p>
              </w:tc>
              <w:tc>
                <w:tcPr>
                  <w:tcW w:w="908" w:type="dxa"/>
                  <w:tcBorders>
                    <w:tl2br w:val="nil"/>
                    <w:tr2bl w:val="nil"/>
                  </w:tcBorders>
                  <w:vAlign w:val="center"/>
                </w:tcPr>
                <w:p w14:paraId="200D5C02">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56AA9F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5C1C5C1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w:t>
                  </w:r>
                </w:p>
              </w:tc>
              <w:tc>
                <w:tcPr>
                  <w:tcW w:w="3574" w:type="dxa"/>
                  <w:tcBorders>
                    <w:tl2br w:val="nil"/>
                    <w:tr2bl w:val="nil"/>
                  </w:tcBorders>
                  <w:vAlign w:val="center"/>
                </w:tcPr>
                <w:p w14:paraId="53347BFD">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第五条</w:t>
                  </w:r>
                  <w:r>
                    <w:rPr>
                      <w:rFonts w:hint="default" w:ascii="Times New Roman" w:hAnsi="Times New Roman" w:eastAsia="宋体" w:cs="Times New Roman"/>
                      <w:color w:val="auto"/>
                      <w:sz w:val="21"/>
                      <w:szCs w:val="21"/>
                      <w:vertAlign w:val="baseline"/>
                      <w:lang w:val="en-US" w:eastAsia="zh-CN"/>
                    </w:rPr>
                    <w:t>项目取（蓄）水、输水或灌溉造成周边区域地下水位变化，引起土壤潜育化、沼泽化、盐碱化、沙化或植</w:t>
                  </w:r>
                </w:p>
                <w:p w14:paraId="066E8F5E">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被退化演替等次生环境问题或造成居民水井、泉水位下降影响居民用水安全的，提出了优化取（蓄）水方案及灌溉方式、渠道防渗、截水导排、生态修复或保障居民供水等措施。灌区土壤存在重金属污染等威胁农产品质量安全问题的，按照土壤环境管理的有关要求，提出了农艺调控、种植结构优化、耕地污染修复、灌溉水源调整或休耕等措施。</w:t>
                  </w:r>
                </w:p>
                <w:p w14:paraId="6BC6E12F">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采取上述措施后，对地下水、土壤和植被的次生环境影响能够得到缓解和控制，居民用水和农产品质量安全能够得到保障。</w:t>
                  </w:r>
                </w:p>
              </w:tc>
              <w:tc>
                <w:tcPr>
                  <w:tcW w:w="2103" w:type="dxa"/>
                  <w:tcBorders>
                    <w:tl2br w:val="nil"/>
                    <w:tr2bl w:val="nil"/>
                  </w:tcBorders>
                  <w:vAlign w:val="center"/>
                </w:tcPr>
                <w:p w14:paraId="3188FC14">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本项目的实施可减少沿渠水土流失，减少淤积灾</w:t>
                  </w:r>
                </w:p>
                <w:p w14:paraId="123FF873">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害，有利于提高灌区的引水条件，提</w:t>
                  </w:r>
                </w:p>
                <w:p w14:paraId="38044BE2">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高输水效率；有效控制地下水位及土壤盐碱化程度。项目施工期避开暴雨洪水季节，项目区无鱼类等水生生物的洄游通道及“三场”等重要生境，项目建设不会对物种多样性及资源量等产生不利影响。</w:t>
                  </w:r>
                </w:p>
              </w:tc>
              <w:tc>
                <w:tcPr>
                  <w:tcW w:w="908" w:type="dxa"/>
                  <w:tcBorders>
                    <w:tl2br w:val="nil"/>
                    <w:tr2bl w:val="nil"/>
                  </w:tcBorders>
                  <w:vAlign w:val="center"/>
                </w:tcPr>
                <w:p w14:paraId="570B2C5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33A88A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783D736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w:t>
                  </w:r>
                </w:p>
              </w:tc>
              <w:tc>
                <w:tcPr>
                  <w:tcW w:w="3574" w:type="dxa"/>
                  <w:tcBorders>
                    <w:tl2br w:val="nil"/>
                    <w:tr2bl w:val="nil"/>
                  </w:tcBorders>
                  <w:vAlign w:val="center"/>
                </w:tcPr>
                <w:p w14:paraId="37EC9CEF">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第六条</w:t>
                  </w:r>
                  <w:r>
                    <w:rPr>
                      <w:rFonts w:hint="default" w:ascii="Times New Roman" w:hAnsi="Times New Roman" w:eastAsia="宋体" w:cs="Times New Roman"/>
                      <w:color w:val="auto"/>
                      <w:sz w:val="21"/>
                      <w:szCs w:val="21"/>
                      <w:vertAlign w:val="baseline"/>
                      <w:lang w:val="en-US" w:eastAsia="zh-CN"/>
                    </w:rPr>
                    <w:t>项目取（输）水水质、水温满足灌溉水质和农作物生长要求。项目灌区农药化肥施用以及灌溉退水等对水</w:t>
                  </w:r>
                </w:p>
                <w:p w14:paraId="37927EAE">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环境造成污染的，提出了测土配方施肥、水肥一体化、控制农药与化肥施用种类及数量，以及建设生态沟渠、人工湿地、污水净化塘等措施。</w:t>
                  </w:r>
                </w:p>
              </w:tc>
              <w:tc>
                <w:tcPr>
                  <w:tcW w:w="2103" w:type="dxa"/>
                  <w:tcBorders>
                    <w:tl2br w:val="nil"/>
                    <w:tr2bl w:val="nil"/>
                  </w:tcBorders>
                  <w:vAlign w:val="center"/>
                </w:tcPr>
                <w:p w14:paraId="572D817B">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本项目不涉及农药化肥的使用。</w:t>
                  </w:r>
                </w:p>
              </w:tc>
              <w:tc>
                <w:tcPr>
                  <w:tcW w:w="908" w:type="dxa"/>
                  <w:tcBorders>
                    <w:tl2br w:val="nil"/>
                    <w:tr2bl w:val="nil"/>
                  </w:tcBorders>
                  <w:vAlign w:val="center"/>
                </w:tcPr>
                <w:p w14:paraId="0B05BD35">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77D235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7BDCE0B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6</w:t>
                  </w:r>
                </w:p>
              </w:tc>
              <w:tc>
                <w:tcPr>
                  <w:tcW w:w="3574" w:type="dxa"/>
                  <w:tcBorders>
                    <w:tl2br w:val="nil"/>
                    <w:tr2bl w:val="nil"/>
                  </w:tcBorders>
                  <w:vAlign w:val="center"/>
                </w:tcPr>
                <w:p w14:paraId="3FC60F0D">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第七条</w:t>
                  </w:r>
                  <w:r>
                    <w:rPr>
                      <w:rFonts w:hint="default" w:ascii="Times New Roman" w:hAnsi="Times New Roman" w:eastAsia="宋体" w:cs="Times New Roman"/>
                      <w:color w:val="auto"/>
                      <w:sz w:val="21"/>
                      <w:szCs w:val="21"/>
                      <w:vertAlign w:val="baseline"/>
                      <w:lang w:val="en-US" w:eastAsia="zh-CN"/>
                    </w:rPr>
                    <w:t>项目对湿地、陆生生态系统及珍稀保护陆生动植物造成不利影响的，提出了优化工程设计、合理安排工期、建设或保留动物迁移通道、异地保护、就地保护、生态修复等措施。可能引起灌区及周边土地退化的，提出了轮作、休耕等措施。项目对水生生态系统及鱼类等造成不利影响的，提出了优化工程设计及调度、拦河闸坝建设过鱼设施、引水渠首设置拦鱼设施、栖息地保</w:t>
                  </w:r>
                </w:p>
                <w:p w14:paraId="7A355293">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护修复、增殖放流等措施。项目对景观产生不利影响的，提出了避让、优化设计、景观塑造等措施。</w:t>
                  </w:r>
                </w:p>
              </w:tc>
              <w:tc>
                <w:tcPr>
                  <w:tcW w:w="2103" w:type="dxa"/>
                  <w:tcBorders>
                    <w:tl2br w:val="nil"/>
                    <w:tr2bl w:val="nil"/>
                  </w:tcBorders>
                  <w:vAlign w:val="center"/>
                </w:tcPr>
                <w:p w14:paraId="6F21FD65">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本项目占地为</w:t>
                  </w:r>
                  <w:r>
                    <w:rPr>
                      <w:rFonts w:hint="eastAsia" w:ascii="Times New Roman" w:cs="Times New Roman"/>
                      <w:color w:val="auto"/>
                      <w:sz w:val="21"/>
                      <w:szCs w:val="21"/>
                      <w:vertAlign w:val="baseline"/>
                      <w:lang w:val="en-US" w:eastAsia="zh-CN"/>
                    </w:rPr>
                    <w:t>水域及水利设施用地</w:t>
                  </w:r>
                  <w:r>
                    <w:rPr>
                      <w:rFonts w:hint="default" w:ascii="Times New Roman" w:hAnsi="Times New Roman" w:eastAsia="宋体" w:cs="Times New Roman"/>
                      <w:color w:val="auto"/>
                      <w:sz w:val="21"/>
                      <w:szCs w:val="21"/>
                      <w:vertAlign w:val="baseline"/>
                      <w:lang w:val="en-US" w:eastAsia="zh-CN"/>
                    </w:rPr>
                    <w:t>和</w:t>
                  </w:r>
                  <w:r>
                    <w:rPr>
                      <w:rFonts w:hint="eastAsia" w:ascii="Times New Roman" w:cs="Times New Roman"/>
                      <w:color w:val="auto"/>
                      <w:sz w:val="21"/>
                      <w:szCs w:val="21"/>
                      <w:vertAlign w:val="baseline"/>
                      <w:lang w:val="en-US" w:eastAsia="zh-CN"/>
                    </w:rPr>
                    <w:t>裸土地</w:t>
                  </w:r>
                  <w:r>
                    <w:rPr>
                      <w:rFonts w:hint="default" w:ascii="Times New Roman" w:hAnsi="Times New Roman" w:eastAsia="宋体" w:cs="Times New Roman"/>
                      <w:color w:val="auto"/>
                      <w:sz w:val="21"/>
                      <w:szCs w:val="21"/>
                      <w:vertAlign w:val="baseline"/>
                      <w:lang w:val="en-US" w:eastAsia="zh-CN"/>
                    </w:rPr>
                    <w:t>。项目施工在停水期突击抢修，施工产生的废水妥善处理，不外排，固体废物及时清运，妥善处置。项目施工期短，不会对周边生态造成不利影响。施工作业完成后对临时占地进行土地平整、植被恢复，项目对景观产生的影响较小。</w:t>
                  </w:r>
                </w:p>
              </w:tc>
              <w:tc>
                <w:tcPr>
                  <w:tcW w:w="908" w:type="dxa"/>
                  <w:tcBorders>
                    <w:tl2br w:val="nil"/>
                    <w:tr2bl w:val="nil"/>
                  </w:tcBorders>
                  <w:vAlign w:val="center"/>
                </w:tcPr>
                <w:p w14:paraId="59372598">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34CB82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633411D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w:t>
                  </w:r>
                </w:p>
              </w:tc>
              <w:tc>
                <w:tcPr>
                  <w:tcW w:w="3574" w:type="dxa"/>
                  <w:tcBorders>
                    <w:tl2br w:val="nil"/>
                    <w:tr2bl w:val="nil"/>
                  </w:tcBorders>
                  <w:vAlign w:val="center"/>
                </w:tcPr>
                <w:p w14:paraId="16698D8E">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第八条</w:t>
                  </w:r>
                  <w:r>
                    <w:rPr>
                      <w:rFonts w:hint="default" w:ascii="Times New Roman" w:hAnsi="Times New Roman" w:eastAsia="宋体" w:cs="Times New Roman"/>
                      <w:color w:val="auto"/>
                      <w:sz w:val="21"/>
                      <w:szCs w:val="21"/>
                      <w:vertAlign w:val="baseline"/>
                      <w:lang w:val="en-US" w:eastAsia="zh-CN"/>
                    </w:rPr>
                    <w:t>项目移民安置、专业项目改复建等工程建设方式和选址具有环境合理性，提出了生态保护和污染防治措施。另行立项的，提出了单独开展环境影响评价要求。</w:t>
                  </w:r>
                </w:p>
              </w:tc>
              <w:tc>
                <w:tcPr>
                  <w:tcW w:w="2103" w:type="dxa"/>
                  <w:tcBorders>
                    <w:tl2br w:val="nil"/>
                    <w:tr2bl w:val="nil"/>
                  </w:tcBorders>
                  <w:vAlign w:val="center"/>
                </w:tcPr>
                <w:p w14:paraId="2281022F">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本项目不涉及移民安置。</w:t>
                  </w:r>
                </w:p>
              </w:tc>
              <w:tc>
                <w:tcPr>
                  <w:tcW w:w="908" w:type="dxa"/>
                  <w:tcBorders>
                    <w:tl2br w:val="nil"/>
                    <w:tr2bl w:val="nil"/>
                  </w:tcBorders>
                  <w:vAlign w:val="center"/>
                </w:tcPr>
                <w:p w14:paraId="60018C4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67872A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735C9575">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8</w:t>
                  </w:r>
                </w:p>
              </w:tc>
              <w:tc>
                <w:tcPr>
                  <w:tcW w:w="3574" w:type="dxa"/>
                  <w:tcBorders>
                    <w:tl2br w:val="nil"/>
                    <w:tr2bl w:val="nil"/>
                  </w:tcBorders>
                  <w:vAlign w:val="center"/>
                </w:tcPr>
                <w:p w14:paraId="2F3F09BC">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第九条</w:t>
                  </w:r>
                  <w:r>
                    <w:rPr>
                      <w:rFonts w:hint="default" w:ascii="Times New Roman" w:hAnsi="Times New Roman" w:eastAsia="宋体" w:cs="Times New Roman"/>
                      <w:color w:val="auto"/>
                      <w:sz w:val="21"/>
                      <w:szCs w:val="21"/>
                      <w:vertAlign w:val="baseline"/>
                      <w:lang w:val="en-US" w:eastAsia="zh-CN"/>
                    </w:rPr>
                    <w:t>项目施工组织方案具有环境合理性，对主体工程区、料场、弃土（渣）场、施工道路等施工区域提出了水土流失防治、生态修复等措施。根据环境保护相关标准和要求，提出了施工期废（污）水、施工机械车辆尾气、扬尘、噪声、固体废物等防治措施。</w:t>
                  </w:r>
                </w:p>
              </w:tc>
              <w:tc>
                <w:tcPr>
                  <w:tcW w:w="2103" w:type="dxa"/>
                  <w:tcBorders>
                    <w:tl2br w:val="nil"/>
                    <w:tr2bl w:val="nil"/>
                  </w:tcBorders>
                  <w:vAlign w:val="center"/>
                </w:tcPr>
                <w:p w14:paraId="72E09D59">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项目施工扬尘采取洒水抑尘、分段施工、进出场车辆苫盖；选择符合排放标准的施工机械，加强车辆及机械设备维护保养，减少尾气排放；</w:t>
                  </w:r>
                  <w:r>
                    <w:rPr>
                      <w:rFonts w:hint="eastAsia" w:ascii="Times New Roman" w:cs="Times New Roman"/>
                      <w:color w:val="auto"/>
                      <w:sz w:val="21"/>
                      <w:szCs w:val="21"/>
                      <w:vertAlign w:val="baseline"/>
                      <w:lang w:val="en-US" w:eastAsia="zh-CN"/>
                    </w:rPr>
                    <w:t>临时</w:t>
                  </w:r>
                  <w:r>
                    <w:rPr>
                      <w:rFonts w:hint="default" w:ascii="Times New Roman" w:hAnsi="Times New Roman" w:eastAsia="宋体" w:cs="Times New Roman"/>
                      <w:color w:val="auto"/>
                      <w:sz w:val="21"/>
                      <w:szCs w:val="21"/>
                      <w:vertAlign w:val="baseline"/>
                      <w:lang w:val="en-US" w:eastAsia="zh-CN"/>
                    </w:rPr>
                    <w:t>拌合机的骨料仓封闭，砂石骨料定期洒水润湿，上料过程产生的粉尘采用仓顶自带袋式除尘器除尘后</w:t>
                  </w:r>
                  <w:r>
                    <w:rPr>
                      <w:rFonts w:hint="eastAsia" w:ascii="Times New Roman" w:cs="Times New Roman"/>
                      <w:color w:val="auto"/>
                      <w:sz w:val="21"/>
                      <w:szCs w:val="21"/>
                      <w:vertAlign w:val="baseline"/>
                      <w:lang w:val="en-US" w:eastAsia="zh-CN"/>
                    </w:rPr>
                    <w:t>有</w:t>
                  </w:r>
                  <w:r>
                    <w:rPr>
                      <w:rFonts w:hint="default" w:ascii="Times New Roman" w:hAnsi="Times New Roman" w:eastAsia="宋体" w:cs="Times New Roman"/>
                      <w:color w:val="auto"/>
                      <w:sz w:val="21"/>
                      <w:szCs w:val="21"/>
                      <w:vertAlign w:val="baseline"/>
                      <w:lang w:val="en-US" w:eastAsia="zh-CN"/>
                    </w:rPr>
                    <w:t>组织排放。施工人员的生活污水依托村镇民房已建污水管道排入村镇污水处理设施处理；施工区设立移动环保厕所，产生的粪便污水定时委托环卫部门处理；施工期的设备冲洗废水经沉淀池沉淀后用于施工区洒水抑尘。噪声采取加强管理、优化施工方案、采用低噪声设备，避免高噪声设备夜间施工等措施。建筑垃圾、渠道建筑物拆除物能回收利用的尽可能回收利用，不能回收利用的建筑垃圾和沉淀池泥沙运往就近的建筑垃圾填埋场处置；弃方就近堆放在渠道两侧，施工完毕后用于项目区渠堤培高；施工人员所产生的生活垃圾收集后由环卫部门统一清运至奇台县</w:t>
                  </w:r>
                </w:p>
                <w:p w14:paraId="762AA661">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生活垃圾填埋场填埋处理。在采取上述措施后，施工期的不利环境影响能够得到缓解和控制，对周围环境和敏感保护目标造成的影响较小。</w:t>
                  </w:r>
                </w:p>
              </w:tc>
              <w:tc>
                <w:tcPr>
                  <w:tcW w:w="908" w:type="dxa"/>
                  <w:tcBorders>
                    <w:tl2br w:val="nil"/>
                    <w:tr2bl w:val="nil"/>
                  </w:tcBorders>
                  <w:vAlign w:val="center"/>
                </w:tcPr>
                <w:p w14:paraId="1FE397B2">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4F87DA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401BF3E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9</w:t>
                  </w:r>
                </w:p>
              </w:tc>
              <w:tc>
                <w:tcPr>
                  <w:tcW w:w="3574" w:type="dxa"/>
                  <w:tcBorders>
                    <w:tl2br w:val="nil"/>
                    <w:tr2bl w:val="nil"/>
                  </w:tcBorders>
                  <w:vAlign w:val="center"/>
                </w:tcPr>
                <w:p w14:paraId="0DC014F2">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第十条</w:t>
                  </w:r>
                  <w:r>
                    <w:rPr>
                      <w:rFonts w:hint="default" w:ascii="Times New Roman" w:hAnsi="Times New Roman" w:eastAsia="宋体" w:cs="Times New Roman"/>
                      <w:color w:val="auto"/>
                      <w:sz w:val="21"/>
                      <w:szCs w:val="21"/>
                      <w:vertAlign w:val="baseline"/>
                      <w:lang w:val="en-US" w:eastAsia="zh-CN"/>
                    </w:rPr>
                    <w:t>项目存在外来物种入侵以及灌溉水质污染等环境风险的，提出了针对性的环境风险防范措施以及环境应急预案编制、建立必要的应急联动机制等要求。</w:t>
                  </w:r>
                </w:p>
              </w:tc>
              <w:tc>
                <w:tcPr>
                  <w:tcW w:w="2103" w:type="dxa"/>
                  <w:tcBorders>
                    <w:tl2br w:val="nil"/>
                    <w:tr2bl w:val="nil"/>
                  </w:tcBorders>
                  <w:vAlign w:val="center"/>
                </w:tcPr>
                <w:p w14:paraId="4747365F">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项目运营期不产生污染物，不会对河流水质造成污染、富营养化和外来物种入侵。</w:t>
                  </w:r>
                </w:p>
              </w:tc>
              <w:tc>
                <w:tcPr>
                  <w:tcW w:w="908" w:type="dxa"/>
                  <w:tcBorders>
                    <w:tl2br w:val="nil"/>
                    <w:tr2bl w:val="nil"/>
                  </w:tcBorders>
                  <w:vAlign w:val="center"/>
                </w:tcPr>
                <w:p w14:paraId="2C747CAA">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70C7EC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79" w:type="dxa"/>
                  <w:tcBorders>
                    <w:tl2br w:val="nil"/>
                    <w:tr2bl w:val="nil"/>
                  </w:tcBorders>
                  <w:vAlign w:val="center"/>
                </w:tcPr>
                <w:p w14:paraId="1233F19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w:t>
                  </w:r>
                </w:p>
              </w:tc>
              <w:tc>
                <w:tcPr>
                  <w:tcW w:w="3574" w:type="dxa"/>
                  <w:tcBorders>
                    <w:tl2br w:val="nil"/>
                    <w:tr2bl w:val="nil"/>
                  </w:tcBorders>
                  <w:vAlign w:val="center"/>
                </w:tcPr>
                <w:p w14:paraId="3FDD46D4">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第十一条</w:t>
                  </w:r>
                  <w:r>
                    <w:rPr>
                      <w:rFonts w:hint="default" w:ascii="Times New Roman" w:hAnsi="Times New Roman" w:eastAsia="宋体" w:cs="Times New Roman"/>
                      <w:color w:val="auto"/>
                      <w:sz w:val="21"/>
                      <w:szCs w:val="21"/>
                      <w:vertAlign w:val="baseline"/>
                      <w:lang w:val="en-US" w:eastAsia="zh-CN"/>
                    </w:rPr>
                    <w:t>改、扩建或依托现有工程的项目，在全面梳理与项目有关的现有工程环境问题的基础上，提出了与项目相适应的“以新带老”措施。</w:t>
                  </w:r>
                </w:p>
              </w:tc>
              <w:tc>
                <w:tcPr>
                  <w:tcW w:w="2103" w:type="dxa"/>
                  <w:tcBorders>
                    <w:tl2br w:val="nil"/>
                    <w:tr2bl w:val="nil"/>
                  </w:tcBorders>
                  <w:vAlign w:val="center"/>
                </w:tcPr>
                <w:p w14:paraId="79105796">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项目原有渠道未进行防渗，灌区水利用系数总体偏低，水资源浪费严重，且易对支渠、斗渠造成淤积危害，导致渠道翻水、淤积现象经常出现。</w:t>
                  </w:r>
                </w:p>
                <w:p w14:paraId="22619591">
                  <w:pPr>
                    <w:pStyle w:val="25"/>
                    <w:keepNext w:val="0"/>
                    <w:keepLines w:val="0"/>
                    <w:pageBreakBefore w:val="0"/>
                    <w:widowControl w:val="0"/>
                    <w:kinsoku/>
                    <w:wordWrap/>
                    <w:overflowPunct/>
                    <w:topLinePunct w:val="0"/>
                    <w:autoSpaceDE w:val="0"/>
                    <w:autoSpaceDN w:val="0"/>
                    <w:bidi w:val="0"/>
                    <w:adjustRightInd w:val="0"/>
                    <w:snapToGrid/>
                    <w:ind w:left="0" w:firstLine="0"/>
                    <w:jc w:val="both"/>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现对本项目渠道进行防渗改建，提高水资源的利用率，减少渠道损失水量。</w:t>
                  </w:r>
                </w:p>
              </w:tc>
              <w:tc>
                <w:tcPr>
                  <w:tcW w:w="908" w:type="dxa"/>
                  <w:tcBorders>
                    <w:tl2br w:val="nil"/>
                    <w:tr2bl w:val="nil"/>
                  </w:tcBorders>
                  <w:vAlign w:val="center"/>
                </w:tcPr>
                <w:p w14:paraId="01D8D7BC">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bl>
          <w:p w14:paraId="20304D74">
            <w:pPr>
              <w:pStyle w:val="25"/>
              <w:rPr>
                <w:rFonts w:hint="default" w:ascii="Times New Roman" w:hAnsi="Times New Roman" w:eastAsia="宋体" w:cs="Times New Roman"/>
                <w:color w:val="auto"/>
                <w:lang w:val="en-US" w:eastAsia="zh-CN"/>
              </w:rPr>
            </w:pPr>
          </w:p>
        </w:tc>
      </w:tr>
    </w:tbl>
    <w:p w14:paraId="476FB7B6">
      <w:pPr>
        <w:spacing w:line="360" w:lineRule="auto"/>
        <w:outlineLvl w:val="9"/>
        <w:rPr>
          <w:rFonts w:hint="default" w:ascii="Times New Roman" w:hAnsi="Times New Roman" w:cs="Times New Roman"/>
          <w:color w:val="auto"/>
          <w:sz w:val="24"/>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6C03BAF0">
      <w:pPr>
        <w:pStyle w:val="28"/>
        <w:jc w:val="center"/>
        <w:outlineLvl w:val="0"/>
        <w:rPr>
          <w:rFonts w:hint="default" w:ascii="Times New Roman" w:hAnsi="Times New Roman" w:eastAsia="黑体" w:cs="Times New Roman"/>
          <w:snapToGrid w:val="0"/>
          <w:color w:val="auto"/>
          <w:sz w:val="30"/>
          <w:szCs w:val="30"/>
        </w:rPr>
      </w:pPr>
      <w:bookmarkStart w:id="13" w:name="_Toc21128"/>
      <w:bookmarkStart w:id="14" w:name="_Toc8175"/>
      <w:r>
        <w:rPr>
          <w:rFonts w:hint="default" w:ascii="Times New Roman" w:hAnsi="Times New Roman" w:eastAsia="黑体" w:cs="Times New Roman"/>
          <w:snapToGrid w:val="0"/>
          <w:color w:val="auto"/>
          <w:sz w:val="30"/>
          <w:szCs w:val="30"/>
        </w:rPr>
        <w:t>二、建设内容</w:t>
      </w:r>
      <w:bookmarkEnd w:id="13"/>
      <w:bookmarkEnd w:id="14"/>
    </w:p>
    <w:tbl>
      <w:tblPr>
        <w:tblStyle w:val="3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067"/>
      </w:tblGrid>
      <w:tr w14:paraId="6A4EF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248" w:type="pct"/>
            <w:noWrap w:val="0"/>
            <w:vAlign w:val="center"/>
          </w:tcPr>
          <w:p w14:paraId="070FB3C8">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地理位置</w:t>
            </w:r>
          </w:p>
        </w:tc>
        <w:tc>
          <w:tcPr>
            <w:tcW w:w="4751" w:type="pct"/>
            <w:noWrap w:val="0"/>
            <w:vAlign w:val="center"/>
          </w:tcPr>
          <w:p w14:paraId="3CABDE1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cs="Times New Roman"/>
                <w:color w:val="auto"/>
                <w:kern w:val="0"/>
                <w:sz w:val="24"/>
                <w:szCs w:val="24"/>
                <w:highlight w:val="none"/>
                <w:lang w:val="en-US" w:eastAsia="zh-CN"/>
              </w:rPr>
              <w:t>本项目位于新疆维吾尔自治区昌吉回族自治州奇台县</w:t>
            </w:r>
            <w:r>
              <w:rPr>
                <w:rFonts w:hint="eastAsia" w:cs="Times New Roman"/>
                <w:color w:val="auto"/>
                <w:kern w:val="0"/>
                <w:sz w:val="24"/>
                <w:szCs w:val="24"/>
                <w:highlight w:val="none"/>
                <w:lang w:val="en-US" w:eastAsia="zh-CN"/>
              </w:rPr>
              <w:t>碧流河</w:t>
            </w:r>
            <w:r>
              <w:rPr>
                <w:rFonts w:hint="default" w:cs="Times New Roman"/>
                <w:color w:val="auto"/>
                <w:kern w:val="0"/>
                <w:sz w:val="24"/>
                <w:szCs w:val="24"/>
                <w:highlight w:val="none"/>
                <w:lang w:val="en-US" w:eastAsia="zh-CN"/>
              </w:rPr>
              <w:t>镇</w:t>
            </w:r>
            <w:r>
              <w:rPr>
                <w:rFonts w:hint="eastAsia" w:cs="Times New Roman"/>
                <w:color w:val="auto"/>
                <w:kern w:val="0"/>
                <w:sz w:val="24"/>
                <w:szCs w:val="24"/>
                <w:highlight w:val="none"/>
                <w:lang w:val="en-US" w:eastAsia="zh-CN"/>
              </w:rPr>
              <w:t>碧流河</w:t>
            </w:r>
            <w:r>
              <w:rPr>
                <w:rFonts w:hint="default" w:cs="Times New Roman"/>
                <w:color w:val="auto"/>
                <w:kern w:val="0"/>
                <w:sz w:val="24"/>
                <w:szCs w:val="24"/>
                <w:highlight w:val="none"/>
                <w:lang w:val="en-US" w:eastAsia="zh-CN"/>
              </w:rPr>
              <w:t>灌区，项目区涉及</w:t>
            </w:r>
            <w:r>
              <w:rPr>
                <w:rFonts w:hint="eastAsia" w:cs="Times New Roman"/>
                <w:color w:val="auto"/>
                <w:kern w:val="0"/>
                <w:sz w:val="24"/>
                <w:szCs w:val="24"/>
                <w:highlight w:val="none"/>
                <w:lang w:val="en-US" w:eastAsia="zh-CN"/>
              </w:rPr>
              <w:t>9</w:t>
            </w:r>
            <w:r>
              <w:rPr>
                <w:rFonts w:hint="default" w:cs="Times New Roman"/>
                <w:color w:val="auto"/>
                <w:kern w:val="0"/>
                <w:sz w:val="24"/>
                <w:szCs w:val="24"/>
                <w:highlight w:val="none"/>
                <w:lang w:val="en-US" w:eastAsia="zh-CN"/>
              </w:rPr>
              <w:t>条总长度为</w:t>
            </w:r>
            <w:r>
              <w:rPr>
                <w:rFonts w:hint="eastAsia" w:cs="Times New Roman"/>
                <w:color w:val="auto"/>
                <w:kern w:val="0"/>
                <w:sz w:val="24"/>
                <w:szCs w:val="24"/>
                <w:highlight w:val="none"/>
                <w:lang w:val="en-US" w:eastAsia="zh-CN"/>
              </w:rPr>
              <w:t>49.663</w:t>
            </w:r>
            <w:r>
              <w:rPr>
                <w:rFonts w:hint="default" w:cs="Times New Roman"/>
                <w:color w:val="auto"/>
                <w:kern w:val="0"/>
                <w:sz w:val="24"/>
                <w:szCs w:val="24"/>
                <w:highlight w:val="none"/>
                <w:lang w:val="en-US" w:eastAsia="zh-CN"/>
              </w:rPr>
              <w:t>km的</w:t>
            </w:r>
            <w:r>
              <w:rPr>
                <w:rFonts w:hint="eastAsia" w:cs="Times New Roman"/>
                <w:color w:val="auto"/>
                <w:kern w:val="0"/>
                <w:sz w:val="24"/>
                <w:szCs w:val="24"/>
                <w:highlight w:val="none"/>
                <w:lang w:val="en-US" w:eastAsia="zh-CN"/>
              </w:rPr>
              <w:t>干渠、</w:t>
            </w:r>
            <w:r>
              <w:rPr>
                <w:rFonts w:hint="default" w:cs="Times New Roman"/>
                <w:color w:val="auto"/>
                <w:kern w:val="0"/>
                <w:sz w:val="24"/>
                <w:szCs w:val="24"/>
                <w:highlight w:val="none"/>
                <w:lang w:val="en-US" w:eastAsia="zh-CN"/>
              </w:rPr>
              <w:t>支渠进行防渗改造，项目区对外交通方便。具体项目走向坐标见下表。本项目地理位置详见附图。</w:t>
            </w:r>
          </w:p>
          <w:p w14:paraId="36738CF6">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pacing w:val="-2"/>
                <w:sz w:val="24"/>
                <w:szCs w:val="24"/>
              </w:rPr>
              <w:t>表</w:t>
            </w:r>
            <w:r>
              <w:rPr>
                <w:rFonts w:hint="default" w:ascii="Times New Roman" w:hAnsi="Times New Roman" w:eastAsia="宋体" w:cs="Times New Roman"/>
                <w:b/>
                <w:bCs/>
                <w:color w:val="auto"/>
                <w:spacing w:val="-2"/>
                <w:sz w:val="24"/>
                <w:szCs w:val="24"/>
                <w:lang w:val="en-US" w:eastAsia="zh-CN"/>
              </w:rPr>
              <w:t>2-1本项目渠道走向地理坐标一览表</w:t>
            </w:r>
          </w:p>
          <w:tbl>
            <w:tblPr>
              <w:tblStyle w:val="59"/>
              <w:tblW w:w="4998" w:type="pct"/>
              <w:tblInd w:w="2"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310"/>
              <w:gridCol w:w="2977"/>
              <w:gridCol w:w="3561"/>
            </w:tblGrid>
            <w:tr w14:paraId="7B9BA92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834" w:type="pct"/>
                  <w:tcBorders>
                    <w:tl2br w:val="nil"/>
                    <w:tr2bl w:val="nil"/>
                  </w:tcBorders>
                  <w:vAlign w:val="center"/>
                </w:tcPr>
                <w:p w14:paraId="7BF131D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bCs/>
                      <w:color w:val="auto"/>
                      <w:spacing w:val="-6"/>
                      <w:sz w:val="21"/>
                      <w:szCs w:val="21"/>
                      <w:lang w:val="en-US" w:eastAsia="zh-CN"/>
                    </w:rPr>
                    <w:t>渠道名称</w:t>
                  </w:r>
                </w:p>
              </w:tc>
              <w:tc>
                <w:tcPr>
                  <w:tcW w:w="1896" w:type="pct"/>
                  <w:tcBorders>
                    <w:tl2br w:val="nil"/>
                    <w:tr2bl w:val="nil"/>
                  </w:tcBorders>
                  <w:vAlign w:val="center"/>
                </w:tcPr>
                <w:p w14:paraId="10F2873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b/>
                      <w:bCs/>
                      <w:color w:val="auto"/>
                      <w:spacing w:val="-7"/>
                      <w:sz w:val="21"/>
                      <w:szCs w:val="21"/>
                      <w:lang w:val="en-US" w:eastAsia="zh-CN"/>
                    </w:rPr>
                    <w:t>起点</w:t>
                  </w:r>
                </w:p>
              </w:tc>
              <w:tc>
                <w:tcPr>
                  <w:tcW w:w="2268" w:type="pct"/>
                  <w:tcBorders>
                    <w:tl2br w:val="nil"/>
                    <w:tr2bl w:val="nil"/>
                  </w:tcBorders>
                  <w:vAlign w:val="center"/>
                </w:tcPr>
                <w:p w14:paraId="644B85B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终点</w:t>
                  </w:r>
                </w:p>
              </w:tc>
            </w:tr>
            <w:tr w14:paraId="402AE80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834" w:type="pct"/>
                  <w:tcBorders>
                    <w:tl2br w:val="nil"/>
                    <w:tr2bl w:val="nil"/>
                  </w:tcBorders>
                  <w:vAlign w:val="center"/>
                </w:tcPr>
                <w:p w14:paraId="024D0699">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碧流河西干渠</w:t>
                  </w:r>
                </w:p>
              </w:tc>
              <w:tc>
                <w:tcPr>
                  <w:tcW w:w="1896" w:type="pct"/>
                  <w:tcBorders>
                    <w:tl2br w:val="nil"/>
                    <w:tr2bl w:val="nil"/>
                  </w:tcBorders>
                  <w:vAlign w:val="center"/>
                </w:tcPr>
                <w:p w14:paraId="0E2F2817">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89°34′3.557″,43°38′54.529″</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03E508CE">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89°35′0.875″,43°42′44.746″。</w:t>
                  </w:r>
                </w:p>
              </w:tc>
            </w:tr>
            <w:tr w14:paraId="08D2FA3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34" w:type="pct"/>
                  <w:tcBorders>
                    <w:tl2br w:val="nil"/>
                    <w:tr2bl w:val="nil"/>
                  </w:tcBorders>
                  <w:vAlign w:val="center"/>
                </w:tcPr>
                <w:p w14:paraId="7CE37456">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洞子口西支渠</w:t>
                  </w:r>
                </w:p>
              </w:tc>
              <w:tc>
                <w:tcPr>
                  <w:tcW w:w="1896" w:type="pct"/>
                  <w:tcBorders>
                    <w:tl2br w:val="nil"/>
                    <w:tr2bl w:val="nil"/>
                  </w:tcBorders>
                  <w:vAlign w:val="center"/>
                </w:tcPr>
                <w:p w14:paraId="7FE8F73C">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89°33′58.001″,43°39′48.728″</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542E9823">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89°33′19.806″,43°40′38.876″。</w:t>
                  </w:r>
                </w:p>
              </w:tc>
            </w:tr>
            <w:tr w14:paraId="2822D58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834" w:type="pct"/>
                  <w:tcBorders>
                    <w:tl2br w:val="nil"/>
                    <w:tr2bl w:val="nil"/>
                  </w:tcBorders>
                  <w:vAlign w:val="center"/>
                </w:tcPr>
                <w:p w14:paraId="47C02797">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皇宫村支渠</w:t>
                  </w:r>
                </w:p>
              </w:tc>
              <w:tc>
                <w:tcPr>
                  <w:tcW w:w="1896" w:type="pct"/>
                  <w:tcBorders>
                    <w:tl2br w:val="nil"/>
                    <w:tr2bl w:val="nil"/>
                  </w:tcBorders>
                  <w:vAlign w:val="center"/>
                </w:tcPr>
                <w:p w14:paraId="1F826282">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89°37′20.058″,43°41′48.099″</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4732E56E">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89°34′54.929″,43°39′57.258″。</w:t>
                  </w:r>
                </w:p>
              </w:tc>
            </w:tr>
            <w:tr w14:paraId="4CE9B72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834" w:type="pct"/>
                  <w:tcBorders>
                    <w:tl2br w:val="nil"/>
                    <w:tr2bl w:val="nil"/>
                  </w:tcBorders>
                  <w:vAlign w:val="center"/>
                </w:tcPr>
                <w:p w14:paraId="599076D3">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宽沟至塘坊门村支渠</w:t>
                  </w:r>
                </w:p>
              </w:tc>
              <w:tc>
                <w:tcPr>
                  <w:tcW w:w="1896" w:type="pct"/>
                  <w:tcBorders>
                    <w:tl2br w:val="nil"/>
                    <w:tr2bl w:val="nil"/>
                  </w:tcBorders>
                  <w:vAlign w:val="center"/>
                </w:tcPr>
                <w:p w14:paraId="7C7CEF6D">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89°38′24.925″,43°40′55.181″</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7CA39EE1">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89°37′12.931″,43°38′56.591″。</w:t>
                  </w:r>
                </w:p>
              </w:tc>
            </w:tr>
            <w:tr w14:paraId="71832D52">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834" w:type="pct"/>
                  <w:tcBorders>
                    <w:tl2br w:val="nil"/>
                    <w:tr2bl w:val="nil"/>
                  </w:tcBorders>
                  <w:vAlign w:val="center"/>
                </w:tcPr>
                <w:p w14:paraId="70D5FCF6">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洞子口南沟渠</w:t>
                  </w:r>
                </w:p>
              </w:tc>
              <w:tc>
                <w:tcPr>
                  <w:tcW w:w="1896" w:type="pct"/>
                  <w:tcBorders>
                    <w:tl2br w:val="nil"/>
                    <w:tr2bl w:val="nil"/>
                  </w:tcBorders>
                  <w:vAlign w:val="center"/>
                </w:tcPr>
                <w:p w14:paraId="279F8697">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89°33′55.606″,43°39′53.208″</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60C63D1E">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89°33′30.838″,43°40′9.778″。</w:t>
                  </w:r>
                </w:p>
              </w:tc>
            </w:tr>
            <w:tr w14:paraId="1E914055">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834" w:type="pct"/>
                  <w:tcBorders>
                    <w:tl2br w:val="nil"/>
                    <w:tr2bl w:val="nil"/>
                  </w:tcBorders>
                  <w:vAlign w:val="center"/>
                </w:tcPr>
                <w:p w14:paraId="106D9694">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永丰渠村1组支渠</w:t>
                  </w:r>
                </w:p>
              </w:tc>
              <w:tc>
                <w:tcPr>
                  <w:tcW w:w="1896" w:type="pct"/>
                  <w:tcBorders>
                    <w:tl2br w:val="nil"/>
                    <w:tr2bl w:val="nil"/>
                  </w:tcBorders>
                  <w:vAlign w:val="center"/>
                </w:tcPr>
                <w:p w14:paraId="11D1F38D">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89°34′17.993″,43°42′35.109″</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2FC3A891">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89°34′52.272″,43°42′53.784″。</w:t>
                  </w:r>
                </w:p>
              </w:tc>
            </w:tr>
            <w:tr w14:paraId="5169279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834" w:type="pct"/>
                  <w:tcBorders>
                    <w:tl2br w:val="nil"/>
                    <w:tr2bl w:val="nil"/>
                  </w:tcBorders>
                  <w:vAlign w:val="center"/>
                </w:tcPr>
                <w:p w14:paraId="42FE9190">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永丰渠村2组支渠</w:t>
                  </w:r>
                </w:p>
              </w:tc>
              <w:tc>
                <w:tcPr>
                  <w:tcW w:w="1896" w:type="pct"/>
                  <w:tcBorders>
                    <w:tl2br w:val="nil"/>
                    <w:tr2bl w:val="nil"/>
                  </w:tcBorders>
                  <w:vAlign w:val="center"/>
                </w:tcPr>
                <w:p w14:paraId="1BC51E91">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89°34′32.602″,43°42′43.442″</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67882CDF">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89°34′46.893″,43°42′59.375″。</w:t>
                  </w:r>
                </w:p>
              </w:tc>
            </w:tr>
            <w:tr w14:paraId="6432EE2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4" w:type="pct"/>
                  <w:tcBorders>
                    <w:tl2br w:val="nil"/>
                    <w:tr2bl w:val="nil"/>
                  </w:tcBorders>
                  <w:vAlign w:val="center"/>
                </w:tcPr>
                <w:p w14:paraId="0823BD33">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西戈壁支渠</w:t>
                  </w:r>
                </w:p>
              </w:tc>
              <w:tc>
                <w:tcPr>
                  <w:tcW w:w="1896" w:type="pct"/>
                  <w:tcBorders>
                    <w:tl2br w:val="nil"/>
                    <w:tr2bl w:val="nil"/>
                  </w:tcBorders>
                  <w:vAlign w:val="center"/>
                </w:tcPr>
                <w:p w14:paraId="70AA4414">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89°35′35.559″,43°45′51.019″</w:t>
                  </w:r>
                  <w:r>
                    <w:rPr>
                      <w:rFonts w:hint="default" w:ascii="Times New Roman" w:hAnsi="Times New Roman" w:eastAsia="宋体" w:cs="Times New Roman"/>
                      <w:color w:val="auto"/>
                      <w:sz w:val="21"/>
                      <w:szCs w:val="21"/>
                      <w:lang w:eastAsia="zh-CN"/>
                    </w:rPr>
                    <w:t>。</w:t>
                  </w:r>
                </w:p>
              </w:tc>
              <w:tc>
                <w:tcPr>
                  <w:tcW w:w="2268" w:type="pct"/>
                  <w:tcBorders>
                    <w:tl2br w:val="nil"/>
                    <w:tr2bl w:val="nil"/>
                  </w:tcBorders>
                  <w:vAlign w:val="center"/>
                </w:tcPr>
                <w:p w14:paraId="78917FF3">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89°36′30.569″,43°51′59.423″。</w:t>
                  </w:r>
                </w:p>
              </w:tc>
            </w:tr>
            <w:tr w14:paraId="4AC6A2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34" w:type="pct"/>
                  <w:tcBorders>
                    <w:tl2br w:val="nil"/>
                    <w:tr2bl w:val="nil"/>
                  </w:tcBorders>
                  <w:vAlign w:val="center"/>
                </w:tcPr>
                <w:p w14:paraId="62C2C3A3">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2"/>
                      <w:sz w:val="21"/>
                      <w:szCs w:val="21"/>
                    </w:rPr>
                    <w:t>东戈壁支渠</w:t>
                  </w:r>
                </w:p>
              </w:tc>
              <w:tc>
                <w:tcPr>
                  <w:tcW w:w="1896" w:type="pct"/>
                  <w:tcBorders>
                    <w:tl2br w:val="nil"/>
                    <w:tr2bl w:val="nil"/>
                  </w:tcBorders>
                  <w:vAlign w:val="center"/>
                </w:tcPr>
                <w:p w14:paraId="5CB80BCE">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pacing w:val="-1"/>
                      <w:sz w:val="21"/>
                      <w:szCs w:val="21"/>
                      <w:lang w:eastAsia="zh-CN"/>
                    </w:rPr>
                  </w:pPr>
                  <w:r>
                    <w:rPr>
                      <w:rFonts w:hint="default" w:ascii="Times New Roman" w:hAnsi="Times New Roman" w:eastAsia="宋体" w:cs="Times New Roman"/>
                      <w:color w:val="auto"/>
                      <w:spacing w:val="-1"/>
                      <w:sz w:val="21"/>
                      <w:szCs w:val="21"/>
                    </w:rPr>
                    <w:t>89°38′22.028″,43°46′54.101″</w:t>
                  </w:r>
                  <w:r>
                    <w:rPr>
                      <w:rFonts w:hint="default" w:ascii="Times New Roman" w:hAnsi="Times New Roman" w:eastAsia="宋体" w:cs="Times New Roman"/>
                      <w:color w:val="auto"/>
                      <w:spacing w:val="-1"/>
                      <w:sz w:val="21"/>
                      <w:szCs w:val="21"/>
                      <w:lang w:eastAsia="zh-CN"/>
                    </w:rPr>
                    <w:t>。</w:t>
                  </w:r>
                </w:p>
              </w:tc>
              <w:tc>
                <w:tcPr>
                  <w:tcW w:w="2268" w:type="pct"/>
                  <w:tcBorders>
                    <w:tl2br w:val="nil"/>
                    <w:tr2bl w:val="nil"/>
                  </w:tcBorders>
                  <w:vAlign w:val="center"/>
                </w:tcPr>
                <w:p w14:paraId="315CC5AA">
                  <w:pPr>
                    <w:pStyle w:val="60"/>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89°38′28.130″,43°54′24.841″。</w:t>
                  </w:r>
                </w:p>
              </w:tc>
            </w:tr>
          </w:tbl>
          <w:p w14:paraId="78777754">
            <w:pPr>
              <w:pStyle w:val="37"/>
              <w:rPr>
                <w:rFonts w:hint="default" w:ascii="Times New Roman" w:hAnsi="Times New Roman" w:cs="Times New Roman"/>
                <w:color w:val="auto"/>
                <w:lang w:eastAsia="zh-CN"/>
              </w:rPr>
            </w:pPr>
          </w:p>
        </w:tc>
      </w:tr>
      <w:tr w14:paraId="46D31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8" w:type="pct"/>
            <w:noWrap w:val="0"/>
            <w:vAlign w:val="center"/>
          </w:tcPr>
          <w:p w14:paraId="366A7F6F">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项目组成及规模</w:t>
            </w:r>
          </w:p>
        </w:tc>
        <w:tc>
          <w:tcPr>
            <w:tcW w:w="4751" w:type="pct"/>
            <w:noWrap w:val="0"/>
            <w:vAlign w:val="center"/>
          </w:tcPr>
          <w:p w14:paraId="7155B8DC">
            <w:pPr>
              <w:keepNext w:val="0"/>
              <w:keepLines w:val="0"/>
              <w:pageBreakBefore w:val="0"/>
              <w:widowControl w:val="0"/>
              <w:numPr>
                <w:ilvl w:val="0"/>
                <w:numId w:val="3"/>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主要建设内容</w:t>
            </w:r>
          </w:p>
          <w:p w14:paraId="4422793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改善灌溉面积13.15万亩</w:t>
            </w:r>
            <w:r>
              <w:rPr>
                <w:rFonts w:hint="default" w:ascii="Times New Roman" w:hAnsi="Times New Roman" w:eastAsia="宋体"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工程总计改造渠道9条，改造渠道总长49.663km。其中，改造干渠1条，总长8.43km；改造支渠8条，总长41.233km，配套渠系建筑物共197座，其中：水闸112座，农桥82座，跌水3座，配套信息化工程1处及附属设施等。本工程规模为中型，等别为</w:t>
            </w:r>
            <w:r>
              <w:rPr>
                <w:rFonts w:hint="eastAsia" w:ascii="宋体" w:hAnsi="宋体" w:eastAsia="宋体" w:cs="宋体"/>
                <w:color w:val="auto"/>
                <w:kern w:val="0"/>
                <w:sz w:val="24"/>
                <w:szCs w:val="24"/>
                <w:highlight w:val="none"/>
                <w:lang w:val="en-US" w:eastAsia="zh-CN"/>
              </w:rPr>
              <w:t>Ⅲ</w:t>
            </w:r>
            <w:r>
              <w:rPr>
                <w:rFonts w:hint="eastAsia" w:cs="Times New Roman"/>
                <w:color w:val="auto"/>
                <w:kern w:val="0"/>
                <w:sz w:val="24"/>
                <w:szCs w:val="24"/>
                <w:highlight w:val="none"/>
                <w:lang w:val="en-US" w:eastAsia="zh-CN"/>
              </w:rPr>
              <w:t>等，建筑物级别为5级。</w:t>
            </w:r>
          </w:p>
          <w:p w14:paraId="60E0E4D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本项目主要建设内容一览表见表2-2。</w:t>
            </w:r>
          </w:p>
          <w:p w14:paraId="2D617B2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宋体" w:cs="Times New Roman"/>
                <w:b/>
                <w:bCs/>
                <w:color w:val="auto"/>
                <w:spacing w:val="-2"/>
                <w:sz w:val="24"/>
                <w:szCs w:val="24"/>
              </w:rPr>
            </w:pPr>
            <w:r>
              <w:rPr>
                <w:rFonts w:hint="default" w:ascii="Times New Roman" w:hAnsi="Times New Roman" w:eastAsia="宋体" w:cs="Times New Roman"/>
                <w:b/>
                <w:bCs/>
                <w:color w:val="auto"/>
                <w:spacing w:val="-2"/>
                <w:sz w:val="24"/>
                <w:szCs w:val="24"/>
              </w:rPr>
              <w:t>表2-</w:t>
            </w:r>
            <w:r>
              <w:rPr>
                <w:rFonts w:hint="default" w:ascii="Times New Roman" w:hAnsi="Times New Roman" w:eastAsia="宋体" w:cs="Times New Roman"/>
                <w:b/>
                <w:bCs/>
                <w:color w:val="auto"/>
                <w:spacing w:val="-2"/>
                <w:sz w:val="24"/>
                <w:szCs w:val="24"/>
                <w:lang w:val="en-US" w:eastAsia="zh-CN"/>
              </w:rPr>
              <w:t>2</w:t>
            </w:r>
            <w:r>
              <w:rPr>
                <w:rFonts w:hint="default" w:ascii="Times New Roman" w:hAnsi="Times New Roman" w:eastAsia="宋体" w:cs="Times New Roman"/>
                <w:b/>
                <w:bCs/>
                <w:color w:val="auto"/>
                <w:spacing w:val="-2"/>
                <w:sz w:val="24"/>
                <w:szCs w:val="24"/>
              </w:rPr>
              <w:t>主要建设内容一览表</w:t>
            </w:r>
          </w:p>
          <w:tbl>
            <w:tblPr>
              <w:tblStyle w:val="31"/>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10"/>
              <w:gridCol w:w="1645"/>
              <w:gridCol w:w="977"/>
              <w:gridCol w:w="849"/>
              <w:gridCol w:w="1038"/>
              <w:gridCol w:w="1042"/>
              <w:gridCol w:w="1042"/>
              <w:gridCol w:w="545"/>
            </w:tblGrid>
            <w:tr w14:paraId="1290C2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7" w:hRule="atLeast"/>
              </w:trPr>
              <w:tc>
                <w:tcPr>
                  <w:tcW w:w="452" w:type="pct"/>
                  <w:vMerge w:val="restart"/>
                  <w:tcBorders>
                    <w:tl2br w:val="nil"/>
                    <w:tr2bl w:val="nil"/>
                  </w:tcBorders>
                  <w:shd w:val="clear" w:color="auto" w:fill="auto"/>
                  <w:vAlign w:val="center"/>
                </w:tcPr>
                <w:p w14:paraId="17598B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047" w:type="pct"/>
                  <w:vMerge w:val="restart"/>
                  <w:tcBorders>
                    <w:tl2br w:val="nil"/>
                    <w:tr2bl w:val="nil"/>
                  </w:tcBorders>
                  <w:shd w:val="clear" w:color="auto" w:fill="auto"/>
                  <w:vAlign w:val="center"/>
                </w:tcPr>
                <w:p w14:paraId="403BDE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渠道名称</w:t>
                  </w:r>
                </w:p>
              </w:tc>
              <w:tc>
                <w:tcPr>
                  <w:tcW w:w="622" w:type="pct"/>
                  <w:vMerge w:val="restart"/>
                  <w:tcBorders>
                    <w:tl2br w:val="nil"/>
                    <w:tr2bl w:val="nil"/>
                  </w:tcBorders>
                  <w:shd w:val="clear" w:color="auto" w:fill="auto"/>
                  <w:vAlign w:val="center"/>
                </w:tcPr>
                <w:p w14:paraId="565DAC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灌溉面积</w:t>
                  </w:r>
                  <w:r>
                    <w:rPr>
                      <w:rFonts w:hint="default" w:ascii="Times New Roman" w:hAnsi="Times New Roman" w:eastAsia="宋体" w:cs="Times New Roman"/>
                      <w:b/>
                      <w:bCs/>
                      <w:i w:val="0"/>
                      <w:iCs w:val="0"/>
                      <w:color w:val="auto"/>
                      <w:kern w:val="0"/>
                      <w:sz w:val="21"/>
                      <w:szCs w:val="21"/>
                      <w:u w:val="none"/>
                      <w:lang w:val="en-US" w:eastAsia="zh-CN" w:bidi="ar"/>
                    </w:rPr>
                    <w:br w:type="textWrapping"/>
                  </w:r>
                  <w:r>
                    <w:rPr>
                      <w:rFonts w:hint="default" w:ascii="Times New Roman" w:hAnsi="Times New Roman" w:eastAsia="宋体" w:cs="Times New Roman"/>
                      <w:b/>
                      <w:bCs/>
                      <w:i w:val="0"/>
                      <w:iCs w:val="0"/>
                      <w:color w:val="auto"/>
                      <w:kern w:val="0"/>
                      <w:sz w:val="21"/>
                      <w:szCs w:val="21"/>
                      <w:u w:val="none"/>
                      <w:lang w:val="en-US" w:eastAsia="zh-CN" w:bidi="ar"/>
                    </w:rPr>
                    <w:t>（万亩）</w:t>
                  </w:r>
                </w:p>
              </w:tc>
              <w:tc>
                <w:tcPr>
                  <w:tcW w:w="541" w:type="pct"/>
                  <w:tcBorders>
                    <w:tl2br w:val="nil"/>
                    <w:tr2bl w:val="nil"/>
                  </w:tcBorders>
                  <w:shd w:val="clear" w:color="auto" w:fill="auto"/>
                  <w:vAlign w:val="center"/>
                </w:tcPr>
                <w:p w14:paraId="23BC56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建设长度</w:t>
                  </w:r>
                </w:p>
              </w:tc>
              <w:tc>
                <w:tcPr>
                  <w:tcW w:w="2336" w:type="pct"/>
                  <w:gridSpan w:val="4"/>
                  <w:tcBorders>
                    <w:tl2br w:val="nil"/>
                    <w:tr2bl w:val="nil"/>
                  </w:tcBorders>
                  <w:shd w:val="clear" w:color="auto" w:fill="auto"/>
                  <w:vAlign w:val="center"/>
                </w:tcPr>
                <w:p w14:paraId="71AE0D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建筑物</w:t>
                  </w:r>
                </w:p>
              </w:tc>
            </w:tr>
            <w:tr w14:paraId="33CFB2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vMerge w:val="continue"/>
                  <w:tcBorders>
                    <w:tl2br w:val="nil"/>
                    <w:tr2bl w:val="nil"/>
                  </w:tcBorders>
                  <w:shd w:val="clear" w:color="auto" w:fill="auto"/>
                  <w:vAlign w:val="center"/>
                </w:tcPr>
                <w:p w14:paraId="12FFA508">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i w:val="0"/>
                      <w:iCs w:val="0"/>
                      <w:color w:val="auto"/>
                      <w:sz w:val="21"/>
                      <w:szCs w:val="21"/>
                      <w:u w:val="none"/>
                    </w:rPr>
                  </w:pPr>
                </w:p>
              </w:tc>
              <w:tc>
                <w:tcPr>
                  <w:tcW w:w="1047" w:type="pct"/>
                  <w:vMerge w:val="continue"/>
                  <w:tcBorders>
                    <w:tl2br w:val="nil"/>
                    <w:tr2bl w:val="nil"/>
                  </w:tcBorders>
                  <w:shd w:val="clear" w:color="auto" w:fill="auto"/>
                  <w:vAlign w:val="center"/>
                </w:tcPr>
                <w:p w14:paraId="192FEE7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i w:val="0"/>
                      <w:iCs w:val="0"/>
                      <w:color w:val="auto"/>
                      <w:sz w:val="21"/>
                      <w:szCs w:val="21"/>
                      <w:u w:val="none"/>
                    </w:rPr>
                  </w:pPr>
                </w:p>
              </w:tc>
              <w:tc>
                <w:tcPr>
                  <w:tcW w:w="622" w:type="pct"/>
                  <w:vMerge w:val="continue"/>
                  <w:tcBorders>
                    <w:tl2br w:val="nil"/>
                    <w:tr2bl w:val="nil"/>
                  </w:tcBorders>
                  <w:shd w:val="clear" w:color="auto" w:fill="auto"/>
                  <w:vAlign w:val="center"/>
                </w:tcPr>
                <w:p w14:paraId="14D1BAF8">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bCs/>
                      <w:i w:val="0"/>
                      <w:iCs w:val="0"/>
                      <w:color w:val="auto"/>
                      <w:sz w:val="21"/>
                      <w:szCs w:val="21"/>
                      <w:u w:val="none"/>
                    </w:rPr>
                  </w:pPr>
                </w:p>
              </w:tc>
              <w:tc>
                <w:tcPr>
                  <w:tcW w:w="541" w:type="pct"/>
                  <w:tcBorders>
                    <w:tl2br w:val="nil"/>
                    <w:tr2bl w:val="nil"/>
                  </w:tcBorders>
                  <w:shd w:val="clear" w:color="auto" w:fill="auto"/>
                  <w:vAlign w:val="center"/>
                </w:tcPr>
                <w:p w14:paraId="5FB24C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km</w:t>
                  </w:r>
                </w:p>
              </w:tc>
              <w:tc>
                <w:tcPr>
                  <w:tcW w:w="661" w:type="pct"/>
                  <w:tcBorders>
                    <w:tl2br w:val="nil"/>
                    <w:tr2bl w:val="nil"/>
                  </w:tcBorders>
                  <w:shd w:val="clear" w:color="auto" w:fill="auto"/>
                  <w:vAlign w:val="center"/>
                </w:tcPr>
                <w:p w14:paraId="05D47A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水闸（座）</w:t>
                  </w:r>
                </w:p>
              </w:tc>
              <w:tc>
                <w:tcPr>
                  <w:tcW w:w="664" w:type="pct"/>
                  <w:tcBorders>
                    <w:tl2br w:val="nil"/>
                    <w:tr2bl w:val="nil"/>
                  </w:tcBorders>
                  <w:shd w:val="clear" w:color="auto" w:fill="auto"/>
                  <w:vAlign w:val="center"/>
                </w:tcPr>
                <w:p w14:paraId="54FC83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农桥（座）</w:t>
                  </w:r>
                </w:p>
              </w:tc>
              <w:tc>
                <w:tcPr>
                  <w:tcW w:w="664" w:type="pct"/>
                  <w:tcBorders>
                    <w:tl2br w:val="nil"/>
                    <w:tr2bl w:val="nil"/>
                  </w:tcBorders>
                  <w:shd w:val="clear" w:color="auto" w:fill="auto"/>
                  <w:vAlign w:val="center"/>
                </w:tcPr>
                <w:p w14:paraId="296D43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跌水（座）</w:t>
                  </w:r>
                </w:p>
              </w:tc>
              <w:tc>
                <w:tcPr>
                  <w:tcW w:w="345" w:type="pct"/>
                  <w:tcBorders>
                    <w:tl2br w:val="nil"/>
                    <w:tr2bl w:val="nil"/>
                  </w:tcBorders>
                  <w:shd w:val="clear" w:color="auto" w:fill="auto"/>
                  <w:vAlign w:val="center"/>
                </w:tcPr>
                <w:p w14:paraId="39D5B1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合计</w:t>
                  </w:r>
                </w:p>
              </w:tc>
            </w:tr>
            <w:tr w14:paraId="430D14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241BD0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47" w:type="pct"/>
                  <w:tcBorders>
                    <w:tl2br w:val="nil"/>
                    <w:tr2bl w:val="nil"/>
                  </w:tcBorders>
                  <w:shd w:val="clear" w:color="auto" w:fill="auto"/>
                  <w:vAlign w:val="center"/>
                </w:tcPr>
                <w:p w14:paraId="7AC7F6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碧流河西干渠</w:t>
                  </w:r>
                </w:p>
              </w:tc>
              <w:tc>
                <w:tcPr>
                  <w:tcW w:w="622" w:type="pct"/>
                  <w:tcBorders>
                    <w:tl2br w:val="nil"/>
                    <w:tr2bl w:val="nil"/>
                  </w:tcBorders>
                  <w:shd w:val="clear" w:color="auto" w:fill="auto"/>
                  <w:vAlign w:val="center"/>
                </w:tcPr>
                <w:p w14:paraId="48CB24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8.74</w:t>
                  </w:r>
                </w:p>
              </w:tc>
              <w:tc>
                <w:tcPr>
                  <w:tcW w:w="541" w:type="pct"/>
                  <w:tcBorders>
                    <w:tl2br w:val="nil"/>
                    <w:tr2bl w:val="nil"/>
                  </w:tcBorders>
                  <w:shd w:val="clear" w:color="auto" w:fill="auto"/>
                  <w:vAlign w:val="center"/>
                </w:tcPr>
                <w:p w14:paraId="511E75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8.430</w:t>
                  </w:r>
                </w:p>
              </w:tc>
              <w:tc>
                <w:tcPr>
                  <w:tcW w:w="661" w:type="pct"/>
                  <w:tcBorders>
                    <w:tl2br w:val="nil"/>
                    <w:tr2bl w:val="nil"/>
                  </w:tcBorders>
                  <w:shd w:val="clear" w:color="auto" w:fill="auto"/>
                  <w:vAlign w:val="center"/>
                </w:tcPr>
                <w:p w14:paraId="22CB1E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664" w:type="pct"/>
                  <w:tcBorders>
                    <w:tl2br w:val="nil"/>
                    <w:tr2bl w:val="nil"/>
                  </w:tcBorders>
                  <w:shd w:val="clear" w:color="auto" w:fill="auto"/>
                  <w:vAlign w:val="center"/>
                </w:tcPr>
                <w:p w14:paraId="30DF8F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664" w:type="pct"/>
                  <w:tcBorders>
                    <w:tl2br w:val="nil"/>
                    <w:tr2bl w:val="nil"/>
                  </w:tcBorders>
                  <w:shd w:val="clear" w:color="auto" w:fill="auto"/>
                  <w:vAlign w:val="center"/>
                </w:tcPr>
                <w:p w14:paraId="17893C6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233428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r>
            <w:tr w14:paraId="798ACB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229984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47" w:type="pct"/>
                  <w:tcBorders>
                    <w:tl2br w:val="nil"/>
                    <w:tr2bl w:val="nil"/>
                  </w:tcBorders>
                  <w:shd w:val="clear" w:color="auto" w:fill="auto"/>
                  <w:vAlign w:val="center"/>
                </w:tcPr>
                <w:p w14:paraId="3A0D7B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洞子口西支渠</w:t>
                  </w:r>
                </w:p>
              </w:tc>
              <w:tc>
                <w:tcPr>
                  <w:tcW w:w="622" w:type="pct"/>
                  <w:tcBorders>
                    <w:tl2br w:val="nil"/>
                    <w:tr2bl w:val="nil"/>
                  </w:tcBorders>
                  <w:shd w:val="clear" w:color="auto" w:fill="auto"/>
                  <w:vAlign w:val="center"/>
                </w:tcPr>
                <w:p w14:paraId="0B622D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1.89</w:t>
                  </w:r>
                </w:p>
              </w:tc>
              <w:tc>
                <w:tcPr>
                  <w:tcW w:w="541" w:type="pct"/>
                  <w:tcBorders>
                    <w:tl2br w:val="nil"/>
                    <w:tr2bl w:val="nil"/>
                  </w:tcBorders>
                  <w:shd w:val="clear" w:color="auto" w:fill="auto"/>
                  <w:vAlign w:val="center"/>
                </w:tcPr>
                <w:p w14:paraId="5767BB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3.459</w:t>
                  </w:r>
                </w:p>
              </w:tc>
              <w:tc>
                <w:tcPr>
                  <w:tcW w:w="661" w:type="pct"/>
                  <w:tcBorders>
                    <w:tl2br w:val="nil"/>
                    <w:tr2bl w:val="nil"/>
                  </w:tcBorders>
                  <w:shd w:val="clear" w:color="auto" w:fill="auto"/>
                  <w:vAlign w:val="center"/>
                </w:tcPr>
                <w:p w14:paraId="0A3703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664" w:type="pct"/>
                  <w:tcBorders>
                    <w:tl2br w:val="nil"/>
                    <w:tr2bl w:val="nil"/>
                  </w:tcBorders>
                  <w:shd w:val="clear" w:color="auto" w:fill="auto"/>
                  <w:vAlign w:val="center"/>
                </w:tcPr>
                <w:p w14:paraId="105FE0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664" w:type="pct"/>
                  <w:tcBorders>
                    <w:tl2br w:val="nil"/>
                    <w:tr2bl w:val="nil"/>
                  </w:tcBorders>
                  <w:shd w:val="clear" w:color="auto" w:fill="auto"/>
                  <w:vAlign w:val="center"/>
                </w:tcPr>
                <w:p w14:paraId="16E6BB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345" w:type="pct"/>
                  <w:tcBorders>
                    <w:tl2br w:val="nil"/>
                    <w:tr2bl w:val="nil"/>
                  </w:tcBorders>
                  <w:shd w:val="clear" w:color="auto" w:fill="auto"/>
                  <w:vAlign w:val="center"/>
                </w:tcPr>
                <w:p w14:paraId="4707E4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r>
            <w:tr w14:paraId="790195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vMerge w:val="restart"/>
                  <w:tcBorders>
                    <w:tl2br w:val="nil"/>
                    <w:tr2bl w:val="nil"/>
                  </w:tcBorders>
                  <w:shd w:val="clear" w:color="auto" w:fill="auto"/>
                  <w:vAlign w:val="center"/>
                </w:tcPr>
                <w:p w14:paraId="3FE744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1047" w:type="pct"/>
                  <w:vMerge w:val="restart"/>
                  <w:tcBorders>
                    <w:tl2br w:val="nil"/>
                    <w:tr2bl w:val="nil"/>
                  </w:tcBorders>
                  <w:shd w:val="clear" w:color="auto" w:fill="auto"/>
                  <w:vAlign w:val="center"/>
                </w:tcPr>
                <w:p w14:paraId="79B180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皇宫村支渠</w:t>
                  </w:r>
                </w:p>
              </w:tc>
              <w:tc>
                <w:tcPr>
                  <w:tcW w:w="622" w:type="pct"/>
                  <w:vMerge w:val="restart"/>
                  <w:tcBorders>
                    <w:tl2br w:val="nil"/>
                    <w:tr2bl w:val="nil"/>
                  </w:tcBorders>
                  <w:shd w:val="clear" w:color="auto" w:fill="auto"/>
                  <w:vAlign w:val="center"/>
                </w:tcPr>
                <w:p w14:paraId="10F5B1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1.35</w:t>
                  </w:r>
                </w:p>
              </w:tc>
              <w:tc>
                <w:tcPr>
                  <w:tcW w:w="541" w:type="pct"/>
                  <w:tcBorders>
                    <w:tl2br w:val="nil"/>
                    <w:tr2bl w:val="nil"/>
                  </w:tcBorders>
                  <w:shd w:val="clear" w:color="auto" w:fill="auto"/>
                  <w:vAlign w:val="center"/>
                </w:tcPr>
                <w:p w14:paraId="1CE5A4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3.700</w:t>
                  </w:r>
                </w:p>
              </w:tc>
              <w:tc>
                <w:tcPr>
                  <w:tcW w:w="661" w:type="pct"/>
                  <w:vMerge w:val="restart"/>
                  <w:tcBorders>
                    <w:tl2br w:val="nil"/>
                    <w:tr2bl w:val="nil"/>
                  </w:tcBorders>
                  <w:shd w:val="clear" w:color="auto" w:fill="auto"/>
                  <w:vAlign w:val="center"/>
                </w:tcPr>
                <w:p w14:paraId="00EA21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664" w:type="pct"/>
                  <w:vMerge w:val="restart"/>
                  <w:tcBorders>
                    <w:tl2br w:val="nil"/>
                    <w:tr2bl w:val="nil"/>
                  </w:tcBorders>
                  <w:shd w:val="clear" w:color="auto" w:fill="auto"/>
                  <w:vAlign w:val="center"/>
                </w:tcPr>
                <w:p w14:paraId="1A7C2F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664" w:type="pct"/>
                  <w:vMerge w:val="restart"/>
                  <w:tcBorders>
                    <w:tl2br w:val="nil"/>
                    <w:tr2bl w:val="nil"/>
                  </w:tcBorders>
                  <w:shd w:val="clear" w:color="auto" w:fill="auto"/>
                  <w:vAlign w:val="center"/>
                </w:tcPr>
                <w:p w14:paraId="52E72F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345" w:type="pct"/>
                  <w:vMerge w:val="restart"/>
                  <w:tcBorders>
                    <w:tl2br w:val="nil"/>
                    <w:tr2bl w:val="nil"/>
                  </w:tcBorders>
                  <w:shd w:val="clear" w:color="auto" w:fill="auto"/>
                  <w:vAlign w:val="center"/>
                </w:tcPr>
                <w:p w14:paraId="4F00B2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r>
            <w:tr w14:paraId="64D6EC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vMerge w:val="continue"/>
                  <w:tcBorders>
                    <w:tl2br w:val="nil"/>
                    <w:tr2bl w:val="nil"/>
                  </w:tcBorders>
                  <w:shd w:val="clear" w:color="auto" w:fill="auto"/>
                  <w:vAlign w:val="center"/>
                </w:tcPr>
                <w:p w14:paraId="48F0FAA4">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1047" w:type="pct"/>
                  <w:vMerge w:val="continue"/>
                  <w:tcBorders>
                    <w:tl2br w:val="nil"/>
                    <w:tr2bl w:val="nil"/>
                  </w:tcBorders>
                  <w:shd w:val="clear" w:color="auto" w:fill="auto"/>
                  <w:vAlign w:val="center"/>
                </w:tcPr>
                <w:p w14:paraId="72CE597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622" w:type="pct"/>
                  <w:vMerge w:val="continue"/>
                  <w:tcBorders>
                    <w:tl2br w:val="nil"/>
                    <w:tr2bl w:val="nil"/>
                  </w:tcBorders>
                  <w:shd w:val="clear" w:color="auto" w:fill="auto"/>
                  <w:vAlign w:val="center"/>
                </w:tcPr>
                <w:p w14:paraId="7D44445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541" w:type="pct"/>
                  <w:tcBorders>
                    <w:tl2br w:val="nil"/>
                    <w:tr2bl w:val="nil"/>
                  </w:tcBorders>
                  <w:shd w:val="clear" w:color="auto" w:fill="auto"/>
                  <w:vAlign w:val="center"/>
                </w:tcPr>
                <w:p w14:paraId="51499A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0.952</w:t>
                  </w:r>
                </w:p>
              </w:tc>
              <w:tc>
                <w:tcPr>
                  <w:tcW w:w="661" w:type="pct"/>
                  <w:vMerge w:val="continue"/>
                  <w:tcBorders>
                    <w:tl2br w:val="nil"/>
                    <w:tr2bl w:val="nil"/>
                  </w:tcBorders>
                  <w:shd w:val="clear" w:color="auto" w:fill="auto"/>
                  <w:vAlign w:val="center"/>
                </w:tcPr>
                <w:p w14:paraId="0FFC817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664" w:type="pct"/>
                  <w:vMerge w:val="continue"/>
                  <w:tcBorders>
                    <w:tl2br w:val="nil"/>
                    <w:tr2bl w:val="nil"/>
                  </w:tcBorders>
                  <w:shd w:val="clear" w:color="auto" w:fill="auto"/>
                  <w:vAlign w:val="center"/>
                </w:tcPr>
                <w:p w14:paraId="69BF711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664" w:type="pct"/>
                  <w:vMerge w:val="continue"/>
                  <w:tcBorders>
                    <w:tl2br w:val="nil"/>
                    <w:tr2bl w:val="nil"/>
                  </w:tcBorders>
                  <w:shd w:val="clear" w:color="auto" w:fill="auto"/>
                  <w:vAlign w:val="center"/>
                </w:tcPr>
                <w:p w14:paraId="75FD21D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c>
                <w:tcPr>
                  <w:tcW w:w="345" w:type="pct"/>
                  <w:vMerge w:val="continue"/>
                  <w:tcBorders>
                    <w:tl2br w:val="nil"/>
                    <w:tr2bl w:val="nil"/>
                  </w:tcBorders>
                  <w:shd w:val="clear" w:color="auto" w:fill="auto"/>
                  <w:vAlign w:val="center"/>
                </w:tcPr>
                <w:p w14:paraId="1021DF3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rPr>
                  </w:pPr>
                </w:p>
              </w:tc>
            </w:tr>
            <w:tr w14:paraId="6A5666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72072E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047" w:type="pct"/>
                  <w:tcBorders>
                    <w:tl2br w:val="nil"/>
                    <w:tr2bl w:val="nil"/>
                  </w:tcBorders>
                  <w:shd w:val="clear" w:color="auto" w:fill="auto"/>
                  <w:vAlign w:val="center"/>
                </w:tcPr>
                <w:p w14:paraId="3B0A78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宽沟至塘坊门村支渠</w:t>
                  </w:r>
                </w:p>
              </w:tc>
              <w:tc>
                <w:tcPr>
                  <w:tcW w:w="622" w:type="pct"/>
                  <w:tcBorders>
                    <w:tl2br w:val="nil"/>
                    <w:tr2bl w:val="nil"/>
                  </w:tcBorders>
                  <w:shd w:val="clear" w:color="auto" w:fill="auto"/>
                  <w:vAlign w:val="center"/>
                </w:tcPr>
                <w:p w14:paraId="5C7D52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0.57</w:t>
                  </w:r>
                </w:p>
              </w:tc>
              <w:tc>
                <w:tcPr>
                  <w:tcW w:w="541" w:type="pct"/>
                  <w:tcBorders>
                    <w:tl2br w:val="nil"/>
                    <w:tr2bl w:val="nil"/>
                  </w:tcBorders>
                  <w:shd w:val="clear" w:color="auto" w:fill="auto"/>
                  <w:vAlign w:val="center"/>
                </w:tcPr>
                <w:p w14:paraId="782EB5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4.963</w:t>
                  </w:r>
                </w:p>
              </w:tc>
              <w:tc>
                <w:tcPr>
                  <w:tcW w:w="661" w:type="pct"/>
                  <w:tcBorders>
                    <w:tl2br w:val="nil"/>
                    <w:tr2bl w:val="nil"/>
                  </w:tcBorders>
                  <w:shd w:val="clear" w:color="auto" w:fill="auto"/>
                  <w:vAlign w:val="center"/>
                </w:tcPr>
                <w:p w14:paraId="768779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664" w:type="pct"/>
                  <w:tcBorders>
                    <w:tl2br w:val="nil"/>
                    <w:tr2bl w:val="nil"/>
                  </w:tcBorders>
                  <w:shd w:val="clear" w:color="auto" w:fill="auto"/>
                  <w:vAlign w:val="center"/>
                </w:tcPr>
                <w:p w14:paraId="6DD70E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34</w:t>
                  </w:r>
                </w:p>
              </w:tc>
              <w:tc>
                <w:tcPr>
                  <w:tcW w:w="664" w:type="pct"/>
                  <w:tcBorders>
                    <w:tl2br w:val="nil"/>
                    <w:tr2bl w:val="nil"/>
                  </w:tcBorders>
                  <w:shd w:val="clear" w:color="auto" w:fill="auto"/>
                  <w:vAlign w:val="center"/>
                </w:tcPr>
                <w:p w14:paraId="087F253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55BB98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w:t>
                  </w:r>
                </w:p>
              </w:tc>
            </w:tr>
            <w:tr w14:paraId="7CE079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591CDB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1047" w:type="pct"/>
                  <w:tcBorders>
                    <w:tl2br w:val="nil"/>
                    <w:tr2bl w:val="nil"/>
                  </w:tcBorders>
                  <w:shd w:val="clear" w:color="auto" w:fill="auto"/>
                  <w:vAlign w:val="center"/>
                </w:tcPr>
                <w:p w14:paraId="24464C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洞子口南沟渠</w:t>
                  </w:r>
                </w:p>
              </w:tc>
              <w:tc>
                <w:tcPr>
                  <w:tcW w:w="622" w:type="pct"/>
                  <w:tcBorders>
                    <w:tl2br w:val="nil"/>
                    <w:tr2bl w:val="nil"/>
                  </w:tcBorders>
                  <w:shd w:val="clear" w:color="auto" w:fill="auto"/>
                  <w:vAlign w:val="center"/>
                </w:tcPr>
                <w:p w14:paraId="6DA908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0.45</w:t>
                  </w:r>
                </w:p>
              </w:tc>
              <w:tc>
                <w:tcPr>
                  <w:tcW w:w="541" w:type="pct"/>
                  <w:tcBorders>
                    <w:tl2br w:val="nil"/>
                    <w:tr2bl w:val="nil"/>
                  </w:tcBorders>
                  <w:shd w:val="clear" w:color="auto" w:fill="auto"/>
                  <w:vAlign w:val="center"/>
                </w:tcPr>
                <w:p w14:paraId="23C375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1.250</w:t>
                  </w:r>
                </w:p>
              </w:tc>
              <w:tc>
                <w:tcPr>
                  <w:tcW w:w="661" w:type="pct"/>
                  <w:tcBorders>
                    <w:tl2br w:val="nil"/>
                    <w:tr2bl w:val="nil"/>
                  </w:tcBorders>
                  <w:shd w:val="clear" w:color="auto" w:fill="auto"/>
                  <w:vAlign w:val="center"/>
                </w:tcPr>
                <w:p w14:paraId="560562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664" w:type="pct"/>
                  <w:tcBorders>
                    <w:tl2br w:val="nil"/>
                    <w:tr2bl w:val="nil"/>
                  </w:tcBorders>
                  <w:shd w:val="clear" w:color="auto" w:fill="auto"/>
                  <w:vAlign w:val="center"/>
                </w:tcPr>
                <w:p w14:paraId="4C67BF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664" w:type="pct"/>
                  <w:tcBorders>
                    <w:tl2br w:val="nil"/>
                    <w:tr2bl w:val="nil"/>
                  </w:tcBorders>
                  <w:shd w:val="clear" w:color="auto" w:fill="auto"/>
                  <w:vAlign w:val="center"/>
                </w:tcPr>
                <w:p w14:paraId="0625D35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3DB685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r>
            <w:tr w14:paraId="7226F7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4022B0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1047" w:type="pct"/>
                  <w:tcBorders>
                    <w:tl2br w:val="nil"/>
                    <w:tr2bl w:val="nil"/>
                  </w:tcBorders>
                  <w:shd w:val="clear" w:color="auto" w:fill="auto"/>
                  <w:vAlign w:val="center"/>
                </w:tcPr>
                <w:p w14:paraId="6F2856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永丰渠村1组支渠</w:t>
                  </w:r>
                </w:p>
              </w:tc>
              <w:tc>
                <w:tcPr>
                  <w:tcW w:w="622" w:type="pct"/>
                  <w:tcBorders>
                    <w:tl2br w:val="nil"/>
                    <w:tr2bl w:val="nil"/>
                  </w:tcBorders>
                  <w:shd w:val="clear" w:color="auto" w:fill="auto"/>
                  <w:vAlign w:val="center"/>
                </w:tcPr>
                <w:p w14:paraId="69D4D9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0.91</w:t>
                  </w:r>
                </w:p>
              </w:tc>
              <w:tc>
                <w:tcPr>
                  <w:tcW w:w="541" w:type="pct"/>
                  <w:tcBorders>
                    <w:tl2br w:val="nil"/>
                    <w:tr2bl w:val="nil"/>
                  </w:tcBorders>
                  <w:shd w:val="clear" w:color="auto" w:fill="auto"/>
                  <w:vAlign w:val="center"/>
                </w:tcPr>
                <w:p w14:paraId="1D1F59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0.929</w:t>
                  </w:r>
                </w:p>
              </w:tc>
              <w:tc>
                <w:tcPr>
                  <w:tcW w:w="661" w:type="pct"/>
                  <w:tcBorders>
                    <w:tl2br w:val="nil"/>
                    <w:tr2bl w:val="nil"/>
                  </w:tcBorders>
                  <w:shd w:val="clear" w:color="auto" w:fill="auto"/>
                  <w:vAlign w:val="center"/>
                </w:tcPr>
                <w:p w14:paraId="4F417A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664" w:type="pct"/>
                  <w:tcBorders>
                    <w:tl2br w:val="nil"/>
                    <w:tr2bl w:val="nil"/>
                  </w:tcBorders>
                  <w:shd w:val="clear" w:color="auto" w:fill="auto"/>
                  <w:vAlign w:val="center"/>
                </w:tcPr>
                <w:p w14:paraId="45188D5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664" w:type="pct"/>
                  <w:tcBorders>
                    <w:tl2br w:val="nil"/>
                    <w:tr2bl w:val="nil"/>
                  </w:tcBorders>
                  <w:shd w:val="clear" w:color="auto" w:fill="auto"/>
                  <w:vAlign w:val="center"/>
                </w:tcPr>
                <w:p w14:paraId="556F0B8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445BED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r>
            <w:tr w14:paraId="589105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5C2EEE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1047" w:type="pct"/>
                  <w:tcBorders>
                    <w:tl2br w:val="nil"/>
                    <w:tr2bl w:val="nil"/>
                  </w:tcBorders>
                  <w:shd w:val="clear" w:color="auto" w:fill="auto"/>
                  <w:vAlign w:val="center"/>
                </w:tcPr>
                <w:p w14:paraId="1192E8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永丰渠村2组支渠</w:t>
                  </w:r>
                </w:p>
              </w:tc>
              <w:tc>
                <w:tcPr>
                  <w:tcW w:w="622" w:type="pct"/>
                  <w:tcBorders>
                    <w:tl2br w:val="nil"/>
                    <w:tr2bl w:val="nil"/>
                  </w:tcBorders>
                  <w:shd w:val="clear" w:color="auto" w:fill="auto"/>
                  <w:vAlign w:val="center"/>
                </w:tcPr>
                <w:p w14:paraId="033564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0.45</w:t>
                  </w:r>
                </w:p>
              </w:tc>
              <w:tc>
                <w:tcPr>
                  <w:tcW w:w="541" w:type="pct"/>
                  <w:tcBorders>
                    <w:tl2br w:val="nil"/>
                    <w:tr2bl w:val="nil"/>
                  </w:tcBorders>
                  <w:shd w:val="clear" w:color="auto" w:fill="auto"/>
                  <w:vAlign w:val="center"/>
                </w:tcPr>
                <w:p w14:paraId="158528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0.445</w:t>
                  </w:r>
                </w:p>
              </w:tc>
              <w:tc>
                <w:tcPr>
                  <w:tcW w:w="661" w:type="pct"/>
                  <w:tcBorders>
                    <w:tl2br w:val="nil"/>
                    <w:tr2bl w:val="nil"/>
                  </w:tcBorders>
                  <w:shd w:val="clear" w:color="auto" w:fill="auto"/>
                  <w:vAlign w:val="center"/>
                </w:tcPr>
                <w:p w14:paraId="03506F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664" w:type="pct"/>
                  <w:tcBorders>
                    <w:tl2br w:val="nil"/>
                    <w:tr2bl w:val="nil"/>
                  </w:tcBorders>
                  <w:shd w:val="clear" w:color="auto" w:fill="auto"/>
                  <w:vAlign w:val="center"/>
                </w:tcPr>
                <w:p w14:paraId="6F75AF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664" w:type="pct"/>
                  <w:tcBorders>
                    <w:tl2br w:val="nil"/>
                    <w:tr2bl w:val="nil"/>
                  </w:tcBorders>
                  <w:shd w:val="clear" w:color="auto" w:fill="auto"/>
                  <w:vAlign w:val="center"/>
                </w:tcPr>
                <w:p w14:paraId="5D7E174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0EEC03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r>
            <w:tr w14:paraId="04D496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2451AE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1047" w:type="pct"/>
                  <w:tcBorders>
                    <w:tl2br w:val="nil"/>
                    <w:tr2bl w:val="nil"/>
                  </w:tcBorders>
                  <w:shd w:val="clear" w:color="auto" w:fill="auto"/>
                  <w:vAlign w:val="center"/>
                </w:tcPr>
                <w:p w14:paraId="1E85B5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西戈壁支渠</w:t>
                  </w:r>
                </w:p>
              </w:tc>
              <w:tc>
                <w:tcPr>
                  <w:tcW w:w="622" w:type="pct"/>
                  <w:tcBorders>
                    <w:tl2br w:val="nil"/>
                    <w:tr2bl w:val="nil"/>
                  </w:tcBorders>
                  <w:shd w:val="clear" w:color="auto" w:fill="auto"/>
                  <w:vAlign w:val="center"/>
                </w:tcPr>
                <w:p w14:paraId="7C31CE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3.50</w:t>
                  </w:r>
                </w:p>
              </w:tc>
              <w:tc>
                <w:tcPr>
                  <w:tcW w:w="541" w:type="pct"/>
                  <w:tcBorders>
                    <w:tl2br w:val="nil"/>
                    <w:tr2bl w:val="nil"/>
                  </w:tcBorders>
                  <w:shd w:val="clear" w:color="auto" w:fill="auto"/>
                  <w:vAlign w:val="center"/>
                </w:tcPr>
                <w:p w14:paraId="305844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11.580</w:t>
                  </w:r>
                </w:p>
              </w:tc>
              <w:tc>
                <w:tcPr>
                  <w:tcW w:w="661" w:type="pct"/>
                  <w:tcBorders>
                    <w:tl2br w:val="nil"/>
                    <w:tr2bl w:val="nil"/>
                  </w:tcBorders>
                  <w:shd w:val="clear" w:color="auto" w:fill="auto"/>
                  <w:vAlign w:val="center"/>
                </w:tcPr>
                <w:p w14:paraId="042E86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38</w:t>
                  </w:r>
                </w:p>
              </w:tc>
              <w:tc>
                <w:tcPr>
                  <w:tcW w:w="664" w:type="pct"/>
                  <w:tcBorders>
                    <w:tl2br w:val="nil"/>
                    <w:tr2bl w:val="nil"/>
                  </w:tcBorders>
                  <w:shd w:val="clear" w:color="auto" w:fill="auto"/>
                  <w:vAlign w:val="center"/>
                </w:tcPr>
                <w:p w14:paraId="451B6E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w:t>
                  </w:r>
                </w:p>
              </w:tc>
              <w:tc>
                <w:tcPr>
                  <w:tcW w:w="664" w:type="pct"/>
                  <w:tcBorders>
                    <w:tl2br w:val="nil"/>
                    <w:tr2bl w:val="nil"/>
                  </w:tcBorders>
                  <w:shd w:val="clear" w:color="auto" w:fill="auto"/>
                  <w:vAlign w:val="center"/>
                </w:tcPr>
                <w:p w14:paraId="1C5F4F0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1F7F99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54</w:t>
                  </w:r>
                </w:p>
              </w:tc>
            </w:tr>
            <w:tr w14:paraId="0AD696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452" w:type="pct"/>
                  <w:tcBorders>
                    <w:tl2br w:val="nil"/>
                    <w:tr2bl w:val="nil"/>
                  </w:tcBorders>
                  <w:shd w:val="clear" w:color="auto" w:fill="auto"/>
                  <w:vAlign w:val="center"/>
                </w:tcPr>
                <w:p w14:paraId="2890D3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1047" w:type="pct"/>
                  <w:tcBorders>
                    <w:tl2br w:val="nil"/>
                    <w:tr2bl w:val="nil"/>
                  </w:tcBorders>
                  <w:shd w:val="clear" w:color="auto" w:fill="auto"/>
                  <w:vAlign w:val="center"/>
                </w:tcPr>
                <w:p w14:paraId="164860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东戈壁支渠</w:t>
                  </w:r>
                </w:p>
              </w:tc>
              <w:tc>
                <w:tcPr>
                  <w:tcW w:w="622" w:type="pct"/>
                  <w:tcBorders>
                    <w:tl2br w:val="nil"/>
                    <w:tr2bl w:val="nil"/>
                  </w:tcBorders>
                  <w:shd w:val="clear" w:color="auto" w:fill="auto"/>
                  <w:vAlign w:val="center"/>
                </w:tcPr>
                <w:p w14:paraId="223B64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4.23</w:t>
                  </w:r>
                </w:p>
              </w:tc>
              <w:tc>
                <w:tcPr>
                  <w:tcW w:w="541" w:type="pct"/>
                  <w:tcBorders>
                    <w:tl2br w:val="nil"/>
                    <w:tr2bl w:val="nil"/>
                  </w:tcBorders>
                  <w:shd w:val="clear" w:color="auto" w:fill="auto"/>
                  <w:vAlign w:val="center"/>
                </w:tcPr>
                <w:p w14:paraId="5C1CE6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13.955</w:t>
                  </w:r>
                </w:p>
              </w:tc>
              <w:tc>
                <w:tcPr>
                  <w:tcW w:w="661" w:type="pct"/>
                  <w:tcBorders>
                    <w:tl2br w:val="nil"/>
                    <w:tr2bl w:val="nil"/>
                  </w:tcBorders>
                  <w:shd w:val="clear" w:color="auto" w:fill="auto"/>
                  <w:vAlign w:val="center"/>
                </w:tcPr>
                <w:p w14:paraId="1F5879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w:t>
                  </w:r>
                </w:p>
              </w:tc>
              <w:tc>
                <w:tcPr>
                  <w:tcW w:w="664" w:type="pct"/>
                  <w:tcBorders>
                    <w:tl2br w:val="nil"/>
                    <w:tr2bl w:val="nil"/>
                  </w:tcBorders>
                  <w:shd w:val="clear" w:color="auto" w:fill="auto"/>
                  <w:vAlign w:val="center"/>
                </w:tcPr>
                <w:p w14:paraId="3A8CEA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c>
                <w:tcPr>
                  <w:tcW w:w="664" w:type="pct"/>
                  <w:tcBorders>
                    <w:tl2br w:val="nil"/>
                    <w:tr2bl w:val="nil"/>
                  </w:tcBorders>
                  <w:shd w:val="clear" w:color="auto" w:fill="auto"/>
                  <w:vAlign w:val="center"/>
                </w:tcPr>
                <w:p w14:paraId="72F4051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t>
                  </w:r>
                </w:p>
              </w:tc>
              <w:tc>
                <w:tcPr>
                  <w:tcW w:w="345" w:type="pct"/>
                  <w:tcBorders>
                    <w:tl2br w:val="nil"/>
                    <w:tr2bl w:val="nil"/>
                  </w:tcBorders>
                  <w:shd w:val="clear" w:color="auto" w:fill="auto"/>
                  <w:vAlign w:val="center"/>
                </w:tcPr>
                <w:p w14:paraId="553EB8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49</w:t>
                  </w:r>
                </w:p>
              </w:tc>
            </w:tr>
            <w:tr w14:paraId="725D0B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trPr>
              <w:tc>
                <w:tcPr>
                  <w:tcW w:w="1500" w:type="pct"/>
                  <w:gridSpan w:val="2"/>
                  <w:tcBorders>
                    <w:tl2br w:val="nil"/>
                    <w:tr2bl w:val="nil"/>
                  </w:tcBorders>
                  <w:shd w:val="clear" w:color="auto" w:fill="auto"/>
                  <w:vAlign w:val="center"/>
                </w:tcPr>
                <w:p w14:paraId="67580C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622" w:type="pct"/>
                  <w:tcBorders>
                    <w:tl2br w:val="nil"/>
                    <w:tr2bl w:val="nil"/>
                  </w:tcBorders>
                  <w:shd w:val="clear" w:color="auto" w:fill="auto"/>
                  <w:vAlign w:val="center"/>
                </w:tcPr>
                <w:p w14:paraId="6AE228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13.15</w:t>
                  </w:r>
                </w:p>
              </w:tc>
              <w:tc>
                <w:tcPr>
                  <w:tcW w:w="541" w:type="pct"/>
                  <w:tcBorders>
                    <w:tl2br w:val="nil"/>
                    <w:tr2bl w:val="nil"/>
                  </w:tcBorders>
                  <w:shd w:val="clear" w:color="auto" w:fill="auto"/>
                  <w:vAlign w:val="center"/>
                </w:tcPr>
                <w:p w14:paraId="7F1733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49.663</w:t>
                  </w:r>
                </w:p>
              </w:tc>
              <w:tc>
                <w:tcPr>
                  <w:tcW w:w="661" w:type="pct"/>
                  <w:tcBorders>
                    <w:tl2br w:val="nil"/>
                    <w:tr2bl w:val="nil"/>
                  </w:tcBorders>
                  <w:shd w:val="clear" w:color="auto" w:fill="auto"/>
                  <w:vAlign w:val="center"/>
                </w:tcPr>
                <w:p w14:paraId="0EC369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112</w:t>
                  </w:r>
                </w:p>
              </w:tc>
              <w:tc>
                <w:tcPr>
                  <w:tcW w:w="664" w:type="pct"/>
                  <w:tcBorders>
                    <w:tl2br w:val="nil"/>
                    <w:tr2bl w:val="nil"/>
                  </w:tcBorders>
                  <w:shd w:val="clear" w:color="auto" w:fill="auto"/>
                  <w:vAlign w:val="center"/>
                </w:tcPr>
                <w:p w14:paraId="55B2DA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82</w:t>
                  </w:r>
                </w:p>
              </w:tc>
              <w:tc>
                <w:tcPr>
                  <w:tcW w:w="664" w:type="pct"/>
                  <w:tcBorders>
                    <w:tl2br w:val="nil"/>
                    <w:tr2bl w:val="nil"/>
                  </w:tcBorders>
                  <w:shd w:val="clear" w:color="auto" w:fill="auto"/>
                  <w:vAlign w:val="center"/>
                </w:tcPr>
                <w:p w14:paraId="0E4764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345" w:type="pct"/>
                  <w:tcBorders>
                    <w:tl2br w:val="nil"/>
                    <w:tr2bl w:val="nil"/>
                  </w:tcBorders>
                  <w:shd w:val="clear" w:color="auto" w:fill="auto"/>
                  <w:vAlign w:val="center"/>
                </w:tcPr>
                <w:p w14:paraId="116B43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197</w:t>
                  </w:r>
                </w:p>
              </w:tc>
            </w:tr>
          </w:tbl>
          <w:p w14:paraId="226EE63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根据《水利水电工程等级划分及洪水标准》（SL252-2017）的规定：</w:t>
            </w:r>
          </w:p>
          <w:p w14:paraId="12B2621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碧流河西干渠设计流量3.98m³/s，加大流量5.17m³/s；洞子口西支渠设计流量0.79m³/s，加大流量1.07m³/s；洞子口南沟渠设计流量0.20m³/s，加大流量0.27m³/s；皇宫村支渠设计流量0.59m³/s，加大流量0.80m³/s；宽沟至塘坊门村支渠设计流量0.26m³/s，加大流量0.36m³/s；永丰渠村1组支渠设计流量0.38m³/s，加大流量0.51m³/s；永丰渠村2组支渠设计流量0.34m³/s，加大流量0.45m³/s；西戈壁支渠设计流量1.48m³/s，加大流量1.92m³/s；东戈壁支渠设计流量1.78m³/s，加大流量2.31m³/s。主要建筑物级别为5级，次要建筑物为5级。</w:t>
            </w:r>
          </w:p>
          <w:p w14:paraId="133798E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碧流河灌区现状年灌溉面积14.47万亩，设计水平年改善灌溉面积13.15万亩，根据《水利水电工程等级划分及洪水标准》（SL252-2017），《灌溉与排水工程设计标准》（GB50288-2018），《渠道防渗衬砌工程技术标准》</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GB/T50600-2020</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的规定，本工程为Ⅲ等中型工程</w:t>
            </w:r>
            <w:r>
              <w:rPr>
                <w:rFonts w:hint="eastAsia" w:eastAsia="宋体" w:cs="Times New Roman"/>
                <w:color w:val="auto"/>
                <w:kern w:val="0"/>
                <w:sz w:val="24"/>
                <w:szCs w:val="24"/>
                <w:highlight w:val="none"/>
                <w:lang w:val="en-US" w:eastAsia="zh-CN"/>
              </w:rPr>
              <w:t>。</w:t>
            </w:r>
          </w:p>
          <w:p w14:paraId="6C45CED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根据</w:t>
            </w:r>
            <w:r>
              <w:rPr>
                <w:rFonts w:hint="default" w:ascii="Times New Roman" w:hAnsi="Times New Roman" w:eastAsia="宋体" w:cs="Times New Roman"/>
                <w:color w:val="auto"/>
                <w:kern w:val="0"/>
                <w:sz w:val="24"/>
                <w:szCs w:val="24"/>
                <w:highlight w:val="none"/>
                <w:lang w:val="en-US" w:eastAsia="zh-CN"/>
              </w:rPr>
              <w:t>《水利水电工程等级划分及洪水标准》（SL252-2017）</w:t>
            </w:r>
            <w:r>
              <w:rPr>
                <w:rFonts w:hint="eastAsia" w:cs="Times New Roman"/>
                <w:color w:val="auto"/>
                <w:kern w:val="0"/>
                <w:sz w:val="24"/>
                <w:szCs w:val="24"/>
                <w:highlight w:val="none"/>
                <w:lang w:val="en-US" w:eastAsia="zh-CN"/>
              </w:rPr>
              <w:t>的规定</w:t>
            </w:r>
            <w:r>
              <w:rPr>
                <w:rFonts w:hint="default" w:ascii="Times New Roman" w:hAnsi="Times New Roman" w:eastAsia="宋体" w:cs="Times New Roman"/>
                <w:color w:val="auto"/>
                <w:kern w:val="0"/>
                <w:sz w:val="24"/>
                <w:szCs w:val="24"/>
                <w:highlight w:val="none"/>
                <w:lang w:val="en-US" w:eastAsia="zh-CN"/>
              </w:rPr>
              <w:t>，灌溉工程5级永久性水工建筑物，其设计洪水标准为10年一遇洪水，校核洪水标准为30年一遇洪水。</w:t>
            </w:r>
          </w:p>
          <w:p w14:paraId="3089D8F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根据《水利水电工程合理使用年限及耐久性设计规范》SL654-20</w:t>
            </w:r>
            <w:r>
              <w:rPr>
                <w:rFonts w:hint="eastAsia" w:cs="Times New Roman"/>
                <w:color w:val="auto"/>
                <w:kern w:val="0"/>
                <w:sz w:val="24"/>
                <w:szCs w:val="24"/>
                <w:highlight w:val="none"/>
                <w:lang w:val="en-US" w:eastAsia="zh-CN"/>
              </w:rPr>
              <w:t>26</w:t>
            </w:r>
            <w:r>
              <w:rPr>
                <w:rFonts w:hint="default" w:ascii="Times New Roman" w:hAnsi="Times New Roman" w:eastAsia="宋体" w:cs="Times New Roman"/>
                <w:color w:val="auto"/>
                <w:kern w:val="0"/>
                <w:sz w:val="24"/>
                <w:szCs w:val="24"/>
                <w:highlight w:val="none"/>
                <w:lang w:val="en-US" w:eastAsia="zh-CN"/>
              </w:rPr>
              <w:t>规定，Ⅲ等中型工程设计使用年限为50年，5级灌溉渠道工程使用年限为20年,渠道建筑物工程使用年限为30年，闸门合理使用年限为30年。</w:t>
            </w:r>
          </w:p>
          <w:p w14:paraId="7C35E317">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宋体" w:cs="Times New Roman"/>
                <w:b/>
                <w:bCs/>
                <w:color w:val="auto"/>
                <w:spacing w:val="-2"/>
                <w:sz w:val="24"/>
                <w:szCs w:val="24"/>
              </w:rPr>
            </w:pPr>
            <w:r>
              <w:rPr>
                <w:rFonts w:hint="default" w:ascii="Times New Roman" w:hAnsi="Times New Roman" w:eastAsia="宋体" w:cs="Times New Roman"/>
                <w:b/>
                <w:bCs/>
                <w:color w:val="auto"/>
                <w:spacing w:val="-2"/>
                <w:sz w:val="24"/>
                <w:szCs w:val="24"/>
              </w:rPr>
              <w:t>表2-</w:t>
            </w:r>
            <w:r>
              <w:rPr>
                <w:rFonts w:hint="eastAsia" w:eastAsia="宋体" w:cs="Times New Roman"/>
                <w:b/>
                <w:bCs/>
                <w:color w:val="auto"/>
                <w:spacing w:val="-2"/>
                <w:sz w:val="24"/>
                <w:szCs w:val="24"/>
                <w:lang w:val="en-US" w:eastAsia="zh-CN"/>
              </w:rPr>
              <w:t>3本项目</w:t>
            </w:r>
            <w:r>
              <w:rPr>
                <w:rFonts w:hint="default" w:ascii="Times New Roman" w:hAnsi="Times New Roman" w:eastAsia="宋体" w:cs="Times New Roman"/>
                <w:b/>
                <w:bCs/>
                <w:color w:val="auto"/>
                <w:spacing w:val="-2"/>
                <w:sz w:val="24"/>
                <w:szCs w:val="24"/>
              </w:rPr>
              <w:t>建设内容一览表</w:t>
            </w:r>
          </w:p>
          <w:tbl>
            <w:tblPr>
              <w:tblStyle w:val="32"/>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029"/>
              <w:gridCol w:w="1556"/>
              <w:gridCol w:w="3741"/>
              <w:gridCol w:w="842"/>
            </w:tblGrid>
            <w:tr w14:paraId="1D537E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gridSpan w:val="2"/>
                  <w:tcBorders>
                    <w:tl2br w:val="nil"/>
                    <w:tr2bl w:val="nil"/>
                  </w:tcBorders>
                  <w:vAlign w:val="center"/>
                </w:tcPr>
                <w:p w14:paraId="461C1BE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名称</w:t>
                  </w:r>
                </w:p>
              </w:tc>
              <w:tc>
                <w:tcPr>
                  <w:tcW w:w="3373" w:type="pct"/>
                  <w:gridSpan w:val="2"/>
                  <w:tcBorders>
                    <w:tl2br w:val="nil"/>
                    <w:tr2bl w:val="nil"/>
                  </w:tcBorders>
                  <w:vAlign w:val="center"/>
                </w:tcPr>
                <w:p w14:paraId="6B3CA6B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建设内容</w:t>
                  </w:r>
                </w:p>
              </w:tc>
              <w:tc>
                <w:tcPr>
                  <w:tcW w:w="536" w:type="pct"/>
                  <w:tcBorders>
                    <w:tl2br w:val="nil"/>
                    <w:tr2bl w:val="nil"/>
                  </w:tcBorders>
                  <w:vAlign w:val="center"/>
                </w:tcPr>
                <w:p w14:paraId="3E8F4D4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备注</w:t>
                  </w:r>
                </w:p>
              </w:tc>
            </w:tr>
            <w:tr w14:paraId="18653B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tcBorders>
                    <w:tl2br w:val="nil"/>
                    <w:tr2bl w:val="nil"/>
                  </w:tcBorders>
                  <w:vAlign w:val="center"/>
                </w:tcPr>
                <w:p w14:paraId="12798FD8">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主体工程</w:t>
                  </w:r>
                </w:p>
              </w:tc>
              <w:tc>
                <w:tcPr>
                  <w:tcW w:w="655" w:type="pct"/>
                  <w:vMerge w:val="restart"/>
                  <w:tcBorders>
                    <w:tl2br w:val="nil"/>
                    <w:tr2bl w:val="nil"/>
                  </w:tcBorders>
                  <w:vAlign w:val="center"/>
                </w:tcPr>
                <w:p w14:paraId="31FDB30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防渗渠</w:t>
                  </w:r>
                </w:p>
              </w:tc>
              <w:tc>
                <w:tcPr>
                  <w:tcW w:w="991" w:type="pct"/>
                  <w:tcBorders>
                    <w:tl2br w:val="nil"/>
                    <w:tr2bl w:val="nil"/>
                  </w:tcBorders>
                  <w:vAlign w:val="center"/>
                </w:tcPr>
                <w:p w14:paraId="6E52B154">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碧流河西干渠</w:t>
                  </w:r>
                </w:p>
              </w:tc>
              <w:tc>
                <w:tcPr>
                  <w:tcW w:w="2382" w:type="pct"/>
                  <w:tcBorders>
                    <w:tl2br w:val="nil"/>
                    <w:tr2bl w:val="nil"/>
                  </w:tcBorders>
                  <w:vAlign w:val="center"/>
                </w:tcPr>
                <w:p w14:paraId="460C20B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改建长度8.43km，设计流量3.98m³/s，加大流量5.17m³/s。</w:t>
                  </w:r>
                </w:p>
              </w:tc>
              <w:tc>
                <w:tcPr>
                  <w:tcW w:w="536" w:type="pct"/>
                  <w:tcBorders>
                    <w:tl2br w:val="nil"/>
                    <w:tr2bl w:val="nil"/>
                  </w:tcBorders>
                  <w:vAlign w:val="center"/>
                </w:tcPr>
                <w:p w14:paraId="6D9FDFB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183B6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078F7C2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4E2A3F5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48FAFFF7">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洞子口西支渠</w:t>
                  </w:r>
                </w:p>
              </w:tc>
              <w:tc>
                <w:tcPr>
                  <w:tcW w:w="2382" w:type="pct"/>
                  <w:tcBorders>
                    <w:tl2br w:val="nil"/>
                    <w:tr2bl w:val="nil"/>
                  </w:tcBorders>
                  <w:vAlign w:val="center"/>
                </w:tcPr>
                <w:p w14:paraId="71802CC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改建长度3.459km，设计流量0.79m³/s，加大流量1.07m³/s。</w:t>
                  </w:r>
                </w:p>
              </w:tc>
              <w:tc>
                <w:tcPr>
                  <w:tcW w:w="536" w:type="pct"/>
                  <w:tcBorders>
                    <w:tl2br w:val="nil"/>
                    <w:tr2bl w:val="nil"/>
                  </w:tcBorders>
                  <w:vAlign w:val="center"/>
                </w:tcPr>
                <w:p w14:paraId="2A40650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17EF60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46D68848">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51D77B8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6FD75C1E">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皇宫村支渠</w:t>
                  </w:r>
                </w:p>
              </w:tc>
              <w:tc>
                <w:tcPr>
                  <w:tcW w:w="2382" w:type="pct"/>
                  <w:tcBorders>
                    <w:tl2br w:val="nil"/>
                    <w:tr2bl w:val="nil"/>
                  </w:tcBorders>
                  <w:vAlign w:val="center"/>
                </w:tcPr>
                <w:p w14:paraId="20E75A2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改建长度3.7km，设计流量0.59m³/s，加大流量0.80m³/s。</w:t>
                  </w:r>
                </w:p>
              </w:tc>
              <w:tc>
                <w:tcPr>
                  <w:tcW w:w="536" w:type="pct"/>
                  <w:tcBorders>
                    <w:tl2br w:val="nil"/>
                    <w:tr2bl w:val="nil"/>
                  </w:tcBorders>
                  <w:vAlign w:val="center"/>
                </w:tcPr>
                <w:p w14:paraId="47F90663">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16BE4D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5775474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2078ABAB">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6D65FBCF">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宽沟至塘坊门村支渠</w:t>
                  </w:r>
                </w:p>
              </w:tc>
              <w:tc>
                <w:tcPr>
                  <w:tcW w:w="2382" w:type="pct"/>
                  <w:tcBorders>
                    <w:tl2br w:val="nil"/>
                    <w:tr2bl w:val="nil"/>
                  </w:tcBorders>
                  <w:vAlign w:val="center"/>
                </w:tcPr>
                <w:p w14:paraId="1F364E1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改建长度4.963km，设计流量0.26m³/s，加大流量0.36m³/s。</w:t>
                  </w:r>
                </w:p>
              </w:tc>
              <w:tc>
                <w:tcPr>
                  <w:tcW w:w="536" w:type="pct"/>
                  <w:tcBorders>
                    <w:tl2br w:val="nil"/>
                    <w:tr2bl w:val="nil"/>
                  </w:tcBorders>
                  <w:vAlign w:val="center"/>
                </w:tcPr>
                <w:p w14:paraId="6884998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499483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6DBEB0A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145D784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2541D7D5">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洞子口南沟渠</w:t>
                  </w:r>
                </w:p>
              </w:tc>
              <w:tc>
                <w:tcPr>
                  <w:tcW w:w="2382" w:type="pct"/>
                  <w:tcBorders>
                    <w:tl2br w:val="nil"/>
                    <w:tr2bl w:val="nil"/>
                  </w:tcBorders>
                  <w:vAlign w:val="center"/>
                </w:tcPr>
                <w:p w14:paraId="4A2882EB">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改建长度1.25km，设计流量0.20m³/s，加大流量0.27m³/s。</w:t>
                  </w:r>
                </w:p>
              </w:tc>
              <w:tc>
                <w:tcPr>
                  <w:tcW w:w="536" w:type="pct"/>
                  <w:tcBorders>
                    <w:tl2br w:val="nil"/>
                    <w:tr2bl w:val="nil"/>
                  </w:tcBorders>
                  <w:vAlign w:val="center"/>
                </w:tcPr>
                <w:p w14:paraId="4A54C3D0">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392A7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4A85F14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0A6B566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6D560F8B">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永丰渠村1组支渠</w:t>
                  </w:r>
                </w:p>
              </w:tc>
              <w:tc>
                <w:tcPr>
                  <w:tcW w:w="2382" w:type="pct"/>
                  <w:tcBorders>
                    <w:tl2br w:val="nil"/>
                    <w:tr2bl w:val="nil"/>
                  </w:tcBorders>
                  <w:vAlign w:val="center"/>
                </w:tcPr>
                <w:p w14:paraId="58721637">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改建长度0.929km，设计流量0.38m³/s，加大流量0.51m³/s。</w:t>
                  </w:r>
                </w:p>
              </w:tc>
              <w:tc>
                <w:tcPr>
                  <w:tcW w:w="536" w:type="pct"/>
                  <w:tcBorders>
                    <w:tl2br w:val="nil"/>
                    <w:tr2bl w:val="nil"/>
                  </w:tcBorders>
                  <w:vAlign w:val="center"/>
                </w:tcPr>
                <w:p w14:paraId="302F068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4F879A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3A3D1ED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08ADE66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2F3F73BE">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永丰渠村2组支渠</w:t>
                  </w:r>
                </w:p>
              </w:tc>
              <w:tc>
                <w:tcPr>
                  <w:tcW w:w="2382" w:type="pct"/>
                  <w:tcBorders>
                    <w:tl2br w:val="nil"/>
                    <w:tr2bl w:val="nil"/>
                  </w:tcBorders>
                  <w:vAlign w:val="center"/>
                </w:tcPr>
                <w:p w14:paraId="4E3D747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改建长度0.445km，设计流量0.34m³/s，加大流量0.45m³/s。</w:t>
                  </w:r>
                </w:p>
              </w:tc>
              <w:tc>
                <w:tcPr>
                  <w:tcW w:w="536" w:type="pct"/>
                  <w:tcBorders>
                    <w:tl2br w:val="nil"/>
                    <w:tr2bl w:val="nil"/>
                  </w:tcBorders>
                  <w:vAlign w:val="center"/>
                </w:tcPr>
                <w:p w14:paraId="156B72E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11FAD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022D166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05A6539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5F896F05">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西戈壁支渠</w:t>
                  </w:r>
                </w:p>
              </w:tc>
              <w:tc>
                <w:tcPr>
                  <w:tcW w:w="2382" w:type="pct"/>
                  <w:tcBorders>
                    <w:tl2br w:val="nil"/>
                    <w:tr2bl w:val="nil"/>
                  </w:tcBorders>
                  <w:vAlign w:val="center"/>
                </w:tcPr>
                <w:p w14:paraId="74DB655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改建长度11.58km，设计流量1.48m³/s，加大流量1.92m³/s。</w:t>
                  </w:r>
                </w:p>
              </w:tc>
              <w:tc>
                <w:tcPr>
                  <w:tcW w:w="536" w:type="pct"/>
                  <w:tcBorders>
                    <w:tl2br w:val="nil"/>
                    <w:tr2bl w:val="nil"/>
                  </w:tcBorders>
                  <w:vAlign w:val="center"/>
                </w:tcPr>
                <w:p w14:paraId="0C4FA3E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48FAF2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38A2CB18">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4C2C39C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59D349CD">
                  <w:pPr>
                    <w:pStyle w:val="25"/>
                    <w:keepNext w:val="0"/>
                    <w:keepLines w:val="0"/>
                    <w:pageBreakBefore w:val="0"/>
                    <w:widowControl w:val="0"/>
                    <w:kinsoku/>
                    <w:wordWrap/>
                    <w:overflowPunct/>
                    <w:topLinePunct w:val="0"/>
                    <w:autoSpaceDE w:val="0"/>
                    <w:autoSpaceDN w:val="0"/>
                    <w:bidi w:val="0"/>
                    <w:adjustRightInd w:val="0"/>
                    <w:snapToGrid/>
                    <w:ind w:left="0" w:leftChars="0" w:firstLine="0" w:firstLineChars="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东戈壁支渠</w:t>
                  </w:r>
                </w:p>
              </w:tc>
              <w:tc>
                <w:tcPr>
                  <w:tcW w:w="2382" w:type="pct"/>
                  <w:tcBorders>
                    <w:tl2br w:val="nil"/>
                    <w:tr2bl w:val="nil"/>
                  </w:tcBorders>
                  <w:vAlign w:val="center"/>
                </w:tcPr>
                <w:p w14:paraId="4747BC09">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改建长度13.955km，设计流量1.78m³/s，加大流量2.31m³/s</w:t>
                  </w:r>
                </w:p>
              </w:tc>
              <w:tc>
                <w:tcPr>
                  <w:tcW w:w="536" w:type="pct"/>
                  <w:tcBorders>
                    <w:tl2br w:val="nil"/>
                    <w:tr2bl w:val="nil"/>
                  </w:tcBorders>
                  <w:vAlign w:val="center"/>
                </w:tcPr>
                <w:p w14:paraId="16B401C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52FD44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5D7C38F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restart"/>
                  <w:tcBorders>
                    <w:tl2br w:val="nil"/>
                    <w:tr2bl w:val="nil"/>
                  </w:tcBorders>
                  <w:vAlign w:val="center"/>
                </w:tcPr>
                <w:p w14:paraId="773C46B0">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渠系建筑物</w:t>
                  </w:r>
                </w:p>
              </w:tc>
              <w:tc>
                <w:tcPr>
                  <w:tcW w:w="991" w:type="pct"/>
                  <w:tcBorders>
                    <w:tl2br w:val="nil"/>
                    <w:tr2bl w:val="nil"/>
                  </w:tcBorders>
                  <w:vAlign w:val="center"/>
                </w:tcPr>
                <w:p w14:paraId="4B8ADCF5">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水闸</w:t>
                  </w:r>
                </w:p>
              </w:tc>
              <w:tc>
                <w:tcPr>
                  <w:tcW w:w="2382" w:type="pct"/>
                  <w:tcBorders>
                    <w:tl2br w:val="nil"/>
                    <w:tr2bl w:val="nil"/>
                  </w:tcBorders>
                  <w:vAlign w:val="center"/>
                </w:tcPr>
                <w:p w14:paraId="7E5D9A62">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工程修建节制分水闸112座，闸室段采用整体</w:t>
                  </w:r>
                  <w:r>
                    <w:rPr>
                      <w:rFonts w:hint="eastAsia" w:ascii="Times New Roman" w:cs="Times New Roman"/>
                      <w:color w:val="auto"/>
                      <w:sz w:val="21"/>
                      <w:szCs w:val="21"/>
                      <w:vertAlign w:val="baseline"/>
                      <w:lang w:val="en-US" w:eastAsia="zh-CN"/>
                    </w:rPr>
                    <w:t>敞开</w:t>
                  </w:r>
                  <w:r>
                    <w:rPr>
                      <w:rFonts w:hint="default" w:ascii="Times New Roman" w:hAnsi="Times New Roman" w:eastAsia="宋体" w:cs="Times New Roman"/>
                      <w:color w:val="auto"/>
                      <w:sz w:val="21"/>
                      <w:szCs w:val="21"/>
                      <w:vertAlign w:val="baseline"/>
                      <w:lang w:val="en-US" w:eastAsia="zh-CN"/>
                    </w:rPr>
                    <w:t>式C35F250W6钢筋砼或C35F250W6素砼结构。节制闸闸室净宽2.0～2.5m、闸墩高1.0～2.0m；分水闸闸室净宽1.0～2.0m、闸墩高1.1～1.5m；闸室底板前后设齿墙，为倒梯形，齿墙深0.5m。节制分水闸上、下游设C35F250W6细石砼砌筑卵石扭面连接段与渠道连接。</w:t>
                  </w:r>
                </w:p>
              </w:tc>
              <w:tc>
                <w:tcPr>
                  <w:tcW w:w="536" w:type="pct"/>
                  <w:tcBorders>
                    <w:tl2br w:val="nil"/>
                    <w:tr2bl w:val="nil"/>
                  </w:tcBorders>
                  <w:vAlign w:val="center"/>
                </w:tcPr>
                <w:p w14:paraId="6532805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603D4A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3FDA631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425AFA70">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72B9EB70">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农桥</w:t>
                  </w:r>
                </w:p>
              </w:tc>
              <w:tc>
                <w:tcPr>
                  <w:tcW w:w="2382" w:type="pct"/>
                  <w:tcBorders>
                    <w:tl2br w:val="nil"/>
                    <w:tr2bl w:val="nil"/>
                  </w:tcBorders>
                  <w:vAlign w:val="center"/>
                </w:tcPr>
                <w:p w14:paraId="3566BC82">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共</w:t>
                  </w:r>
                  <w:r>
                    <w:rPr>
                      <w:rFonts w:hint="eastAsia" w:ascii="Times New Roman" w:cs="Times New Roman"/>
                      <w:color w:val="auto"/>
                      <w:sz w:val="21"/>
                      <w:szCs w:val="21"/>
                      <w:vertAlign w:val="baseline"/>
                      <w:lang w:val="en-US" w:eastAsia="zh-CN"/>
                    </w:rPr>
                    <w:t>82</w:t>
                  </w:r>
                  <w:r>
                    <w:rPr>
                      <w:rFonts w:hint="default" w:ascii="Times New Roman" w:hAnsi="Times New Roman" w:eastAsia="宋体" w:cs="Times New Roman"/>
                      <w:color w:val="auto"/>
                      <w:sz w:val="21"/>
                      <w:szCs w:val="21"/>
                      <w:vertAlign w:val="baseline"/>
                      <w:lang w:val="en-US" w:eastAsia="zh-CN"/>
                    </w:rPr>
                    <w:t>座，桥面设计净宽6</w:t>
                  </w:r>
                  <w:r>
                    <w:rPr>
                      <w:rFonts w:hint="eastAsia" w:ascii="Times New Roman" w:cs="Times New Roman"/>
                      <w:color w:val="auto"/>
                      <w:sz w:val="21"/>
                      <w:szCs w:val="21"/>
                      <w:vertAlign w:val="baseline"/>
                      <w:lang w:val="en-US" w:eastAsia="zh-CN"/>
                    </w:rPr>
                    <w:t>~8</w:t>
                  </w:r>
                  <w:r>
                    <w:rPr>
                      <w:rFonts w:hint="default" w:ascii="Times New Roman" w:hAnsi="Times New Roman" w:eastAsia="宋体" w:cs="Times New Roman"/>
                      <w:color w:val="auto"/>
                      <w:sz w:val="21"/>
                      <w:szCs w:val="21"/>
                      <w:vertAlign w:val="baseline"/>
                      <w:lang w:val="en-US" w:eastAsia="zh-CN"/>
                    </w:rPr>
                    <w:t>m</w:t>
                  </w:r>
                  <w:r>
                    <w:rPr>
                      <w:rFonts w:hint="eastAsia" w:ascii="Times New Roman"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农桥采用一跨式板式结构，板厚250mm，采用C35F250钢筋砼现浇，桥面铺5cm细石砼保护层，桥墩采用C35F250W6砼重力墩形式。</w:t>
                  </w:r>
                </w:p>
              </w:tc>
              <w:tc>
                <w:tcPr>
                  <w:tcW w:w="536" w:type="pct"/>
                  <w:tcBorders>
                    <w:tl2br w:val="nil"/>
                    <w:tr2bl w:val="nil"/>
                  </w:tcBorders>
                  <w:vAlign w:val="center"/>
                </w:tcPr>
                <w:p w14:paraId="5650113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1962BB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343D405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655" w:type="pct"/>
                  <w:vMerge w:val="continue"/>
                  <w:tcBorders>
                    <w:tl2br w:val="nil"/>
                    <w:tr2bl w:val="nil"/>
                  </w:tcBorders>
                  <w:vAlign w:val="center"/>
                </w:tcPr>
                <w:p w14:paraId="35AD20A0">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991" w:type="pct"/>
                  <w:tcBorders>
                    <w:tl2br w:val="nil"/>
                    <w:tr2bl w:val="nil"/>
                  </w:tcBorders>
                  <w:vAlign w:val="center"/>
                </w:tcPr>
                <w:p w14:paraId="02AB841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跌水</w:t>
                  </w:r>
                </w:p>
              </w:tc>
              <w:tc>
                <w:tcPr>
                  <w:tcW w:w="2382" w:type="pct"/>
                  <w:tcBorders>
                    <w:tl2br w:val="nil"/>
                    <w:tr2bl w:val="nil"/>
                  </w:tcBorders>
                  <w:vAlign w:val="center"/>
                </w:tcPr>
                <w:p w14:paraId="1D93CBE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共修建跌水3处，采用矩形无坎缺口，跌口宽度为1.0-1.5m，跌水胸墙高度为2.0-4.0m，底板采用现浇钢筋混凝土浇筑，砼指标：C35、F250、W6。消力池的长度为5.0m，宽度为1.0m，深度为0.5m，消力池的底板及侧墙采用现浇混凝土浇筑，砼指标：C35、F250、W6。上下游连接段采用C35现浇混凝土浇筑。消力池、挡土墙底部均换填50cm砂砾石垫层，砂砾石垫层压实指标Dr≥0.75。为降低墙后水压力，防止发生冻胀破坏，跌水挡土墙设直径100的PVC排水管，排水管间距2m，呈梅花形布置。</w:t>
                  </w:r>
                </w:p>
              </w:tc>
              <w:tc>
                <w:tcPr>
                  <w:tcW w:w="536" w:type="pct"/>
                  <w:tcBorders>
                    <w:tl2br w:val="nil"/>
                    <w:tr2bl w:val="nil"/>
                  </w:tcBorders>
                  <w:vAlign w:val="center"/>
                </w:tcPr>
                <w:p w14:paraId="5B0AD3D5">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6B1068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79F4EA0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01A6EEA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信息自动化</w:t>
                  </w:r>
                </w:p>
              </w:tc>
              <w:tc>
                <w:tcPr>
                  <w:tcW w:w="2382" w:type="pct"/>
                  <w:tcBorders>
                    <w:tl2br w:val="nil"/>
                    <w:tr2bl w:val="nil"/>
                  </w:tcBorders>
                  <w:vAlign w:val="center"/>
                </w:tcPr>
                <w:p w14:paraId="1CDFBBD9">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本工程建设渠道测控一体化闸门控制改造14处。闸门控制改造每处有1座节制闸和1座分水闸，共计28扇测控一体化闸门，灌区自动化采集与控制设备安装完成后，对整个灌区的渠道主要闸门控制进行信息化整合，达到灌区用水调度整体调控。</w:t>
                  </w:r>
                </w:p>
              </w:tc>
              <w:tc>
                <w:tcPr>
                  <w:tcW w:w="536" w:type="pct"/>
                  <w:tcBorders>
                    <w:tl2br w:val="nil"/>
                    <w:tr2bl w:val="nil"/>
                  </w:tcBorders>
                  <w:vAlign w:val="center"/>
                </w:tcPr>
                <w:p w14:paraId="381F5DC3">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310464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tcBorders>
                    <w:tl2br w:val="nil"/>
                    <w:tr2bl w:val="nil"/>
                  </w:tcBorders>
                  <w:vAlign w:val="center"/>
                </w:tcPr>
                <w:p w14:paraId="3A0987A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辅助工程</w:t>
                  </w:r>
                </w:p>
              </w:tc>
              <w:tc>
                <w:tcPr>
                  <w:tcW w:w="1646" w:type="pct"/>
                  <w:gridSpan w:val="2"/>
                  <w:tcBorders>
                    <w:tl2br w:val="nil"/>
                    <w:tr2bl w:val="nil"/>
                  </w:tcBorders>
                  <w:vAlign w:val="center"/>
                </w:tcPr>
                <w:p w14:paraId="0A4ED59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临时施工道路</w:t>
                  </w:r>
                </w:p>
              </w:tc>
              <w:tc>
                <w:tcPr>
                  <w:tcW w:w="2382" w:type="pct"/>
                  <w:tcBorders>
                    <w:tl2br w:val="nil"/>
                    <w:tr2bl w:val="nil"/>
                  </w:tcBorders>
                  <w:vAlign w:val="center"/>
                </w:tcPr>
                <w:p w14:paraId="2E49864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根据施工条件和工程需要，本工程需要修筑临时施工道路5.968km，宽度5.0m，简易修整后使用。占地类型为裸土地。</w:t>
                  </w:r>
                </w:p>
              </w:tc>
              <w:tc>
                <w:tcPr>
                  <w:tcW w:w="536" w:type="pct"/>
                  <w:tcBorders>
                    <w:tl2br w:val="nil"/>
                    <w:tr2bl w:val="nil"/>
                  </w:tcBorders>
                  <w:vAlign w:val="center"/>
                </w:tcPr>
                <w:p w14:paraId="00321C3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2D20FA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4A07D0C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59022B5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临时生产区</w:t>
                  </w:r>
                </w:p>
              </w:tc>
              <w:tc>
                <w:tcPr>
                  <w:tcW w:w="2382" w:type="pct"/>
                  <w:tcBorders>
                    <w:tl2br w:val="nil"/>
                    <w:tr2bl w:val="nil"/>
                  </w:tcBorders>
                  <w:vAlign w:val="center"/>
                </w:tcPr>
                <w:p w14:paraId="7A441DF8">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共设4处临时生产区，包括砼临时拌合系统、加工系统、施工仓库等，总占地面积0.42hm</w:t>
                  </w:r>
                  <w:r>
                    <w:rPr>
                      <w:rFonts w:hint="eastAsia" w:ascii="Times New Roman" w:cs="Times New Roman"/>
                      <w:color w:val="auto"/>
                      <w:sz w:val="21"/>
                      <w:szCs w:val="21"/>
                      <w:vertAlign w:val="superscript"/>
                      <w:lang w:val="en-US" w:eastAsia="zh-CN"/>
                    </w:rPr>
                    <w:t>2</w:t>
                  </w:r>
                  <w:r>
                    <w:rPr>
                      <w:rFonts w:hint="eastAsia" w:ascii="Times New Roman" w:cs="Times New Roman"/>
                      <w:color w:val="auto"/>
                      <w:sz w:val="21"/>
                      <w:szCs w:val="21"/>
                      <w:vertAlign w:val="baseline"/>
                      <w:lang w:val="en-US" w:eastAsia="zh-CN"/>
                    </w:rPr>
                    <w:t>，分别位于碧流河西干渠、宽沟至塘坊门支渠、东戈壁支渠、西戈壁支渠。占地类型为裸土地。</w:t>
                  </w:r>
                </w:p>
              </w:tc>
              <w:tc>
                <w:tcPr>
                  <w:tcW w:w="536" w:type="pct"/>
                  <w:tcBorders>
                    <w:tl2br w:val="nil"/>
                    <w:tr2bl w:val="nil"/>
                  </w:tcBorders>
                  <w:vAlign w:val="center"/>
                </w:tcPr>
                <w:p w14:paraId="532D1DE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4F4F0D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6B18F9F9">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63B82739">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取土（料）场、弃渣场</w:t>
                  </w:r>
                </w:p>
              </w:tc>
              <w:tc>
                <w:tcPr>
                  <w:tcW w:w="2382" w:type="pct"/>
                  <w:tcBorders>
                    <w:tl2br w:val="nil"/>
                    <w:tr2bl w:val="nil"/>
                  </w:tcBorders>
                  <w:vAlign w:val="center"/>
                </w:tcPr>
                <w:p w14:paraId="21EC4749">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本项目不设置取土（料）场，借方为换填土方及外购砂石料垫层，选用砂石料均从奇台县有合法水土保持备案手续的砂石料场采购；本项目不设置弃渣场，弃渣主要为原渠道及渠系建筑物拆除产生的建筑垃圾，计划拉至奇台县建筑垃圾填埋场，剩余土方全部用于渠堤培高。</w:t>
                  </w:r>
                </w:p>
              </w:tc>
              <w:tc>
                <w:tcPr>
                  <w:tcW w:w="536" w:type="pct"/>
                  <w:tcBorders>
                    <w:tl2br w:val="nil"/>
                    <w:tr2bl w:val="nil"/>
                  </w:tcBorders>
                  <w:vAlign w:val="center"/>
                </w:tcPr>
                <w:p w14:paraId="2AF80F3B">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282C8C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390A25B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48C75F1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临时堆土区</w:t>
                  </w:r>
                </w:p>
              </w:tc>
              <w:tc>
                <w:tcPr>
                  <w:tcW w:w="2382" w:type="pct"/>
                  <w:tcBorders>
                    <w:tl2br w:val="nil"/>
                    <w:tr2bl w:val="nil"/>
                  </w:tcBorders>
                  <w:vAlign w:val="center"/>
                </w:tcPr>
                <w:p w14:paraId="6B185EF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本项目不设置集中临时堆土区，渠道开挖产生的土方临时堆置在渠道两侧区域，待后期回填于渠堤建设使用，经估算项目临时堆土区总占地面积4.42hm</w:t>
                  </w:r>
                  <w:r>
                    <w:rPr>
                      <w:rFonts w:hint="eastAsia" w:ascii="Times New Roman" w:cs="Times New Roman"/>
                      <w:color w:val="auto"/>
                      <w:sz w:val="21"/>
                      <w:szCs w:val="21"/>
                      <w:vertAlign w:val="superscript"/>
                      <w:lang w:val="en-US" w:eastAsia="zh-CN"/>
                    </w:rPr>
                    <w:t>2</w:t>
                  </w:r>
                  <w:r>
                    <w:rPr>
                      <w:rFonts w:hint="eastAsia" w:ascii="Times New Roman" w:cs="Times New Roman"/>
                      <w:color w:val="auto"/>
                      <w:sz w:val="21"/>
                      <w:szCs w:val="21"/>
                      <w:vertAlign w:val="baseline"/>
                      <w:lang w:val="en-US" w:eastAsia="zh-CN"/>
                    </w:rPr>
                    <w:t>，占地类型为裸土地。</w:t>
                  </w:r>
                </w:p>
              </w:tc>
              <w:tc>
                <w:tcPr>
                  <w:tcW w:w="536" w:type="pct"/>
                  <w:tcBorders>
                    <w:tl2br w:val="nil"/>
                    <w:tr2bl w:val="nil"/>
                  </w:tcBorders>
                  <w:vAlign w:val="center"/>
                </w:tcPr>
                <w:p w14:paraId="78436D1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4AD059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030A4C0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57C1458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施工生活区</w:t>
                  </w:r>
                </w:p>
              </w:tc>
              <w:tc>
                <w:tcPr>
                  <w:tcW w:w="2382" w:type="pct"/>
                  <w:tcBorders>
                    <w:tl2br w:val="nil"/>
                    <w:tr2bl w:val="nil"/>
                  </w:tcBorders>
                  <w:vAlign w:val="center"/>
                </w:tcPr>
                <w:p w14:paraId="1BF9313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施工单位租用附近的村镇民房居住，不设置施工临时生活区。</w:t>
                  </w:r>
                </w:p>
              </w:tc>
              <w:tc>
                <w:tcPr>
                  <w:tcW w:w="536" w:type="pct"/>
                  <w:tcBorders>
                    <w:tl2br w:val="nil"/>
                    <w:tr2bl w:val="nil"/>
                  </w:tcBorders>
                  <w:vAlign w:val="center"/>
                </w:tcPr>
                <w:p w14:paraId="2EB1E12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3F94C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tcBorders>
                    <w:tl2br w:val="nil"/>
                    <w:tr2bl w:val="nil"/>
                  </w:tcBorders>
                  <w:vAlign w:val="center"/>
                </w:tcPr>
                <w:p w14:paraId="6ABBB193">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公用工程</w:t>
                  </w:r>
                </w:p>
              </w:tc>
              <w:tc>
                <w:tcPr>
                  <w:tcW w:w="1646" w:type="pct"/>
                  <w:gridSpan w:val="2"/>
                  <w:tcBorders>
                    <w:tl2br w:val="nil"/>
                    <w:tr2bl w:val="nil"/>
                  </w:tcBorders>
                  <w:vAlign w:val="center"/>
                </w:tcPr>
                <w:p w14:paraId="3194B6E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供电系统</w:t>
                  </w:r>
                </w:p>
              </w:tc>
              <w:tc>
                <w:tcPr>
                  <w:tcW w:w="2382" w:type="pct"/>
                  <w:tcBorders>
                    <w:tl2br w:val="nil"/>
                    <w:tr2bl w:val="nil"/>
                  </w:tcBorders>
                  <w:vAlign w:val="center"/>
                </w:tcPr>
                <w:p w14:paraId="233F4443">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施工用电尽量采用现有输电线路，接入附近已有电网使用，无电源线处采用自备50kW柴油发电机供电。</w:t>
                  </w:r>
                </w:p>
              </w:tc>
              <w:tc>
                <w:tcPr>
                  <w:tcW w:w="536" w:type="pct"/>
                  <w:tcBorders>
                    <w:tl2br w:val="nil"/>
                    <w:tr2bl w:val="nil"/>
                  </w:tcBorders>
                  <w:vAlign w:val="center"/>
                </w:tcPr>
                <w:p w14:paraId="28C23275">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2B5C87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58BE991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1291180B">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供水系统</w:t>
                  </w:r>
                </w:p>
              </w:tc>
              <w:tc>
                <w:tcPr>
                  <w:tcW w:w="2382" w:type="pct"/>
                  <w:tcBorders>
                    <w:tl2br w:val="nil"/>
                    <w:tr2bl w:val="nil"/>
                  </w:tcBorders>
                  <w:vAlign w:val="center"/>
                </w:tcPr>
                <w:p w14:paraId="7DCD3984">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施工用水可从周边各村渠道、机井就近拉运取水，平均拉运距离为3km。生活用水可从附近的居民点获取，其水质完全符合生活饮用水标准。</w:t>
                  </w:r>
                </w:p>
              </w:tc>
              <w:tc>
                <w:tcPr>
                  <w:tcW w:w="536" w:type="pct"/>
                  <w:tcBorders>
                    <w:tl2br w:val="nil"/>
                    <w:tr2bl w:val="nil"/>
                  </w:tcBorders>
                  <w:vAlign w:val="center"/>
                </w:tcPr>
                <w:p w14:paraId="4AC080E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152A98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453790F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3C35F478">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排水系统</w:t>
                  </w:r>
                </w:p>
              </w:tc>
              <w:tc>
                <w:tcPr>
                  <w:tcW w:w="2382" w:type="pct"/>
                  <w:tcBorders>
                    <w:tl2br w:val="nil"/>
                    <w:tr2bl w:val="nil"/>
                  </w:tcBorders>
                  <w:vAlign w:val="center"/>
                </w:tcPr>
                <w:p w14:paraId="053F6B85">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施工人员的生活污水依托村镇民房已建污水管道排入村镇污水处理设施处理；施工区设立移动环保厕所产生的粪便污水，定时委托相关环卫部门处理；施工期的设备冲洗废水经沉淀池沉淀后用于施工区泼洒抑尘。</w:t>
                  </w:r>
                </w:p>
              </w:tc>
              <w:tc>
                <w:tcPr>
                  <w:tcW w:w="536" w:type="pct"/>
                  <w:tcBorders>
                    <w:tl2br w:val="nil"/>
                    <w:tr2bl w:val="nil"/>
                  </w:tcBorders>
                  <w:vAlign w:val="center"/>
                </w:tcPr>
                <w:p w14:paraId="0C0D3C7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01084D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tcBorders>
                    <w:tl2br w:val="nil"/>
                    <w:tr2bl w:val="nil"/>
                  </w:tcBorders>
                  <w:vAlign w:val="center"/>
                </w:tcPr>
                <w:p w14:paraId="5224E6D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环保工程</w:t>
                  </w:r>
                </w:p>
              </w:tc>
              <w:tc>
                <w:tcPr>
                  <w:tcW w:w="1646" w:type="pct"/>
                  <w:gridSpan w:val="2"/>
                  <w:tcBorders>
                    <w:tl2br w:val="nil"/>
                    <w:tr2bl w:val="nil"/>
                  </w:tcBorders>
                  <w:vAlign w:val="center"/>
                </w:tcPr>
                <w:p w14:paraId="6EB53FCD">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废水治理</w:t>
                  </w:r>
                </w:p>
              </w:tc>
              <w:tc>
                <w:tcPr>
                  <w:tcW w:w="2382" w:type="pct"/>
                  <w:tcBorders>
                    <w:tl2br w:val="nil"/>
                    <w:tr2bl w:val="nil"/>
                  </w:tcBorders>
                  <w:vAlign w:val="center"/>
                </w:tcPr>
                <w:p w14:paraId="6C391947">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施工人员的生活污水依托村镇民房已建污水管道排入村镇污水处理设施处理；施工区设立移动环保厕所产生的粪便污水，定时委托相关环卫部门处理；施工期的设备冲洗废水经沉淀池沉淀后用于施工区泼洒抑尘。</w:t>
                  </w:r>
                </w:p>
              </w:tc>
              <w:tc>
                <w:tcPr>
                  <w:tcW w:w="536" w:type="pct"/>
                  <w:tcBorders>
                    <w:tl2br w:val="nil"/>
                    <w:tr2bl w:val="nil"/>
                  </w:tcBorders>
                  <w:vAlign w:val="center"/>
                </w:tcPr>
                <w:p w14:paraId="731AAD0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453BB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5830A78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484E1AD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废气治理</w:t>
                  </w:r>
                </w:p>
              </w:tc>
              <w:tc>
                <w:tcPr>
                  <w:tcW w:w="2382" w:type="pct"/>
                  <w:tcBorders>
                    <w:tl2br w:val="nil"/>
                    <w:tr2bl w:val="nil"/>
                  </w:tcBorders>
                  <w:vAlign w:val="center"/>
                </w:tcPr>
                <w:p w14:paraId="6026B9B7">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分段施工，合理安排施工进度，尽量缩短施工期；施工沿线采用密目网围挡；土石方临时堆放盖防尘网，场地洒水降尘；土方开挖、回填过程中洒水降尘；运输时车辆遮盖篷布。加强对燃油机械设备的维护和保养，保持设备在正常良好的状态下工作；临时拌合机的骨料仓封闭，砂石骨料定期洒水润湿，上料过程产生的粉尘采用仓顶自带袋式除尘器除尘后有组织排放。</w:t>
                  </w:r>
                </w:p>
              </w:tc>
              <w:tc>
                <w:tcPr>
                  <w:tcW w:w="536" w:type="pct"/>
                  <w:tcBorders>
                    <w:tl2br w:val="nil"/>
                    <w:tr2bl w:val="nil"/>
                  </w:tcBorders>
                  <w:vAlign w:val="center"/>
                </w:tcPr>
                <w:p w14:paraId="5BA50673">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4EB781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674D621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73FDFED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噪声治理</w:t>
                  </w:r>
                </w:p>
              </w:tc>
              <w:tc>
                <w:tcPr>
                  <w:tcW w:w="2382" w:type="pct"/>
                  <w:tcBorders>
                    <w:tl2br w:val="nil"/>
                    <w:tr2bl w:val="nil"/>
                  </w:tcBorders>
                  <w:vAlign w:val="center"/>
                </w:tcPr>
                <w:p w14:paraId="0CFE35CA">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选用低噪声机械设备或带噪声消声设备；合理安排施工时间；合理布置高噪设备；提高施工人员的环保意识。</w:t>
                  </w:r>
                </w:p>
              </w:tc>
              <w:tc>
                <w:tcPr>
                  <w:tcW w:w="536" w:type="pct"/>
                  <w:tcBorders>
                    <w:tl2br w:val="nil"/>
                    <w:tr2bl w:val="nil"/>
                  </w:tcBorders>
                  <w:vAlign w:val="center"/>
                </w:tcPr>
                <w:p w14:paraId="34C8840B">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2724D7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63EC95FE">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6DA35E89">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固废治理</w:t>
                  </w:r>
                </w:p>
              </w:tc>
              <w:tc>
                <w:tcPr>
                  <w:tcW w:w="2382" w:type="pct"/>
                  <w:tcBorders>
                    <w:tl2br w:val="nil"/>
                    <w:tr2bl w:val="nil"/>
                  </w:tcBorders>
                  <w:vAlign w:val="center"/>
                </w:tcPr>
                <w:p w14:paraId="2B306021">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建筑垃圾、渠道建筑物拆除物能回收利用的尽可能回收利用，不能回收利用的建筑垃圾和沉淀池泥沙运往奇台县建筑垃圾填埋场处置；弃方就近堆放在渠道两侧，施工完毕后用于项目区渠堤培高；施工人员所产生的生活垃圾收集后由环卫部门统一清运至奇台县生活垃圾填埋场填埋处理。</w:t>
                  </w:r>
                </w:p>
              </w:tc>
              <w:tc>
                <w:tcPr>
                  <w:tcW w:w="536" w:type="pct"/>
                  <w:tcBorders>
                    <w:tl2br w:val="nil"/>
                    <w:tr2bl w:val="nil"/>
                  </w:tcBorders>
                  <w:vAlign w:val="center"/>
                </w:tcPr>
                <w:p w14:paraId="51268C66">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r w14:paraId="755239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tcBorders>
                    <w:tl2br w:val="nil"/>
                    <w:tr2bl w:val="nil"/>
                  </w:tcBorders>
                  <w:vAlign w:val="center"/>
                </w:tcPr>
                <w:p w14:paraId="4B0D09E2">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c>
                <w:tcPr>
                  <w:tcW w:w="1646" w:type="pct"/>
                  <w:gridSpan w:val="2"/>
                  <w:tcBorders>
                    <w:tl2br w:val="nil"/>
                    <w:tr2bl w:val="nil"/>
                  </w:tcBorders>
                  <w:vAlign w:val="center"/>
                </w:tcPr>
                <w:p w14:paraId="06F44AB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生态保护</w:t>
                  </w:r>
                </w:p>
              </w:tc>
              <w:tc>
                <w:tcPr>
                  <w:tcW w:w="2382" w:type="pct"/>
                  <w:tcBorders>
                    <w:tl2br w:val="nil"/>
                    <w:tr2bl w:val="nil"/>
                  </w:tcBorders>
                  <w:vAlign w:val="center"/>
                </w:tcPr>
                <w:p w14:paraId="32F9A93C">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eastAsia" w:ascii="Times New Roman" w:cs="Times New Roman"/>
                      <w:color w:val="auto"/>
                      <w:sz w:val="21"/>
                      <w:szCs w:val="21"/>
                      <w:vertAlign w:val="baseline"/>
                      <w:lang w:val="en-US" w:eastAsia="zh-CN"/>
                    </w:rPr>
                  </w:pPr>
                  <w:r>
                    <w:rPr>
                      <w:rFonts w:hint="eastAsia" w:ascii="Times New Roman" w:cs="Times New Roman"/>
                      <w:color w:val="auto"/>
                      <w:sz w:val="21"/>
                      <w:szCs w:val="21"/>
                      <w:vertAlign w:val="baseline"/>
                      <w:lang w:val="en-US" w:eastAsia="zh-CN"/>
                    </w:rPr>
                    <w:t>做好施工规划前期工作，合理安排施工时段和方式，严格控制施工界限，文明施工，严格控制施工临时用地，工程材料、机械等应定置堆放，运输车辆应按指定路线行驶，施工要对物料场采取临时防风、防雨设施，对施工运输车辆采取遮盖措施；临时堆土场、临时道路在施工完成后场地清理，进行迹地恢复。</w:t>
                  </w:r>
                </w:p>
              </w:tc>
              <w:tc>
                <w:tcPr>
                  <w:tcW w:w="536" w:type="pct"/>
                  <w:tcBorders>
                    <w:tl2br w:val="nil"/>
                    <w:tr2bl w:val="nil"/>
                  </w:tcBorders>
                  <w:vAlign w:val="center"/>
                </w:tcPr>
                <w:p w14:paraId="1BD91ECF">
                  <w:pPr>
                    <w:pStyle w:val="25"/>
                    <w:keepNext w:val="0"/>
                    <w:keepLines w:val="0"/>
                    <w:pageBreakBefore w:val="0"/>
                    <w:widowControl w:val="0"/>
                    <w:kinsoku/>
                    <w:wordWrap/>
                    <w:overflowPunct/>
                    <w:topLinePunct w:val="0"/>
                    <w:autoSpaceDE w:val="0"/>
                    <w:autoSpaceDN w:val="0"/>
                    <w:bidi w:val="0"/>
                    <w:adjustRightInd w:val="0"/>
                    <w:snapToGrid/>
                    <w:ind w:left="0" w:firstLine="0"/>
                    <w:jc w:val="center"/>
                    <w:textAlignment w:val="baseline"/>
                    <w:rPr>
                      <w:rFonts w:hint="default" w:ascii="Times New Roman" w:hAnsi="Times New Roman" w:eastAsia="宋体" w:cs="Times New Roman"/>
                      <w:color w:val="auto"/>
                      <w:sz w:val="21"/>
                      <w:szCs w:val="21"/>
                      <w:vertAlign w:val="baseline"/>
                      <w:lang w:val="en-US" w:eastAsia="zh-CN"/>
                    </w:rPr>
                  </w:pPr>
                </w:p>
              </w:tc>
            </w:tr>
          </w:tbl>
          <w:p w14:paraId="2BCC376A">
            <w:pPr>
              <w:keepNext w:val="0"/>
              <w:keepLines w:val="0"/>
              <w:pageBreakBefore w:val="0"/>
              <w:widowControl w:val="0"/>
              <w:numPr>
                <w:ilvl w:val="0"/>
                <w:numId w:val="3"/>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工程占地</w:t>
            </w:r>
          </w:p>
          <w:p w14:paraId="5DE4D19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根据本项目用地手续明确的渠道防渗衬砌长度与本项目初步设计中各项施工设计用地、临时辅助工程计划用地核算出</w:t>
            </w:r>
            <w:r>
              <w:rPr>
                <w:rFonts w:hint="default" w:ascii="Times New Roman" w:hAnsi="Times New Roman" w:eastAsia="宋体" w:cs="Times New Roman"/>
                <w:color w:val="auto"/>
                <w:kern w:val="0"/>
                <w:sz w:val="24"/>
                <w:szCs w:val="24"/>
                <w:highlight w:val="none"/>
                <w:lang w:val="en-US" w:eastAsia="zh-CN"/>
              </w:rPr>
              <w:t>本工程总占地面积</w:t>
            </w:r>
            <w:r>
              <w:rPr>
                <w:rFonts w:hint="eastAsia" w:cs="Times New Roman"/>
                <w:color w:val="auto"/>
                <w:kern w:val="0"/>
                <w:sz w:val="24"/>
                <w:szCs w:val="24"/>
                <w:highlight w:val="none"/>
                <w:lang w:val="en-US" w:eastAsia="zh-CN"/>
              </w:rPr>
              <w:t>27.59</w:t>
            </w:r>
            <w:r>
              <w:rPr>
                <w:rFonts w:hint="default" w:ascii="Times New Roman" w:hAnsi="Times New Roman" w:eastAsia="宋体" w:cs="Times New Roman"/>
                <w:color w:val="auto"/>
                <w:kern w:val="0"/>
                <w:sz w:val="24"/>
                <w:szCs w:val="24"/>
                <w:highlight w:val="none"/>
                <w:lang w:val="en-US" w:eastAsia="zh-CN"/>
              </w:rPr>
              <w:t>hm</w:t>
            </w:r>
            <w:r>
              <w:rPr>
                <w:rFonts w:hint="default" w:ascii="Times New Roman" w:hAnsi="Times New Roman" w:eastAsia="宋体" w:cs="Times New Roman"/>
                <w:color w:val="auto"/>
                <w:kern w:val="0"/>
                <w:sz w:val="24"/>
                <w:szCs w:val="24"/>
                <w:highlight w:val="none"/>
                <w:vertAlign w:val="superscript"/>
                <w:lang w:val="en-US" w:eastAsia="zh-CN"/>
              </w:rPr>
              <w:t>2</w:t>
            </w:r>
            <w:r>
              <w:rPr>
                <w:rFonts w:hint="default" w:ascii="Times New Roman" w:hAnsi="Times New Roman" w:eastAsia="宋体" w:cs="Times New Roman"/>
                <w:color w:val="auto"/>
                <w:kern w:val="0"/>
                <w:sz w:val="24"/>
                <w:szCs w:val="24"/>
                <w:highlight w:val="none"/>
                <w:lang w:val="en-US" w:eastAsia="zh-CN"/>
              </w:rPr>
              <w:t>，其中永久占地</w:t>
            </w:r>
            <w:r>
              <w:rPr>
                <w:rFonts w:hint="eastAsia" w:cs="Times New Roman"/>
                <w:color w:val="auto"/>
                <w:kern w:val="0"/>
                <w:sz w:val="24"/>
                <w:szCs w:val="24"/>
                <w:highlight w:val="none"/>
                <w:lang w:val="en-US" w:eastAsia="zh-CN"/>
              </w:rPr>
              <w:t>19.77</w:t>
            </w:r>
            <w:r>
              <w:rPr>
                <w:rFonts w:hint="default" w:ascii="Times New Roman" w:hAnsi="Times New Roman" w:eastAsia="宋体" w:cs="Times New Roman"/>
                <w:color w:val="auto"/>
                <w:kern w:val="0"/>
                <w:sz w:val="24"/>
                <w:szCs w:val="24"/>
                <w:highlight w:val="none"/>
                <w:lang w:val="en-US" w:eastAsia="zh-CN"/>
              </w:rPr>
              <w:t>hm</w:t>
            </w:r>
            <w:r>
              <w:rPr>
                <w:rFonts w:hint="default" w:ascii="Times New Roman" w:hAnsi="Times New Roman" w:eastAsia="宋体" w:cs="Times New Roman"/>
                <w:color w:val="auto"/>
                <w:kern w:val="0"/>
                <w:sz w:val="24"/>
                <w:szCs w:val="24"/>
                <w:highlight w:val="none"/>
                <w:vertAlign w:val="superscript"/>
                <w:lang w:val="en-US" w:eastAsia="zh-CN"/>
              </w:rPr>
              <w:t>2</w:t>
            </w:r>
            <w:r>
              <w:rPr>
                <w:rFonts w:hint="default" w:ascii="Times New Roman" w:hAnsi="Times New Roman" w:eastAsia="宋体" w:cs="Times New Roman"/>
                <w:color w:val="auto"/>
                <w:kern w:val="0"/>
                <w:sz w:val="24"/>
                <w:szCs w:val="24"/>
                <w:highlight w:val="none"/>
                <w:lang w:val="en-US" w:eastAsia="zh-CN"/>
              </w:rPr>
              <w:t>，包括渠道工程主体和渠系建筑物，临时占地</w:t>
            </w:r>
            <w:r>
              <w:rPr>
                <w:rFonts w:hint="eastAsia" w:cs="Times New Roman"/>
                <w:color w:val="auto"/>
                <w:kern w:val="0"/>
                <w:sz w:val="24"/>
                <w:szCs w:val="24"/>
                <w:highlight w:val="none"/>
                <w:lang w:val="en-US" w:eastAsia="zh-CN"/>
              </w:rPr>
              <w:t>7.82</w:t>
            </w:r>
            <w:r>
              <w:rPr>
                <w:rFonts w:hint="default" w:ascii="Times New Roman" w:hAnsi="Times New Roman" w:eastAsia="宋体" w:cs="Times New Roman"/>
                <w:color w:val="auto"/>
                <w:kern w:val="0"/>
                <w:sz w:val="24"/>
                <w:szCs w:val="24"/>
                <w:highlight w:val="none"/>
                <w:lang w:val="en-US" w:eastAsia="zh-CN"/>
              </w:rPr>
              <w:t>hm</w:t>
            </w:r>
            <w:r>
              <w:rPr>
                <w:rFonts w:hint="default" w:ascii="Times New Roman" w:hAnsi="Times New Roman" w:eastAsia="宋体" w:cs="Times New Roman"/>
                <w:color w:val="auto"/>
                <w:kern w:val="0"/>
                <w:sz w:val="24"/>
                <w:szCs w:val="24"/>
                <w:highlight w:val="none"/>
                <w:vertAlign w:val="superscript"/>
                <w:lang w:val="en-US" w:eastAsia="zh-CN"/>
              </w:rPr>
              <w:t>2</w:t>
            </w:r>
            <w:r>
              <w:rPr>
                <w:rFonts w:hint="default" w:ascii="Times New Roman" w:hAnsi="Times New Roman" w:eastAsia="宋体" w:cs="Times New Roman"/>
                <w:color w:val="auto"/>
                <w:kern w:val="0"/>
                <w:sz w:val="24"/>
                <w:szCs w:val="24"/>
                <w:highlight w:val="none"/>
                <w:lang w:val="en-US" w:eastAsia="zh-CN"/>
              </w:rPr>
              <w:t>，主要包括渠道工程区、渠系建筑物区</w:t>
            </w:r>
            <w:r>
              <w:rPr>
                <w:rFonts w:hint="eastAsia" w:cs="Times New Roman"/>
                <w:color w:val="auto"/>
                <w:kern w:val="0"/>
                <w:sz w:val="24"/>
                <w:szCs w:val="24"/>
                <w:highlight w:val="none"/>
                <w:lang w:val="en-US" w:eastAsia="zh-CN"/>
              </w:rPr>
              <w:t>施工临时</w:t>
            </w:r>
            <w:r>
              <w:rPr>
                <w:rFonts w:hint="default" w:ascii="Times New Roman" w:hAnsi="Times New Roman" w:eastAsia="宋体" w:cs="Times New Roman"/>
                <w:color w:val="auto"/>
                <w:kern w:val="0"/>
                <w:sz w:val="24"/>
                <w:szCs w:val="24"/>
                <w:highlight w:val="none"/>
                <w:lang w:val="en-US" w:eastAsia="zh-CN"/>
              </w:rPr>
              <w:t>占地</w:t>
            </w:r>
            <w:r>
              <w:rPr>
                <w:rFonts w:hint="eastAsia"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临时施工道路区占地和临时生产区占地。工程区占地类型为</w:t>
            </w:r>
            <w:r>
              <w:rPr>
                <w:rFonts w:hint="eastAsia" w:cs="Times New Roman"/>
                <w:color w:val="auto"/>
                <w:kern w:val="0"/>
                <w:sz w:val="24"/>
                <w:szCs w:val="24"/>
                <w:highlight w:val="none"/>
                <w:lang w:val="en-US" w:eastAsia="zh-CN"/>
              </w:rPr>
              <w:t>水域及水利设施用地、裸土地</w:t>
            </w:r>
            <w:r>
              <w:rPr>
                <w:rFonts w:hint="default" w:ascii="Times New Roman" w:hAnsi="Times New Roman" w:eastAsia="宋体" w:cs="Times New Roman"/>
                <w:color w:val="auto"/>
                <w:kern w:val="0"/>
                <w:sz w:val="24"/>
                <w:szCs w:val="24"/>
                <w:highlight w:val="none"/>
                <w:lang w:val="en-US" w:eastAsia="zh-CN"/>
              </w:rPr>
              <w:t>，未占用耕地及林地。</w:t>
            </w:r>
          </w:p>
          <w:p w14:paraId="6D76724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本项目永久及临时占地面积统计见</w:t>
            </w:r>
            <w:r>
              <w:rPr>
                <w:rFonts w:hint="eastAsia" w:cs="Times New Roman"/>
                <w:color w:val="auto"/>
                <w:kern w:val="0"/>
                <w:sz w:val="24"/>
                <w:szCs w:val="24"/>
                <w:highlight w:val="none"/>
                <w:lang w:val="en-US" w:eastAsia="zh-CN"/>
              </w:rPr>
              <w:t>下</w:t>
            </w:r>
            <w:r>
              <w:rPr>
                <w:rFonts w:hint="default" w:ascii="Times New Roman" w:hAnsi="Times New Roman" w:eastAsia="宋体" w:cs="Times New Roman"/>
                <w:color w:val="auto"/>
                <w:kern w:val="0"/>
                <w:sz w:val="24"/>
                <w:szCs w:val="24"/>
                <w:highlight w:val="none"/>
                <w:lang w:val="en-US" w:eastAsia="zh-CN"/>
              </w:rPr>
              <w:t>表，项目区土地利用类型分布图见附图。</w:t>
            </w:r>
          </w:p>
          <w:p w14:paraId="3245F11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
                <w:bCs/>
                <w:color w:val="auto"/>
                <w:spacing w:val="-2"/>
                <w:sz w:val="24"/>
                <w:szCs w:val="24"/>
              </w:rPr>
            </w:pPr>
            <w:r>
              <w:rPr>
                <w:rFonts w:hint="default" w:ascii="Times New Roman" w:hAnsi="Times New Roman" w:eastAsia="宋体" w:cs="Times New Roman"/>
                <w:b/>
                <w:bCs/>
                <w:color w:val="auto"/>
                <w:spacing w:val="-2"/>
                <w:sz w:val="24"/>
                <w:szCs w:val="24"/>
              </w:rPr>
              <w:t>表2-</w:t>
            </w:r>
            <w:r>
              <w:rPr>
                <w:rFonts w:hint="eastAsia" w:eastAsia="宋体" w:cs="Times New Roman"/>
                <w:b/>
                <w:bCs/>
                <w:color w:val="auto"/>
                <w:spacing w:val="-2"/>
                <w:sz w:val="24"/>
                <w:szCs w:val="24"/>
                <w:lang w:val="en-US" w:eastAsia="zh-CN"/>
              </w:rPr>
              <w:t>4本项目占地一览表</w:t>
            </w:r>
          </w:p>
          <w:tbl>
            <w:tblPr>
              <w:tblStyle w:val="31"/>
              <w:tblW w:w="4998"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427"/>
              <w:gridCol w:w="864"/>
              <w:gridCol w:w="830"/>
              <w:gridCol w:w="809"/>
              <w:gridCol w:w="689"/>
              <w:gridCol w:w="1266"/>
              <w:gridCol w:w="2114"/>
              <w:gridCol w:w="849"/>
            </w:tblGrid>
            <w:tr w14:paraId="45482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restart"/>
                  <w:tcBorders>
                    <w:tl2br w:val="nil"/>
                    <w:tr2bl w:val="nil"/>
                  </w:tcBorders>
                  <w:shd w:val="clear" w:color="auto" w:fill="auto"/>
                  <w:vAlign w:val="center"/>
                </w:tcPr>
                <w:p w14:paraId="3300DE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行政区划</w:t>
                  </w:r>
                </w:p>
              </w:tc>
              <w:tc>
                <w:tcPr>
                  <w:tcW w:w="802" w:type="pct"/>
                  <w:vMerge w:val="restart"/>
                  <w:tcBorders>
                    <w:tl2br w:val="nil"/>
                    <w:tr2bl w:val="nil"/>
                  </w:tcBorders>
                  <w:shd w:val="clear" w:color="auto" w:fill="auto"/>
                  <w:vAlign w:val="center"/>
                </w:tcPr>
                <w:p w14:paraId="68E4ED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项目组成</w:t>
                  </w:r>
                </w:p>
              </w:tc>
              <w:tc>
                <w:tcPr>
                  <w:tcW w:w="1985" w:type="pct"/>
                  <w:gridSpan w:val="3"/>
                  <w:tcBorders>
                    <w:tl2br w:val="nil"/>
                    <w:tr2bl w:val="nil"/>
                  </w:tcBorders>
                  <w:shd w:val="clear" w:color="auto" w:fill="auto"/>
                  <w:vAlign w:val="center"/>
                </w:tcPr>
                <w:p w14:paraId="5A9CA0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设计水平年征占地面积（hm</w:t>
                  </w:r>
                  <w:r>
                    <w:rPr>
                      <w:rFonts w:hint="eastAsia" w:ascii="Times New Roman" w:hAnsi="Times New Roman" w:eastAsia="宋体" w:cs="Times New Roman"/>
                      <w:b/>
                      <w:bCs/>
                      <w:color w:val="auto"/>
                      <w:kern w:val="2"/>
                      <w:sz w:val="21"/>
                      <w:szCs w:val="21"/>
                      <w:vertAlign w:val="superscript"/>
                      <w:lang w:val="en-US" w:eastAsia="zh-CN" w:bidi="ar-SA"/>
                    </w:rPr>
                    <w:t>2</w:t>
                  </w:r>
                  <w:r>
                    <w:rPr>
                      <w:rFonts w:hint="eastAsia" w:ascii="Times New Roman" w:hAnsi="Times New Roman" w:eastAsia="宋体" w:cs="Times New Roman"/>
                      <w:b/>
                      <w:bCs/>
                      <w:color w:val="auto"/>
                      <w:kern w:val="2"/>
                      <w:sz w:val="21"/>
                      <w:szCs w:val="21"/>
                      <w:lang w:val="en-US" w:eastAsia="zh-CN" w:bidi="ar-SA"/>
                    </w:rPr>
                    <w:t>）</w:t>
                  </w:r>
                </w:p>
              </w:tc>
              <w:tc>
                <w:tcPr>
                  <w:tcW w:w="727" w:type="pct"/>
                  <w:vMerge w:val="restart"/>
                  <w:tcBorders>
                    <w:tl2br w:val="nil"/>
                    <w:tr2bl w:val="nil"/>
                  </w:tcBorders>
                  <w:shd w:val="clear" w:color="auto" w:fill="auto"/>
                  <w:noWrap/>
                  <w:vAlign w:val="center"/>
                </w:tcPr>
                <w:p w14:paraId="5F9B2B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边界条件</w:t>
                  </w:r>
                </w:p>
              </w:tc>
              <w:tc>
                <w:tcPr>
                  <w:tcW w:w="1014" w:type="pct"/>
                  <w:gridSpan w:val="2"/>
                  <w:tcBorders>
                    <w:tl2br w:val="nil"/>
                    <w:tr2bl w:val="nil"/>
                  </w:tcBorders>
                  <w:shd w:val="clear" w:color="auto" w:fill="auto"/>
                  <w:noWrap/>
                  <w:vAlign w:val="center"/>
                </w:tcPr>
                <w:p w14:paraId="71BDA8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占地类型</w:t>
                  </w:r>
                </w:p>
              </w:tc>
            </w:tr>
            <w:tr w14:paraId="3D67A5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50105C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p>
              </w:tc>
              <w:tc>
                <w:tcPr>
                  <w:tcW w:w="802" w:type="pct"/>
                  <w:vMerge w:val="continue"/>
                  <w:tcBorders>
                    <w:tl2br w:val="nil"/>
                    <w:tr2bl w:val="nil"/>
                  </w:tcBorders>
                  <w:shd w:val="clear" w:color="auto" w:fill="auto"/>
                  <w:vAlign w:val="center"/>
                </w:tcPr>
                <w:p w14:paraId="20CB06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p>
              </w:tc>
              <w:tc>
                <w:tcPr>
                  <w:tcW w:w="754" w:type="pct"/>
                  <w:tcBorders>
                    <w:tl2br w:val="nil"/>
                    <w:tr2bl w:val="nil"/>
                  </w:tcBorders>
                  <w:shd w:val="clear" w:color="auto" w:fill="auto"/>
                  <w:vAlign w:val="center"/>
                </w:tcPr>
                <w:p w14:paraId="3D06C5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永久占地</w:t>
                  </w:r>
                </w:p>
              </w:tc>
              <w:tc>
                <w:tcPr>
                  <w:tcW w:w="741" w:type="pct"/>
                  <w:tcBorders>
                    <w:tl2br w:val="nil"/>
                    <w:tr2bl w:val="nil"/>
                  </w:tcBorders>
                  <w:shd w:val="clear" w:color="auto" w:fill="auto"/>
                  <w:vAlign w:val="center"/>
                </w:tcPr>
                <w:p w14:paraId="558B3C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临时占地</w:t>
                  </w:r>
                </w:p>
              </w:tc>
              <w:tc>
                <w:tcPr>
                  <w:tcW w:w="489" w:type="pct"/>
                  <w:tcBorders>
                    <w:tl2br w:val="nil"/>
                    <w:tr2bl w:val="nil"/>
                  </w:tcBorders>
                  <w:shd w:val="clear" w:color="auto" w:fill="auto"/>
                  <w:vAlign w:val="center"/>
                </w:tcPr>
                <w:p w14:paraId="0E62D4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合计</w:t>
                  </w:r>
                </w:p>
              </w:tc>
              <w:tc>
                <w:tcPr>
                  <w:tcW w:w="727" w:type="pct"/>
                  <w:vMerge w:val="continue"/>
                  <w:tcBorders>
                    <w:tl2br w:val="nil"/>
                    <w:tr2bl w:val="nil"/>
                  </w:tcBorders>
                  <w:shd w:val="clear" w:color="auto" w:fill="auto"/>
                  <w:noWrap/>
                  <w:vAlign w:val="center"/>
                </w:tcPr>
                <w:p w14:paraId="1CC36A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p>
              </w:tc>
              <w:tc>
                <w:tcPr>
                  <w:tcW w:w="550" w:type="pct"/>
                  <w:tcBorders>
                    <w:tl2br w:val="nil"/>
                    <w:tr2bl w:val="nil"/>
                  </w:tcBorders>
                  <w:shd w:val="clear" w:color="auto" w:fill="auto"/>
                  <w:noWrap/>
                  <w:vAlign w:val="center"/>
                </w:tcPr>
                <w:p w14:paraId="58243C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cs="Times New Roman"/>
                      <w:b/>
                      <w:bCs/>
                      <w:color w:val="auto"/>
                      <w:kern w:val="2"/>
                      <w:sz w:val="21"/>
                      <w:szCs w:val="21"/>
                      <w:lang w:val="en-US" w:eastAsia="zh-CN" w:bidi="ar-SA"/>
                    </w:rPr>
                    <w:t>水域及水利设施用地</w:t>
                  </w:r>
                </w:p>
              </w:tc>
              <w:tc>
                <w:tcPr>
                  <w:tcW w:w="463" w:type="pct"/>
                  <w:tcBorders>
                    <w:tl2br w:val="nil"/>
                    <w:tr2bl w:val="nil"/>
                  </w:tcBorders>
                  <w:shd w:val="clear" w:color="auto" w:fill="auto"/>
                  <w:noWrap/>
                  <w:vAlign w:val="center"/>
                </w:tcPr>
                <w:p w14:paraId="317130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auto"/>
                      <w:kern w:val="2"/>
                      <w:sz w:val="21"/>
                      <w:szCs w:val="21"/>
                      <w:lang w:val="en-US" w:eastAsia="zh-CN" w:bidi="ar-SA"/>
                    </w:rPr>
                  </w:pPr>
                  <w:r>
                    <w:rPr>
                      <w:rFonts w:hint="eastAsia" w:cs="Times New Roman"/>
                      <w:b/>
                      <w:bCs/>
                      <w:color w:val="auto"/>
                      <w:kern w:val="2"/>
                      <w:sz w:val="21"/>
                      <w:szCs w:val="21"/>
                      <w:lang w:val="en-US" w:eastAsia="zh-CN" w:bidi="ar-SA"/>
                    </w:rPr>
                    <w:t>裸土地</w:t>
                  </w:r>
                </w:p>
              </w:tc>
            </w:tr>
            <w:tr w14:paraId="15553A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restart"/>
                  <w:tcBorders>
                    <w:tl2br w:val="nil"/>
                    <w:tr2bl w:val="nil"/>
                  </w:tcBorders>
                  <w:shd w:val="clear" w:color="auto" w:fill="auto"/>
                  <w:vAlign w:val="center"/>
                </w:tcPr>
                <w:p w14:paraId="2BA67D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奇台县</w:t>
                  </w:r>
                </w:p>
              </w:tc>
              <w:tc>
                <w:tcPr>
                  <w:tcW w:w="802" w:type="pct"/>
                  <w:tcBorders>
                    <w:tl2br w:val="nil"/>
                    <w:tr2bl w:val="nil"/>
                  </w:tcBorders>
                  <w:shd w:val="clear" w:color="auto" w:fill="auto"/>
                  <w:vAlign w:val="center"/>
                </w:tcPr>
                <w:p w14:paraId="30C8FF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主体工程区</w:t>
                  </w:r>
                </w:p>
              </w:tc>
              <w:tc>
                <w:tcPr>
                  <w:tcW w:w="754" w:type="pct"/>
                  <w:tcBorders>
                    <w:tl2br w:val="nil"/>
                    <w:tr2bl w:val="nil"/>
                  </w:tcBorders>
                  <w:shd w:val="clear" w:color="auto" w:fill="auto"/>
                  <w:vAlign w:val="center"/>
                </w:tcPr>
                <w:p w14:paraId="6BCBC0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19.77</w:t>
                  </w:r>
                </w:p>
              </w:tc>
              <w:tc>
                <w:tcPr>
                  <w:tcW w:w="741" w:type="pct"/>
                  <w:tcBorders>
                    <w:tl2br w:val="nil"/>
                    <w:tr2bl w:val="nil"/>
                  </w:tcBorders>
                  <w:shd w:val="clear" w:color="auto" w:fill="auto"/>
                  <w:vAlign w:val="center"/>
                </w:tcPr>
                <w:p w14:paraId="14FB5A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489" w:type="pct"/>
                  <w:tcBorders>
                    <w:tl2br w:val="nil"/>
                    <w:tr2bl w:val="nil"/>
                  </w:tcBorders>
                  <w:shd w:val="clear" w:color="auto" w:fill="auto"/>
                  <w:vAlign w:val="center"/>
                </w:tcPr>
                <w:p w14:paraId="2BBC9A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19.77</w:t>
                  </w:r>
                </w:p>
              </w:tc>
              <w:tc>
                <w:tcPr>
                  <w:tcW w:w="727" w:type="pct"/>
                  <w:tcBorders>
                    <w:tl2br w:val="nil"/>
                    <w:tr2bl w:val="nil"/>
                  </w:tcBorders>
                  <w:shd w:val="clear" w:color="auto" w:fill="auto"/>
                  <w:noWrap/>
                  <w:vAlign w:val="center"/>
                </w:tcPr>
                <w:p w14:paraId="3DC9AF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实际征占地</w:t>
                  </w:r>
                </w:p>
              </w:tc>
              <w:tc>
                <w:tcPr>
                  <w:tcW w:w="550" w:type="pct"/>
                  <w:tcBorders>
                    <w:tl2br w:val="nil"/>
                    <w:tr2bl w:val="nil"/>
                  </w:tcBorders>
                  <w:shd w:val="clear" w:color="auto" w:fill="auto"/>
                  <w:vAlign w:val="center"/>
                </w:tcPr>
                <w:p w14:paraId="79E8EC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16.99</w:t>
                  </w:r>
                </w:p>
              </w:tc>
              <w:tc>
                <w:tcPr>
                  <w:tcW w:w="463" w:type="pct"/>
                  <w:tcBorders>
                    <w:tl2br w:val="nil"/>
                    <w:tr2bl w:val="nil"/>
                  </w:tcBorders>
                  <w:shd w:val="clear" w:color="auto" w:fill="auto"/>
                  <w:vAlign w:val="center"/>
                </w:tcPr>
                <w:p w14:paraId="78CBFB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2.78</w:t>
                  </w:r>
                </w:p>
              </w:tc>
            </w:tr>
            <w:tr w14:paraId="185BFE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4EFADA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802" w:type="pct"/>
                  <w:tcBorders>
                    <w:tl2br w:val="nil"/>
                    <w:tr2bl w:val="nil"/>
                  </w:tcBorders>
                  <w:shd w:val="clear" w:color="auto" w:fill="auto"/>
                  <w:vAlign w:val="center"/>
                </w:tcPr>
                <w:p w14:paraId="4BE898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临时道路区</w:t>
                  </w:r>
                </w:p>
              </w:tc>
              <w:tc>
                <w:tcPr>
                  <w:tcW w:w="754" w:type="pct"/>
                  <w:tcBorders>
                    <w:tl2br w:val="nil"/>
                    <w:tr2bl w:val="nil"/>
                  </w:tcBorders>
                  <w:shd w:val="clear" w:color="auto" w:fill="auto"/>
                  <w:noWrap/>
                  <w:vAlign w:val="center"/>
                </w:tcPr>
                <w:p w14:paraId="6CD5D5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741" w:type="pct"/>
                  <w:tcBorders>
                    <w:tl2br w:val="nil"/>
                    <w:tr2bl w:val="nil"/>
                  </w:tcBorders>
                  <w:shd w:val="clear" w:color="auto" w:fill="auto"/>
                  <w:vAlign w:val="center"/>
                </w:tcPr>
                <w:p w14:paraId="43A236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2.98</w:t>
                  </w:r>
                </w:p>
              </w:tc>
              <w:tc>
                <w:tcPr>
                  <w:tcW w:w="489" w:type="pct"/>
                  <w:tcBorders>
                    <w:tl2br w:val="nil"/>
                    <w:tr2bl w:val="nil"/>
                  </w:tcBorders>
                  <w:shd w:val="clear" w:color="auto" w:fill="auto"/>
                  <w:vAlign w:val="center"/>
                </w:tcPr>
                <w:p w14:paraId="71947C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2.98</w:t>
                  </w:r>
                </w:p>
              </w:tc>
              <w:tc>
                <w:tcPr>
                  <w:tcW w:w="727" w:type="pct"/>
                  <w:tcBorders>
                    <w:tl2br w:val="nil"/>
                    <w:tr2bl w:val="nil"/>
                  </w:tcBorders>
                  <w:shd w:val="clear" w:color="auto" w:fill="auto"/>
                  <w:noWrap/>
                  <w:vAlign w:val="center"/>
                </w:tcPr>
                <w:p w14:paraId="23448F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实际征占地</w:t>
                  </w:r>
                </w:p>
              </w:tc>
              <w:tc>
                <w:tcPr>
                  <w:tcW w:w="550" w:type="pct"/>
                  <w:tcBorders>
                    <w:tl2br w:val="nil"/>
                    <w:tr2bl w:val="nil"/>
                  </w:tcBorders>
                  <w:shd w:val="clear" w:color="auto" w:fill="auto"/>
                  <w:vAlign w:val="center"/>
                </w:tcPr>
                <w:p w14:paraId="693C66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730" w:type="dxa"/>
                  <w:tcBorders>
                    <w:tl2br w:val="nil"/>
                    <w:tr2bl w:val="nil"/>
                  </w:tcBorders>
                  <w:shd w:val="clear" w:color="auto" w:fill="auto"/>
                  <w:vAlign w:val="center"/>
                </w:tcPr>
                <w:p w14:paraId="508B82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2.98</w:t>
                  </w:r>
                </w:p>
              </w:tc>
            </w:tr>
            <w:tr w14:paraId="4AA83B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472B69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802" w:type="pct"/>
                  <w:tcBorders>
                    <w:tl2br w:val="nil"/>
                    <w:tr2bl w:val="nil"/>
                  </w:tcBorders>
                  <w:shd w:val="clear" w:color="auto" w:fill="auto"/>
                  <w:vAlign w:val="center"/>
                </w:tcPr>
                <w:p w14:paraId="3F4268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临时堆土区</w:t>
                  </w:r>
                </w:p>
              </w:tc>
              <w:tc>
                <w:tcPr>
                  <w:tcW w:w="754" w:type="pct"/>
                  <w:tcBorders>
                    <w:tl2br w:val="nil"/>
                    <w:tr2bl w:val="nil"/>
                  </w:tcBorders>
                  <w:shd w:val="clear" w:color="auto" w:fill="auto"/>
                  <w:noWrap/>
                  <w:vAlign w:val="center"/>
                </w:tcPr>
                <w:p w14:paraId="6EE4A4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741" w:type="pct"/>
                  <w:tcBorders>
                    <w:tl2br w:val="nil"/>
                    <w:tr2bl w:val="nil"/>
                  </w:tcBorders>
                  <w:shd w:val="clear" w:color="auto" w:fill="auto"/>
                  <w:vAlign w:val="center"/>
                </w:tcPr>
                <w:p w14:paraId="31EB35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4.42</w:t>
                  </w:r>
                </w:p>
              </w:tc>
              <w:tc>
                <w:tcPr>
                  <w:tcW w:w="489" w:type="pct"/>
                  <w:tcBorders>
                    <w:tl2br w:val="nil"/>
                    <w:tr2bl w:val="nil"/>
                  </w:tcBorders>
                  <w:shd w:val="clear" w:color="auto" w:fill="auto"/>
                  <w:vAlign w:val="center"/>
                </w:tcPr>
                <w:p w14:paraId="54B171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4.42</w:t>
                  </w:r>
                </w:p>
              </w:tc>
              <w:tc>
                <w:tcPr>
                  <w:tcW w:w="727" w:type="pct"/>
                  <w:tcBorders>
                    <w:tl2br w:val="nil"/>
                    <w:tr2bl w:val="nil"/>
                  </w:tcBorders>
                  <w:shd w:val="clear" w:color="auto" w:fill="auto"/>
                  <w:noWrap/>
                  <w:vAlign w:val="center"/>
                </w:tcPr>
                <w:p w14:paraId="729F1A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实际征占地</w:t>
                  </w:r>
                </w:p>
              </w:tc>
              <w:tc>
                <w:tcPr>
                  <w:tcW w:w="550" w:type="pct"/>
                  <w:tcBorders>
                    <w:tl2br w:val="nil"/>
                    <w:tr2bl w:val="nil"/>
                  </w:tcBorders>
                  <w:shd w:val="clear" w:color="auto" w:fill="auto"/>
                  <w:vAlign w:val="center"/>
                </w:tcPr>
                <w:p w14:paraId="729C80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730" w:type="dxa"/>
                  <w:tcBorders>
                    <w:tl2br w:val="nil"/>
                    <w:tr2bl w:val="nil"/>
                  </w:tcBorders>
                  <w:shd w:val="clear" w:color="auto" w:fill="auto"/>
                  <w:vAlign w:val="center"/>
                </w:tcPr>
                <w:p w14:paraId="55C169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4.42</w:t>
                  </w:r>
                </w:p>
              </w:tc>
            </w:tr>
            <w:tr w14:paraId="64873F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70" w:type="pct"/>
                  <w:vMerge w:val="continue"/>
                  <w:tcBorders>
                    <w:tl2br w:val="nil"/>
                    <w:tr2bl w:val="nil"/>
                  </w:tcBorders>
                  <w:shd w:val="clear" w:color="auto" w:fill="auto"/>
                  <w:vAlign w:val="center"/>
                </w:tcPr>
                <w:p w14:paraId="4DF70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p>
              </w:tc>
              <w:tc>
                <w:tcPr>
                  <w:tcW w:w="802" w:type="pct"/>
                  <w:tcBorders>
                    <w:tl2br w:val="nil"/>
                    <w:tr2bl w:val="nil"/>
                  </w:tcBorders>
                  <w:shd w:val="clear" w:color="auto" w:fill="auto"/>
                  <w:vAlign w:val="center"/>
                </w:tcPr>
                <w:p w14:paraId="7AF3B6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临时生产区</w:t>
                  </w:r>
                </w:p>
              </w:tc>
              <w:tc>
                <w:tcPr>
                  <w:tcW w:w="754" w:type="pct"/>
                  <w:tcBorders>
                    <w:tl2br w:val="nil"/>
                    <w:tr2bl w:val="nil"/>
                  </w:tcBorders>
                  <w:shd w:val="clear" w:color="auto" w:fill="auto"/>
                  <w:vAlign w:val="center"/>
                </w:tcPr>
                <w:p w14:paraId="6F2103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741" w:type="pct"/>
                  <w:tcBorders>
                    <w:tl2br w:val="nil"/>
                    <w:tr2bl w:val="nil"/>
                  </w:tcBorders>
                  <w:shd w:val="clear" w:color="auto" w:fill="auto"/>
                  <w:vAlign w:val="center"/>
                </w:tcPr>
                <w:p w14:paraId="2866FE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0.42</w:t>
                  </w:r>
                </w:p>
              </w:tc>
              <w:tc>
                <w:tcPr>
                  <w:tcW w:w="489" w:type="pct"/>
                  <w:tcBorders>
                    <w:tl2br w:val="nil"/>
                    <w:tr2bl w:val="nil"/>
                  </w:tcBorders>
                  <w:shd w:val="clear" w:color="auto" w:fill="auto"/>
                  <w:vAlign w:val="center"/>
                </w:tcPr>
                <w:p w14:paraId="11F5EB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0.42</w:t>
                  </w:r>
                </w:p>
              </w:tc>
              <w:tc>
                <w:tcPr>
                  <w:tcW w:w="727" w:type="pct"/>
                  <w:tcBorders>
                    <w:tl2br w:val="nil"/>
                    <w:tr2bl w:val="nil"/>
                  </w:tcBorders>
                  <w:shd w:val="clear" w:color="auto" w:fill="auto"/>
                  <w:noWrap/>
                  <w:vAlign w:val="center"/>
                </w:tcPr>
                <w:p w14:paraId="0075A2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实际征占地</w:t>
                  </w:r>
                </w:p>
              </w:tc>
              <w:tc>
                <w:tcPr>
                  <w:tcW w:w="550" w:type="pct"/>
                  <w:tcBorders>
                    <w:tl2br w:val="nil"/>
                    <w:tr2bl w:val="nil"/>
                  </w:tcBorders>
                  <w:shd w:val="clear" w:color="auto" w:fill="auto"/>
                  <w:vAlign w:val="center"/>
                </w:tcPr>
                <w:p w14:paraId="17B0FD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730" w:type="dxa"/>
                  <w:tcBorders>
                    <w:tl2br w:val="nil"/>
                    <w:tr2bl w:val="nil"/>
                  </w:tcBorders>
                  <w:shd w:val="clear" w:color="auto" w:fill="auto"/>
                  <w:vAlign w:val="center"/>
                </w:tcPr>
                <w:p w14:paraId="5A50A8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0.42</w:t>
                  </w:r>
                </w:p>
              </w:tc>
            </w:tr>
            <w:tr w14:paraId="43888A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1273" w:type="pct"/>
                  <w:gridSpan w:val="2"/>
                  <w:tcBorders>
                    <w:tl2br w:val="nil"/>
                    <w:tr2bl w:val="nil"/>
                  </w:tcBorders>
                  <w:shd w:val="clear" w:color="auto" w:fill="auto"/>
                  <w:vAlign w:val="center"/>
                </w:tcPr>
                <w:p w14:paraId="37F8E9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合计（扣除重复占地面积）</w:t>
                  </w:r>
                </w:p>
              </w:tc>
              <w:tc>
                <w:tcPr>
                  <w:tcW w:w="754" w:type="pct"/>
                  <w:tcBorders>
                    <w:tl2br w:val="nil"/>
                    <w:tr2bl w:val="nil"/>
                  </w:tcBorders>
                  <w:shd w:val="clear" w:color="auto" w:fill="auto"/>
                  <w:vAlign w:val="center"/>
                </w:tcPr>
                <w:p w14:paraId="55D109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19.77</w:t>
                  </w:r>
                </w:p>
              </w:tc>
              <w:tc>
                <w:tcPr>
                  <w:tcW w:w="741" w:type="pct"/>
                  <w:tcBorders>
                    <w:tl2br w:val="nil"/>
                    <w:tr2bl w:val="nil"/>
                  </w:tcBorders>
                  <w:shd w:val="clear" w:color="auto" w:fill="auto"/>
                  <w:vAlign w:val="center"/>
                </w:tcPr>
                <w:p w14:paraId="369BE9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7.82</w:t>
                  </w:r>
                </w:p>
              </w:tc>
              <w:tc>
                <w:tcPr>
                  <w:tcW w:w="489" w:type="pct"/>
                  <w:tcBorders>
                    <w:tl2br w:val="nil"/>
                    <w:tr2bl w:val="nil"/>
                  </w:tcBorders>
                  <w:shd w:val="clear" w:color="auto" w:fill="auto"/>
                  <w:vAlign w:val="center"/>
                </w:tcPr>
                <w:p w14:paraId="7A1DAC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27.59</w:t>
                  </w:r>
                </w:p>
              </w:tc>
              <w:tc>
                <w:tcPr>
                  <w:tcW w:w="727" w:type="pct"/>
                  <w:tcBorders>
                    <w:tl2br w:val="nil"/>
                    <w:tr2bl w:val="nil"/>
                  </w:tcBorders>
                  <w:shd w:val="clear" w:color="auto" w:fill="auto"/>
                  <w:noWrap/>
                  <w:vAlign w:val="center"/>
                </w:tcPr>
                <w:p w14:paraId="756CF5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tc>
              <w:tc>
                <w:tcPr>
                  <w:tcW w:w="550" w:type="pct"/>
                  <w:tcBorders>
                    <w:tl2br w:val="nil"/>
                    <w:tr2bl w:val="nil"/>
                  </w:tcBorders>
                  <w:shd w:val="clear" w:color="auto" w:fill="auto"/>
                  <w:vAlign w:val="center"/>
                </w:tcPr>
                <w:p w14:paraId="1E0AF6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16.99</w:t>
                  </w:r>
                </w:p>
              </w:tc>
              <w:tc>
                <w:tcPr>
                  <w:tcW w:w="463" w:type="pct"/>
                  <w:tcBorders>
                    <w:tl2br w:val="nil"/>
                    <w:tr2bl w:val="nil"/>
                  </w:tcBorders>
                  <w:shd w:val="clear" w:color="auto" w:fill="auto"/>
                  <w:vAlign w:val="center"/>
                </w:tcPr>
                <w:p w14:paraId="357FD9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10.6</w:t>
                  </w:r>
                </w:p>
              </w:tc>
            </w:tr>
          </w:tbl>
          <w:p w14:paraId="6D978843">
            <w:pPr>
              <w:keepNext w:val="0"/>
              <w:keepLines w:val="0"/>
              <w:pageBreakBefore w:val="0"/>
              <w:widowControl w:val="0"/>
              <w:numPr>
                <w:ilvl w:val="0"/>
                <w:numId w:val="3"/>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土石方平衡</w:t>
            </w:r>
          </w:p>
          <w:p w14:paraId="14AD1C8F">
            <w:pPr>
              <w:adjustRightInd w:val="0"/>
              <w:snapToGrid w:val="0"/>
              <w:spacing w:line="360" w:lineRule="auto"/>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项目主要在原渠道上进行防渗改造，无可剥离表土。本项目挖填方总量为</w:t>
            </w:r>
            <w:r>
              <w:rPr>
                <w:rFonts w:hint="eastAsia" w:cs="Times New Roman"/>
                <w:bCs/>
                <w:color w:val="auto"/>
                <w:sz w:val="24"/>
                <w:lang w:val="en-US" w:eastAsia="zh-CN"/>
              </w:rPr>
              <w:t>60.36</w:t>
            </w:r>
            <w:r>
              <w:rPr>
                <w:rFonts w:hint="default" w:ascii="Times New Roman" w:hAnsi="Times New Roman" w:cs="Times New Roman"/>
                <w:bCs/>
                <w:color w:val="auto"/>
                <w:sz w:val="24"/>
              </w:rPr>
              <w:t>万m</w:t>
            </w:r>
            <w:r>
              <w:rPr>
                <w:rFonts w:hint="default" w:ascii="Times New Roman" w:hAnsi="Times New Roman" w:cs="Times New Roman"/>
                <w:bCs/>
                <w:color w:val="auto"/>
                <w:sz w:val="24"/>
                <w:vertAlign w:val="superscript"/>
              </w:rPr>
              <w:t>3</w:t>
            </w:r>
            <w:r>
              <w:rPr>
                <w:rFonts w:hint="default" w:ascii="Times New Roman" w:hAnsi="Times New Roman" w:cs="Times New Roman"/>
                <w:bCs/>
                <w:color w:val="auto"/>
                <w:sz w:val="24"/>
              </w:rPr>
              <w:t>，其中挖方总量为</w:t>
            </w:r>
            <w:r>
              <w:rPr>
                <w:rFonts w:hint="eastAsia" w:cs="Times New Roman"/>
                <w:bCs/>
                <w:color w:val="auto"/>
                <w:sz w:val="24"/>
                <w:lang w:val="en-US" w:eastAsia="zh-CN"/>
              </w:rPr>
              <w:t>24.57</w:t>
            </w:r>
            <w:r>
              <w:rPr>
                <w:rFonts w:hint="default" w:ascii="Times New Roman" w:hAnsi="Times New Roman" w:cs="Times New Roman"/>
                <w:bCs/>
                <w:color w:val="auto"/>
                <w:sz w:val="24"/>
              </w:rPr>
              <w:t>万m</w:t>
            </w:r>
            <w:r>
              <w:rPr>
                <w:rFonts w:hint="default" w:ascii="Times New Roman" w:hAnsi="Times New Roman" w:cs="Times New Roman"/>
                <w:bCs/>
                <w:color w:val="auto"/>
                <w:sz w:val="24"/>
                <w:vertAlign w:val="superscript"/>
              </w:rPr>
              <w:t>3</w:t>
            </w:r>
            <w:r>
              <w:rPr>
                <w:rFonts w:hint="default" w:ascii="Times New Roman" w:hAnsi="Times New Roman" w:cs="Times New Roman"/>
                <w:bCs/>
                <w:color w:val="auto"/>
                <w:sz w:val="24"/>
              </w:rPr>
              <w:t>，回填</w:t>
            </w:r>
            <w:r>
              <w:rPr>
                <w:rFonts w:hint="eastAsia" w:cs="Times New Roman"/>
                <w:bCs/>
                <w:color w:val="auto"/>
                <w:sz w:val="24"/>
                <w:lang w:val="en-US" w:eastAsia="zh-CN"/>
              </w:rPr>
              <w:t>35.79</w:t>
            </w:r>
            <w:r>
              <w:rPr>
                <w:rFonts w:hint="default" w:ascii="Times New Roman" w:hAnsi="Times New Roman" w:cs="Times New Roman"/>
                <w:bCs/>
                <w:color w:val="auto"/>
                <w:sz w:val="24"/>
              </w:rPr>
              <w:t>万m</w:t>
            </w:r>
            <w:r>
              <w:rPr>
                <w:rFonts w:hint="default" w:ascii="Times New Roman" w:hAnsi="Times New Roman" w:cs="Times New Roman"/>
                <w:bCs/>
                <w:color w:val="auto"/>
                <w:sz w:val="24"/>
                <w:vertAlign w:val="superscript"/>
              </w:rPr>
              <w:t>3</w:t>
            </w:r>
            <w:r>
              <w:rPr>
                <w:rFonts w:hint="default" w:ascii="Times New Roman" w:hAnsi="Times New Roman" w:cs="Times New Roman"/>
                <w:bCs/>
                <w:color w:val="auto"/>
                <w:sz w:val="24"/>
              </w:rPr>
              <w:t>，借方</w:t>
            </w:r>
            <w:r>
              <w:rPr>
                <w:rFonts w:hint="eastAsia" w:cs="Times New Roman"/>
                <w:bCs/>
                <w:color w:val="auto"/>
                <w:sz w:val="24"/>
                <w:lang w:val="en-US" w:eastAsia="zh-CN"/>
              </w:rPr>
              <w:t>15.94</w:t>
            </w:r>
            <w:r>
              <w:rPr>
                <w:rFonts w:hint="default" w:ascii="Times New Roman" w:hAnsi="Times New Roman" w:cs="Times New Roman"/>
                <w:bCs/>
                <w:color w:val="auto"/>
                <w:sz w:val="24"/>
              </w:rPr>
              <w:t>万m</w:t>
            </w:r>
            <w:r>
              <w:rPr>
                <w:rFonts w:hint="default" w:ascii="Times New Roman" w:hAnsi="Times New Roman" w:cs="Times New Roman"/>
                <w:bCs/>
                <w:color w:val="auto"/>
                <w:sz w:val="24"/>
                <w:vertAlign w:val="superscript"/>
              </w:rPr>
              <w:t>3</w:t>
            </w:r>
            <w:r>
              <w:rPr>
                <w:rFonts w:hint="default" w:ascii="Times New Roman" w:hAnsi="Times New Roman" w:cs="Times New Roman"/>
                <w:bCs/>
                <w:color w:val="auto"/>
                <w:sz w:val="24"/>
              </w:rPr>
              <w:t>（主要为外购砂石料垫层借方），本项目借方均外购自有合法备案手续的料场，水土流失防治责任范围属供应方，弃方</w:t>
            </w:r>
            <w:r>
              <w:rPr>
                <w:rFonts w:hint="eastAsia" w:cs="Times New Roman"/>
                <w:bCs/>
                <w:color w:val="auto"/>
                <w:sz w:val="24"/>
                <w:lang w:val="en-US" w:eastAsia="zh-CN"/>
              </w:rPr>
              <w:t>2.72</w:t>
            </w:r>
            <w:r>
              <w:rPr>
                <w:rFonts w:hint="default" w:ascii="Times New Roman" w:hAnsi="Times New Roman" w:cs="Times New Roman"/>
                <w:bCs/>
                <w:color w:val="auto"/>
                <w:sz w:val="24"/>
              </w:rPr>
              <w:t>万m</w:t>
            </w:r>
            <w:r>
              <w:rPr>
                <w:rFonts w:hint="default" w:ascii="Times New Roman" w:hAnsi="Times New Roman" w:cs="Times New Roman"/>
                <w:bCs/>
                <w:color w:val="auto"/>
                <w:sz w:val="24"/>
                <w:vertAlign w:val="superscript"/>
              </w:rPr>
              <w:t>3</w:t>
            </w:r>
            <w:r>
              <w:rPr>
                <w:rFonts w:hint="default" w:ascii="Times New Roman" w:hAnsi="Times New Roman" w:cs="Times New Roman"/>
                <w:bCs/>
                <w:color w:val="auto"/>
                <w:sz w:val="24"/>
              </w:rPr>
              <w:t>（主要为</w:t>
            </w:r>
            <w:r>
              <w:rPr>
                <w:rFonts w:hint="eastAsia" w:cs="Times New Roman"/>
                <w:bCs/>
                <w:color w:val="auto"/>
                <w:sz w:val="24"/>
                <w:lang w:val="en-US" w:eastAsia="zh-CN"/>
              </w:rPr>
              <w:t>老渠道改造及渠系建筑物改造产生的建筑垃圾</w:t>
            </w:r>
            <w:r>
              <w:rPr>
                <w:rFonts w:hint="default" w:ascii="Times New Roman" w:hAnsi="Times New Roman" w:cs="Times New Roman"/>
                <w:bCs/>
                <w:color w:val="auto"/>
                <w:sz w:val="24"/>
              </w:rPr>
              <w:t>），</w:t>
            </w:r>
            <w:r>
              <w:rPr>
                <w:rFonts w:hint="eastAsia" w:cs="Times New Roman"/>
                <w:bCs/>
                <w:color w:val="auto"/>
                <w:sz w:val="24"/>
                <w:lang w:val="en-US" w:eastAsia="zh-CN"/>
              </w:rPr>
              <w:t>其余土方</w:t>
            </w:r>
            <w:r>
              <w:rPr>
                <w:rFonts w:hint="default" w:ascii="Times New Roman" w:hAnsi="Times New Roman" w:cs="Times New Roman"/>
                <w:bCs/>
                <w:color w:val="auto"/>
                <w:sz w:val="24"/>
              </w:rPr>
              <w:t>全部用于渠堤培高。</w:t>
            </w:r>
          </w:p>
          <w:p w14:paraId="03AAF10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cs="Times New Roman"/>
                <w:b/>
                <w:bCs/>
                <w:color w:val="auto"/>
                <w:sz w:val="24"/>
                <w:szCs w:val="24"/>
                <w:lang w:val="en-US" w:eastAsia="zh-CN"/>
              </w:rPr>
            </w:pPr>
            <w:r>
              <w:rPr>
                <w:rFonts w:hint="default" w:ascii="Times New Roman" w:hAnsi="Times New Roman" w:cs="Times New Roman"/>
                <w:b/>
                <w:bCs/>
                <w:color w:val="auto"/>
                <w:sz w:val="24"/>
                <w:szCs w:val="24"/>
              </w:rPr>
              <w:t>表2-</w:t>
            </w:r>
            <w:r>
              <w:rPr>
                <w:rFonts w:hint="eastAsia" w:cs="Times New Roman"/>
                <w:b/>
                <w:bCs/>
                <w:color w:val="auto"/>
                <w:sz w:val="24"/>
                <w:szCs w:val="24"/>
                <w:lang w:val="en-US" w:eastAsia="zh-CN"/>
              </w:rPr>
              <w:t>5项目土石方平衡表（单位：万m³）</w:t>
            </w:r>
          </w:p>
          <w:tbl>
            <w:tblPr>
              <w:tblStyle w:val="31"/>
              <w:tblW w:w="7879" w:type="dxa"/>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638"/>
              <w:gridCol w:w="1032"/>
              <w:gridCol w:w="689"/>
              <w:gridCol w:w="689"/>
              <w:gridCol w:w="498"/>
              <w:gridCol w:w="499"/>
              <w:gridCol w:w="500"/>
              <w:gridCol w:w="726"/>
              <w:gridCol w:w="1030"/>
              <w:gridCol w:w="713"/>
              <w:gridCol w:w="865"/>
            </w:tblGrid>
            <w:tr w14:paraId="11579E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41" w:type="pct"/>
                  <w:vMerge w:val="restart"/>
                  <w:tcBorders>
                    <w:tl2br w:val="nil"/>
                    <w:tr2bl w:val="nil"/>
                  </w:tcBorders>
                  <w:shd w:val="clear" w:color="auto" w:fill="auto"/>
                  <w:noWrap/>
                  <w:vAlign w:val="center"/>
                </w:tcPr>
                <w:p w14:paraId="1152F2C6">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序号</w:t>
                  </w:r>
                </w:p>
              </w:tc>
              <w:tc>
                <w:tcPr>
                  <w:tcW w:w="680" w:type="pct"/>
                  <w:vMerge w:val="restart"/>
                  <w:tcBorders>
                    <w:tl2br w:val="nil"/>
                    <w:tr2bl w:val="nil"/>
                  </w:tcBorders>
                  <w:shd w:val="clear" w:color="auto" w:fill="auto"/>
                  <w:vAlign w:val="center"/>
                </w:tcPr>
                <w:p w14:paraId="7749F99A">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项目组成</w:t>
                  </w:r>
                </w:p>
              </w:tc>
              <w:tc>
                <w:tcPr>
                  <w:tcW w:w="369" w:type="pct"/>
                  <w:vMerge w:val="restart"/>
                  <w:tcBorders>
                    <w:tl2br w:val="nil"/>
                    <w:tr2bl w:val="nil"/>
                  </w:tcBorders>
                  <w:shd w:val="clear" w:color="auto" w:fill="auto"/>
                  <w:vAlign w:val="center"/>
                </w:tcPr>
                <w:p w14:paraId="487D1751">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挖方</w:t>
                  </w:r>
                </w:p>
              </w:tc>
              <w:tc>
                <w:tcPr>
                  <w:tcW w:w="369" w:type="pct"/>
                  <w:vMerge w:val="restart"/>
                  <w:tcBorders>
                    <w:tl2br w:val="nil"/>
                    <w:tr2bl w:val="nil"/>
                  </w:tcBorders>
                  <w:shd w:val="clear" w:color="auto" w:fill="auto"/>
                  <w:vAlign w:val="center"/>
                </w:tcPr>
                <w:p w14:paraId="62756914">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填方</w:t>
                  </w:r>
                </w:p>
              </w:tc>
              <w:tc>
                <w:tcPr>
                  <w:tcW w:w="341" w:type="pct"/>
                  <w:tcBorders>
                    <w:tl2br w:val="nil"/>
                    <w:tr2bl w:val="nil"/>
                  </w:tcBorders>
                  <w:shd w:val="clear" w:color="auto" w:fill="auto"/>
                  <w:vAlign w:val="center"/>
                </w:tcPr>
                <w:p w14:paraId="259ADD2C">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调入</w:t>
                  </w:r>
                </w:p>
              </w:tc>
              <w:tc>
                <w:tcPr>
                  <w:tcW w:w="683" w:type="pct"/>
                  <w:gridSpan w:val="2"/>
                  <w:tcBorders>
                    <w:tl2br w:val="nil"/>
                    <w:tr2bl w:val="nil"/>
                  </w:tcBorders>
                  <w:shd w:val="clear" w:color="auto" w:fill="auto"/>
                  <w:vAlign w:val="center"/>
                </w:tcPr>
                <w:p w14:paraId="125CD2C4">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调出</w:t>
                  </w:r>
                </w:p>
              </w:tc>
              <w:tc>
                <w:tcPr>
                  <w:tcW w:w="1163" w:type="pct"/>
                  <w:gridSpan w:val="2"/>
                  <w:tcBorders>
                    <w:tl2br w:val="nil"/>
                    <w:tr2bl w:val="nil"/>
                  </w:tcBorders>
                  <w:shd w:val="clear" w:color="auto" w:fill="auto"/>
                  <w:vAlign w:val="center"/>
                </w:tcPr>
                <w:p w14:paraId="4FA20B69">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借方</w:t>
                  </w:r>
                </w:p>
              </w:tc>
              <w:tc>
                <w:tcPr>
                  <w:tcW w:w="1050" w:type="pct"/>
                  <w:gridSpan w:val="2"/>
                  <w:tcBorders>
                    <w:tl2br w:val="nil"/>
                    <w:tr2bl w:val="nil"/>
                  </w:tcBorders>
                  <w:shd w:val="clear" w:color="auto" w:fill="auto"/>
                  <w:vAlign w:val="center"/>
                </w:tcPr>
                <w:p w14:paraId="3A901CD5">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弃方</w:t>
                  </w:r>
                </w:p>
              </w:tc>
            </w:tr>
            <w:tr w14:paraId="2BB6A5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41" w:type="pct"/>
                  <w:vMerge w:val="continue"/>
                  <w:tcBorders>
                    <w:tl2br w:val="nil"/>
                    <w:tr2bl w:val="nil"/>
                  </w:tcBorders>
                  <w:shd w:val="clear" w:color="auto" w:fill="auto"/>
                  <w:noWrap/>
                  <w:vAlign w:val="center"/>
                </w:tcPr>
                <w:p w14:paraId="2DBE1C03">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p>
              </w:tc>
              <w:tc>
                <w:tcPr>
                  <w:tcW w:w="680" w:type="pct"/>
                  <w:vMerge w:val="continue"/>
                  <w:tcBorders>
                    <w:tl2br w:val="nil"/>
                    <w:tr2bl w:val="nil"/>
                  </w:tcBorders>
                  <w:shd w:val="clear" w:color="auto" w:fill="auto"/>
                  <w:vAlign w:val="center"/>
                </w:tcPr>
                <w:p w14:paraId="286245D1">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p>
              </w:tc>
              <w:tc>
                <w:tcPr>
                  <w:tcW w:w="369" w:type="pct"/>
                  <w:vMerge w:val="continue"/>
                  <w:tcBorders>
                    <w:tl2br w:val="nil"/>
                    <w:tr2bl w:val="nil"/>
                  </w:tcBorders>
                  <w:shd w:val="clear" w:color="auto" w:fill="auto"/>
                  <w:vAlign w:val="center"/>
                </w:tcPr>
                <w:p w14:paraId="64A7E706">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p>
              </w:tc>
              <w:tc>
                <w:tcPr>
                  <w:tcW w:w="369" w:type="pct"/>
                  <w:vMerge w:val="continue"/>
                  <w:tcBorders>
                    <w:tl2br w:val="nil"/>
                    <w:tr2bl w:val="nil"/>
                  </w:tcBorders>
                  <w:shd w:val="clear" w:color="auto" w:fill="auto"/>
                  <w:vAlign w:val="center"/>
                </w:tcPr>
                <w:p w14:paraId="196C3633">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p>
              </w:tc>
              <w:tc>
                <w:tcPr>
                  <w:tcW w:w="341" w:type="pct"/>
                  <w:tcBorders>
                    <w:tl2br w:val="nil"/>
                    <w:tr2bl w:val="nil"/>
                  </w:tcBorders>
                  <w:shd w:val="clear" w:color="auto" w:fill="auto"/>
                  <w:vAlign w:val="center"/>
                </w:tcPr>
                <w:p w14:paraId="3553C67D">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来源</w:t>
                  </w:r>
                </w:p>
              </w:tc>
              <w:tc>
                <w:tcPr>
                  <w:tcW w:w="341" w:type="pct"/>
                  <w:tcBorders>
                    <w:tl2br w:val="nil"/>
                    <w:tr2bl w:val="nil"/>
                  </w:tcBorders>
                  <w:shd w:val="clear" w:color="auto" w:fill="auto"/>
                  <w:vAlign w:val="center"/>
                </w:tcPr>
                <w:p w14:paraId="2C964401">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数量</w:t>
                  </w:r>
                </w:p>
              </w:tc>
              <w:tc>
                <w:tcPr>
                  <w:tcW w:w="342" w:type="pct"/>
                  <w:tcBorders>
                    <w:tl2br w:val="nil"/>
                    <w:tr2bl w:val="nil"/>
                  </w:tcBorders>
                  <w:shd w:val="clear" w:color="auto" w:fill="auto"/>
                  <w:vAlign w:val="center"/>
                </w:tcPr>
                <w:p w14:paraId="7273B860">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去向</w:t>
                  </w:r>
                </w:p>
              </w:tc>
              <w:tc>
                <w:tcPr>
                  <w:tcW w:w="485" w:type="pct"/>
                  <w:tcBorders>
                    <w:tl2br w:val="nil"/>
                    <w:tr2bl w:val="nil"/>
                  </w:tcBorders>
                  <w:shd w:val="clear" w:color="auto" w:fill="auto"/>
                  <w:vAlign w:val="center"/>
                </w:tcPr>
                <w:p w14:paraId="6F633751">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数量</w:t>
                  </w:r>
                </w:p>
              </w:tc>
              <w:tc>
                <w:tcPr>
                  <w:tcW w:w="677" w:type="pct"/>
                  <w:tcBorders>
                    <w:tl2br w:val="nil"/>
                    <w:tr2bl w:val="nil"/>
                  </w:tcBorders>
                  <w:shd w:val="clear" w:color="auto" w:fill="auto"/>
                  <w:vAlign w:val="center"/>
                </w:tcPr>
                <w:p w14:paraId="13F6B100">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来源</w:t>
                  </w:r>
                </w:p>
              </w:tc>
              <w:tc>
                <w:tcPr>
                  <w:tcW w:w="477" w:type="pct"/>
                  <w:tcBorders>
                    <w:tl2br w:val="nil"/>
                    <w:tr2bl w:val="nil"/>
                  </w:tcBorders>
                  <w:shd w:val="clear" w:color="auto" w:fill="auto"/>
                  <w:vAlign w:val="center"/>
                </w:tcPr>
                <w:p w14:paraId="73219451">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数量</w:t>
                  </w:r>
                </w:p>
              </w:tc>
              <w:tc>
                <w:tcPr>
                  <w:tcW w:w="572" w:type="pct"/>
                  <w:tcBorders>
                    <w:tl2br w:val="nil"/>
                    <w:tr2bl w:val="nil"/>
                  </w:tcBorders>
                  <w:shd w:val="clear" w:color="auto" w:fill="auto"/>
                  <w:vAlign w:val="center"/>
                </w:tcPr>
                <w:p w14:paraId="4ED6DE72">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b/>
                      <w:bCs/>
                      <w:color w:val="auto"/>
                      <w:sz w:val="21"/>
                      <w:szCs w:val="21"/>
                    </w:rPr>
                  </w:pPr>
                  <w:r>
                    <w:rPr>
                      <w:rFonts w:hint="eastAsia"/>
                      <w:b/>
                      <w:bCs/>
                      <w:color w:val="auto"/>
                      <w:sz w:val="21"/>
                      <w:szCs w:val="21"/>
                      <w:lang w:val="en-US" w:eastAsia="zh-CN"/>
                    </w:rPr>
                    <w:t>去向</w:t>
                  </w:r>
                </w:p>
              </w:tc>
            </w:tr>
            <w:tr w14:paraId="1D6A6B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41" w:type="pct"/>
                  <w:tcBorders>
                    <w:tl2br w:val="nil"/>
                    <w:tr2bl w:val="nil"/>
                  </w:tcBorders>
                  <w:shd w:val="clear" w:color="auto" w:fill="auto"/>
                  <w:vAlign w:val="center"/>
                </w:tcPr>
                <w:p w14:paraId="7EB9C1B9">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①</w:t>
                  </w:r>
                </w:p>
              </w:tc>
              <w:tc>
                <w:tcPr>
                  <w:tcW w:w="680" w:type="pct"/>
                  <w:tcBorders>
                    <w:tl2br w:val="nil"/>
                    <w:tr2bl w:val="nil"/>
                  </w:tcBorders>
                  <w:shd w:val="clear" w:color="auto" w:fill="auto"/>
                  <w:vAlign w:val="center"/>
                </w:tcPr>
                <w:p w14:paraId="04DAFE12">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主体工程区</w:t>
                  </w:r>
                </w:p>
              </w:tc>
              <w:tc>
                <w:tcPr>
                  <w:tcW w:w="369" w:type="pct"/>
                  <w:tcBorders>
                    <w:tl2br w:val="nil"/>
                    <w:tr2bl w:val="nil"/>
                  </w:tcBorders>
                  <w:shd w:val="clear" w:color="auto" w:fill="auto"/>
                  <w:vAlign w:val="center"/>
                </w:tcPr>
                <w:p w14:paraId="41C5B36B">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22.99</w:t>
                  </w:r>
                </w:p>
              </w:tc>
              <w:tc>
                <w:tcPr>
                  <w:tcW w:w="369" w:type="pct"/>
                  <w:tcBorders>
                    <w:tl2br w:val="nil"/>
                    <w:tr2bl w:val="nil"/>
                  </w:tcBorders>
                  <w:shd w:val="clear" w:color="auto" w:fill="auto"/>
                  <w:vAlign w:val="center"/>
                </w:tcPr>
                <w:p w14:paraId="5A5BB94A">
                  <w:pPr>
                    <w:pStyle w:val="64"/>
                    <w:keepNext w:val="0"/>
                    <w:keepLines w:val="0"/>
                    <w:pageBreakBefore w:val="0"/>
                    <w:widowControl w:val="0"/>
                    <w:kinsoku/>
                    <w:wordWrap/>
                    <w:overflowPunct/>
                    <w:topLinePunct w:val="0"/>
                    <w:autoSpaceDE/>
                    <w:autoSpaceDN/>
                    <w:bidi w:val="0"/>
                    <w:adjustRightInd w:val="0"/>
                    <w:snapToGrid w:val="0"/>
                    <w:textAlignment w:val="auto"/>
                    <w:rPr>
                      <w:rFonts w:hint="default"/>
                      <w:color w:val="auto"/>
                      <w:sz w:val="21"/>
                      <w:szCs w:val="21"/>
                      <w:lang w:val="en-US"/>
                    </w:rPr>
                  </w:pPr>
                  <w:r>
                    <w:rPr>
                      <w:rFonts w:hint="eastAsia"/>
                      <w:color w:val="auto"/>
                      <w:sz w:val="21"/>
                      <w:szCs w:val="21"/>
                      <w:lang w:val="en-US" w:eastAsia="zh-CN"/>
                    </w:rPr>
                    <w:t>34.21</w:t>
                  </w:r>
                </w:p>
              </w:tc>
              <w:tc>
                <w:tcPr>
                  <w:tcW w:w="341" w:type="pct"/>
                  <w:tcBorders>
                    <w:tl2br w:val="nil"/>
                    <w:tr2bl w:val="nil"/>
                  </w:tcBorders>
                  <w:shd w:val="clear" w:color="auto" w:fill="auto"/>
                  <w:vAlign w:val="center"/>
                </w:tcPr>
                <w:p w14:paraId="4179575F">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1" w:type="pct"/>
                  <w:tcBorders>
                    <w:tl2br w:val="nil"/>
                    <w:tr2bl w:val="nil"/>
                  </w:tcBorders>
                  <w:shd w:val="clear" w:color="auto" w:fill="auto"/>
                  <w:vAlign w:val="center"/>
                </w:tcPr>
                <w:p w14:paraId="0DCA4F40">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2" w:type="pct"/>
                  <w:tcBorders>
                    <w:tl2br w:val="nil"/>
                    <w:tr2bl w:val="nil"/>
                  </w:tcBorders>
                  <w:shd w:val="clear" w:color="auto" w:fill="auto"/>
                  <w:vAlign w:val="center"/>
                </w:tcPr>
                <w:p w14:paraId="16C3E28D">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85" w:type="pct"/>
                  <w:tcBorders>
                    <w:tl2br w:val="nil"/>
                    <w:tr2bl w:val="nil"/>
                  </w:tcBorders>
                  <w:shd w:val="clear" w:color="auto" w:fill="auto"/>
                  <w:vAlign w:val="center"/>
                </w:tcPr>
                <w:p w14:paraId="6F0B012B">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15.94</w:t>
                  </w:r>
                </w:p>
              </w:tc>
              <w:tc>
                <w:tcPr>
                  <w:tcW w:w="677" w:type="pct"/>
                  <w:tcBorders>
                    <w:tl2br w:val="nil"/>
                    <w:tr2bl w:val="nil"/>
                  </w:tcBorders>
                  <w:shd w:val="clear" w:color="auto" w:fill="auto"/>
                  <w:vAlign w:val="center"/>
                </w:tcPr>
                <w:p w14:paraId="460A211D">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商品砂石料场</w:t>
                  </w:r>
                </w:p>
              </w:tc>
              <w:tc>
                <w:tcPr>
                  <w:tcW w:w="477" w:type="pct"/>
                  <w:tcBorders>
                    <w:tl2br w:val="nil"/>
                    <w:tr2bl w:val="nil"/>
                  </w:tcBorders>
                  <w:shd w:val="clear" w:color="auto" w:fill="auto"/>
                  <w:vAlign w:val="center"/>
                </w:tcPr>
                <w:p w14:paraId="3E532215">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2.72</w:t>
                  </w:r>
                </w:p>
              </w:tc>
              <w:tc>
                <w:tcPr>
                  <w:tcW w:w="572" w:type="pct"/>
                  <w:vMerge w:val="restart"/>
                  <w:tcBorders>
                    <w:tl2br w:val="nil"/>
                    <w:tr2bl w:val="nil"/>
                  </w:tcBorders>
                  <w:shd w:val="clear" w:color="auto" w:fill="auto"/>
                  <w:vAlign w:val="center"/>
                </w:tcPr>
                <w:p w14:paraId="116D4347">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奇台县建筑垃圾填埋场</w:t>
                  </w:r>
                </w:p>
              </w:tc>
            </w:tr>
            <w:tr w14:paraId="7CD52B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41" w:type="pct"/>
                  <w:tcBorders>
                    <w:tl2br w:val="nil"/>
                    <w:tr2bl w:val="nil"/>
                  </w:tcBorders>
                  <w:shd w:val="clear" w:color="auto" w:fill="auto"/>
                  <w:vAlign w:val="center"/>
                </w:tcPr>
                <w:p w14:paraId="15F1C75C">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②</w:t>
                  </w:r>
                </w:p>
              </w:tc>
              <w:tc>
                <w:tcPr>
                  <w:tcW w:w="680" w:type="pct"/>
                  <w:tcBorders>
                    <w:tl2br w:val="nil"/>
                    <w:tr2bl w:val="nil"/>
                  </w:tcBorders>
                  <w:shd w:val="clear" w:color="auto" w:fill="auto"/>
                  <w:vAlign w:val="center"/>
                </w:tcPr>
                <w:p w14:paraId="4047906C">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临时道路区</w:t>
                  </w:r>
                </w:p>
              </w:tc>
              <w:tc>
                <w:tcPr>
                  <w:tcW w:w="369" w:type="pct"/>
                  <w:tcBorders>
                    <w:tl2br w:val="nil"/>
                    <w:tr2bl w:val="nil"/>
                  </w:tcBorders>
                  <w:shd w:val="clear" w:color="auto" w:fill="auto"/>
                  <w:vAlign w:val="center"/>
                </w:tcPr>
                <w:p w14:paraId="1363FCD3">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1.5</w:t>
                  </w:r>
                </w:p>
              </w:tc>
              <w:tc>
                <w:tcPr>
                  <w:tcW w:w="369" w:type="pct"/>
                  <w:tcBorders>
                    <w:tl2br w:val="nil"/>
                    <w:tr2bl w:val="nil"/>
                  </w:tcBorders>
                  <w:shd w:val="clear" w:color="auto" w:fill="auto"/>
                  <w:vAlign w:val="center"/>
                </w:tcPr>
                <w:p w14:paraId="7A91562E">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1.5</w:t>
                  </w:r>
                </w:p>
              </w:tc>
              <w:tc>
                <w:tcPr>
                  <w:tcW w:w="341" w:type="pct"/>
                  <w:tcBorders>
                    <w:tl2br w:val="nil"/>
                    <w:tr2bl w:val="nil"/>
                  </w:tcBorders>
                  <w:shd w:val="clear" w:color="auto" w:fill="auto"/>
                  <w:vAlign w:val="center"/>
                </w:tcPr>
                <w:p w14:paraId="32082C3F">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1" w:type="pct"/>
                  <w:tcBorders>
                    <w:tl2br w:val="nil"/>
                    <w:tr2bl w:val="nil"/>
                  </w:tcBorders>
                  <w:shd w:val="clear" w:color="auto" w:fill="auto"/>
                  <w:vAlign w:val="center"/>
                </w:tcPr>
                <w:p w14:paraId="4D2AF1DB">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2" w:type="pct"/>
                  <w:tcBorders>
                    <w:tl2br w:val="nil"/>
                    <w:tr2bl w:val="nil"/>
                  </w:tcBorders>
                  <w:shd w:val="clear" w:color="auto" w:fill="auto"/>
                  <w:vAlign w:val="center"/>
                </w:tcPr>
                <w:p w14:paraId="1E221ED9">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85" w:type="pct"/>
                  <w:tcBorders>
                    <w:tl2br w:val="nil"/>
                    <w:tr2bl w:val="nil"/>
                  </w:tcBorders>
                  <w:shd w:val="clear" w:color="auto" w:fill="auto"/>
                  <w:vAlign w:val="center"/>
                </w:tcPr>
                <w:p w14:paraId="3C1D81F7">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677" w:type="pct"/>
                  <w:tcBorders>
                    <w:tl2br w:val="nil"/>
                    <w:tr2bl w:val="nil"/>
                  </w:tcBorders>
                  <w:shd w:val="clear" w:color="auto" w:fill="auto"/>
                  <w:vAlign w:val="center"/>
                </w:tcPr>
                <w:p w14:paraId="35EC3736">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77" w:type="pct"/>
                  <w:tcBorders>
                    <w:tl2br w:val="nil"/>
                    <w:tr2bl w:val="nil"/>
                  </w:tcBorders>
                  <w:shd w:val="clear" w:color="auto" w:fill="auto"/>
                  <w:vAlign w:val="center"/>
                </w:tcPr>
                <w:p w14:paraId="74A309ED">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572" w:type="pct"/>
                  <w:vMerge w:val="continue"/>
                  <w:tcBorders>
                    <w:tl2br w:val="nil"/>
                    <w:tr2bl w:val="nil"/>
                  </w:tcBorders>
                  <w:shd w:val="clear" w:color="auto" w:fill="auto"/>
                  <w:vAlign w:val="center"/>
                </w:tcPr>
                <w:p w14:paraId="6A1AE0BB">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p>
              </w:tc>
            </w:tr>
            <w:tr w14:paraId="5FC0E9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5" w:hRule="atLeast"/>
              </w:trPr>
              <w:tc>
                <w:tcPr>
                  <w:tcW w:w="341" w:type="pct"/>
                  <w:tcBorders>
                    <w:tl2br w:val="nil"/>
                    <w:tr2bl w:val="nil"/>
                  </w:tcBorders>
                  <w:shd w:val="clear" w:color="auto" w:fill="auto"/>
                  <w:vAlign w:val="center"/>
                </w:tcPr>
                <w:p w14:paraId="151182D7">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③</w:t>
                  </w:r>
                </w:p>
              </w:tc>
              <w:tc>
                <w:tcPr>
                  <w:tcW w:w="680" w:type="pct"/>
                  <w:tcBorders>
                    <w:tl2br w:val="nil"/>
                    <w:tr2bl w:val="nil"/>
                  </w:tcBorders>
                  <w:shd w:val="clear" w:color="auto" w:fill="auto"/>
                  <w:vAlign w:val="center"/>
                </w:tcPr>
                <w:p w14:paraId="3C0E297E">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临时生产区</w:t>
                  </w:r>
                </w:p>
              </w:tc>
              <w:tc>
                <w:tcPr>
                  <w:tcW w:w="369" w:type="pct"/>
                  <w:tcBorders>
                    <w:tl2br w:val="nil"/>
                    <w:tr2bl w:val="nil"/>
                  </w:tcBorders>
                  <w:shd w:val="clear" w:color="auto" w:fill="auto"/>
                  <w:vAlign w:val="center"/>
                </w:tcPr>
                <w:p w14:paraId="12CF44EE">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0.08</w:t>
                  </w:r>
                </w:p>
              </w:tc>
              <w:tc>
                <w:tcPr>
                  <w:tcW w:w="369" w:type="pct"/>
                  <w:tcBorders>
                    <w:tl2br w:val="nil"/>
                    <w:tr2bl w:val="nil"/>
                  </w:tcBorders>
                  <w:shd w:val="clear" w:color="auto" w:fill="auto"/>
                  <w:vAlign w:val="center"/>
                </w:tcPr>
                <w:p w14:paraId="191B72C0">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0.08</w:t>
                  </w:r>
                </w:p>
              </w:tc>
              <w:tc>
                <w:tcPr>
                  <w:tcW w:w="341" w:type="pct"/>
                  <w:tcBorders>
                    <w:tl2br w:val="nil"/>
                    <w:tr2bl w:val="nil"/>
                  </w:tcBorders>
                  <w:shd w:val="clear" w:color="auto" w:fill="auto"/>
                  <w:vAlign w:val="center"/>
                </w:tcPr>
                <w:p w14:paraId="4D595053">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1" w:type="pct"/>
                  <w:tcBorders>
                    <w:tl2br w:val="nil"/>
                    <w:tr2bl w:val="nil"/>
                  </w:tcBorders>
                  <w:shd w:val="clear" w:color="auto" w:fill="auto"/>
                  <w:vAlign w:val="center"/>
                </w:tcPr>
                <w:p w14:paraId="78CDDB75">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2" w:type="pct"/>
                  <w:tcBorders>
                    <w:tl2br w:val="nil"/>
                    <w:tr2bl w:val="nil"/>
                  </w:tcBorders>
                  <w:shd w:val="clear" w:color="auto" w:fill="auto"/>
                  <w:vAlign w:val="center"/>
                </w:tcPr>
                <w:p w14:paraId="5274717C">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85" w:type="pct"/>
                  <w:tcBorders>
                    <w:tl2br w:val="nil"/>
                    <w:tr2bl w:val="nil"/>
                  </w:tcBorders>
                  <w:shd w:val="clear" w:color="auto" w:fill="auto"/>
                  <w:vAlign w:val="center"/>
                </w:tcPr>
                <w:p w14:paraId="404E5338">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p>
              </w:tc>
              <w:tc>
                <w:tcPr>
                  <w:tcW w:w="677" w:type="pct"/>
                  <w:tcBorders>
                    <w:tl2br w:val="nil"/>
                    <w:tr2bl w:val="nil"/>
                  </w:tcBorders>
                  <w:shd w:val="clear" w:color="auto" w:fill="auto"/>
                  <w:vAlign w:val="center"/>
                </w:tcPr>
                <w:p w14:paraId="08ACA04C">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77" w:type="pct"/>
                  <w:tcBorders>
                    <w:tl2br w:val="nil"/>
                    <w:tr2bl w:val="nil"/>
                  </w:tcBorders>
                  <w:shd w:val="clear" w:color="auto" w:fill="auto"/>
                  <w:vAlign w:val="center"/>
                </w:tcPr>
                <w:p w14:paraId="500EA362">
                  <w:pPr>
                    <w:pStyle w:val="64"/>
                    <w:keepNext w:val="0"/>
                    <w:keepLines w:val="0"/>
                    <w:pageBreakBefore w:val="0"/>
                    <w:widowControl w:val="0"/>
                    <w:kinsoku/>
                    <w:wordWrap/>
                    <w:overflowPunct/>
                    <w:topLinePunct w:val="0"/>
                    <w:autoSpaceDE/>
                    <w:autoSpaceDN/>
                    <w:bidi w:val="0"/>
                    <w:adjustRightInd w:val="0"/>
                    <w:snapToGrid w:val="0"/>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572" w:type="pct"/>
                  <w:vMerge w:val="continue"/>
                  <w:tcBorders>
                    <w:tl2br w:val="nil"/>
                    <w:tr2bl w:val="nil"/>
                  </w:tcBorders>
                  <w:shd w:val="clear" w:color="auto" w:fill="auto"/>
                  <w:vAlign w:val="center"/>
                </w:tcPr>
                <w:p w14:paraId="5768E040">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p>
              </w:tc>
            </w:tr>
            <w:tr w14:paraId="6CBC88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341" w:type="pct"/>
                  <w:tcBorders>
                    <w:tl2br w:val="nil"/>
                    <w:tr2bl w:val="nil"/>
                  </w:tcBorders>
                  <w:shd w:val="clear" w:color="auto" w:fill="auto"/>
                  <w:vAlign w:val="center"/>
                </w:tcPr>
                <w:p w14:paraId="1CCEF023">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④</w:t>
                  </w:r>
                </w:p>
              </w:tc>
              <w:tc>
                <w:tcPr>
                  <w:tcW w:w="680" w:type="pct"/>
                  <w:tcBorders>
                    <w:tl2br w:val="nil"/>
                    <w:tr2bl w:val="nil"/>
                  </w:tcBorders>
                  <w:shd w:val="clear" w:color="auto" w:fill="auto"/>
                  <w:vAlign w:val="center"/>
                </w:tcPr>
                <w:p w14:paraId="27DC98F1">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总计</w:t>
                  </w:r>
                </w:p>
              </w:tc>
              <w:tc>
                <w:tcPr>
                  <w:tcW w:w="369" w:type="pct"/>
                  <w:tcBorders>
                    <w:tl2br w:val="nil"/>
                    <w:tr2bl w:val="nil"/>
                  </w:tcBorders>
                  <w:shd w:val="clear" w:color="auto" w:fill="auto"/>
                  <w:vAlign w:val="center"/>
                </w:tcPr>
                <w:p w14:paraId="6AD1327B">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24.57</w:t>
                  </w:r>
                </w:p>
              </w:tc>
              <w:tc>
                <w:tcPr>
                  <w:tcW w:w="369" w:type="pct"/>
                  <w:tcBorders>
                    <w:tl2br w:val="nil"/>
                    <w:tr2bl w:val="nil"/>
                  </w:tcBorders>
                  <w:shd w:val="clear" w:color="auto" w:fill="auto"/>
                  <w:vAlign w:val="center"/>
                </w:tcPr>
                <w:p w14:paraId="7E6E5CFF">
                  <w:pPr>
                    <w:pStyle w:val="64"/>
                    <w:keepNext w:val="0"/>
                    <w:keepLines w:val="0"/>
                    <w:pageBreakBefore w:val="0"/>
                    <w:widowControl w:val="0"/>
                    <w:kinsoku/>
                    <w:wordWrap/>
                    <w:overflowPunct/>
                    <w:topLinePunct w:val="0"/>
                    <w:autoSpaceDE/>
                    <w:autoSpaceDN/>
                    <w:bidi w:val="0"/>
                    <w:adjustRightInd w:val="0"/>
                    <w:snapToGrid w:val="0"/>
                    <w:textAlignment w:val="auto"/>
                    <w:rPr>
                      <w:rFonts w:hint="default"/>
                      <w:color w:val="auto"/>
                      <w:sz w:val="21"/>
                      <w:szCs w:val="21"/>
                      <w:lang w:val="en-US"/>
                    </w:rPr>
                  </w:pPr>
                  <w:r>
                    <w:rPr>
                      <w:rFonts w:hint="eastAsia"/>
                      <w:color w:val="auto"/>
                      <w:sz w:val="21"/>
                      <w:szCs w:val="21"/>
                      <w:lang w:val="en-US" w:eastAsia="zh-CN"/>
                    </w:rPr>
                    <w:t>35.79</w:t>
                  </w:r>
                </w:p>
              </w:tc>
              <w:tc>
                <w:tcPr>
                  <w:tcW w:w="341" w:type="pct"/>
                  <w:tcBorders>
                    <w:tl2br w:val="nil"/>
                    <w:tr2bl w:val="nil"/>
                  </w:tcBorders>
                  <w:shd w:val="clear" w:color="auto" w:fill="auto"/>
                  <w:vAlign w:val="center"/>
                </w:tcPr>
                <w:p w14:paraId="5E758200">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1" w:type="pct"/>
                  <w:tcBorders>
                    <w:tl2br w:val="nil"/>
                    <w:tr2bl w:val="nil"/>
                  </w:tcBorders>
                  <w:shd w:val="clear" w:color="auto" w:fill="auto"/>
                  <w:vAlign w:val="center"/>
                </w:tcPr>
                <w:p w14:paraId="4554094D">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342" w:type="pct"/>
                  <w:tcBorders>
                    <w:tl2br w:val="nil"/>
                    <w:tr2bl w:val="nil"/>
                  </w:tcBorders>
                  <w:shd w:val="clear" w:color="auto" w:fill="auto"/>
                  <w:vAlign w:val="center"/>
                </w:tcPr>
                <w:p w14:paraId="3D996149">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85" w:type="pct"/>
                  <w:tcBorders>
                    <w:tl2br w:val="nil"/>
                    <w:tr2bl w:val="nil"/>
                  </w:tcBorders>
                  <w:shd w:val="clear" w:color="auto" w:fill="auto"/>
                  <w:vAlign w:val="center"/>
                </w:tcPr>
                <w:p w14:paraId="0B98705D">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15.94</w:t>
                  </w:r>
                </w:p>
              </w:tc>
              <w:tc>
                <w:tcPr>
                  <w:tcW w:w="677" w:type="pct"/>
                  <w:tcBorders>
                    <w:tl2br w:val="nil"/>
                    <w:tr2bl w:val="nil"/>
                  </w:tcBorders>
                  <w:shd w:val="clear" w:color="auto" w:fill="auto"/>
                  <w:vAlign w:val="center"/>
                </w:tcPr>
                <w:p w14:paraId="2F14D9C1">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477" w:type="pct"/>
                  <w:tcBorders>
                    <w:tl2br w:val="nil"/>
                    <w:tr2bl w:val="nil"/>
                  </w:tcBorders>
                  <w:shd w:val="clear" w:color="auto" w:fill="auto"/>
                  <w:vAlign w:val="center"/>
                </w:tcPr>
                <w:p w14:paraId="2104D4BF">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r>
                    <w:rPr>
                      <w:rFonts w:hint="eastAsia"/>
                      <w:color w:val="auto"/>
                      <w:sz w:val="21"/>
                      <w:szCs w:val="21"/>
                      <w:lang w:val="en-US" w:eastAsia="zh-CN"/>
                    </w:rPr>
                    <w:t>2.72</w:t>
                  </w:r>
                </w:p>
              </w:tc>
              <w:tc>
                <w:tcPr>
                  <w:tcW w:w="572" w:type="pct"/>
                  <w:vMerge w:val="continue"/>
                  <w:tcBorders>
                    <w:tl2br w:val="nil"/>
                    <w:tr2bl w:val="nil"/>
                  </w:tcBorders>
                  <w:shd w:val="clear" w:color="auto" w:fill="auto"/>
                  <w:noWrap/>
                  <w:vAlign w:val="center"/>
                </w:tcPr>
                <w:p w14:paraId="015C89E3">
                  <w:pPr>
                    <w:pStyle w:val="64"/>
                    <w:keepNext w:val="0"/>
                    <w:keepLines w:val="0"/>
                    <w:pageBreakBefore w:val="0"/>
                    <w:widowControl w:val="0"/>
                    <w:kinsoku/>
                    <w:wordWrap/>
                    <w:overflowPunct/>
                    <w:topLinePunct w:val="0"/>
                    <w:autoSpaceDE/>
                    <w:autoSpaceDN/>
                    <w:bidi w:val="0"/>
                    <w:adjustRightInd w:val="0"/>
                    <w:snapToGrid w:val="0"/>
                    <w:textAlignment w:val="auto"/>
                    <w:rPr>
                      <w:rFonts w:hint="eastAsia"/>
                      <w:color w:val="auto"/>
                      <w:sz w:val="21"/>
                      <w:szCs w:val="21"/>
                    </w:rPr>
                  </w:pPr>
                </w:p>
              </w:tc>
            </w:tr>
          </w:tbl>
          <w:p w14:paraId="246A0709">
            <w:pPr>
              <w:keepNext w:val="0"/>
              <w:keepLines w:val="0"/>
              <w:pageBreakBefore w:val="0"/>
              <w:widowControl w:val="0"/>
              <w:numPr>
                <w:ilvl w:val="0"/>
                <w:numId w:val="3"/>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工程设计</w:t>
            </w:r>
          </w:p>
          <w:p w14:paraId="328C1287">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渠道工程设计</w:t>
            </w:r>
          </w:p>
          <w:p w14:paraId="003FF5C1">
            <w:pPr>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ind w:leftChars="220" w:right="42" w:rightChars="20"/>
              <w:textAlignment w:val="auto"/>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西干渠改造工程</w:t>
            </w:r>
          </w:p>
          <w:p w14:paraId="63EC492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西干渠桩XG0+00～XG8+430段采用现浇混凝土板梯形渠断面衬砌，渠道底宽1.5～2.0m，渠深1.2～1.4m，渠道内边坡为1：1.75；底板采用15cm厚混凝土衬砌，边坡板采用12cm厚混凝土衬砌，边坡板底部设30cm宽15cm深放大基础，渠道每隔50m设一道隔墙，隔墙宽30cm，深50cm。顺水流向每隔2m设一道缝，砼板板间缝为2cm，采用高压闭孔板分缝，缝表面嵌2cm聚氨脂密封膏，左岸渠堤宽2m，右岸宽4m。砼指标：C35F250W6，渠道回填部分采用原状土填筑，填筑压实指标Dr≥0.75。</w:t>
            </w:r>
          </w:p>
          <w:p w14:paraId="5435C5C5">
            <w:pPr>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ind w:leftChars="220" w:right="42" w:rightChars="2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支渠改造工程</w:t>
            </w:r>
          </w:p>
          <w:p w14:paraId="44DE72F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皇宫村支渠桩HG0+000～HG3+700、HG4+325～HG5+277段（设计流量0.59m³/s，加大流量0.80m³/s）采用现浇混凝土板梯形渠断面衬砌，渠道底宽0.6m，渠深0.8m，渠道内边坡为1：1.5，渠板厚度10cm。渠道每隔50m设一道隔墙，隔墙宽30cm，深50cm。顺水流向每隔2m设一道缝，砼板板间缝为2cm，采用高压闭孔板分缝，缝表面嵌2cm聚氨脂密封膏，左右岸渠堤宽均为2m。砼指标：C35F250W6。</w:t>
            </w:r>
          </w:p>
          <w:p w14:paraId="69A06D5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西戈壁支渠、东戈壁支渠采用UJ1200预制装配式矩形渠，渠道底宽1.10m，渠深1.2m，渠道内边坡为1：0.04，预制砼指标：C40F300W6。顺水流向每隔2m设一道缝，砼板板间缝为2cm，采用高压闭孔板分缝，缝表面嵌2cm聚氨脂密封膏，聚氨脂密封膏与高压闭孔板中间布置一道遇水膨胀橡胶止水条，渠顶两侧设30cm×8cm封顶板，渠堤宽2m。</w:t>
            </w:r>
          </w:p>
          <w:p w14:paraId="5BFE8C9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洞子口西支渠、宽沟至塘坊门村支渠桩KZ0+000～KZ4+020段采用UJ1000预制装配式矩形渠，渠道底部设5cm中粗砂垫层用于找平，去渠道底宽0.92m，渠深1.0m，渠道内边坡为1：0.04，预制砼指标：C40F300W6。顺水流向每隔2m设一道缝，砼板板间缝为2cm，采用高压闭孔板分缝，缝表面嵌2cm聚氨脂密封膏，聚氨脂密封膏与高压闭孔板中间布置一道遇水膨胀橡胶止水条，渠顶两侧设30cm×8cm封顶板，渠堤宽2m。</w:t>
            </w:r>
          </w:p>
          <w:p w14:paraId="1C74B53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宽沟至塘坊门村支渠桩KZ4+020～KZ4+963段（设计流量0.26m³/s，加大流量0.36m³/s）两岸采用“L”型挡墙加高防护，挡墙高0.65m，挡墙每隔8米设一道伸缩缝，缝宽2cm，采用高压闭孔板分缝。砼指标：C35F250W6。</w:t>
            </w:r>
          </w:p>
          <w:p w14:paraId="2202D2B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洞子口南沟渠、永丰渠村1组支渠及永丰渠村2组支渠采用UJ800预制装配式矩形渠，渠道底部设5cm中粗砂垫层用于找平，渠道底宽0.736m，渠深0.8m，渠道内边坡为1：0.04，预制砼指标：C40F300W6。顺水流向每隔2m设一道缝，砼板板间缝为2cm，采用高压闭孔板分缝，缝表面嵌2cm聚氨脂密封膏，聚氨脂密封膏与高压闭孔板中间布置一道遇水膨胀橡胶止水条，渠顶两侧设30cm×8cm封顶板，渠堤宽2m。</w:t>
            </w:r>
          </w:p>
          <w:p w14:paraId="59DFAAD5">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渠系建筑物设计</w:t>
            </w:r>
          </w:p>
          <w:p w14:paraId="4050CCAB">
            <w:pPr>
              <w:keepNext w:val="0"/>
              <w:keepLines w:val="0"/>
              <w:pageBreakBefore w:val="0"/>
              <w:widowControl w:val="0"/>
              <w:numPr>
                <w:ilvl w:val="0"/>
                <w:numId w:val="6"/>
              </w:numPr>
              <w:kinsoku/>
              <w:wordWrap/>
              <w:overflowPunct/>
              <w:topLinePunct w:val="0"/>
              <w:autoSpaceDE w:val="0"/>
              <w:autoSpaceDN w:val="0"/>
              <w:bidi w:val="0"/>
              <w:adjustRightInd w:val="0"/>
              <w:snapToGrid w:val="0"/>
              <w:spacing w:line="360" w:lineRule="auto"/>
              <w:ind w:leftChars="220" w:right="42" w:rightChars="2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水闸</w:t>
            </w:r>
          </w:p>
          <w:p w14:paraId="365958E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工程修建节制分水闸112座，渠道水闸平面布置依据灌区现状分水方向与分水角度布置，根据灌区现状、渠道水位、渠道断面尺寸等，部分分水口设置节制闸</w:t>
            </w:r>
            <w:r>
              <w:rPr>
                <w:rFonts w:hint="eastAsia"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分水闸，部分分水口不设节制闸，只设分水闸。节制闸与分水闸均采用整体开敞式结构。闸前后采用扭面与闸前、后渠道连接，扭面为混凝土结构。各闸闸室均采用C35混凝土结构，闸室底板采用C35钢筋混凝土结构。根据地质勘察，本次水闸改造工程中，建筑物基础地层岩性以低液限粉土为主，为冻胀性土，不满足抗冻胀要求。为防止冻胀，对粉土地层段采用砂砾石进行换填处理，换填厚度为50cm，压实指标：Dr≥0.75。</w:t>
            </w:r>
          </w:p>
          <w:p w14:paraId="65E24083">
            <w:pPr>
              <w:keepNext w:val="0"/>
              <w:keepLines w:val="0"/>
              <w:pageBreakBefore w:val="0"/>
              <w:widowControl w:val="0"/>
              <w:numPr>
                <w:ilvl w:val="0"/>
                <w:numId w:val="6"/>
              </w:numPr>
              <w:kinsoku/>
              <w:wordWrap/>
              <w:overflowPunct/>
              <w:topLinePunct w:val="0"/>
              <w:autoSpaceDE w:val="0"/>
              <w:autoSpaceDN w:val="0"/>
              <w:bidi w:val="0"/>
              <w:adjustRightInd w:val="0"/>
              <w:snapToGrid w:val="0"/>
              <w:spacing w:line="360" w:lineRule="auto"/>
              <w:ind w:leftChars="220" w:right="42" w:rightChars="2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农桥</w:t>
            </w:r>
          </w:p>
          <w:p w14:paraId="2CC70D8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本工程修建82座农桥，本次改造农桥均为小型农桥，采用一跨式结构，农桥下部结构与渠道指标一致，不改变渠道过水断面，根据渠道深度调整桥墩底宽，农桥梁底距渠顶不小于20cm。</w:t>
            </w:r>
          </w:p>
          <w:p w14:paraId="63581DC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农桥设计荷载：0.8倍公路Ⅱ级，上部桥面板采用简支钢筋混凝土实心板桥，桥面宽6～8m，路中心线与渠道中心线交角90°。根据桥址处工程地形条件及农桥设计荷载，农桥现浇砼桥板混凝土标准采用C35F250W6。农桥两侧设DN50圆形钢管护栏，农桥行车速度≤20km/h。</w:t>
            </w:r>
          </w:p>
          <w:p w14:paraId="670333BE">
            <w:pPr>
              <w:keepNext w:val="0"/>
              <w:keepLines w:val="0"/>
              <w:pageBreakBefore w:val="0"/>
              <w:widowControl w:val="0"/>
              <w:numPr>
                <w:ilvl w:val="0"/>
                <w:numId w:val="6"/>
              </w:numPr>
              <w:kinsoku/>
              <w:wordWrap/>
              <w:overflowPunct/>
              <w:topLinePunct w:val="0"/>
              <w:autoSpaceDE w:val="0"/>
              <w:autoSpaceDN w:val="0"/>
              <w:bidi w:val="0"/>
              <w:adjustRightInd w:val="0"/>
              <w:snapToGrid w:val="0"/>
              <w:spacing w:line="360" w:lineRule="auto"/>
              <w:ind w:leftChars="220" w:right="42" w:rightChars="2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跌水</w:t>
            </w:r>
          </w:p>
          <w:p w14:paraId="4920046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rPr>
              <w:t>跌水的缺口采用矩形无坎缺口，跌口宽度为1.0-1.5m，跌水胸墙高度为2.0-4.0m，底板采用现浇钢筋混凝土浇筑，砼指标：C35、F250、W6。跌水墙采用重力式跌墙，跌墙采用现浇混凝土浇筑，砼指标：C35、F250、W6。消力池的长度为5.0m，宽度为1.0m，深度为0.5m，消力池的底板及侧墙采用现浇混凝土浇筑，砼指标：C35、F250、W6。</w:t>
            </w:r>
            <w:r>
              <w:rPr>
                <w:rFonts w:hint="default" w:ascii="Times New Roman" w:hAnsi="Times New Roman" w:eastAsia="宋体" w:cs="Times New Roman"/>
                <w:color w:val="auto"/>
                <w:kern w:val="0"/>
                <w:sz w:val="24"/>
                <w:szCs w:val="24"/>
                <w:highlight w:val="none"/>
                <w:lang w:val="en-US" w:eastAsia="zh-CN"/>
              </w:rPr>
              <w:t>上下游连接段采用C</w:t>
            </w:r>
            <w:r>
              <w:rPr>
                <w:rFonts w:hint="eastAsia" w:ascii="Times New Roman" w:hAnsi="Times New Roman" w:eastAsia="宋体" w:cs="Times New Roman"/>
                <w:color w:val="auto"/>
                <w:kern w:val="0"/>
                <w:sz w:val="24"/>
                <w:szCs w:val="24"/>
                <w:highlight w:val="none"/>
                <w:lang w:val="en-US" w:eastAsia="zh-CN"/>
              </w:rPr>
              <w:t>35现浇混凝土浇筑</w:t>
            </w:r>
            <w:r>
              <w:rPr>
                <w:rFonts w:hint="default" w:ascii="Times New Roman" w:hAnsi="Times New Roman" w:eastAsia="宋体"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消力池、挡土墙底部均换填50cm砂砾石垫层，砂砾石垫层压实指标Dr≥0.75。为防止发生冻胀破坏，跌水消力池底板设直径100的PVC排水管。</w:t>
            </w:r>
          </w:p>
          <w:p w14:paraId="4272A7E8">
            <w:pPr>
              <w:keepNext w:val="0"/>
              <w:keepLines w:val="0"/>
              <w:pageBreakBefore w:val="0"/>
              <w:widowControl w:val="0"/>
              <w:numPr>
                <w:ilvl w:val="0"/>
                <w:numId w:val="3"/>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水资源配置</w:t>
            </w:r>
          </w:p>
          <w:p w14:paraId="71F67088">
            <w:pPr>
              <w:keepNext w:val="0"/>
              <w:keepLines w:val="0"/>
              <w:pageBreakBefore w:val="0"/>
              <w:widowControl w:val="0"/>
              <w:numPr>
                <w:ilvl w:val="1"/>
                <w:numId w:val="7"/>
              </w:numPr>
              <w:kinsoku/>
              <w:wordWrap/>
              <w:overflowPunct/>
              <w:topLinePunct w:val="0"/>
              <w:autoSpaceDE/>
              <w:autoSpaceDN/>
              <w:bidi w:val="0"/>
              <w:adjustRightInd/>
              <w:snapToGrid/>
              <w:spacing w:line="480" w:lineRule="exact"/>
              <w:ind w:left="0" w:leftChars="0" w:firstLine="400" w:firstLineChars="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bookmarkStart w:id="15" w:name="_Toc26292"/>
            <w:r>
              <w:rPr>
                <w:rFonts w:hint="default" w:ascii="Times New Roman" w:hAnsi="Times New Roman" w:cs="Times New Roman" w:eastAsiaTheme="minorEastAsia"/>
                <w:b w:val="0"/>
                <w:bCs w:val="0"/>
                <w:color w:val="auto"/>
                <w:spacing w:val="0"/>
                <w:sz w:val="24"/>
                <w:szCs w:val="24"/>
                <w:highlight w:val="none"/>
                <w:lang w:val="en-US" w:eastAsia="zh-CN"/>
              </w:rPr>
              <w:t>水资源平衡分析及引水量论证</w:t>
            </w:r>
          </w:p>
          <w:p w14:paraId="35EA3AF8">
            <w:pPr>
              <w:keepNext w:val="0"/>
              <w:keepLines w:val="0"/>
              <w:pageBreakBefore w:val="0"/>
              <w:widowControl w:val="0"/>
              <w:numPr>
                <w:ilvl w:val="2"/>
                <w:numId w:val="7"/>
              </w:numPr>
              <w:kinsoku/>
              <w:wordWrap/>
              <w:overflowPunct/>
              <w:topLinePunct w:val="0"/>
              <w:autoSpaceDE/>
              <w:autoSpaceDN/>
              <w:bidi w:val="0"/>
              <w:adjustRightInd/>
              <w:snapToGrid/>
              <w:spacing w:line="480" w:lineRule="exact"/>
              <w:ind w:left="0" w:leftChars="0" w:firstLine="402" w:firstLineChars="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现状水平年供需平衡分析</w:t>
            </w:r>
          </w:p>
          <w:p w14:paraId="76D429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现状水平年（2024年），</w:t>
            </w:r>
            <w:r>
              <w:rPr>
                <w:rFonts w:hint="eastAsia" w:ascii="Times New Roman" w:hAnsi="Times New Roman" w:cs="Times New Roman" w:eastAsiaTheme="minorEastAsia"/>
                <w:b w:val="0"/>
                <w:bCs w:val="0"/>
                <w:color w:val="auto"/>
                <w:spacing w:val="0"/>
                <w:sz w:val="24"/>
                <w:szCs w:val="24"/>
                <w:highlight w:val="none"/>
                <w:lang w:val="en-US" w:eastAsia="zh-CN"/>
              </w:rPr>
              <w:t>根据本项目设计资料核算，碧流河</w:t>
            </w:r>
            <w:r>
              <w:rPr>
                <w:rFonts w:hint="eastAsia" w:cs="Times New Roman" w:eastAsiaTheme="minorEastAsia"/>
                <w:b w:val="0"/>
                <w:bCs w:val="0"/>
                <w:color w:val="auto"/>
                <w:spacing w:val="0"/>
                <w:sz w:val="24"/>
                <w:szCs w:val="24"/>
                <w:highlight w:val="none"/>
                <w:lang w:val="en-US" w:eastAsia="zh-CN"/>
              </w:rPr>
              <w:t>灌区</w:t>
            </w:r>
            <w:r>
              <w:rPr>
                <w:rFonts w:hint="default" w:ascii="Times New Roman" w:hAnsi="Times New Roman" w:cs="Times New Roman" w:eastAsiaTheme="minorEastAsia"/>
                <w:b w:val="0"/>
                <w:bCs w:val="0"/>
                <w:color w:val="auto"/>
                <w:spacing w:val="0"/>
                <w:sz w:val="24"/>
                <w:szCs w:val="24"/>
                <w:highlight w:val="none"/>
                <w:lang w:val="en-US" w:eastAsia="zh-CN"/>
              </w:rPr>
              <w:t>地表水可供水量为</w:t>
            </w:r>
            <w:r>
              <w:rPr>
                <w:rFonts w:hint="eastAsia" w:ascii="Times New Roman" w:hAnsi="Times New Roman" w:cs="Times New Roman" w:eastAsiaTheme="minorEastAsia"/>
                <w:b w:val="0"/>
                <w:bCs w:val="0"/>
                <w:color w:val="auto"/>
                <w:spacing w:val="0"/>
                <w:sz w:val="24"/>
                <w:szCs w:val="24"/>
                <w:highlight w:val="none"/>
                <w:lang w:val="en-US" w:eastAsia="zh-CN"/>
              </w:rPr>
              <w:t>5320.58</w:t>
            </w:r>
            <w:r>
              <w:rPr>
                <w:rFonts w:hint="default" w:ascii="Times New Roman" w:hAnsi="Times New Roman" w:cs="Times New Roman" w:eastAsiaTheme="minorEastAsia"/>
                <w:b w:val="0"/>
                <w:bCs w:val="0"/>
                <w:color w:val="auto"/>
                <w:spacing w:val="0"/>
                <w:sz w:val="24"/>
                <w:szCs w:val="24"/>
                <w:highlight w:val="none"/>
                <w:lang w:val="en-US" w:eastAsia="zh-CN"/>
              </w:rPr>
              <w:t>万m³，地下水可供水量为</w:t>
            </w:r>
            <w:r>
              <w:rPr>
                <w:rFonts w:hint="eastAsia" w:ascii="Times New Roman" w:hAnsi="Times New Roman" w:cs="Times New Roman" w:eastAsiaTheme="minorEastAsia"/>
                <w:b w:val="0"/>
                <w:bCs w:val="0"/>
                <w:color w:val="auto"/>
                <w:spacing w:val="0"/>
                <w:sz w:val="24"/>
                <w:szCs w:val="24"/>
                <w:highlight w:val="none"/>
                <w:lang w:val="en-US" w:eastAsia="zh-CN"/>
              </w:rPr>
              <w:t>779</w:t>
            </w:r>
            <w:r>
              <w:rPr>
                <w:rFonts w:hint="default" w:ascii="Times New Roman" w:hAnsi="Times New Roman" w:cs="Times New Roman" w:eastAsiaTheme="minorEastAsia"/>
                <w:b w:val="0"/>
                <w:bCs w:val="0"/>
                <w:color w:val="auto"/>
                <w:spacing w:val="0"/>
                <w:sz w:val="24"/>
                <w:szCs w:val="24"/>
                <w:highlight w:val="none"/>
                <w:lang w:val="en-US" w:eastAsia="zh-CN"/>
              </w:rPr>
              <w:t>万m³，合计可供水量</w:t>
            </w:r>
            <w:r>
              <w:rPr>
                <w:rFonts w:hint="eastAsia" w:ascii="Times New Roman" w:hAnsi="Times New Roman" w:cs="Times New Roman" w:eastAsiaTheme="minorEastAsia"/>
                <w:b w:val="0"/>
                <w:bCs w:val="0"/>
                <w:color w:val="auto"/>
                <w:spacing w:val="0"/>
                <w:sz w:val="24"/>
                <w:szCs w:val="24"/>
                <w:highlight w:val="none"/>
                <w:lang w:val="en-US" w:eastAsia="zh-CN"/>
              </w:rPr>
              <w:t>6099.58</w:t>
            </w:r>
            <w:r>
              <w:rPr>
                <w:rFonts w:hint="default" w:ascii="Times New Roman" w:hAnsi="Times New Roman" w:cs="Times New Roman" w:eastAsiaTheme="minorEastAsia"/>
                <w:b w:val="0"/>
                <w:bCs w:val="0"/>
                <w:color w:val="auto"/>
                <w:spacing w:val="0"/>
                <w:sz w:val="24"/>
                <w:szCs w:val="24"/>
                <w:highlight w:val="none"/>
                <w:lang w:val="en-US" w:eastAsia="zh-CN"/>
              </w:rPr>
              <w:t>万m³。根据《昌吉州用水总量控制方案》及《关于印发奇台县2024年用水总量控制方案的通知》中碧流河灌区控制指标</w:t>
            </w:r>
            <w:r>
              <w:rPr>
                <w:rFonts w:hint="eastAsia" w:ascii="Times New Roman" w:hAnsi="Times New Roman" w:cs="Times New Roman" w:eastAsiaTheme="minorEastAsia"/>
                <w:b w:val="0"/>
                <w:bCs w:val="0"/>
                <w:color w:val="auto"/>
                <w:spacing w:val="0"/>
                <w:sz w:val="24"/>
                <w:szCs w:val="24"/>
                <w:highlight w:val="none"/>
                <w:lang w:val="en-US" w:eastAsia="zh-CN"/>
              </w:rPr>
              <w:t>，现状水平年碧流河</w:t>
            </w:r>
            <w:r>
              <w:rPr>
                <w:rFonts w:hint="eastAsia" w:cs="Times New Roman" w:eastAsiaTheme="minorEastAsia"/>
                <w:b w:val="0"/>
                <w:bCs w:val="0"/>
                <w:color w:val="auto"/>
                <w:spacing w:val="0"/>
                <w:sz w:val="24"/>
                <w:szCs w:val="24"/>
                <w:highlight w:val="none"/>
                <w:lang w:val="en-US" w:eastAsia="zh-CN"/>
              </w:rPr>
              <w:t>灌区</w:t>
            </w:r>
            <w:r>
              <w:rPr>
                <w:rFonts w:hint="eastAsia" w:ascii="Times New Roman" w:hAnsi="Times New Roman" w:cs="Times New Roman" w:eastAsiaTheme="minorEastAsia"/>
                <w:b w:val="0"/>
                <w:bCs w:val="0"/>
                <w:color w:val="auto"/>
                <w:spacing w:val="0"/>
                <w:sz w:val="24"/>
                <w:szCs w:val="24"/>
                <w:highlight w:val="none"/>
                <w:lang w:val="en-US" w:eastAsia="zh-CN"/>
              </w:rPr>
              <w:t>用水总量控制指标为5923</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，其中地表水用水总量控制指标5191</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，地下水用水总量控制指标为732</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现状需水量包括农业灌溉、生活及生态用水，其中农业灌溉需水量</w:t>
            </w:r>
            <w:r>
              <w:rPr>
                <w:rFonts w:hint="eastAsia" w:ascii="Times New Roman" w:hAnsi="Times New Roman" w:cs="Times New Roman" w:eastAsiaTheme="minorEastAsia"/>
                <w:b w:val="0"/>
                <w:bCs w:val="0"/>
                <w:color w:val="auto"/>
                <w:spacing w:val="0"/>
                <w:sz w:val="24"/>
                <w:szCs w:val="24"/>
                <w:highlight w:val="none"/>
                <w:lang w:val="en-US" w:eastAsia="zh-CN"/>
              </w:rPr>
              <w:t>5705.86</w:t>
            </w:r>
            <w:r>
              <w:rPr>
                <w:rFonts w:hint="default" w:ascii="Times New Roman" w:hAnsi="Times New Roman" w:cs="Times New Roman" w:eastAsiaTheme="minorEastAsia"/>
                <w:b w:val="0"/>
                <w:bCs w:val="0"/>
                <w:color w:val="auto"/>
                <w:spacing w:val="0"/>
                <w:sz w:val="24"/>
                <w:szCs w:val="24"/>
                <w:highlight w:val="none"/>
                <w:lang w:val="en-US" w:eastAsia="zh-CN"/>
              </w:rPr>
              <w:t>万m³，生活</w:t>
            </w:r>
            <w:r>
              <w:rPr>
                <w:rFonts w:hint="eastAsia" w:ascii="Times New Roman" w:hAnsi="Times New Roman" w:cs="Times New Roman" w:eastAsiaTheme="minorEastAsia"/>
                <w:b w:val="0"/>
                <w:bCs w:val="0"/>
                <w:color w:val="auto"/>
                <w:spacing w:val="0"/>
                <w:sz w:val="24"/>
                <w:szCs w:val="24"/>
                <w:highlight w:val="none"/>
                <w:lang w:val="en-US" w:eastAsia="zh-CN"/>
              </w:rPr>
              <w:t>及生态</w:t>
            </w:r>
            <w:r>
              <w:rPr>
                <w:rFonts w:hint="default" w:ascii="Times New Roman" w:hAnsi="Times New Roman" w:cs="Times New Roman" w:eastAsiaTheme="minorEastAsia"/>
                <w:b w:val="0"/>
                <w:bCs w:val="0"/>
                <w:color w:val="auto"/>
                <w:spacing w:val="0"/>
                <w:sz w:val="24"/>
                <w:szCs w:val="24"/>
                <w:highlight w:val="none"/>
                <w:lang w:val="en-US" w:eastAsia="zh-CN"/>
              </w:rPr>
              <w:t>需水量</w:t>
            </w:r>
            <w:r>
              <w:rPr>
                <w:rFonts w:hint="eastAsia" w:ascii="Times New Roman" w:hAnsi="Times New Roman" w:cs="Times New Roman" w:eastAsiaTheme="minorEastAsia"/>
                <w:b w:val="0"/>
                <w:bCs w:val="0"/>
                <w:color w:val="auto"/>
                <w:spacing w:val="0"/>
                <w:sz w:val="24"/>
                <w:szCs w:val="24"/>
                <w:highlight w:val="none"/>
                <w:lang w:val="en-US" w:eastAsia="zh-CN"/>
              </w:rPr>
              <w:t>408.72</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工业</w:t>
            </w:r>
            <w:r>
              <w:rPr>
                <w:rFonts w:hint="default" w:ascii="Times New Roman" w:hAnsi="Times New Roman" w:cs="Times New Roman" w:eastAsiaTheme="minorEastAsia"/>
                <w:b w:val="0"/>
                <w:bCs w:val="0"/>
                <w:color w:val="auto"/>
                <w:spacing w:val="0"/>
                <w:sz w:val="24"/>
                <w:szCs w:val="24"/>
                <w:highlight w:val="none"/>
                <w:lang w:val="en-US" w:eastAsia="zh-CN"/>
              </w:rPr>
              <w:t>需水量</w:t>
            </w:r>
            <w:r>
              <w:rPr>
                <w:rFonts w:hint="eastAsia" w:ascii="Times New Roman" w:hAnsi="Times New Roman" w:cs="Times New Roman" w:eastAsiaTheme="minorEastAsia"/>
                <w:b w:val="0"/>
                <w:bCs w:val="0"/>
                <w:color w:val="auto"/>
                <w:spacing w:val="0"/>
                <w:sz w:val="24"/>
                <w:szCs w:val="24"/>
                <w:highlight w:val="none"/>
                <w:lang w:val="en-US" w:eastAsia="zh-CN"/>
              </w:rPr>
              <w:t>3.94</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畜牧业需水量14.79</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总需水量</w:t>
            </w:r>
            <w:r>
              <w:rPr>
                <w:rFonts w:hint="eastAsia" w:ascii="Times New Roman" w:hAnsi="Times New Roman" w:cs="Times New Roman" w:eastAsiaTheme="minorEastAsia"/>
                <w:b w:val="0"/>
                <w:bCs w:val="0"/>
                <w:color w:val="auto"/>
                <w:spacing w:val="0"/>
                <w:sz w:val="24"/>
                <w:szCs w:val="24"/>
                <w:highlight w:val="none"/>
                <w:lang w:val="en-US" w:eastAsia="zh-CN"/>
              </w:rPr>
              <w:t>6133.31</w:t>
            </w:r>
            <w:r>
              <w:rPr>
                <w:rFonts w:hint="default" w:ascii="Times New Roman" w:hAnsi="Times New Roman" w:cs="Times New Roman" w:eastAsiaTheme="minorEastAsia"/>
                <w:b w:val="0"/>
                <w:bCs w:val="0"/>
                <w:color w:val="auto"/>
                <w:spacing w:val="0"/>
                <w:sz w:val="24"/>
                <w:szCs w:val="24"/>
                <w:highlight w:val="none"/>
                <w:lang w:val="en-US" w:eastAsia="zh-CN"/>
              </w:rPr>
              <w:t>万m³。供需平衡结果显示，现状年缺水</w:t>
            </w:r>
            <w:r>
              <w:rPr>
                <w:rFonts w:hint="eastAsia" w:ascii="Times New Roman" w:hAnsi="Times New Roman" w:cs="Times New Roman" w:eastAsiaTheme="minorEastAsia"/>
                <w:b w:val="0"/>
                <w:bCs w:val="0"/>
                <w:color w:val="auto"/>
                <w:spacing w:val="0"/>
                <w:sz w:val="24"/>
                <w:szCs w:val="24"/>
                <w:highlight w:val="none"/>
                <w:lang w:val="en-US" w:eastAsia="zh-CN"/>
              </w:rPr>
              <w:t>210.31</w:t>
            </w:r>
            <w:r>
              <w:rPr>
                <w:rFonts w:hint="default" w:ascii="Times New Roman" w:hAnsi="Times New Roman" w:cs="Times New Roman" w:eastAsiaTheme="minorEastAsia"/>
                <w:b w:val="0"/>
                <w:bCs w:val="0"/>
                <w:color w:val="auto"/>
                <w:spacing w:val="0"/>
                <w:sz w:val="24"/>
                <w:szCs w:val="24"/>
                <w:highlight w:val="none"/>
                <w:lang w:val="en-US" w:eastAsia="zh-CN"/>
              </w:rPr>
              <w:t>万m³，灌区水资源供需矛盾突出，渠道渗漏严重、用水效率偏低，农业灌溉用水紧张，用水保障不足。</w:t>
            </w:r>
          </w:p>
          <w:p w14:paraId="3868A918">
            <w:pPr>
              <w:keepNext w:val="0"/>
              <w:keepLines w:val="0"/>
              <w:pageBreakBefore w:val="0"/>
              <w:widowControl w:val="0"/>
              <w:numPr>
                <w:ilvl w:val="2"/>
                <w:numId w:val="7"/>
              </w:numPr>
              <w:kinsoku/>
              <w:wordWrap/>
              <w:overflowPunct/>
              <w:topLinePunct w:val="0"/>
              <w:autoSpaceDE/>
              <w:autoSpaceDN/>
              <w:bidi w:val="0"/>
              <w:adjustRightInd/>
              <w:snapToGrid/>
              <w:spacing w:line="480" w:lineRule="exact"/>
              <w:ind w:left="0" w:leftChars="0" w:firstLine="402" w:firstLineChars="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规划水平年供需平衡分析</w:t>
            </w:r>
          </w:p>
          <w:p w14:paraId="2DE69D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规划水平年（2030年），</w:t>
            </w:r>
            <w:r>
              <w:rPr>
                <w:rFonts w:hint="eastAsia" w:ascii="Times New Roman" w:hAnsi="Times New Roman" w:cs="Times New Roman" w:eastAsiaTheme="minorEastAsia"/>
                <w:b w:val="0"/>
                <w:bCs w:val="0"/>
                <w:color w:val="auto"/>
                <w:spacing w:val="0"/>
                <w:sz w:val="24"/>
                <w:szCs w:val="24"/>
                <w:highlight w:val="none"/>
                <w:lang w:val="en-US" w:eastAsia="zh-CN"/>
              </w:rPr>
              <w:t>在现状情况下可供水总量无变化为6099.58</w:t>
            </w:r>
            <w:r>
              <w:rPr>
                <w:rFonts w:hint="default" w:ascii="Times New Roman" w:hAnsi="Times New Roman" w:cs="Times New Roman" w:eastAsiaTheme="minorEastAsia"/>
                <w:b w:val="0"/>
                <w:bCs w:val="0"/>
                <w:color w:val="auto"/>
                <w:spacing w:val="0"/>
                <w:sz w:val="24"/>
                <w:szCs w:val="24"/>
                <w:highlight w:val="none"/>
                <w:lang w:val="en-US" w:eastAsia="zh-CN"/>
              </w:rPr>
              <w:t>万m³。根据《昌吉州用水总量控制方案》及《关于印发奇台县2024年用水总量控制方案的通知》中碧流河灌区</w:t>
            </w:r>
            <w:r>
              <w:rPr>
                <w:rFonts w:hint="eastAsia" w:ascii="Times New Roman" w:hAnsi="Times New Roman" w:cs="Times New Roman" w:eastAsiaTheme="minorEastAsia"/>
                <w:b w:val="0"/>
                <w:bCs w:val="0"/>
                <w:color w:val="auto"/>
                <w:spacing w:val="0"/>
                <w:sz w:val="24"/>
                <w:szCs w:val="24"/>
                <w:highlight w:val="none"/>
                <w:lang w:val="en-US" w:eastAsia="zh-CN"/>
              </w:rPr>
              <w:t>规划水平年用水总量控制指标为5804</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，其中地表水用水总量控制指标5113</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，地下水用水总量控制指标为691</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规划年需水量中，农业灌溉需水量</w:t>
            </w:r>
            <w:r>
              <w:rPr>
                <w:rFonts w:hint="eastAsia" w:ascii="Times New Roman" w:hAnsi="Times New Roman" w:cs="Times New Roman" w:eastAsiaTheme="minorEastAsia"/>
                <w:b w:val="0"/>
                <w:bCs w:val="0"/>
                <w:color w:val="auto"/>
                <w:spacing w:val="0"/>
                <w:sz w:val="24"/>
                <w:szCs w:val="24"/>
                <w:highlight w:val="none"/>
                <w:lang w:val="en-US" w:eastAsia="zh-CN"/>
              </w:rPr>
              <w:t>5224.84</w:t>
            </w:r>
            <w:r>
              <w:rPr>
                <w:rFonts w:hint="default" w:ascii="Times New Roman" w:hAnsi="Times New Roman" w:cs="Times New Roman" w:eastAsiaTheme="minorEastAsia"/>
                <w:b w:val="0"/>
                <w:bCs w:val="0"/>
                <w:color w:val="auto"/>
                <w:spacing w:val="0"/>
                <w:sz w:val="24"/>
                <w:szCs w:val="24"/>
                <w:highlight w:val="none"/>
                <w:lang w:val="en-US" w:eastAsia="zh-CN"/>
              </w:rPr>
              <w:t>万m³，生活</w:t>
            </w:r>
            <w:r>
              <w:rPr>
                <w:rFonts w:hint="eastAsia" w:ascii="Times New Roman" w:hAnsi="Times New Roman" w:cs="Times New Roman" w:eastAsiaTheme="minorEastAsia"/>
                <w:b w:val="0"/>
                <w:bCs w:val="0"/>
                <w:color w:val="auto"/>
                <w:spacing w:val="0"/>
                <w:sz w:val="24"/>
                <w:szCs w:val="24"/>
                <w:highlight w:val="none"/>
                <w:lang w:val="en-US" w:eastAsia="zh-CN"/>
              </w:rPr>
              <w:t>及生态</w:t>
            </w:r>
            <w:r>
              <w:rPr>
                <w:rFonts w:hint="default" w:ascii="Times New Roman" w:hAnsi="Times New Roman" w:cs="Times New Roman" w:eastAsiaTheme="minorEastAsia"/>
                <w:b w:val="0"/>
                <w:bCs w:val="0"/>
                <w:color w:val="auto"/>
                <w:spacing w:val="0"/>
                <w:sz w:val="24"/>
                <w:szCs w:val="24"/>
                <w:highlight w:val="none"/>
                <w:lang w:val="en-US" w:eastAsia="zh-CN"/>
              </w:rPr>
              <w:t>需水量</w:t>
            </w:r>
            <w:r>
              <w:rPr>
                <w:rFonts w:hint="eastAsia" w:ascii="Times New Roman" w:hAnsi="Times New Roman" w:cs="Times New Roman" w:eastAsiaTheme="minorEastAsia"/>
                <w:b w:val="0"/>
                <w:bCs w:val="0"/>
                <w:color w:val="auto"/>
                <w:spacing w:val="0"/>
                <w:sz w:val="24"/>
                <w:szCs w:val="24"/>
                <w:highlight w:val="none"/>
                <w:lang w:val="en-US" w:eastAsia="zh-CN"/>
              </w:rPr>
              <w:t>532.74</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工业</w:t>
            </w:r>
            <w:r>
              <w:rPr>
                <w:rFonts w:hint="default" w:ascii="Times New Roman" w:hAnsi="Times New Roman" w:cs="Times New Roman" w:eastAsiaTheme="minorEastAsia"/>
                <w:b w:val="0"/>
                <w:bCs w:val="0"/>
                <w:color w:val="auto"/>
                <w:spacing w:val="0"/>
                <w:sz w:val="24"/>
                <w:szCs w:val="24"/>
                <w:highlight w:val="none"/>
                <w:lang w:val="en-US" w:eastAsia="zh-CN"/>
              </w:rPr>
              <w:t>需水量</w:t>
            </w:r>
            <w:r>
              <w:rPr>
                <w:rFonts w:hint="eastAsia" w:ascii="Times New Roman" w:hAnsi="Times New Roman" w:cs="Times New Roman" w:eastAsiaTheme="minorEastAsia"/>
                <w:b w:val="0"/>
                <w:bCs w:val="0"/>
                <w:color w:val="auto"/>
                <w:spacing w:val="0"/>
                <w:sz w:val="24"/>
                <w:szCs w:val="24"/>
                <w:highlight w:val="none"/>
                <w:lang w:val="en-US" w:eastAsia="zh-CN"/>
              </w:rPr>
              <w:t>6.19</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畜牧业需水量16.27</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总需水量</w:t>
            </w:r>
            <w:r>
              <w:rPr>
                <w:rFonts w:hint="eastAsia" w:ascii="Times New Roman" w:hAnsi="Times New Roman" w:cs="Times New Roman" w:eastAsiaTheme="minorEastAsia"/>
                <w:b w:val="0"/>
                <w:bCs w:val="0"/>
                <w:color w:val="auto"/>
                <w:spacing w:val="0"/>
                <w:sz w:val="24"/>
                <w:szCs w:val="24"/>
                <w:highlight w:val="none"/>
                <w:lang w:val="en-US" w:eastAsia="zh-CN"/>
              </w:rPr>
              <w:t>5780.04</w:t>
            </w:r>
            <w:r>
              <w:rPr>
                <w:rFonts w:hint="default" w:ascii="Times New Roman" w:hAnsi="Times New Roman" w:cs="Times New Roman" w:eastAsiaTheme="minorEastAsia"/>
                <w:b w:val="0"/>
                <w:bCs w:val="0"/>
                <w:color w:val="auto"/>
                <w:spacing w:val="0"/>
                <w:sz w:val="24"/>
                <w:szCs w:val="24"/>
                <w:highlight w:val="none"/>
                <w:lang w:val="en-US" w:eastAsia="zh-CN"/>
              </w:rPr>
              <w:t>万m³。供需平衡结果显示，</w:t>
            </w:r>
            <w:r>
              <w:rPr>
                <w:rFonts w:hint="eastAsia" w:ascii="Times New Roman" w:hAnsi="Times New Roman" w:cs="Times New Roman" w:eastAsiaTheme="minorEastAsia"/>
                <w:b w:val="0"/>
                <w:bCs w:val="0"/>
                <w:color w:val="auto"/>
                <w:spacing w:val="0"/>
                <w:sz w:val="24"/>
                <w:szCs w:val="24"/>
                <w:highlight w:val="none"/>
                <w:lang w:val="en-US" w:eastAsia="zh-CN"/>
              </w:rPr>
              <w:t>规划水平年用水总量控制指标大于需水量23.96</w:t>
            </w:r>
            <w:r>
              <w:rPr>
                <w:rFonts w:hint="default" w:ascii="Times New Roman" w:hAnsi="Times New Roman" w:cs="Times New Roman" w:eastAsiaTheme="minorEastAsia"/>
                <w:b w:val="0"/>
                <w:bCs w:val="0"/>
                <w:color w:val="auto"/>
                <w:spacing w:val="0"/>
                <w:sz w:val="24"/>
                <w:szCs w:val="24"/>
                <w:highlight w:val="none"/>
                <w:lang w:val="en-US" w:eastAsia="zh-CN"/>
              </w:rPr>
              <w:t>万m³。</w:t>
            </w:r>
            <w:r>
              <w:rPr>
                <w:rFonts w:hint="eastAsia" w:ascii="Times New Roman" w:hAnsi="Times New Roman" w:cs="Times New Roman" w:eastAsiaTheme="minorEastAsia"/>
                <w:b w:val="0"/>
                <w:bCs w:val="0"/>
                <w:color w:val="auto"/>
                <w:spacing w:val="0"/>
                <w:sz w:val="24"/>
                <w:szCs w:val="24"/>
                <w:highlight w:val="none"/>
                <w:lang w:val="en-US" w:eastAsia="zh-CN"/>
              </w:rPr>
              <w:t>规划水平年设计碧流河灌区各项节水改造工程建设完毕，发挥效益，有效改善灌区内水资源利用效率，从而改善灌区缺水问题。</w:t>
            </w:r>
          </w:p>
          <w:p w14:paraId="2F48774B">
            <w:pPr>
              <w:keepNext w:val="0"/>
              <w:keepLines w:val="0"/>
              <w:pageBreakBefore w:val="0"/>
              <w:widowControl w:val="0"/>
              <w:numPr>
                <w:ilvl w:val="2"/>
                <w:numId w:val="7"/>
              </w:numPr>
              <w:kinsoku/>
              <w:wordWrap/>
              <w:overflowPunct/>
              <w:topLinePunct w:val="0"/>
              <w:autoSpaceDE/>
              <w:autoSpaceDN/>
              <w:bidi w:val="0"/>
              <w:adjustRightInd/>
              <w:snapToGrid/>
              <w:spacing w:line="480" w:lineRule="exact"/>
              <w:ind w:left="0" w:leftChars="0" w:firstLine="402" w:firstLineChars="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引水量论证</w:t>
            </w:r>
          </w:p>
          <w:p w14:paraId="15DCBB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本项目为老干渠提升改造工程，不新增引水量、不新增取水指标，属于灌区内部节水增效、水量优化配置工程。项目取水来源为</w:t>
            </w:r>
            <w:r>
              <w:rPr>
                <w:rFonts w:hint="eastAsia" w:ascii="Times New Roman" w:hAnsi="Times New Roman" w:cs="Times New Roman" w:eastAsiaTheme="minorEastAsia"/>
                <w:b w:val="0"/>
                <w:bCs w:val="0"/>
                <w:color w:val="auto"/>
                <w:spacing w:val="0"/>
                <w:sz w:val="24"/>
                <w:szCs w:val="24"/>
                <w:highlight w:val="none"/>
                <w:lang w:val="en-US" w:eastAsia="zh-CN"/>
              </w:rPr>
              <w:t>碧流河</w:t>
            </w:r>
            <w:r>
              <w:rPr>
                <w:rFonts w:hint="default" w:ascii="Times New Roman" w:hAnsi="Times New Roman" w:cs="Times New Roman" w:eastAsiaTheme="minorEastAsia"/>
                <w:b w:val="0"/>
                <w:bCs w:val="0"/>
                <w:color w:val="auto"/>
                <w:spacing w:val="0"/>
                <w:sz w:val="24"/>
                <w:szCs w:val="24"/>
                <w:highlight w:val="none"/>
                <w:lang w:val="en-US" w:eastAsia="zh-CN"/>
              </w:rPr>
              <w:t>现状地表水分配额度，依托现有渠首取水，不新增地表水、地下水开采，取水总量严格控制在奇台县“三条红线”用水指标范围内，未突破区域用水总量控制要求。改造后，渠道防渗能力提升，输水效率提高，实现水量内部调剂，净供水能力显著提升，有效缓解灌区缺水压力。</w:t>
            </w:r>
          </w:p>
          <w:p w14:paraId="67BE92E7">
            <w:pPr>
              <w:keepNext w:val="0"/>
              <w:keepLines w:val="0"/>
              <w:pageBreakBefore w:val="0"/>
              <w:widowControl w:val="0"/>
              <w:numPr>
                <w:ilvl w:val="2"/>
                <w:numId w:val="7"/>
              </w:numPr>
              <w:kinsoku/>
              <w:wordWrap/>
              <w:overflowPunct/>
              <w:topLinePunct w:val="0"/>
              <w:autoSpaceDE/>
              <w:autoSpaceDN/>
              <w:bidi w:val="0"/>
              <w:adjustRightInd/>
              <w:snapToGrid/>
              <w:spacing w:line="480" w:lineRule="exact"/>
              <w:ind w:left="0" w:leftChars="0" w:firstLine="402" w:firstLineChars="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引水量环境影响识别与预测</w:t>
            </w:r>
          </w:p>
          <w:p w14:paraId="48970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本项目引水量依托现有取水体系，不改变</w:t>
            </w:r>
            <w:r>
              <w:rPr>
                <w:rFonts w:hint="eastAsia" w:ascii="Times New Roman" w:hAnsi="Times New Roman" w:cs="Times New Roman" w:eastAsiaTheme="minorEastAsia"/>
                <w:b w:val="0"/>
                <w:bCs w:val="0"/>
                <w:color w:val="auto"/>
                <w:spacing w:val="0"/>
                <w:sz w:val="24"/>
                <w:szCs w:val="24"/>
                <w:highlight w:val="none"/>
                <w:lang w:val="en-US" w:eastAsia="zh-CN"/>
              </w:rPr>
              <w:t>碧流河</w:t>
            </w:r>
            <w:r>
              <w:rPr>
                <w:rFonts w:hint="default" w:ascii="Times New Roman" w:hAnsi="Times New Roman" w:cs="Times New Roman" w:eastAsiaTheme="minorEastAsia"/>
                <w:b w:val="0"/>
                <w:bCs w:val="0"/>
                <w:color w:val="auto"/>
                <w:spacing w:val="0"/>
                <w:sz w:val="24"/>
                <w:szCs w:val="24"/>
                <w:highlight w:val="none"/>
                <w:lang w:val="en-US" w:eastAsia="zh-CN"/>
              </w:rPr>
              <w:t>干流径流情势，不挤占河道生态基流，对河道水文、水质无不利影响。渠道防渗改造后，沿渠渗漏减少，区域地下水位小幅下降，可有效减轻局部土壤次生盐渍化风险，对土壤及绿洲生态呈正向改善作用。工程施工及运行期无新增排污行为，不改变区域水环境质量，地下水、土壤、生态影响均可控，无不可逆不利影响。</w:t>
            </w:r>
          </w:p>
          <w:p w14:paraId="60B84416">
            <w:pPr>
              <w:keepNext w:val="0"/>
              <w:keepLines w:val="0"/>
              <w:pageBreakBefore w:val="0"/>
              <w:widowControl w:val="0"/>
              <w:numPr>
                <w:ilvl w:val="2"/>
                <w:numId w:val="7"/>
              </w:numPr>
              <w:kinsoku/>
              <w:wordWrap/>
              <w:overflowPunct/>
              <w:topLinePunct w:val="0"/>
              <w:autoSpaceDE/>
              <w:autoSpaceDN/>
              <w:bidi w:val="0"/>
              <w:adjustRightInd/>
              <w:snapToGrid/>
              <w:spacing w:line="480" w:lineRule="exact"/>
              <w:ind w:left="0" w:leftChars="0" w:firstLine="402" w:firstLineChars="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水资源配置结论与环保措施</w:t>
            </w:r>
          </w:p>
          <w:p w14:paraId="1B008E3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综上，本项目水资源配置合理，不新增引水量、不突破用水红线，通过节水改造优化水量配置，缓解灌区水资源短缺矛盾，改善区域生态环境，引水量产生的环境影响可控且以正向效益为主。为进一步降低环境影响，需严格落实用水总量控制，保障河道生态基流；定期监测地下水水位、水质及土壤盐分；实施渠道沿线植被恢复与防护林补植；推广高效节水技术，优化种植结构；施工期废水回用、不外排，严禁新增地下水开采。</w:t>
            </w:r>
          </w:p>
          <w:bookmarkEnd w:id="15"/>
          <w:p w14:paraId="378B24CC">
            <w:pPr>
              <w:keepNext w:val="0"/>
              <w:keepLines w:val="0"/>
              <w:pageBreakBefore w:val="0"/>
              <w:widowControl w:val="0"/>
              <w:numPr>
                <w:ilvl w:val="0"/>
                <w:numId w:val="3"/>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en-US"/>
              </w:rPr>
            </w:pPr>
            <w:r>
              <w:rPr>
                <w:rFonts w:hint="eastAsia" w:cs="Times New Roman"/>
                <w:b/>
                <w:bCs/>
                <w:color w:val="auto"/>
                <w:kern w:val="0"/>
                <w:sz w:val="24"/>
                <w:szCs w:val="24"/>
                <w:highlight w:val="none"/>
                <w:lang w:val="en-US" w:eastAsia="zh-CN"/>
              </w:rPr>
              <w:t>移民安置与拆迁</w:t>
            </w:r>
          </w:p>
          <w:p w14:paraId="34962E9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42" w:leftChars="20" w:right="42" w:rightChars="20" w:firstLine="480" w:firstLineChars="200"/>
              <w:textAlignment w:val="auto"/>
              <w:rPr>
                <w:rFonts w:hint="default" w:ascii="Times New Roman" w:hAnsi="Times New Roman" w:cs="Times New Roman"/>
                <w:color w:val="auto"/>
                <w:sz w:val="24"/>
              </w:rPr>
            </w:pPr>
            <w:r>
              <w:rPr>
                <w:rFonts w:hint="default" w:ascii="Times New Roman" w:hAnsi="Times New Roman" w:eastAsia="宋体" w:cs="Times New Roman"/>
                <w:color w:val="auto"/>
                <w:kern w:val="0"/>
                <w:sz w:val="24"/>
                <w:szCs w:val="24"/>
                <w:highlight w:val="none"/>
                <w:lang w:val="en-US" w:eastAsia="zh-CN"/>
              </w:rPr>
              <w:t>经现场实地调查，本项目不涉及征地拆迁、移民安置，无搬迁人口。</w:t>
            </w:r>
          </w:p>
        </w:tc>
      </w:tr>
      <w:tr w14:paraId="38319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9" w:hRule="atLeast"/>
          <w:jc w:val="center"/>
        </w:trPr>
        <w:tc>
          <w:tcPr>
            <w:tcW w:w="248" w:type="pct"/>
            <w:noWrap w:val="0"/>
            <w:vAlign w:val="center"/>
          </w:tcPr>
          <w:p w14:paraId="0888BEB2">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总平面及现场布置</w:t>
            </w:r>
          </w:p>
        </w:tc>
        <w:tc>
          <w:tcPr>
            <w:tcW w:w="4751" w:type="pct"/>
            <w:noWrap w:val="0"/>
            <w:vAlign w:val="center"/>
          </w:tcPr>
          <w:p w14:paraId="74697337">
            <w:pPr>
              <w:pStyle w:val="43"/>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项目位于奇台县</w:t>
            </w:r>
            <w:r>
              <w:rPr>
                <w:rFonts w:hint="eastAsia" w:ascii="Times New Roman" w:hAnsi="Times New Roman" w:cs="Times New Roman"/>
                <w:b w:val="0"/>
                <w:bCs w:val="0"/>
                <w:color w:val="auto"/>
                <w:sz w:val="24"/>
                <w:lang w:val="en-US" w:eastAsia="zh-CN"/>
              </w:rPr>
              <w:t>碧流河</w:t>
            </w:r>
            <w:r>
              <w:rPr>
                <w:rFonts w:hint="default" w:ascii="Times New Roman" w:hAnsi="Times New Roman" w:cs="Times New Roman"/>
                <w:b w:val="0"/>
                <w:bCs w:val="0"/>
                <w:color w:val="auto"/>
                <w:sz w:val="24"/>
                <w:lang w:val="en-US" w:eastAsia="zh-CN"/>
              </w:rPr>
              <w:t>镇，项目主体工程建设主要为渠道工程区建设和渠系建筑物建设。由于本工程是对灌区水利工程进行节水配套改造，灌区内渠、路林经过多年的建设，已形成网络，采用原渠线不仅</w:t>
            </w:r>
            <w:r>
              <w:rPr>
                <w:rFonts w:hint="eastAsia" w:ascii="Times New Roman" w:hAnsi="Times New Roman" w:cs="Times New Roman"/>
                <w:b w:val="0"/>
                <w:bCs w:val="0"/>
                <w:color w:val="auto"/>
                <w:sz w:val="24"/>
                <w:lang w:val="en-US" w:eastAsia="zh-CN"/>
              </w:rPr>
              <w:t>可以</w:t>
            </w:r>
            <w:r>
              <w:rPr>
                <w:rFonts w:hint="default" w:ascii="Times New Roman" w:hAnsi="Times New Roman" w:cs="Times New Roman"/>
                <w:b w:val="0"/>
                <w:bCs w:val="0"/>
                <w:color w:val="auto"/>
                <w:sz w:val="24"/>
                <w:lang w:val="en-US" w:eastAsia="zh-CN"/>
              </w:rPr>
              <w:t>最大程度</w:t>
            </w:r>
            <w:r>
              <w:rPr>
                <w:rFonts w:hint="eastAsia" w:ascii="Times New Roman" w:hAnsi="Times New Roman" w:cs="Times New Roman"/>
                <w:b w:val="0"/>
                <w:bCs w:val="0"/>
                <w:color w:val="auto"/>
                <w:sz w:val="24"/>
                <w:lang w:val="en-US" w:eastAsia="zh-CN"/>
              </w:rPr>
              <w:t>地</w:t>
            </w:r>
            <w:r>
              <w:rPr>
                <w:rFonts w:hint="default" w:ascii="Times New Roman" w:hAnsi="Times New Roman" w:cs="Times New Roman"/>
                <w:b w:val="0"/>
                <w:bCs w:val="0"/>
                <w:color w:val="auto"/>
                <w:sz w:val="24"/>
                <w:lang w:val="en-US" w:eastAsia="zh-CN"/>
              </w:rPr>
              <w:t>降低工程投资，而且还可不破坏现有条田林网建设。故本次灌区内</w:t>
            </w:r>
            <w:r>
              <w:rPr>
                <w:rFonts w:hint="eastAsia" w:ascii="Times New Roman" w:hAnsi="Times New Roman" w:cs="Times New Roman"/>
                <w:b w:val="0"/>
                <w:bCs w:val="0"/>
                <w:color w:val="auto"/>
                <w:sz w:val="24"/>
                <w:lang w:val="en-US" w:eastAsia="zh-CN"/>
              </w:rPr>
              <w:t>渠道</w:t>
            </w:r>
            <w:r>
              <w:rPr>
                <w:rFonts w:hint="default" w:ascii="Times New Roman" w:hAnsi="Times New Roman" w:cs="Times New Roman"/>
                <w:b w:val="0"/>
                <w:bCs w:val="0"/>
                <w:color w:val="auto"/>
                <w:sz w:val="24"/>
                <w:lang w:val="en-US" w:eastAsia="zh-CN"/>
              </w:rPr>
              <w:t>工程拟改造渠道采用原渠线，渠道也按原渠道进行布置。本次渠道工程在进行布置时，应充分利用地形和现有渠道，满足原灌区的灌溉引水水位和配水流量。渠道及其建筑物应运行安全、造价经济、方便节水、大方实用，并配备必要的管理措施；尽可能少占或不占耕地、草场及当地居民的生产生活用地；设置足够的方便当地农民生产生活用桥。渠线布置均采用原有渠线。工程布局和施工布置情况见附图。</w:t>
            </w:r>
          </w:p>
        </w:tc>
      </w:tr>
      <w:tr w14:paraId="4DB15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27" w:hRule="atLeast"/>
          <w:jc w:val="center"/>
        </w:trPr>
        <w:tc>
          <w:tcPr>
            <w:tcW w:w="248" w:type="pct"/>
            <w:noWrap w:val="0"/>
            <w:vAlign w:val="center"/>
          </w:tcPr>
          <w:p w14:paraId="7BE32768">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施工方案</w:t>
            </w:r>
          </w:p>
        </w:tc>
        <w:tc>
          <w:tcPr>
            <w:tcW w:w="4751" w:type="pct"/>
            <w:noWrap w:val="0"/>
            <w:vAlign w:val="center"/>
          </w:tcPr>
          <w:p w14:paraId="1EBF3CF8">
            <w:pPr>
              <w:keepNext w:val="0"/>
              <w:keepLines w:val="0"/>
              <w:pageBreakBefore w:val="0"/>
              <w:widowControl w:val="0"/>
              <w:numPr>
                <w:ilvl w:val="0"/>
                <w:numId w:val="8"/>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施工组织设计</w:t>
            </w:r>
          </w:p>
          <w:p w14:paraId="72EFEF43">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1.1施工条件</w:t>
            </w:r>
          </w:p>
          <w:p w14:paraId="76612293">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（1）天气条件</w:t>
            </w:r>
          </w:p>
          <w:p w14:paraId="6EF9024A">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流域多年平均气温4.3℃,极端最高气温35.2℃，极端最低气温-30.9℃。多年平均风速2.8m/s，多年平均最大风速19m/s。最大冻土深度136cm,最大冰厚85cm。多年平均年降水量473.6mm，多年平均蒸发量1250.5mm。</w:t>
            </w:r>
          </w:p>
          <w:p w14:paraId="44EDAF6B">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（2）对外交通条件</w:t>
            </w:r>
          </w:p>
          <w:p w14:paraId="120C622E">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工程项目所在地交通十分便利，灌区内均有柏油路面或砂石路面相通，交通方便；各公路均可通过乡村道路通达工程项目区。</w:t>
            </w:r>
          </w:p>
          <w:p w14:paraId="138ED8A7">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（3）建筑材料供应</w:t>
            </w:r>
          </w:p>
          <w:p w14:paraId="1919CEE1">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工程所需钢筋、钢材、水泥、木材、生活物资等材料主要</w:t>
            </w:r>
            <w:r>
              <w:rPr>
                <w:rFonts w:hint="eastAsia" w:cs="Times New Roman"/>
                <w:b w:val="0"/>
                <w:bCs w:val="0"/>
                <w:color w:val="auto"/>
                <w:sz w:val="24"/>
                <w:lang w:val="en-US" w:eastAsia="zh-CN"/>
              </w:rPr>
              <w:t>由</w:t>
            </w:r>
            <w:r>
              <w:rPr>
                <w:rFonts w:hint="default" w:ascii="Times New Roman" w:hAnsi="Times New Roman" w:cs="Times New Roman"/>
                <w:b w:val="0"/>
                <w:bCs w:val="0"/>
                <w:color w:val="auto"/>
                <w:sz w:val="24"/>
                <w:lang w:val="en-US" w:eastAsia="zh-CN"/>
              </w:rPr>
              <w:t>奇台县供应；木油料等就近从</w:t>
            </w:r>
            <w:r>
              <w:rPr>
                <w:rFonts w:hint="eastAsia" w:cs="Times New Roman"/>
                <w:b w:val="0"/>
                <w:bCs w:val="0"/>
                <w:color w:val="auto"/>
                <w:sz w:val="24"/>
                <w:lang w:val="en-US" w:eastAsia="zh-CN"/>
              </w:rPr>
              <w:t>碧流河</w:t>
            </w:r>
            <w:r>
              <w:rPr>
                <w:rFonts w:hint="default" w:ascii="Times New Roman" w:hAnsi="Times New Roman" w:cs="Times New Roman"/>
                <w:b w:val="0"/>
                <w:bCs w:val="0"/>
                <w:color w:val="auto"/>
                <w:sz w:val="24"/>
                <w:lang w:val="en-US" w:eastAsia="zh-CN"/>
              </w:rPr>
              <w:t>镇购买；在采购过程中选择有合法开采权的砂石料场，在购买砂石料时与卖方签订有关水土流失防治责任书，并明确水土流失防治由卖方承担防治责任，严禁随意开采。</w:t>
            </w:r>
          </w:p>
          <w:p w14:paraId="772657A5">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（4）供水及排水</w:t>
            </w:r>
          </w:p>
          <w:p w14:paraId="5498E0AC">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施工用水可从上级或附近渠道拉运至工地，施工单位沿线需修建临时蓄水池或准备拉水车辆。生活用水采用渠道所在乡村的机井水，水车拉运至项目区。</w:t>
            </w:r>
          </w:p>
          <w:p w14:paraId="45E49985">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施工人员</w:t>
            </w:r>
            <w:r>
              <w:rPr>
                <w:rFonts w:hint="eastAsia" w:cs="Times New Roman"/>
                <w:b w:val="0"/>
                <w:bCs w:val="0"/>
                <w:color w:val="auto"/>
                <w:sz w:val="24"/>
                <w:lang w:val="en-US" w:eastAsia="zh-CN"/>
              </w:rPr>
              <w:t>租住于民房，产生</w:t>
            </w:r>
            <w:r>
              <w:rPr>
                <w:rFonts w:hint="default" w:ascii="Times New Roman" w:hAnsi="Times New Roman" w:cs="Times New Roman"/>
                <w:b w:val="0"/>
                <w:bCs w:val="0"/>
                <w:color w:val="auto"/>
                <w:sz w:val="24"/>
                <w:lang w:val="en-US" w:eastAsia="zh-CN"/>
              </w:rPr>
              <w:t>的生活污水</w:t>
            </w:r>
            <w:r>
              <w:rPr>
                <w:rFonts w:hint="eastAsia" w:cs="Times New Roman"/>
                <w:b w:val="0"/>
                <w:bCs w:val="0"/>
                <w:color w:val="auto"/>
                <w:sz w:val="24"/>
                <w:lang w:val="en-US" w:eastAsia="zh-CN"/>
              </w:rPr>
              <w:t>依托已有市政管网排入</w:t>
            </w:r>
            <w:r>
              <w:rPr>
                <w:rFonts w:hint="default" w:ascii="Times New Roman" w:hAnsi="Times New Roman" w:cs="Times New Roman"/>
                <w:b w:val="0"/>
                <w:bCs w:val="0"/>
                <w:color w:val="auto"/>
                <w:sz w:val="24"/>
                <w:lang w:val="en-US" w:eastAsia="zh-CN"/>
              </w:rPr>
              <w:t>污水管道</w:t>
            </w:r>
            <w:r>
              <w:rPr>
                <w:rFonts w:hint="eastAsia" w:cs="Times New Roman"/>
                <w:b w:val="0"/>
                <w:bCs w:val="0"/>
                <w:color w:val="auto"/>
                <w:sz w:val="24"/>
                <w:lang w:val="en-US" w:eastAsia="zh-CN"/>
              </w:rPr>
              <w:t>。施工现场设置移动式卫生间，定期委托环卫部门收集处置。</w:t>
            </w:r>
            <w:r>
              <w:rPr>
                <w:rFonts w:hint="default" w:ascii="Times New Roman" w:hAnsi="Times New Roman" w:cs="Times New Roman"/>
                <w:b w:val="0"/>
                <w:bCs w:val="0"/>
                <w:color w:val="auto"/>
                <w:sz w:val="24"/>
                <w:lang w:val="en-US" w:eastAsia="zh-CN"/>
              </w:rPr>
              <w:t>设备冲洗废水经沉淀池沉淀后用于施工区泼洒抑尘。</w:t>
            </w:r>
          </w:p>
          <w:p w14:paraId="1DE60213">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（5）供电</w:t>
            </w:r>
          </w:p>
          <w:p w14:paraId="05344387">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eastAsia" w:cs="Times New Roman"/>
                <w:b w:val="0"/>
                <w:bCs w:val="0"/>
                <w:color w:val="auto"/>
                <w:sz w:val="24"/>
                <w:lang w:val="en-US" w:eastAsia="zh-CN"/>
              </w:rPr>
              <w:t>依托已有电网接入使用，另</w:t>
            </w:r>
            <w:r>
              <w:rPr>
                <w:rFonts w:hint="default" w:ascii="Times New Roman" w:hAnsi="Times New Roman" w:cs="Times New Roman"/>
                <w:b w:val="0"/>
                <w:bCs w:val="0"/>
                <w:color w:val="auto"/>
                <w:sz w:val="24"/>
                <w:lang w:val="en-US" w:eastAsia="zh-CN"/>
              </w:rPr>
              <w:t>自备柴油发电机</w:t>
            </w:r>
            <w:r>
              <w:rPr>
                <w:rFonts w:hint="eastAsia" w:cs="Times New Roman"/>
                <w:b w:val="0"/>
                <w:bCs w:val="0"/>
                <w:color w:val="auto"/>
                <w:sz w:val="24"/>
                <w:lang w:val="en-US" w:eastAsia="zh-CN"/>
              </w:rPr>
              <w:t>为无接网条件处提供</w:t>
            </w:r>
            <w:r>
              <w:rPr>
                <w:rFonts w:hint="default" w:ascii="Times New Roman" w:hAnsi="Times New Roman" w:cs="Times New Roman"/>
                <w:b w:val="0"/>
                <w:bCs w:val="0"/>
                <w:color w:val="auto"/>
                <w:sz w:val="24"/>
                <w:lang w:val="en-US" w:eastAsia="zh-CN"/>
              </w:rPr>
              <w:t>电源。</w:t>
            </w:r>
          </w:p>
          <w:p w14:paraId="4B4315AB">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1.</w:t>
            </w:r>
            <w:r>
              <w:rPr>
                <w:rFonts w:hint="eastAsia" w:ascii="Times New Roman" w:hAnsi="Times New Roman" w:cs="Times New Roman"/>
                <w:b w:val="0"/>
                <w:bCs w:val="0"/>
                <w:color w:val="auto"/>
                <w:sz w:val="24"/>
                <w:lang w:val="en-US" w:eastAsia="zh-CN"/>
              </w:rPr>
              <w:t>2</w:t>
            </w:r>
            <w:r>
              <w:rPr>
                <w:rFonts w:hint="default" w:ascii="Times New Roman" w:hAnsi="Times New Roman" w:cs="Times New Roman"/>
                <w:b w:val="0"/>
                <w:bCs w:val="0"/>
                <w:color w:val="auto"/>
                <w:sz w:val="24"/>
                <w:lang w:val="en-US" w:eastAsia="zh-CN"/>
              </w:rPr>
              <w:t>施工</w:t>
            </w:r>
            <w:r>
              <w:rPr>
                <w:rFonts w:hint="eastAsia" w:ascii="Times New Roman" w:hAnsi="Times New Roman" w:cs="Times New Roman"/>
                <w:b w:val="0"/>
                <w:bCs w:val="0"/>
                <w:color w:val="auto"/>
                <w:sz w:val="24"/>
                <w:lang w:val="en-US" w:eastAsia="zh-CN"/>
              </w:rPr>
              <w:t>工期</w:t>
            </w:r>
          </w:p>
          <w:p w14:paraId="5A9F06AD">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cs="Times New Roman"/>
                <w:b w:val="0"/>
                <w:bCs w:val="0"/>
                <w:color w:val="auto"/>
                <w:sz w:val="24"/>
                <w:lang w:val="en-US" w:eastAsia="zh-CN"/>
              </w:rPr>
              <w:t>本项目</w:t>
            </w:r>
            <w:r>
              <w:rPr>
                <w:rFonts w:hint="eastAsia" w:ascii="Times New Roman" w:hAnsi="Times New Roman" w:eastAsia="宋体" w:cs="Times New Roman"/>
                <w:b w:val="0"/>
                <w:bCs w:val="0"/>
                <w:color w:val="auto"/>
                <w:sz w:val="24"/>
                <w:lang w:val="en-US" w:eastAsia="zh-CN"/>
              </w:rPr>
              <w:t>施工工期</w:t>
            </w:r>
            <w:r>
              <w:rPr>
                <w:rFonts w:hint="eastAsia" w:cs="Times New Roman"/>
                <w:b w:val="0"/>
                <w:bCs w:val="0"/>
                <w:color w:val="auto"/>
                <w:sz w:val="24"/>
                <w:lang w:val="en-US" w:eastAsia="zh-CN"/>
              </w:rPr>
              <w:t>为</w:t>
            </w:r>
            <w:r>
              <w:rPr>
                <w:rFonts w:hint="eastAsia" w:ascii="Times New Roman" w:hAnsi="Times New Roman" w:eastAsia="宋体" w:cs="Times New Roman"/>
                <w:b w:val="0"/>
                <w:bCs w:val="0"/>
                <w:color w:val="auto"/>
                <w:sz w:val="24"/>
                <w:lang w:val="en-US" w:eastAsia="zh-CN"/>
              </w:rPr>
              <w:t>2026年5月至2027年11月。其中主体工程施工期10个月，灌溉高峰期及冬季不施工（即2026年5月、2026年9月至2026年11月、2027年3月至2027年5月、2027年9月至2027年11月）。</w:t>
            </w:r>
          </w:p>
          <w:p w14:paraId="4C02619A">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工程建设分为三期，即工程准备期，主体工程施工期和完建期。</w:t>
            </w:r>
          </w:p>
          <w:p w14:paraId="26389C21">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1、工程准备期</w:t>
            </w:r>
          </w:p>
          <w:p w14:paraId="6C811FB2">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施工准备期安排1个月，即2026年5月，完成场内三通一平，临时房屋建筑、施工辅助企业及施工所需的临时设施。</w:t>
            </w:r>
          </w:p>
          <w:p w14:paraId="07915098">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2、主体工程施工期</w:t>
            </w:r>
          </w:p>
          <w:p w14:paraId="723819EB">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主体工程施工期为2026年9月中旬至2027年10月中旬，在此施工期内完成土方开挖填筑、装配式预制渠道吊装及建筑物工程的建设。</w:t>
            </w:r>
          </w:p>
          <w:p w14:paraId="39B70C0B">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4、工程完建期</w:t>
            </w:r>
          </w:p>
          <w:p w14:paraId="6F16D3FD">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工程完建期1个月（2027年11月），主要完成工程的扫尾工作，拆除临时设施，清理施工场地、弃渣等处理工作。</w:t>
            </w:r>
          </w:p>
          <w:p w14:paraId="12706C33">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eastAsia" w:cs="Times New Roman"/>
                <w:b w:val="0"/>
                <w:bCs w:val="0"/>
                <w:color w:val="auto"/>
                <w:sz w:val="24"/>
                <w:lang w:val="en-US" w:eastAsia="zh-CN"/>
              </w:rPr>
              <w:t>1.3</w:t>
            </w:r>
            <w:r>
              <w:rPr>
                <w:rFonts w:hint="default" w:ascii="Times New Roman" w:hAnsi="Times New Roman" w:cs="Times New Roman"/>
                <w:b w:val="0"/>
                <w:bCs w:val="0"/>
                <w:color w:val="auto"/>
                <w:sz w:val="24"/>
                <w:lang w:val="en-US" w:eastAsia="zh-CN"/>
              </w:rPr>
              <w:t>施工</w:t>
            </w:r>
            <w:r>
              <w:rPr>
                <w:rFonts w:hint="eastAsia" w:ascii="Times New Roman" w:hAnsi="Times New Roman" w:cs="Times New Roman"/>
                <w:b w:val="0"/>
                <w:bCs w:val="0"/>
                <w:color w:val="auto"/>
                <w:sz w:val="24"/>
                <w:lang w:val="en-US" w:eastAsia="zh-CN"/>
              </w:rPr>
              <w:t>布置</w:t>
            </w:r>
          </w:p>
          <w:p w14:paraId="6834B9F7">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（1）施工生产区布置</w:t>
            </w:r>
          </w:p>
          <w:p w14:paraId="1D4245FA">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根据项目区渠道的分布、地形、地物情况，结合考虑环境保护要求、施工组织等因素，在本项目计划布置临时生产区4处包括砼</w:t>
            </w:r>
            <w:r>
              <w:rPr>
                <w:rFonts w:hint="eastAsia" w:cs="Times New Roman"/>
                <w:b w:val="0"/>
                <w:bCs w:val="0"/>
                <w:color w:val="auto"/>
                <w:sz w:val="24"/>
                <w:lang w:val="en-US" w:eastAsia="zh-CN"/>
              </w:rPr>
              <w:t>临时</w:t>
            </w:r>
            <w:r>
              <w:rPr>
                <w:rFonts w:hint="default" w:ascii="Times New Roman" w:hAnsi="Times New Roman" w:eastAsia="宋体" w:cs="Times New Roman"/>
                <w:b w:val="0"/>
                <w:bCs w:val="0"/>
                <w:color w:val="auto"/>
                <w:sz w:val="24"/>
                <w:lang w:val="en-US" w:eastAsia="zh-CN"/>
              </w:rPr>
              <w:t>拌合系统、加工系统、施工仓库等，总占地面积</w:t>
            </w:r>
            <w:r>
              <w:rPr>
                <w:rFonts w:hint="eastAsia" w:ascii="Times New Roman" w:hAnsi="Times New Roman" w:eastAsia="宋体" w:cs="Times New Roman"/>
                <w:b w:val="0"/>
                <w:bCs w:val="0"/>
                <w:color w:val="auto"/>
                <w:sz w:val="24"/>
                <w:lang w:val="en-US" w:eastAsia="zh-CN"/>
              </w:rPr>
              <w:t>0.42</w:t>
            </w:r>
            <w:r>
              <w:rPr>
                <w:rFonts w:hint="default" w:ascii="Times New Roman" w:hAnsi="Times New Roman" w:eastAsia="宋体" w:cs="Times New Roman"/>
                <w:b w:val="0"/>
                <w:bCs w:val="0"/>
                <w:color w:val="auto"/>
                <w:sz w:val="24"/>
                <w:lang w:val="en-US" w:eastAsia="zh-CN"/>
              </w:rPr>
              <w:t>hm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，分别位于碧流河西干渠、宽沟至塘坊门支渠、东戈壁支渠、西戈壁支渠。</w:t>
            </w:r>
          </w:p>
          <w:p w14:paraId="67C80AD7">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施工单位租用附近的民房居住不设置施工临时生活区。</w:t>
            </w:r>
          </w:p>
          <w:p w14:paraId="15789C2B">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（2）施工道路布设</w:t>
            </w:r>
          </w:p>
          <w:p w14:paraId="14219A30">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灌区内部交通已成规模，乡村公路、机耕道均可通达，完全可满足交通要求。项目区可以利用现有的乡村道路进行施工。根据现场施工条件和工程需要，需修建临时施工道路</w:t>
            </w:r>
            <w:r>
              <w:rPr>
                <w:rFonts w:hint="eastAsia" w:ascii="Times New Roman" w:hAnsi="Times New Roman" w:eastAsia="宋体" w:cs="Times New Roman"/>
                <w:b w:val="0"/>
                <w:bCs w:val="0"/>
                <w:color w:val="auto"/>
                <w:sz w:val="24"/>
                <w:lang w:val="en-US" w:eastAsia="zh-CN"/>
              </w:rPr>
              <w:t>5.968</w:t>
            </w:r>
            <w:r>
              <w:rPr>
                <w:rFonts w:hint="default" w:ascii="Times New Roman" w:hAnsi="Times New Roman" w:eastAsia="宋体" w:cs="Times New Roman"/>
                <w:b w:val="0"/>
                <w:bCs w:val="0"/>
                <w:color w:val="auto"/>
                <w:sz w:val="24"/>
                <w:lang w:val="en-US" w:eastAsia="zh-CN"/>
              </w:rPr>
              <w:t>km，道路宽5m，施工临时道路设在渠道一侧。</w:t>
            </w:r>
          </w:p>
          <w:p w14:paraId="485F2F62">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根据主体资料，对内交通可利用主干道、田间小石子路，渠道沿线乡村道路、便道。对于交通条件差的渠段需在渠线两侧设置临时道路。根据现场施工条件和工程需要，沿渠部分地段有简易乡村道路伴行，部分地段需专门修建施工临时道路，方能满足各类机械施工。本工程需要修筑临时施工道路</w:t>
            </w:r>
            <w:r>
              <w:rPr>
                <w:rFonts w:hint="eastAsia" w:ascii="Times New Roman" w:hAnsi="Times New Roman" w:eastAsia="宋体" w:cs="Times New Roman"/>
                <w:b w:val="0"/>
                <w:bCs w:val="0"/>
                <w:color w:val="auto"/>
                <w:sz w:val="24"/>
                <w:lang w:val="en-US" w:eastAsia="zh-CN"/>
              </w:rPr>
              <w:t>5.968</w:t>
            </w:r>
            <w:r>
              <w:rPr>
                <w:rFonts w:hint="default" w:ascii="Times New Roman" w:hAnsi="Times New Roman" w:eastAsia="宋体" w:cs="Times New Roman"/>
                <w:b w:val="0"/>
                <w:bCs w:val="0"/>
                <w:color w:val="auto"/>
                <w:sz w:val="24"/>
                <w:lang w:val="en-US" w:eastAsia="zh-CN"/>
              </w:rPr>
              <w:t>km，宽度为5m，简易修整，占地面积</w:t>
            </w:r>
            <w:r>
              <w:rPr>
                <w:rFonts w:hint="eastAsia" w:ascii="Times New Roman" w:hAnsi="Times New Roman" w:eastAsia="宋体" w:cs="Times New Roman"/>
                <w:b w:val="0"/>
                <w:bCs w:val="0"/>
                <w:color w:val="auto"/>
                <w:sz w:val="24"/>
                <w:lang w:val="en-US" w:eastAsia="zh-CN"/>
              </w:rPr>
              <w:t>2.98</w:t>
            </w:r>
            <w:r>
              <w:rPr>
                <w:rFonts w:hint="default" w:ascii="Times New Roman" w:hAnsi="Times New Roman" w:eastAsia="宋体" w:cs="Times New Roman"/>
                <w:b w:val="0"/>
                <w:bCs w:val="0"/>
                <w:color w:val="auto"/>
                <w:sz w:val="24"/>
                <w:lang w:val="en-US" w:eastAsia="zh-CN"/>
              </w:rPr>
              <w:t>hm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。施工完毕后对临时施工道路进行平整恢复。</w:t>
            </w:r>
          </w:p>
          <w:p w14:paraId="041EA225">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（3）临时堆土</w:t>
            </w:r>
          </w:p>
          <w:p w14:paraId="0FEB6F94">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本项目渠道工程采用</w:t>
            </w:r>
            <w:r>
              <w:rPr>
                <w:rFonts w:hint="eastAsia" w:ascii="Times New Roman" w:hAnsi="Times New Roman" w:eastAsia="宋体" w:cs="Times New Roman"/>
                <w:b w:val="0"/>
                <w:bCs w:val="0"/>
                <w:color w:val="auto"/>
                <w:sz w:val="24"/>
                <w:lang w:val="en-US" w:eastAsia="zh-CN"/>
              </w:rPr>
              <w:t>以</w:t>
            </w:r>
            <w:r>
              <w:rPr>
                <w:rFonts w:hint="default" w:ascii="Times New Roman" w:hAnsi="Times New Roman" w:eastAsia="宋体" w:cs="Times New Roman"/>
                <w:b w:val="0"/>
                <w:bCs w:val="0"/>
                <w:color w:val="auto"/>
                <w:sz w:val="24"/>
                <w:lang w:val="en-US" w:eastAsia="zh-CN"/>
              </w:rPr>
              <w:t>挖作填的方式进行边坡的修整及填筑施工，清表及换</w:t>
            </w:r>
            <w:r>
              <w:rPr>
                <w:rFonts w:hint="eastAsia" w:ascii="Times New Roman" w:hAnsi="Times New Roman" w:eastAsia="宋体" w:cs="Times New Roman"/>
                <w:b w:val="0"/>
                <w:bCs w:val="0"/>
                <w:color w:val="auto"/>
                <w:sz w:val="24"/>
                <w:lang w:val="en-US" w:eastAsia="zh-CN"/>
              </w:rPr>
              <w:t>填弃方及时清运，无需设置集中临时堆土区，闸门、农桥、陡坡等渠系建筑物基础开挖土方均就近堆放于各自基坑周边，施工结束后全部用于基础回填，不单独设置临时堆土场。</w:t>
            </w:r>
          </w:p>
          <w:p w14:paraId="298A9D2E">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各渠系建筑物基础临时堆土平均堆放高度为</w:t>
            </w:r>
            <w:r>
              <w:rPr>
                <w:rFonts w:hint="default" w:ascii="Times New Roman" w:hAnsi="Times New Roman" w:eastAsia="宋体" w:cs="Times New Roman"/>
                <w:b w:val="0"/>
                <w:bCs w:val="0"/>
                <w:color w:val="auto"/>
                <w:sz w:val="24"/>
                <w:lang w:val="en-US" w:eastAsia="zh-CN"/>
              </w:rPr>
              <w:t>1.5~2.0m</w:t>
            </w:r>
            <w:r>
              <w:rPr>
                <w:rFonts w:hint="eastAsia" w:ascii="Times New Roman" w:hAnsi="Times New Roman" w:eastAsia="宋体" w:cs="Times New Roman"/>
                <w:b w:val="0"/>
                <w:bCs w:val="0"/>
                <w:color w:val="auto"/>
                <w:sz w:val="24"/>
                <w:lang w:val="en-US" w:eastAsia="zh-CN"/>
              </w:rPr>
              <w:t>，按</w:t>
            </w: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放坡，平地堆放。根据设计资料本项目临时堆土占地4.42hm</w:t>
            </w:r>
            <w:r>
              <w:rPr>
                <w:rFonts w:hint="eastAsia" w:ascii="Times New Roman" w:hAnsi="Times New Roman" w:eastAsia="宋体" w:cs="Times New Roman"/>
                <w:b w:val="0"/>
                <w:bCs w:val="0"/>
                <w:color w:val="auto"/>
                <w:sz w:val="24"/>
                <w:vertAlign w:val="superscript"/>
                <w:lang w:val="en-US" w:eastAsia="zh-CN"/>
              </w:rPr>
              <w:t>2</w:t>
            </w:r>
            <w:r>
              <w:rPr>
                <w:rFonts w:hint="eastAsia" w:ascii="Times New Roman" w:hAnsi="Times New Roman" w:eastAsia="宋体" w:cs="Times New Roman"/>
                <w:b w:val="0"/>
                <w:bCs w:val="0"/>
                <w:color w:val="auto"/>
                <w:sz w:val="24"/>
                <w:lang w:val="en-US" w:eastAsia="zh-CN"/>
              </w:rPr>
              <w:t>，回填结束后，对临时堆土扰动区域进行平整。</w:t>
            </w:r>
          </w:p>
          <w:p w14:paraId="1CB0F9C8">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4</w:t>
            </w:r>
            <w:r>
              <w:rPr>
                <w:rFonts w:hint="eastAsia" w:ascii="Times New Roman" w:hAnsi="Times New Roman" w:eastAsia="宋体" w:cs="Times New Roman"/>
                <w:b w:val="0"/>
                <w:bCs w:val="0"/>
                <w:color w:val="auto"/>
                <w:sz w:val="24"/>
                <w:lang w:val="en-US" w:eastAsia="zh-CN"/>
              </w:rPr>
              <w:t>）取土（料）场</w:t>
            </w:r>
          </w:p>
          <w:p w14:paraId="0CC50496">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项目区不设置取土场，借方为外购砂石料垫层，运距</w:t>
            </w:r>
            <w:r>
              <w:rPr>
                <w:rFonts w:hint="default" w:ascii="Times New Roman" w:hAnsi="Times New Roman" w:eastAsia="宋体" w:cs="Times New Roman"/>
                <w:b w:val="0"/>
                <w:bCs w:val="0"/>
                <w:color w:val="auto"/>
                <w:sz w:val="24"/>
                <w:lang w:val="en-US" w:eastAsia="zh-CN"/>
              </w:rPr>
              <w:t>20km</w:t>
            </w:r>
            <w:r>
              <w:rPr>
                <w:rFonts w:hint="eastAsia" w:ascii="Times New Roman" w:hAnsi="Times New Roman" w:eastAsia="宋体" w:cs="Times New Roman"/>
                <w:b w:val="0"/>
                <w:bCs w:val="0"/>
                <w:color w:val="auto"/>
                <w:sz w:val="24"/>
                <w:lang w:val="en-US" w:eastAsia="zh-CN"/>
              </w:rPr>
              <w:t>，水土流失防治责任范围属供应方。本工程所选用砂石料均从奇台县有合法水土保持备案手续的砂石料场采购，由供应方按照国家水土保持有关要求负责采取相应的水土保持措施恢复该区域的原生地貌。</w:t>
            </w:r>
          </w:p>
          <w:p w14:paraId="5A74E4EF">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）弃渣场</w:t>
            </w:r>
          </w:p>
          <w:p w14:paraId="48E961EC">
            <w:pPr>
              <w:adjustRightInd w:val="0"/>
              <w:snapToGrid w:val="0"/>
              <w:spacing w:line="360" w:lineRule="auto"/>
              <w:ind w:firstLine="480" w:firstLineChars="200"/>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根据土石方平衡计算结果，该项目弃方2.72万</w:t>
            </w:r>
            <w:r>
              <w:rPr>
                <w:rFonts w:hint="default" w:ascii="Times New Roman" w:hAnsi="Times New Roman" w:eastAsia="宋体" w:cs="Times New Roman"/>
                <w:b w:val="0"/>
                <w:bCs w:val="0"/>
                <w:color w:val="auto"/>
                <w:sz w:val="24"/>
                <w:lang w:val="en-US" w:eastAsia="zh-CN"/>
              </w:rPr>
              <w:t>m</w:t>
            </w:r>
            <w:r>
              <w:rPr>
                <w:rFonts w:hint="default" w:ascii="Times New Roman" w:hAnsi="Times New Roman" w:eastAsia="宋体" w:cs="Times New Roman"/>
                <w:b w:val="0"/>
                <w:bCs w:val="0"/>
                <w:color w:val="auto"/>
                <w:sz w:val="24"/>
                <w:vertAlign w:val="superscript"/>
                <w:lang w:val="en-US" w:eastAsia="zh-CN"/>
              </w:rPr>
              <w:t>3</w:t>
            </w:r>
            <w:r>
              <w:rPr>
                <w:rFonts w:hint="eastAsia" w:ascii="Times New Roman" w:hAnsi="Times New Roman" w:eastAsia="宋体" w:cs="Times New Roman"/>
                <w:b w:val="0"/>
                <w:bCs w:val="0"/>
                <w:color w:val="auto"/>
                <w:sz w:val="24"/>
                <w:lang w:val="en-US" w:eastAsia="zh-CN"/>
              </w:rPr>
              <w:t>，主要为原渠道及渠系建筑物拆除产生的建筑垃圾，计划拉至奇台县建筑垃圾填埋场处置。因此，本项目不设置弃渣场。</w:t>
            </w:r>
          </w:p>
          <w:p w14:paraId="045E7E79">
            <w:pPr>
              <w:keepNext w:val="0"/>
              <w:keepLines w:val="0"/>
              <w:pageBreakBefore w:val="0"/>
              <w:widowControl w:val="0"/>
              <w:numPr>
                <w:ilvl w:val="0"/>
                <w:numId w:val="8"/>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eastAsia"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工艺流程简述</w:t>
            </w:r>
          </w:p>
          <w:p w14:paraId="5DB9334D">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本工程施工线路较长，施工场地分散，工程量较大，因此需做好施工组织设计。渠道工程施工内容主要为老渠道表层清废或老渠道护面衬砌材料拆除、土方开挖、土方填筑碾压、衬砌材料砌筑等。</w:t>
            </w:r>
          </w:p>
          <w:p w14:paraId="7267E908">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本项目施工期工艺流程及产污流程如下：</w:t>
            </w:r>
          </w:p>
          <w:p w14:paraId="2740509D">
            <w:pPr>
              <w:pStyle w:val="25"/>
              <w:rPr>
                <w:color w:val="auto"/>
              </w:rPr>
            </w:pPr>
            <w:r>
              <w:rPr>
                <w:color w:val="auto"/>
              </w:rPr>
              <w:drawing>
                <wp:inline distT="0" distB="0" distL="114300" distR="114300">
                  <wp:extent cx="4781550" cy="3257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4781550" cy="3257550"/>
                          </a:xfrm>
                          <a:prstGeom prst="rect">
                            <a:avLst/>
                          </a:prstGeom>
                          <a:noFill/>
                          <a:ln>
                            <a:noFill/>
                          </a:ln>
                        </pic:spPr>
                      </pic:pic>
                    </a:graphicData>
                  </a:graphic>
                </wp:inline>
              </w:drawing>
            </w:r>
          </w:p>
          <w:p w14:paraId="59D7B2BA">
            <w:pPr>
              <w:keepNext w:val="0"/>
              <w:keepLines w:val="0"/>
              <w:widowControl/>
              <w:suppressLineNumbers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kern w:val="0"/>
                <w:sz w:val="24"/>
                <w:szCs w:val="24"/>
                <w:lang w:val="en-US" w:eastAsia="zh-CN" w:bidi="ar"/>
              </w:rPr>
              <w:t>图 2-1 防渗渠工艺流程及产污环节图</w:t>
            </w:r>
          </w:p>
          <w:p w14:paraId="1A848A65">
            <w:pPr>
              <w:pStyle w:val="25"/>
              <w:rPr>
                <w:color w:val="auto"/>
              </w:rPr>
            </w:pPr>
            <w:r>
              <w:rPr>
                <w:color w:val="auto"/>
              </w:rPr>
              <w:drawing>
                <wp:inline distT="0" distB="0" distL="114300" distR="114300">
                  <wp:extent cx="4998085" cy="1701800"/>
                  <wp:effectExtent l="0" t="0" r="1206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4998085" cy="1701800"/>
                          </a:xfrm>
                          <a:prstGeom prst="rect">
                            <a:avLst/>
                          </a:prstGeom>
                          <a:noFill/>
                          <a:ln>
                            <a:noFill/>
                          </a:ln>
                        </pic:spPr>
                      </pic:pic>
                    </a:graphicData>
                  </a:graphic>
                </wp:inline>
              </w:drawing>
            </w:r>
          </w:p>
          <w:p w14:paraId="1FFCACC6">
            <w:pPr>
              <w:keepNext w:val="0"/>
              <w:keepLines w:val="0"/>
              <w:widowControl/>
              <w:suppressLineNumbers w:val="0"/>
              <w:jc w:val="center"/>
              <w:rPr>
                <w:rFonts w:hint="default"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szCs w:val="24"/>
                <w:lang w:val="en-US" w:eastAsia="zh-CN" w:bidi="ar"/>
              </w:rPr>
              <w:t xml:space="preserve">图 </w:t>
            </w:r>
            <w:r>
              <w:rPr>
                <w:rFonts w:hint="default" w:ascii="Times New Roman" w:hAnsi="Times New Roman" w:eastAsia="宋体" w:cs="Times New Roman"/>
                <w:b/>
                <w:bCs/>
                <w:color w:val="auto"/>
                <w:kern w:val="0"/>
                <w:sz w:val="24"/>
                <w:szCs w:val="24"/>
                <w:lang w:val="en-US" w:eastAsia="zh-CN" w:bidi="ar"/>
              </w:rPr>
              <w:t xml:space="preserve">2-2 </w:t>
            </w:r>
            <w:r>
              <w:rPr>
                <w:rFonts w:hint="eastAsia" w:ascii="Times New Roman" w:hAnsi="Times New Roman" w:eastAsia="宋体" w:cs="Times New Roman"/>
                <w:b/>
                <w:bCs/>
                <w:color w:val="auto"/>
                <w:kern w:val="0"/>
                <w:sz w:val="24"/>
                <w:szCs w:val="24"/>
                <w:lang w:val="en-US" w:eastAsia="zh-CN" w:bidi="ar"/>
              </w:rPr>
              <w:t>渠道建筑物施工工艺流程及产污节点图</w:t>
            </w:r>
          </w:p>
          <w:p w14:paraId="411AA39E">
            <w:pPr>
              <w:pStyle w:val="25"/>
              <w:rPr>
                <w:color w:val="auto"/>
              </w:rPr>
            </w:pPr>
            <w:r>
              <w:rPr>
                <w:color w:val="auto"/>
              </w:rPr>
              <w:drawing>
                <wp:inline distT="0" distB="0" distL="114300" distR="114300">
                  <wp:extent cx="5002530" cy="3034030"/>
                  <wp:effectExtent l="0" t="0" r="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8"/>
                          <a:stretch>
                            <a:fillRect/>
                          </a:stretch>
                        </pic:blipFill>
                        <pic:spPr>
                          <a:xfrm>
                            <a:off x="0" y="0"/>
                            <a:ext cx="5002530" cy="3034030"/>
                          </a:xfrm>
                          <a:prstGeom prst="rect">
                            <a:avLst/>
                          </a:prstGeom>
                          <a:noFill/>
                          <a:ln>
                            <a:noFill/>
                          </a:ln>
                        </pic:spPr>
                      </pic:pic>
                    </a:graphicData>
                  </a:graphic>
                </wp:inline>
              </w:drawing>
            </w:r>
          </w:p>
          <w:p w14:paraId="00FB8A85">
            <w:pPr>
              <w:keepNext w:val="0"/>
              <w:keepLines w:val="0"/>
              <w:widowControl/>
              <w:suppressLineNumbers w:val="0"/>
              <w:jc w:val="center"/>
              <w:rPr>
                <w:rFonts w:hint="eastAsia"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szCs w:val="24"/>
                <w:lang w:val="en-US" w:eastAsia="zh-CN" w:bidi="ar"/>
              </w:rPr>
              <w:t xml:space="preserve">图 </w:t>
            </w:r>
            <w:r>
              <w:rPr>
                <w:rFonts w:hint="default" w:ascii="Times New Roman" w:hAnsi="Times New Roman" w:eastAsia="宋体" w:cs="Times New Roman"/>
                <w:b/>
                <w:bCs/>
                <w:color w:val="auto"/>
                <w:kern w:val="0"/>
                <w:sz w:val="24"/>
                <w:szCs w:val="24"/>
                <w:lang w:val="en-US" w:eastAsia="zh-CN" w:bidi="ar"/>
              </w:rPr>
              <w:t xml:space="preserve">2-3 </w:t>
            </w:r>
            <w:r>
              <w:rPr>
                <w:rFonts w:hint="eastAsia" w:ascii="Times New Roman" w:hAnsi="Times New Roman" w:eastAsia="宋体" w:cs="Times New Roman"/>
                <w:b/>
                <w:bCs/>
                <w:color w:val="auto"/>
                <w:kern w:val="0"/>
                <w:sz w:val="24"/>
                <w:szCs w:val="24"/>
                <w:lang w:val="en-US" w:eastAsia="zh-CN" w:bidi="ar"/>
              </w:rPr>
              <w:t>农桥主要施工工序及产污节点图</w:t>
            </w:r>
          </w:p>
          <w:p w14:paraId="6CA32D07">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项目区工程施工主要包括清基、土方开挖、土方填筑、砂砾石垫层料施工、现浇砼浇筑及渠系建筑物施工。</w:t>
            </w:r>
          </w:p>
          <w:p w14:paraId="34624C20">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）渠道施工</w:t>
            </w:r>
          </w:p>
          <w:p w14:paraId="35C6E51B">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）清基：施工前，放出清基边线，并做出明显标识，用推土机将清基土从渠中心向左右侧推送，清基厚度为</w:t>
            </w:r>
            <w:r>
              <w:rPr>
                <w:rFonts w:hint="default" w:ascii="Times New Roman" w:hAnsi="Times New Roman" w:eastAsia="宋体" w:cs="Times New Roman"/>
                <w:b w:val="0"/>
                <w:bCs w:val="0"/>
                <w:color w:val="auto"/>
                <w:sz w:val="24"/>
                <w:lang w:val="en-US" w:eastAsia="zh-CN"/>
              </w:rPr>
              <w:t>30cm</w:t>
            </w:r>
            <w:r>
              <w:rPr>
                <w:rFonts w:hint="eastAsia" w:ascii="Times New Roman" w:hAnsi="Times New Roman" w:eastAsia="宋体" w:cs="Times New Roman"/>
                <w:b w:val="0"/>
                <w:bCs w:val="0"/>
                <w:color w:val="auto"/>
                <w:sz w:val="24"/>
                <w:lang w:val="en-US" w:eastAsia="zh-CN"/>
              </w:rPr>
              <w:t>。渠基开挖中清除的弃土、废物、废料等，运到指定场地堆放。</w:t>
            </w:r>
          </w:p>
          <w:p w14:paraId="64E62487">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）开挖：采用挖掘机进行，推土机配合。挖出的土可直接用于填筑渠堤，渠堤填筑严格按施工规范进行。挖出多余土方堆放在渠道外坡脚外，并用推土机推平，并用机械进行碾压，不足土方从土料场调运。</w:t>
            </w:r>
          </w:p>
          <w:p w14:paraId="48350D6B">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w:t>
            </w:r>
            <w:r>
              <w:rPr>
                <w:rFonts w:hint="eastAsia" w:ascii="Times New Roman" w:hAnsi="Times New Roman" w:eastAsia="宋体" w:cs="Times New Roman"/>
                <w:b w:val="0"/>
                <w:bCs w:val="0"/>
                <w:color w:val="auto"/>
                <w:sz w:val="24"/>
                <w:lang w:val="en-US" w:eastAsia="zh-CN"/>
              </w:rPr>
              <w:t>）填筑施工：土方填筑程序依次为渠堤高程引测、宽度控制、渠堤分层填筑、洒水碾压、压实度试验、土堤削坡、成型，填筑土方应采用振动碾压实，渠堤削坡采取人工施工。回填土分层碾压，一次碾压厚度不宜超过</w:t>
            </w:r>
            <w:r>
              <w:rPr>
                <w:rFonts w:hint="default" w:ascii="Times New Roman" w:hAnsi="Times New Roman" w:eastAsia="宋体" w:cs="Times New Roman"/>
                <w:b w:val="0"/>
                <w:bCs w:val="0"/>
                <w:color w:val="auto"/>
                <w:sz w:val="24"/>
                <w:lang w:val="en-US" w:eastAsia="zh-CN"/>
              </w:rPr>
              <w:t>30cm</w:t>
            </w:r>
            <w:r>
              <w:rPr>
                <w:rFonts w:hint="eastAsia" w:ascii="Times New Roman" w:hAnsi="Times New Roman" w:eastAsia="宋体" w:cs="Times New Roman"/>
                <w:b w:val="0"/>
                <w:bCs w:val="0"/>
                <w:color w:val="auto"/>
                <w:sz w:val="24"/>
                <w:lang w:val="en-US" w:eastAsia="zh-CN"/>
              </w:rPr>
              <w:t>，粘性土压实度为</w:t>
            </w:r>
            <w:r>
              <w:rPr>
                <w:rFonts w:hint="default" w:ascii="Times New Roman" w:hAnsi="Times New Roman" w:eastAsia="宋体" w:cs="Times New Roman"/>
                <w:b w:val="0"/>
                <w:bCs w:val="0"/>
                <w:color w:val="auto"/>
                <w:sz w:val="24"/>
                <w:lang w:val="en-US" w:eastAsia="zh-CN"/>
              </w:rPr>
              <w:t>0.93</w:t>
            </w:r>
            <w:r>
              <w:rPr>
                <w:rFonts w:hint="eastAsia" w:ascii="Times New Roman" w:hAnsi="Times New Roman" w:eastAsia="宋体" w:cs="Times New Roman"/>
                <w:b w:val="0"/>
                <w:bCs w:val="0"/>
                <w:color w:val="auto"/>
                <w:sz w:val="24"/>
                <w:lang w:val="en-US" w:eastAsia="zh-CN"/>
              </w:rPr>
              <w:t>，非粘性土相对密度为</w:t>
            </w:r>
            <w:r>
              <w:rPr>
                <w:rFonts w:hint="default" w:ascii="Times New Roman" w:hAnsi="Times New Roman" w:eastAsia="宋体" w:cs="Times New Roman"/>
                <w:b w:val="0"/>
                <w:bCs w:val="0"/>
                <w:color w:val="auto"/>
                <w:sz w:val="24"/>
                <w:lang w:val="en-US" w:eastAsia="zh-CN"/>
              </w:rPr>
              <w:t>0.70</w:t>
            </w:r>
            <w:r>
              <w:rPr>
                <w:rFonts w:hint="eastAsia" w:ascii="Times New Roman" w:hAnsi="Times New Roman" w:eastAsia="宋体" w:cs="Times New Roman"/>
                <w:b w:val="0"/>
                <w:bCs w:val="0"/>
                <w:color w:val="auto"/>
                <w:sz w:val="24"/>
                <w:lang w:val="en-US" w:eastAsia="zh-CN"/>
              </w:rPr>
              <w:t>。碾压方法按进退错距法压实，相邻两段交接带碾压搭接长度，顺碾压方向不小于</w:t>
            </w:r>
            <w:r>
              <w:rPr>
                <w:rFonts w:hint="default" w:ascii="Times New Roman" w:hAnsi="Times New Roman" w:eastAsia="宋体" w:cs="Times New Roman"/>
                <w:b w:val="0"/>
                <w:bCs w:val="0"/>
                <w:color w:val="auto"/>
                <w:sz w:val="24"/>
                <w:lang w:val="en-US" w:eastAsia="zh-CN"/>
              </w:rPr>
              <w:t>0.3m</w:t>
            </w:r>
            <w:r>
              <w:rPr>
                <w:rFonts w:hint="eastAsia" w:ascii="Times New Roman" w:hAnsi="Times New Roman" w:eastAsia="宋体" w:cs="Times New Roman"/>
                <w:b w:val="0"/>
                <w:bCs w:val="0"/>
                <w:color w:val="auto"/>
                <w:sz w:val="24"/>
                <w:lang w:val="en-US" w:eastAsia="zh-CN"/>
              </w:rPr>
              <w:t>，垂直碾压方向搭接长度不小于</w:t>
            </w:r>
            <w:r>
              <w:rPr>
                <w:rFonts w:hint="default" w:ascii="Times New Roman" w:hAnsi="Times New Roman" w:eastAsia="宋体" w:cs="Times New Roman"/>
                <w:b w:val="0"/>
                <w:bCs w:val="0"/>
                <w:color w:val="auto"/>
                <w:sz w:val="24"/>
                <w:lang w:val="en-US" w:eastAsia="zh-CN"/>
              </w:rPr>
              <w:t>1.5m</w:t>
            </w:r>
            <w:r>
              <w:rPr>
                <w:rFonts w:hint="eastAsia" w:ascii="Times New Roman" w:hAnsi="Times New Roman" w:eastAsia="宋体" w:cs="Times New Roman"/>
                <w:b w:val="0"/>
                <w:bCs w:val="0"/>
                <w:color w:val="auto"/>
                <w:sz w:val="24"/>
                <w:lang w:val="en-US" w:eastAsia="zh-CN"/>
              </w:rPr>
              <w:t>，碾压遍数由试验而定。每段渠堤自身在回填碾压过程中留纵横向接槎，渠堤的洒水量要严格控制，如超含水量要进行土料翻晒，含水量不足要及时洒水，再进行碾压，禁止出现欠压和过压现象。</w:t>
            </w:r>
          </w:p>
          <w:p w14:paraId="620536BD">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w:t>
            </w:r>
            <w:r>
              <w:rPr>
                <w:rFonts w:hint="eastAsia" w:ascii="Times New Roman" w:hAnsi="Times New Roman" w:eastAsia="宋体" w:cs="Times New Roman"/>
                <w:b w:val="0"/>
                <w:bCs w:val="0"/>
                <w:color w:val="auto"/>
                <w:sz w:val="24"/>
                <w:lang w:val="en-US" w:eastAsia="zh-CN"/>
              </w:rPr>
              <w:t>）砂砾石垫层料施工：考虑冻胀及腐蚀性等问题，需用砂砾石进行换填，用自卸汽车将换填砂砾石运至施工现场，在人工的协助下将砂砾石按设计要求铺设在渠床上，采用振动碾进行碾压，使其相对密度达到</w:t>
            </w:r>
            <w:r>
              <w:rPr>
                <w:rFonts w:hint="default" w:ascii="Times New Roman" w:hAnsi="Times New Roman" w:eastAsia="宋体" w:cs="Times New Roman"/>
                <w:b w:val="0"/>
                <w:bCs w:val="0"/>
                <w:color w:val="auto"/>
                <w:sz w:val="24"/>
                <w:lang w:val="en-US" w:eastAsia="zh-CN"/>
              </w:rPr>
              <w:t>0.70</w:t>
            </w:r>
            <w:r>
              <w:rPr>
                <w:rFonts w:hint="eastAsia" w:ascii="Times New Roman" w:hAnsi="Times New Roman" w:eastAsia="宋体" w:cs="Times New Roman"/>
                <w:b w:val="0"/>
                <w:bCs w:val="0"/>
                <w:color w:val="auto"/>
                <w:sz w:val="24"/>
                <w:lang w:val="en-US" w:eastAsia="zh-CN"/>
              </w:rPr>
              <w:t>。</w:t>
            </w:r>
          </w:p>
          <w:p w14:paraId="44A2212D">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现浇砼板施工：工序为：定位放线—基础开挖—立模板—浇筑砼。现浇砼板采用人工按常规方法施工即可。配合比严格按实验室提供的配合比，所用的砂石料均应进行清洗与过秤，控制水灰比及坍落度砼拌合站设专职监督员，进行现场控制，不符合要求的砼不允许出机，砼运输采用人工推车运到工作部位，人工入仓，对于大体积砼用振动棒进行振捣，砼板用平板振动器进行振捣。振捣必须密实，严禁出现蜂窝麻面现象。浇完的砼表面要覆盖，酒水养护到规范规定的天数，使砼强度达到设计要求。渠道填筑完后，根据施工规范进行渠槽的验收，浇筑砼时，要注意砼是否捣实，并严格控制砼浇筑厚度。</w:t>
            </w:r>
          </w:p>
          <w:p w14:paraId="31A418E1">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2</w:t>
            </w:r>
            <w:r>
              <w:rPr>
                <w:rFonts w:hint="eastAsia" w:ascii="Times New Roman" w:hAnsi="Times New Roman" w:eastAsia="宋体" w:cs="Times New Roman"/>
                <w:b w:val="0"/>
                <w:bCs w:val="0"/>
                <w:color w:val="auto"/>
                <w:sz w:val="24"/>
                <w:lang w:val="en-US" w:eastAsia="zh-CN"/>
              </w:rPr>
              <w:t>）渠系建筑物施工</w:t>
            </w:r>
          </w:p>
          <w:p w14:paraId="7141B429">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工序为：定位放线—基础开挖—立模板—浇筑砼。</w:t>
            </w:r>
          </w:p>
          <w:p w14:paraId="6945AF31">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基础开挖：采用挖掘机开挖，</w:t>
            </w:r>
            <w:r>
              <w:rPr>
                <w:rFonts w:hint="default" w:ascii="Times New Roman" w:hAnsi="Times New Roman" w:eastAsia="宋体" w:cs="Times New Roman"/>
                <w:b w:val="0"/>
                <w:bCs w:val="0"/>
                <w:color w:val="auto"/>
                <w:sz w:val="24"/>
                <w:lang w:val="en-US" w:eastAsia="zh-CN"/>
              </w:rPr>
              <w:t>10m</w:t>
            </w:r>
            <w:r>
              <w:rPr>
                <w:rFonts w:hint="default" w:ascii="Times New Roman" w:hAnsi="Times New Roman" w:eastAsia="宋体" w:cs="Times New Roman"/>
                <w:b w:val="0"/>
                <w:bCs w:val="0"/>
                <w:color w:val="auto"/>
                <w:sz w:val="24"/>
                <w:vertAlign w:val="superscript"/>
                <w:lang w:val="en-US" w:eastAsia="zh-CN"/>
              </w:rPr>
              <w:t>3</w:t>
            </w:r>
            <w:r>
              <w:rPr>
                <w:rFonts w:hint="eastAsia" w:ascii="Times New Roman" w:hAnsi="Times New Roman" w:eastAsia="宋体" w:cs="Times New Roman"/>
                <w:b w:val="0"/>
                <w:bCs w:val="0"/>
                <w:color w:val="auto"/>
                <w:sz w:val="24"/>
                <w:lang w:val="en-US" w:eastAsia="zh-CN"/>
              </w:rPr>
              <w:t>挖掘机直接挖料到基坑外，设计开挖边坡均为</w:t>
            </w:r>
            <w:r>
              <w:rPr>
                <w:rFonts w:hint="default" w:ascii="Times New Roman" w:hAnsi="Times New Roman" w:eastAsia="宋体" w:cs="Times New Roman"/>
                <w:b w:val="0"/>
                <w:bCs w:val="0"/>
                <w:color w:val="auto"/>
                <w:sz w:val="24"/>
                <w:lang w:val="en-US" w:eastAsia="zh-CN"/>
              </w:rPr>
              <w:t>1:1.5</w:t>
            </w:r>
            <w:r>
              <w:rPr>
                <w:rFonts w:hint="eastAsia" w:ascii="Times New Roman" w:hAnsi="Times New Roman" w:eastAsia="宋体" w:cs="Times New Roman"/>
                <w:b w:val="0"/>
                <w:bCs w:val="0"/>
                <w:color w:val="auto"/>
                <w:sz w:val="24"/>
                <w:lang w:val="en-US" w:eastAsia="zh-CN"/>
              </w:rPr>
              <w:t>。因建筑物的基础开挖轴线要准确无误，应进行复查后进行开挖，采用机械挖至设计高程的</w:t>
            </w:r>
            <w:r>
              <w:rPr>
                <w:rFonts w:hint="default" w:ascii="Times New Roman" w:hAnsi="Times New Roman" w:eastAsia="宋体" w:cs="Times New Roman"/>
                <w:b w:val="0"/>
                <w:bCs w:val="0"/>
                <w:color w:val="auto"/>
                <w:sz w:val="24"/>
                <w:lang w:val="en-US" w:eastAsia="zh-CN"/>
              </w:rPr>
              <w:t>+10cm</w:t>
            </w:r>
            <w:r>
              <w:rPr>
                <w:rFonts w:hint="eastAsia" w:ascii="Times New Roman" w:hAnsi="Times New Roman" w:eastAsia="宋体" w:cs="Times New Roman"/>
                <w:b w:val="0"/>
                <w:bCs w:val="0"/>
                <w:color w:val="auto"/>
                <w:sz w:val="24"/>
                <w:lang w:val="en-US" w:eastAsia="zh-CN"/>
              </w:rPr>
              <w:t>时，人工清理剩余土方。</w:t>
            </w:r>
          </w:p>
          <w:p w14:paraId="248B8560">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立模板：在建筑物地基处理后，先用素砼铺一层</w:t>
            </w:r>
            <w:r>
              <w:rPr>
                <w:rFonts w:hint="default" w:ascii="Times New Roman" w:hAnsi="Times New Roman" w:eastAsia="宋体" w:cs="Times New Roman"/>
                <w:b w:val="0"/>
                <w:bCs w:val="0"/>
                <w:color w:val="auto"/>
                <w:sz w:val="24"/>
                <w:lang w:val="en-US" w:eastAsia="zh-CN"/>
              </w:rPr>
              <w:t>8~10cm</w:t>
            </w:r>
            <w:r>
              <w:rPr>
                <w:rFonts w:hint="eastAsia" w:ascii="Times New Roman" w:hAnsi="Times New Roman" w:eastAsia="宋体" w:cs="Times New Roman"/>
                <w:b w:val="0"/>
                <w:bCs w:val="0"/>
                <w:color w:val="auto"/>
                <w:sz w:val="24"/>
                <w:lang w:val="en-US" w:eastAsia="zh-CN"/>
              </w:rPr>
              <w:t>垫层，以保护地基，找平地面后立模板。模板应尽量采用定型组合模板，钢模板的支撑固定采用</w:t>
            </w:r>
            <w:r>
              <w:rPr>
                <w:rFonts w:hint="default" w:ascii="Times New Roman" w:hAnsi="Times New Roman" w:eastAsia="宋体" w:cs="Times New Roman"/>
                <w:b w:val="0"/>
                <w:bCs w:val="0"/>
                <w:color w:val="auto"/>
                <w:sz w:val="24"/>
                <w:lang w:val="en-US" w:eastAsia="zh-CN"/>
              </w:rPr>
              <w:t>U"</w:t>
            </w:r>
            <w:r>
              <w:rPr>
                <w:rFonts w:hint="eastAsia" w:ascii="Times New Roman" w:hAnsi="Times New Roman" w:eastAsia="宋体" w:cs="Times New Roman"/>
                <w:b w:val="0"/>
                <w:bCs w:val="0"/>
                <w:color w:val="auto"/>
                <w:sz w:val="24"/>
                <w:lang w:val="en-US" w:eastAsia="zh-CN"/>
              </w:rPr>
              <w:t>型卡，勾头螺丝杆，加固采用钢管支撑。管卡内撑进行钢性联接，以确保浇筑砼的过程中模板不变形，保证结构的浇筑尺寸，模板误差要小于验评标准要求。</w:t>
            </w:r>
          </w:p>
          <w:p w14:paraId="5AE78088">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钢筋加工安装：钢筋加工要严格按设计图加工制作，钢筋车运输钢筋，安装方式采用绑扎和手工电弧焊接，钢筋绑扎要求整齐、牢固。</w:t>
            </w:r>
          </w:p>
          <w:p w14:paraId="2319E134">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砼浇筑：配合比严格按实验室提供的配合比，所用的砂石料均应进行清洗与过秤，控制水灰比及坍落度，砼拌合站设专职监督员，进行现场控制，不符合要求的砼不允许出机，砼运输采用人工推车运到工作部位，人工入仓，对于大体积砼用振动棒进行振捣，砼板用平板振动器进行振捣。振捣必须密实，严禁出现蜂窝麻面现象。浇完的砼表面要覆盖酒水养护到规范规定的天数，使砼强度达到设计要求。</w:t>
            </w:r>
          </w:p>
          <w:p w14:paraId="131EC485">
            <w:pPr>
              <w:adjustRightInd w:val="0"/>
              <w:snapToGrid w:val="0"/>
              <w:spacing w:line="360" w:lineRule="auto"/>
              <w:ind w:firstLine="480" w:firstLineChars="200"/>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回填：砼达到</w:t>
            </w:r>
            <w:r>
              <w:rPr>
                <w:rFonts w:hint="default" w:ascii="Times New Roman" w:hAnsi="Times New Roman" w:eastAsia="宋体" w:cs="Times New Roman"/>
                <w:b w:val="0"/>
                <w:bCs w:val="0"/>
                <w:color w:val="auto"/>
                <w:sz w:val="24"/>
                <w:lang w:val="en-US" w:eastAsia="zh-CN"/>
              </w:rPr>
              <w:t>80%</w:t>
            </w:r>
            <w:r>
              <w:rPr>
                <w:rFonts w:hint="eastAsia" w:ascii="Times New Roman" w:hAnsi="Times New Roman" w:eastAsia="宋体" w:cs="Times New Roman"/>
                <w:b w:val="0"/>
                <w:bCs w:val="0"/>
                <w:color w:val="auto"/>
                <w:sz w:val="24"/>
                <w:lang w:val="en-US" w:eastAsia="zh-CN"/>
              </w:rPr>
              <w:t>的设计强度后脱模，人工回填夯实基础土方。最后安装金属结构和机械设备并调试启闭运行。</w:t>
            </w:r>
          </w:p>
          <w:p w14:paraId="2EA77990">
            <w:pPr>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渠系建筑物施工要求较高，施工应严格按照设计要求和有关规范施工。渠道的施工不存在影响灌溉的因素，因此渠系建筑物的施工可以与渠道工程同期施工。</w:t>
            </w:r>
          </w:p>
        </w:tc>
      </w:tr>
      <w:tr w14:paraId="3F21C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248" w:type="pct"/>
            <w:noWrap w:val="0"/>
            <w:vAlign w:val="center"/>
          </w:tcPr>
          <w:p w14:paraId="6112F4CD">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其他</w:t>
            </w:r>
          </w:p>
        </w:tc>
        <w:tc>
          <w:tcPr>
            <w:tcW w:w="4751" w:type="pct"/>
            <w:noWrap w:val="0"/>
            <w:vAlign w:val="center"/>
          </w:tcPr>
          <w:p w14:paraId="11EA43FE">
            <w:pPr>
              <w:pStyle w:val="41"/>
              <w:ind w:firstLine="0" w:firstLineChars="0"/>
              <w:jc w:val="center"/>
              <w:rPr>
                <w:rFonts w:hint="default" w:ascii="Times New Roman" w:hAnsi="Times New Roman" w:cs="Times New Roman"/>
                <w:color w:val="auto"/>
                <w:szCs w:val="24"/>
              </w:rPr>
            </w:pPr>
            <w:r>
              <w:rPr>
                <w:rFonts w:hint="default" w:ascii="Times New Roman" w:hAnsi="Times New Roman" w:cs="Times New Roman"/>
                <w:color w:val="auto"/>
                <w:szCs w:val="24"/>
              </w:rPr>
              <w:t>无</w:t>
            </w:r>
          </w:p>
        </w:tc>
      </w:tr>
    </w:tbl>
    <w:p w14:paraId="4F53DDFB">
      <w:pPr>
        <w:pStyle w:val="28"/>
        <w:jc w:val="center"/>
        <w:outlineLvl w:val="0"/>
        <w:rPr>
          <w:rFonts w:hint="default" w:ascii="Times New Roman" w:hAnsi="Times New Roman" w:cs="Times New Roman"/>
          <w:snapToGrid w:val="0"/>
          <w:color w:val="auto"/>
        </w:rPr>
      </w:pPr>
      <w:r>
        <w:rPr>
          <w:rFonts w:hint="default" w:ascii="Times New Roman" w:hAnsi="Times New Roman" w:cs="Times New Roman"/>
          <w:b/>
          <w:bCs/>
          <w:color w:val="auto"/>
        </w:rPr>
        <w:br w:type="page"/>
      </w:r>
      <w:bookmarkStart w:id="16" w:name="_Toc16566"/>
      <w:bookmarkStart w:id="17" w:name="_Toc18348"/>
      <w:r>
        <w:rPr>
          <w:rFonts w:hint="default" w:ascii="Times New Roman" w:hAnsi="Times New Roman" w:eastAsia="黑体" w:cs="Times New Roman"/>
          <w:snapToGrid w:val="0"/>
          <w:color w:val="auto"/>
          <w:sz w:val="30"/>
          <w:szCs w:val="30"/>
        </w:rPr>
        <w:t>三、生态环境现状、保护目标及评价标准</w:t>
      </w:r>
      <w:bookmarkEnd w:id="16"/>
      <w:bookmarkEnd w:id="17"/>
    </w:p>
    <w:tbl>
      <w:tblPr>
        <w:tblStyle w:val="3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8073"/>
      </w:tblGrid>
      <w:tr w14:paraId="0AA5C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noWrap w:val="0"/>
            <w:vAlign w:val="center"/>
          </w:tcPr>
          <w:p w14:paraId="71399274">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生态环境现状</w:t>
            </w:r>
          </w:p>
        </w:tc>
        <w:tc>
          <w:tcPr>
            <w:tcW w:w="4578" w:type="pct"/>
            <w:noWrap w:val="0"/>
            <w:vAlign w:val="center"/>
          </w:tcPr>
          <w:p w14:paraId="23BCB64B">
            <w:pPr>
              <w:keepNext w:val="0"/>
              <w:keepLines w:val="0"/>
              <w:pageBreakBefore w:val="0"/>
              <w:widowControl w:val="0"/>
              <w:numPr>
                <w:ilvl w:val="0"/>
                <w:numId w:val="9"/>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生态环境现状</w:t>
            </w:r>
          </w:p>
          <w:p w14:paraId="691D894F">
            <w:pPr>
              <w:numPr>
                <w:ilvl w:val="0"/>
                <w:numId w:val="0"/>
              </w:numPr>
              <w:adjustRightInd w:val="0"/>
              <w:snapToGrid w:val="0"/>
              <w:spacing w:line="360" w:lineRule="auto"/>
              <w:ind w:firstLine="482" w:firstLineChars="200"/>
              <w:rPr>
                <w:rFonts w:hint="default" w:ascii="Times New Roman" w:hAnsi="Times New Roman" w:cs="Times New Roman"/>
                <w:b/>
                <w:bCs/>
                <w:color w:val="auto"/>
                <w:kern w:val="0"/>
                <w:sz w:val="24"/>
                <w:lang w:val="en-US" w:eastAsia="zh-CN"/>
              </w:rPr>
            </w:pPr>
            <w:r>
              <w:rPr>
                <w:rFonts w:hint="default" w:ascii="Times New Roman" w:hAnsi="Times New Roman" w:cs="Times New Roman"/>
                <w:b/>
                <w:bCs/>
                <w:color w:val="auto"/>
                <w:kern w:val="0"/>
                <w:sz w:val="24"/>
                <w:lang w:val="en-US" w:eastAsia="zh-CN"/>
              </w:rPr>
              <w:t>1.1主体功能区划</w:t>
            </w:r>
          </w:p>
          <w:p w14:paraId="7365E0DE">
            <w:pPr>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根据《新疆主体功能区划》，项目位于国家级农产品生产区，在全面提升农产品主产区发展水平的同时，从确保新疆及国家粮食安全和食物安全的大局出发，充分发挥各地比较优势，促进农业向区域化、标准化、规模化、产业化方向发展，加强农产品粮食和加工原料供给主导功能，提升农业综合生产能力和整体竞争力，推进粮食、棉花、特色林果和畜牧业发展，重点建设以“天北与天南两带”为主体的国家级农产品主产区。</w:t>
            </w:r>
          </w:p>
          <w:p w14:paraId="79283D47">
            <w:pPr>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本项目区位于天山北坡主产区，</w:t>
            </w:r>
            <w:r>
              <w:rPr>
                <w:rFonts w:hint="eastAsia" w:cs="Times New Roman"/>
                <w:color w:val="auto"/>
                <w:kern w:val="0"/>
                <w:sz w:val="24"/>
                <w:lang w:val="en-US" w:eastAsia="zh-CN"/>
              </w:rPr>
              <w:t>即</w:t>
            </w:r>
            <w:r>
              <w:rPr>
                <w:rFonts w:hint="default" w:ascii="Times New Roman" w:hAnsi="Times New Roman" w:cs="Times New Roman"/>
                <w:color w:val="auto"/>
                <w:kern w:val="0"/>
                <w:sz w:val="24"/>
              </w:rPr>
              <w:t>是奇台县主要的农牧业产区，也是工农业经济发展的中心和领头灌区。以种植小麦、大麦、玉米、油料、果林牧草等作物为主，是奇台县乃至全昌吉州的粮、油、畜产品基地之一。</w:t>
            </w:r>
          </w:p>
          <w:p w14:paraId="3BC70483">
            <w:pPr>
              <w:adjustRightInd w:val="0"/>
              <w:snapToGrid w:val="0"/>
              <w:spacing w:line="360" w:lineRule="auto"/>
              <w:ind w:firstLine="482" w:firstLineChars="200"/>
              <w:rPr>
                <w:rFonts w:hint="default" w:ascii="Times New Roman" w:hAnsi="Times New Roman" w:eastAsia="宋体" w:cs="Times New Roman"/>
                <w:b/>
                <w:bCs/>
                <w:color w:val="auto"/>
                <w:kern w:val="0"/>
                <w:sz w:val="24"/>
                <w:lang w:val="en-US" w:eastAsia="zh-CN"/>
              </w:rPr>
            </w:pPr>
            <w:r>
              <w:rPr>
                <w:rFonts w:hint="default" w:ascii="Times New Roman" w:hAnsi="Times New Roman" w:cs="Times New Roman"/>
                <w:b/>
                <w:bCs/>
                <w:color w:val="auto"/>
                <w:kern w:val="0"/>
                <w:sz w:val="24"/>
                <w:lang w:val="en-US" w:eastAsia="zh-CN"/>
              </w:rPr>
              <w:t>1.2生态功能区划</w:t>
            </w:r>
          </w:p>
          <w:p w14:paraId="0099EA8D">
            <w:pPr>
              <w:adjustRightInd w:val="0"/>
              <w:snapToGrid w:val="0"/>
              <w:spacing w:line="360" w:lineRule="auto"/>
              <w:ind w:firstLine="480" w:firstLineChars="200"/>
              <w:rPr>
                <w:rFonts w:hint="eastAsia" w:cs="Times New Roman"/>
                <w:color w:val="auto"/>
                <w:kern w:val="0"/>
                <w:sz w:val="24"/>
                <w:lang w:eastAsia="zh-CN"/>
              </w:rPr>
            </w:pPr>
            <w:r>
              <w:rPr>
                <w:rFonts w:hint="default" w:ascii="Times New Roman" w:hAnsi="Times New Roman" w:eastAsia="宋体" w:cs="Times New Roman"/>
                <w:color w:val="auto"/>
                <w:kern w:val="0"/>
                <w:sz w:val="24"/>
              </w:rPr>
              <w:t>本项目位于奇台县</w:t>
            </w:r>
            <w:r>
              <w:rPr>
                <w:rFonts w:hint="eastAsia" w:cs="Times New Roman"/>
                <w:color w:val="auto"/>
                <w:kern w:val="0"/>
                <w:sz w:val="24"/>
                <w:lang w:val="en-US" w:eastAsia="zh-CN"/>
              </w:rPr>
              <w:t>碧流河</w:t>
            </w:r>
            <w:r>
              <w:rPr>
                <w:rFonts w:hint="default" w:ascii="Times New Roman" w:hAnsi="Times New Roman" w:eastAsia="宋体" w:cs="Times New Roman"/>
                <w:color w:val="auto"/>
                <w:kern w:val="0"/>
                <w:sz w:val="24"/>
              </w:rPr>
              <w:t>镇，根据《新疆生态功能区划》，本项目属于Ⅱ准噶尔盆地温性荒漠与绿洲农业生态区-Ⅱ</w:t>
            </w:r>
            <w:r>
              <w:rPr>
                <w:rFonts w:hint="default" w:ascii="Times New Roman" w:hAnsi="Times New Roman" w:eastAsia="宋体" w:cs="Times New Roman"/>
                <w:color w:val="auto"/>
                <w:kern w:val="0"/>
                <w:sz w:val="24"/>
                <w:vertAlign w:val="subscript"/>
              </w:rPr>
              <w:t>5</w:t>
            </w:r>
            <w:r>
              <w:rPr>
                <w:rFonts w:hint="default" w:ascii="Times New Roman" w:hAnsi="Times New Roman" w:eastAsia="宋体" w:cs="Times New Roman"/>
                <w:color w:val="auto"/>
                <w:kern w:val="0"/>
                <w:sz w:val="24"/>
              </w:rPr>
              <w:t>准噶尔盆地南部荒漠绿洲农业生态亚区-28.阜康—木垒绿洲农业、荒漠草地保护生态功能区。项目区生态功能区划见表3-</w:t>
            </w:r>
            <w:r>
              <w:rPr>
                <w:rFonts w:hint="eastAsia" w:cs="Times New Roman"/>
                <w:color w:val="auto"/>
                <w:kern w:val="0"/>
                <w:sz w:val="24"/>
                <w:lang w:val="en-US" w:eastAsia="zh-CN"/>
              </w:rPr>
              <w:t>1</w:t>
            </w:r>
            <w:r>
              <w:rPr>
                <w:rFonts w:hint="default" w:ascii="Times New Roman" w:hAnsi="Times New Roman" w:eastAsia="宋体" w:cs="Times New Roman"/>
                <w:color w:val="auto"/>
                <w:kern w:val="0"/>
                <w:sz w:val="24"/>
              </w:rPr>
              <w:t>，项目生态功能区划见附图</w:t>
            </w:r>
            <w:r>
              <w:rPr>
                <w:rFonts w:hint="eastAsia" w:cs="Times New Roman"/>
                <w:color w:val="auto"/>
                <w:kern w:val="0"/>
                <w:sz w:val="24"/>
                <w:lang w:eastAsia="zh-CN"/>
              </w:rPr>
              <w:t>。</w:t>
            </w:r>
          </w:p>
          <w:p w14:paraId="5EEF2CE4">
            <w:pPr>
              <w:adjustRightInd w:val="0"/>
              <w:snapToGrid w:val="0"/>
              <w:spacing w:line="360" w:lineRule="auto"/>
              <w:ind w:firstLine="480" w:firstLineChars="200"/>
              <w:rPr>
                <w:rFonts w:hint="eastAsia" w:ascii="Times New Roman" w:hAnsi="Times New Roman" w:eastAsia="宋体" w:cs="Times New Roman"/>
                <w:color w:val="auto"/>
                <w:kern w:val="0"/>
                <w:sz w:val="24"/>
                <w:lang w:eastAsia="zh-CN"/>
              </w:rPr>
            </w:pPr>
            <w:r>
              <w:rPr>
                <w:rFonts w:hint="eastAsia" w:ascii="Times New Roman" w:hAnsi="Times New Roman" w:eastAsia="宋体" w:cs="Times New Roman"/>
                <w:color w:val="auto"/>
                <w:kern w:val="0"/>
                <w:sz w:val="24"/>
                <w:lang w:eastAsia="zh-CN"/>
              </w:rPr>
              <w:t>经现场调查项目区内无珍惜动植物，无国家和地方各级人民政府批准设立的“自然保护区、森林公园、风景名胜区、文物古迹、地质遗址”等特殊的环境保护目标。项目的实施可减少沿渠水土流失，减少淤积灾害，有利于提高灌区的引水条件，提高输水效率；过水能力和抗冲能力有效提高，保障沿渠农田、道路和公共设施的安全运行；有效控制地下水位及土壤盐碱化程度。项目建设符合《新疆生态功能区划》要求。</w:t>
            </w:r>
          </w:p>
          <w:p w14:paraId="3663E893">
            <w:pPr>
              <w:pStyle w:val="48"/>
              <w:spacing w:line="360" w:lineRule="auto"/>
              <w:ind w:firstLine="0" w:firstLineChars="0"/>
              <w:jc w:val="center"/>
              <w:textAlignment w:val="baseline"/>
              <w:rPr>
                <w:rFonts w:hint="default" w:ascii="Times New Roman" w:hAnsi="Times New Roman" w:eastAsia="宋体" w:cs="Times New Roman"/>
                <w:b/>
                <w:bCs w:val="0"/>
                <w:snapToGrid w:val="0"/>
                <w:color w:val="auto"/>
                <w:sz w:val="24"/>
                <w:szCs w:val="24"/>
              </w:rPr>
            </w:pPr>
            <w:r>
              <w:rPr>
                <w:rFonts w:hint="default" w:ascii="Times New Roman" w:hAnsi="Times New Roman" w:eastAsia="宋体" w:cs="Times New Roman"/>
                <w:b/>
                <w:bCs w:val="0"/>
                <w:snapToGrid w:val="0"/>
                <w:color w:val="auto"/>
                <w:sz w:val="24"/>
                <w:szCs w:val="24"/>
              </w:rPr>
              <w:t>表3-1项目区生态功能区划简表</w:t>
            </w:r>
          </w:p>
          <w:tbl>
            <w:tblPr>
              <w:tblStyle w:val="31"/>
              <w:tblW w:w="8078" w:type="dxa"/>
              <w:tblInd w:w="-108"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326"/>
              <w:gridCol w:w="1323"/>
              <w:gridCol w:w="922"/>
              <w:gridCol w:w="922"/>
              <w:gridCol w:w="922"/>
              <w:gridCol w:w="779"/>
              <w:gridCol w:w="1056"/>
              <w:gridCol w:w="828"/>
            </w:tblGrid>
            <w:tr w14:paraId="70AD37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1639" w:type="pct"/>
                  <w:gridSpan w:val="2"/>
                  <w:tcBorders>
                    <w:tl2br w:val="nil"/>
                    <w:tr2bl w:val="nil"/>
                  </w:tcBorders>
                  <w:noWrap w:val="0"/>
                  <w:vAlign w:val="center"/>
                </w:tcPr>
                <w:p w14:paraId="063DDD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生态功能分区单元</w:t>
                  </w:r>
                </w:p>
              </w:tc>
              <w:tc>
                <w:tcPr>
                  <w:tcW w:w="570" w:type="pct"/>
                  <w:vMerge w:val="restart"/>
                  <w:tcBorders>
                    <w:tl2br w:val="nil"/>
                    <w:tr2bl w:val="nil"/>
                  </w:tcBorders>
                  <w:noWrap w:val="0"/>
                  <w:vAlign w:val="center"/>
                </w:tcPr>
                <w:p w14:paraId="0AD58E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主要生态服务功能</w:t>
                  </w:r>
                </w:p>
              </w:tc>
              <w:tc>
                <w:tcPr>
                  <w:tcW w:w="570" w:type="pct"/>
                  <w:vMerge w:val="restart"/>
                  <w:tcBorders>
                    <w:tl2br w:val="nil"/>
                    <w:tr2bl w:val="nil"/>
                  </w:tcBorders>
                  <w:noWrap w:val="0"/>
                  <w:vAlign w:val="center"/>
                </w:tcPr>
                <w:p w14:paraId="43286E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主要生态功能问题</w:t>
                  </w:r>
                </w:p>
              </w:tc>
              <w:tc>
                <w:tcPr>
                  <w:tcW w:w="570" w:type="pct"/>
                  <w:vMerge w:val="restart"/>
                  <w:tcBorders>
                    <w:tl2br w:val="nil"/>
                    <w:tr2bl w:val="nil"/>
                  </w:tcBorders>
                  <w:noWrap w:val="0"/>
                  <w:vAlign w:val="center"/>
                </w:tcPr>
                <w:p w14:paraId="78ABAA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主要生态敏感因子、敏感程度</w:t>
                  </w:r>
                </w:p>
              </w:tc>
              <w:tc>
                <w:tcPr>
                  <w:tcW w:w="482" w:type="pct"/>
                  <w:vMerge w:val="restart"/>
                  <w:tcBorders>
                    <w:tl2br w:val="nil"/>
                    <w:tr2bl w:val="nil"/>
                  </w:tcBorders>
                  <w:noWrap w:val="0"/>
                  <w:vAlign w:val="center"/>
                </w:tcPr>
                <w:p w14:paraId="4D756D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主要保护目标</w:t>
                  </w:r>
                </w:p>
              </w:tc>
              <w:tc>
                <w:tcPr>
                  <w:tcW w:w="653" w:type="pct"/>
                  <w:vMerge w:val="restart"/>
                  <w:tcBorders>
                    <w:tl2br w:val="nil"/>
                    <w:tr2bl w:val="nil"/>
                  </w:tcBorders>
                  <w:noWrap w:val="0"/>
                  <w:vAlign w:val="center"/>
                </w:tcPr>
                <w:p w14:paraId="106400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主要保护措施</w:t>
                  </w:r>
                </w:p>
              </w:tc>
              <w:tc>
                <w:tcPr>
                  <w:tcW w:w="512" w:type="pct"/>
                  <w:vMerge w:val="restart"/>
                  <w:tcBorders>
                    <w:tl2br w:val="nil"/>
                    <w:tr2bl w:val="nil"/>
                  </w:tcBorders>
                  <w:noWrap w:val="0"/>
                  <w:vAlign w:val="center"/>
                </w:tcPr>
                <w:p w14:paraId="59FAE6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适宜发展方向</w:t>
                  </w:r>
                </w:p>
              </w:tc>
            </w:tr>
            <w:tr w14:paraId="04E276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821" w:type="pct"/>
                  <w:tcBorders>
                    <w:tl2br w:val="nil"/>
                    <w:tr2bl w:val="nil"/>
                  </w:tcBorders>
                  <w:noWrap w:val="0"/>
                  <w:vAlign w:val="center"/>
                </w:tcPr>
                <w:p w14:paraId="1BBE6F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49"/>
                      <w:rFonts w:hint="default" w:ascii="Times New Roman" w:hAnsi="Times New Roman" w:cs="Times New Roman"/>
                      <w:b/>
                      <w:bCs/>
                      <w:color w:val="auto"/>
                      <w:sz w:val="21"/>
                      <w:szCs w:val="21"/>
                      <w:lang w:val="en-US" w:eastAsia="zh-CN" w:bidi="ar"/>
                    </w:rPr>
                    <w:t>生态亚区</w:t>
                  </w:r>
                </w:p>
              </w:tc>
              <w:tc>
                <w:tcPr>
                  <w:tcW w:w="817" w:type="pct"/>
                  <w:tcBorders>
                    <w:tl2br w:val="nil"/>
                    <w:tr2bl w:val="nil"/>
                  </w:tcBorders>
                  <w:noWrap w:val="0"/>
                  <w:vAlign w:val="center"/>
                </w:tcPr>
                <w:p w14:paraId="26EC29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b/>
                      <w:bCs/>
                      <w:i w:val="0"/>
                      <w:iCs w:val="0"/>
                      <w:color w:val="auto"/>
                      <w:sz w:val="21"/>
                      <w:szCs w:val="21"/>
                      <w:u w:val="none"/>
                    </w:rPr>
                  </w:pPr>
                  <w:r>
                    <w:rPr>
                      <w:rStyle w:val="52"/>
                      <w:rFonts w:hint="default" w:ascii="Times New Roman" w:hAnsi="Times New Roman" w:cs="Times New Roman"/>
                      <w:b/>
                      <w:bCs/>
                      <w:color w:val="auto"/>
                      <w:sz w:val="21"/>
                      <w:szCs w:val="21"/>
                      <w:lang w:val="en-US" w:eastAsia="zh-CN" w:bidi="ar"/>
                    </w:rPr>
                    <w:t>生态功能区</w:t>
                  </w:r>
                </w:p>
              </w:tc>
              <w:tc>
                <w:tcPr>
                  <w:tcW w:w="570" w:type="pct"/>
                  <w:vMerge w:val="continue"/>
                  <w:tcBorders>
                    <w:tl2br w:val="nil"/>
                    <w:tr2bl w:val="nil"/>
                  </w:tcBorders>
                  <w:noWrap w:val="0"/>
                  <w:vAlign w:val="center"/>
                </w:tcPr>
                <w:p w14:paraId="4C6BF7D4">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c>
                <w:tcPr>
                  <w:tcW w:w="570" w:type="pct"/>
                  <w:vMerge w:val="continue"/>
                  <w:tcBorders>
                    <w:tl2br w:val="nil"/>
                    <w:tr2bl w:val="nil"/>
                  </w:tcBorders>
                  <w:noWrap w:val="0"/>
                  <w:vAlign w:val="center"/>
                </w:tcPr>
                <w:p w14:paraId="759510A6">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c>
                <w:tcPr>
                  <w:tcW w:w="570" w:type="pct"/>
                  <w:vMerge w:val="continue"/>
                  <w:tcBorders>
                    <w:tl2br w:val="nil"/>
                    <w:tr2bl w:val="nil"/>
                  </w:tcBorders>
                  <w:noWrap w:val="0"/>
                  <w:vAlign w:val="center"/>
                </w:tcPr>
                <w:p w14:paraId="37EB0639">
                  <w:pPr>
                    <w:keepNext w:val="0"/>
                    <w:keepLines w:val="0"/>
                    <w:pageBreakBefore w:val="0"/>
                    <w:widowControl/>
                    <w:kinsoku/>
                    <w:wordWrap/>
                    <w:overflowPunct/>
                    <w:topLinePunct w:val="0"/>
                    <w:autoSpaceDE/>
                    <w:autoSpaceDN/>
                    <w:bidi w:val="0"/>
                    <w:adjustRightInd/>
                    <w:snapToGrid/>
                    <w:jc w:val="right"/>
                    <w:rPr>
                      <w:rFonts w:hint="default" w:ascii="Times New Roman" w:hAnsi="Times New Roman" w:cs="Times New Roman"/>
                      <w:i w:val="0"/>
                      <w:iCs w:val="0"/>
                      <w:color w:val="auto"/>
                      <w:sz w:val="21"/>
                      <w:szCs w:val="21"/>
                      <w:u w:val="none"/>
                    </w:rPr>
                  </w:pPr>
                </w:p>
              </w:tc>
              <w:tc>
                <w:tcPr>
                  <w:tcW w:w="482" w:type="pct"/>
                  <w:vMerge w:val="continue"/>
                  <w:tcBorders>
                    <w:tl2br w:val="nil"/>
                    <w:tr2bl w:val="nil"/>
                  </w:tcBorders>
                  <w:noWrap w:val="0"/>
                  <w:vAlign w:val="center"/>
                </w:tcPr>
                <w:p w14:paraId="2C48DFB0">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i w:val="0"/>
                      <w:iCs w:val="0"/>
                      <w:color w:val="auto"/>
                      <w:sz w:val="21"/>
                      <w:szCs w:val="21"/>
                      <w:u w:val="none"/>
                    </w:rPr>
                  </w:pPr>
                </w:p>
              </w:tc>
              <w:tc>
                <w:tcPr>
                  <w:tcW w:w="653" w:type="pct"/>
                  <w:vMerge w:val="continue"/>
                  <w:tcBorders>
                    <w:tl2br w:val="nil"/>
                    <w:tr2bl w:val="nil"/>
                  </w:tcBorders>
                  <w:noWrap w:val="0"/>
                  <w:vAlign w:val="center"/>
                </w:tcPr>
                <w:p w14:paraId="50D0C240">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c>
                <w:tcPr>
                  <w:tcW w:w="512" w:type="pct"/>
                  <w:vMerge w:val="continue"/>
                  <w:tcBorders>
                    <w:tl2br w:val="nil"/>
                    <w:tr2bl w:val="nil"/>
                  </w:tcBorders>
                  <w:noWrap w:val="0"/>
                  <w:vAlign w:val="center"/>
                </w:tcPr>
                <w:p w14:paraId="2842F3A8">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cs="Times New Roman"/>
                      <w:i w:val="0"/>
                      <w:iCs w:val="0"/>
                      <w:color w:val="auto"/>
                      <w:sz w:val="21"/>
                      <w:szCs w:val="21"/>
                      <w:u w:val="none"/>
                    </w:rPr>
                  </w:pPr>
                </w:p>
              </w:tc>
            </w:tr>
            <w:tr w14:paraId="1179E4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10" w:hRule="atLeast"/>
              </w:trPr>
              <w:tc>
                <w:tcPr>
                  <w:tcW w:w="821" w:type="pct"/>
                  <w:tcBorders>
                    <w:tl2br w:val="nil"/>
                    <w:tr2bl w:val="nil"/>
                  </w:tcBorders>
                  <w:noWrap w:val="0"/>
                  <w:vAlign w:val="center"/>
                </w:tcPr>
                <w:p w14:paraId="4FEDC4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color w:val="auto"/>
                      <w:sz w:val="21"/>
                      <w:szCs w:val="21"/>
                    </w:rPr>
                    <w:t>本项目所在区域为准噶尔盆地南部荒漠绿洲农业生态亚区</w:t>
                  </w:r>
                </w:p>
              </w:tc>
              <w:tc>
                <w:tcPr>
                  <w:tcW w:w="817" w:type="pct"/>
                  <w:tcBorders>
                    <w:tl2br w:val="nil"/>
                    <w:tr2bl w:val="nil"/>
                  </w:tcBorders>
                  <w:noWrap w:val="0"/>
                  <w:vAlign w:val="center"/>
                </w:tcPr>
                <w:p w14:paraId="68EFBE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eastAsia="宋体" w:cs="Times New Roman"/>
                      <w:color w:val="auto"/>
                      <w:sz w:val="21"/>
                      <w:szCs w:val="21"/>
                    </w:rPr>
                    <w:t>阜康-木垒绿洲农业、荒漠草地保护生态功能区</w:t>
                  </w:r>
                  <w:r>
                    <w:rPr>
                      <w:rFonts w:hint="default"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28</w:t>
                  </w:r>
                  <w:r>
                    <w:rPr>
                      <w:rFonts w:hint="default" w:ascii="Times New Roman" w:hAnsi="Times New Roman" w:cs="Times New Roman"/>
                      <w:color w:val="auto"/>
                      <w:sz w:val="21"/>
                      <w:szCs w:val="21"/>
                      <w:lang w:eastAsia="zh-CN"/>
                    </w:rPr>
                    <w:t>）</w:t>
                  </w:r>
                </w:p>
              </w:tc>
              <w:tc>
                <w:tcPr>
                  <w:tcW w:w="570" w:type="pct"/>
                  <w:tcBorders>
                    <w:tl2br w:val="nil"/>
                    <w:tr2bl w:val="nil"/>
                  </w:tcBorders>
                  <w:noWrap w:val="0"/>
                  <w:vAlign w:val="center"/>
                </w:tcPr>
                <w:p w14:paraId="2D35262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农牧业产品生产、人居环境、荒漠化控制</w:t>
                  </w:r>
                </w:p>
              </w:tc>
              <w:tc>
                <w:tcPr>
                  <w:tcW w:w="570" w:type="pct"/>
                  <w:tcBorders>
                    <w:tl2br w:val="nil"/>
                    <w:tr2bl w:val="nil"/>
                  </w:tcBorders>
                  <w:noWrap w:val="0"/>
                  <w:vAlign w:val="center"/>
                </w:tcPr>
                <w:p w14:paraId="673A57A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地下水超采、荒漠植被退化、沙漠化威胁、局部土壤盐渍化、河流萎缩、滥开荒地</w:t>
                  </w:r>
                </w:p>
              </w:tc>
              <w:tc>
                <w:tcPr>
                  <w:tcW w:w="570" w:type="pct"/>
                  <w:tcBorders>
                    <w:tl2br w:val="nil"/>
                    <w:tr2bl w:val="nil"/>
                  </w:tcBorders>
                  <w:noWrap w:val="0"/>
                  <w:vAlign w:val="center"/>
                </w:tcPr>
                <w:p w14:paraId="309445B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生物多样性及其生境中度敏感，土壤侵蚀轻度敏感、土地沙漠化中度敏感，土壤盐渍化轻度敏感</w:t>
                  </w:r>
                </w:p>
              </w:tc>
              <w:tc>
                <w:tcPr>
                  <w:tcW w:w="482" w:type="pct"/>
                  <w:tcBorders>
                    <w:tl2br w:val="nil"/>
                    <w:tr2bl w:val="nil"/>
                  </w:tcBorders>
                  <w:noWrap w:val="0"/>
                  <w:vAlign w:val="center"/>
                </w:tcPr>
                <w:p w14:paraId="4BBCC8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保护基本农田、保护荒漠植被、保护土壤环境质量</w:t>
                  </w:r>
                </w:p>
              </w:tc>
              <w:tc>
                <w:tcPr>
                  <w:tcW w:w="653" w:type="pct"/>
                  <w:tcBorders>
                    <w:tl2br w:val="nil"/>
                    <w:tr2bl w:val="nil"/>
                  </w:tcBorders>
                  <w:noWrap w:val="0"/>
                  <w:vAlign w:val="center"/>
                </w:tcPr>
                <w:p w14:paraId="7FD57FE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节水灌溉、草场休牧、对坡耕地和沙化土地实施退耕还林（草），在水源无保障、植被稀少、生态脆弱地带禁止开荒、加强农田投入品的使用管理</w:t>
                  </w:r>
                </w:p>
              </w:tc>
              <w:tc>
                <w:tcPr>
                  <w:tcW w:w="512" w:type="pct"/>
                  <w:tcBorders>
                    <w:tl2br w:val="nil"/>
                    <w:tr2bl w:val="nil"/>
                  </w:tcBorders>
                  <w:noWrap w:val="0"/>
                  <w:vAlign w:val="center"/>
                </w:tcPr>
                <w:p w14:paraId="6CDDD35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cs="Times New Roman"/>
                      <w:i w:val="0"/>
                      <w:iCs w:val="0"/>
                      <w:color w:val="auto"/>
                      <w:sz w:val="21"/>
                      <w:szCs w:val="21"/>
                      <w:u w:val="none"/>
                    </w:rPr>
                  </w:pPr>
                  <w:r>
                    <w:rPr>
                      <w:rFonts w:hint="default" w:ascii="Times New Roman" w:hAnsi="Times New Roman" w:cs="Times New Roman"/>
                      <w:i w:val="0"/>
                      <w:iCs w:val="0"/>
                      <w:color w:val="auto"/>
                      <w:sz w:val="21"/>
                      <w:szCs w:val="21"/>
                      <w:u w:val="none"/>
                    </w:rPr>
                    <w:t>农牧结合，发展优质、高效特色农业和畜牧业</w:t>
                  </w:r>
                </w:p>
              </w:tc>
            </w:tr>
          </w:tbl>
          <w:p w14:paraId="2C01264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474" w:firstLineChars="200"/>
              <w:textAlignment w:val="auto"/>
              <w:rPr>
                <w:rFonts w:hint="default" w:ascii="Times New Roman" w:hAnsi="Times New Roman" w:eastAsia="宋体" w:cs="Times New Roman"/>
                <w:color w:val="auto"/>
                <w:sz w:val="24"/>
                <w:szCs w:val="24"/>
              </w:rPr>
            </w:pPr>
            <w:r>
              <w:rPr>
                <w:rFonts w:hint="eastAsia" w:cs="Times New Roman"/>
                <w:b/>
                <w:bCs/>
                <w:color w:val="auto"/>
                <w:spacing w:val="-2"/>
                <w:sz w:val="24"/>
                <w:szCs w:val="24"/>
                <w:lang w:val="en-US" w:eastAsia="zh-CN"/>
              </w:rPr>
              <w:t>1.3土地利用类型及土壤类型现状</w:t>
            </w:r>
          </w:p>
          <w:p w14:paraId="29746A9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 w:val="0"/>
                <w:bCs/>
                <w:color w:val="auto"/>
                <w:sz w:val="24"/>
                <w:lang w:val="en-US" w:eastAsia="zh-CN"/>
              </w:rPr>
            </w:pPr>
            <w:r>
              <w:rPr>
                <w:rFonts w:hint="default" w:ascii="Times New Roman" w:hAnsi="Times New Roman" w:eastAsia="宋体" w:cs="Times New Roman"/>
                <w:b w:val="0"/>
                <w:bCs/>
                <w:color w:val="auto"/>
                <w:sz w:val="24"/>
                <w:lang w:val="en-US" w:eastAsia="zh-CN"/>
              </w:rPr>
              <w:t>本项目区土壤类型</w:t>
            </w:r>
            <w:r>
              <w:rPr>
                <w:rFonts w:hint="eastAsia" w:cs="Times New Roman"/>
                <w:b w:val="0"/>
                <w:bCs/>
                <w:color w:val="auto"/>
                <w:sz w:val="24"/>
                <w:lang w:val="en-US" w:eastAsia="zh-CN"/>
              </w:rPr>
              <w:t>为黑钙土、淡栗钙土、棕钙土</w:t>
            </w:r>
            <w:r>
              <w:rPr>
                <w:rFonts w:hint="default" w:ascii="Times New Roman" w:hAnsi="Times New Roman" w:eastAsia="宋体" w:cs="Times New Roman"/>
                <w:b w:val="0"/>
                <w:bCs/>
                <w:color w:val="auto"/>
                <w:sz w:val="24"/>
                <w:lang w:val="en-US" w:eastAsia="zh-CN"/>
              </w:rPr>
              <w:t>，项目区周边分布有村庄及耕地，受人类频繁活动影响，区域土壤均以灌耕为主要功能。土壤质地以砂砾质和砾质为主。</w:t>
            </w:r>
          </w:p>
          <w:p w14:paraId="43A02ACA">
            <w:pPr>
              <w:keepNext w:val="0"/>
              <w:keepLines w:val="0"/>
              <w:pageBreakBefore w:val="0"/>
              <w:widowControl w:val="0"/>
              <w:kinsoku/>
              <w:wordWrap/>
              <w:overflowPunct w:val="0"/>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eastAsia="宋体" w:cs="Times New Roman"/>
                <w:b/>
                <w:bCs/>
                <w:color w:val="auto"/>
                <w:kern w:val="0"/>
                <w:sz w:val="24"/>
                <w:szCs w:val="24"/>
                <w:lang w:val="en-US" w:eastAsia="zh-CN"/>
              </w:rPr>
            </w:pPr>
            <w:r>
              <w:rPr>
                <w:rFonts w:hint="eastAsia" w:cs="Times New Roman"/>
                <w:b/>
                <w:bCs/>
                <w:color w:val="auto"/>
                <w:kern w:val="0"/>
                <w:sz w:val="24"/>
                <w:szCs w:val="24"/>
                <w:lang w:val="en-US" w:eastAsia="zh-CN"/>
              </w:rPr>
              <w:t>1.4植被类型现状</w:t>
            </w:r>
          </w:p>
          <w:p w14:paraId="5210C47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 w:val="0"/>
                <w:bCs/>
                <w:color w:val="auto"/>
                <w:sz w:val="24"/>
                <w:lang w:val="en-US" w:eastAsia="zh-CN"/>
              </w:rPr>
            </w:pPr>
            <w:r>
              <w:rPr>
                <w:rFonts w:hint="default" w:ascii="Times New Roman" w:hAnsi="Times New Roman" w:eastAsia="宋体" w:cs="Times New Roman"/>
                <w:b w:val="0"/>
                <w:bCs/>
                <w:color w:val="auto"/>
                <w:sz w:val="24"/>
                <w:lang w:val="en-US" w:eastAsia="zh-CN"/>
              </w:rPr>
              <w:t>项目区周边植被类型为</w:t>
            </w:r>
            <w:r>
              <w:rPr>
                <w:rFonts w:hint="eastAsia" w:cs="Times New Roman"/>
                <w:b w:val="0"/>
                <w:bCs/>
                <w:color w:val="auto"/>
                <w:sz w:val="24"/>
                <w:lang w:val="en-US" w:eastAsia="zh-CN"/>
              </w:rPr>
              <w:t>温带半灌木、矮灌木荒漠、一年一熟粮食作物及耐寒经济作物、落叶果树林。项目区附近主要为</w:t>
            </w:r>
            <w:r>
              <w:rPr>
                <w:rFonts w:hint="default" w:ascii="Times New Roman" w:hAnsi="Times New Roman" w:eastAsia="宋体" w:cs="Times New Roman"/>
                <w:b w:val="0"/>
                <w:bCs/>
                <w:color w:val="auto"/>
                <w:sz w:val="24"/>
                <w:lang w:val="en-US" w:eastAsia="zh-CN"/>
              </w:rPr>
              <w:t>野生荒漠植被及农田，野生荒漠植被主要为披碱草、野麻黄等，植被覆盖率约为15%。在居民点、道路两侧有人工林分布。据实地踏勘和调查了解，渠道改造工程布局范围内没有发现珍稀保护植物分布。评价范围内植被类型见附图</w:t>
            </w:r>
            <w:r>
              <w:rPr>
                <w:rFonts w:hint="eastAsia" w:ascii="Times New Roman" w:hAnsi="Times New Roman" w:eastAsia="宋体" w:cs="Times New Roman"/>
                <w:b w:val="0"/>
                <w:bCs/>
                <w:color w:val="auto"/>
                <w:sz w:val="24"/>
                <w:lang w:val="en-US" w:eastAsia="zh-CN"/>
              </w:rPr>
              <w:t>。</w:t>
            </w:r>
          </w:p>
          <w:p w14:paraId="3A415F6D">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1.5</w:t>
            </w:r>
            <w:r>
              <w:rPr>
                <w:rFonts w:hint="default" w:ascii="Times New Roman" w:hAnsi="Times New Roman" w:cs="Times New Roman"/>
                <w:b/>
                <w:bCs/>
                <w:color w:val="auto"/>
                <w:sz w:val="24"/>
                <w:lang w:val="en-US" w:eastAsia="zh-CN"/>
              </w:rPr>
              <w:t>陆生野生动物现状调查</w:t>
            </w:r>
          </w:p>
          <w:p w14:paraId="3281343C">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项目区位于平原区，区域长期受人为生产和社会活动的影响，无大型野生动物及珍、濒物种出没。常见的有啮齿类鼠、爬行类的沙蜥、鸟类的麻雀、沙雀、鸢、金眶鸻</w:t>
            </w:r>
            <w:r>
              <w:rPr>
                <w:rFonts w:hint="eastAsia" w:cs="Times New Roman"/>
                <w:b w:val="0"/>
                <w:bCs w:val="0"/>
                <w:color w:val="auto"/>
                <w:sz w:val="24"/>
                <w:lang w:val="en-US" w:eastAsia="zh-CN"/>
              </w:rPr>
              <w:t>、</w:t>
            </w:r>
            <w:r>
              <w:rPr>
                <w:rFonts w:hint="default" w:ascii="Times New Roman" w:hAnsi="Times New Roman" w:cs="Times New Roman"/>
                <w:b w:val="0"/>
                <w:bCs w:val="0"/>
                <w:color w:val="auto"/>
                <w:sz w:val="24"/>
                <w:lang w:val="en-US" w:eastAsia="zh-CN"/>
              </w:rPr>
              <w:t>戴胜、云雀</w:t>
            </w:r>
            <w:r>
              <w:rPr>
                <w:rFonts w:hint="eastAsia" w:cs="Times New Roman"/>
                <w:b w:val="0"/>
                <w:bCs w:val="0"/>
                <w:color w:val="auto"/>
                <w:sz w:val="24"/>
                <w:lang w:val="en-US" w:eastAsia="zh-CN"/>
              </w:rPr>
              <w:t>、</w:t>
            </w:r>
            <w:r>
              <w:rPr>
                <w:rFonts w:hint="default" w:ascii="Times New Roman" w:hAnsi="Times New Roman" w:cs="Times New Roman"/>
                <w:b w:val="0"/>
                <w:bCs w:val="0"/>
                <w:color w:val="auto"/>
                <w:sz w:val="24"/>
                <w:lang w:val="en-US" w:eastAsia="zh-CN"/>
              </w:rPr>
              <w:t>鹊鸨等。</w:t>
            </w:r>
          </w:p>
          <w:p w14:paraId="30BBAFF0">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auto"/>
                <w:sz w:val="24"/>
                <w:lang w:val="en-US" w:eastAsia="zh-CN"/>
              </w:rPr>
            </w:pPr>
            <w:r>
              <w:rPr>
                <w:rFonts w:hint="default" w:ascii="Times New Roman" w:hAnsi="Times New Roman" w:cs="Times New Roman"/>
                <w:b w:val="0"/>
                <w:bCs w:val="0"/>
                <w:color w:val="auto"/>
                <w:sz w:val="24"/>
                <w:lang w:val="en-US" w:eastAsia="zh-CN"/>
              </w:rPr>
              <w:t>项目施工期避开农灌期，且项目区无鱼类等水生生物的洄游通道及“三场”等重要生境，项目建设不会对物种多样性及资源量等产生不利影响。</w:t>
            </w:r>
          </w:p>
          <w:p w14:paraId="4956592B">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1.6水土流失现状调查</w:t>
            </w:r>
          </w:p>
          <w:p w14:paraId="21C3EFE4">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项目区位于昌吉州奇台县，根据《全国水土保持规划（</w:t>
            </w:r>
            <w:r>
              <w:rPr>
                <w:rFonts w:hint="default" w:ascii="Times New Roman" w:hAnsi="Times New Roman" w:eastAsia="宋体" w:cs="Times New Roman"/>
                <w:b w:val="0"/>
                <w:bCs w:val="0"/>
                <w:color w:val="auto"/>
                <w:sz w:val="24"/>
                <w:lang w:val="en-US" w:eastAsia="zh-CN"/>
              </w:rPr>
              <w:t>2015-2030</w:t>
            </w:r>
            <w:r>
              <w:rPr>
                <w:rFonts w:hint="eastAsia" w:ascii="Times New Roman" w:hAnsi="Times New Roman" w:eastAsia="宋体" w:cs="Times New Roman"/>
                <w:b w:val="0"/>
                <w:bCs w:val="0"/>
                <w:color w:val="auto"/>
                <w:sz w:val="24"/>
                <w:lang w:val="en-US" w:eastAsia="zh-CN"/>
              </w:rPr>
              <w:t>年）》（水规计〔</w:t>
            </w:r>
            <w:r>
              <w:rPr>
                <w:rFonts w:hint="default" w:ascii="Times New Roman" w:hAnsi="Times New Roman" w:eastAsia="宋体" w:cs="Times New Roman"/>
                <w:b w:val="0"/>
                <w:bCs w:val="0"/>
                <w:color w:val="auto"/>
                <w:sz w:val="24"/>
                <w:lang w:val="en-US" w:eastAsia="zh-CN"/>
              </w:rPr>
              <w:t>2015</w:t>
            </w: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507</w:t>
            </w:r>
            <w:r>
              <w:rPr>
                <w:rFonts w:hint="eastAsia" w:ascii="Times New Roman" w:hAnsi="Times New Roman" w:eastAsia="宋体" w:cs="Times New Roman"/>
                <w:b w:val="0"/>
                <w:bCs w:val="0"/>
                <w:color w:val="auto"/>
                <w:sz w:val="24"/>
                <w:lang w:val="en-US" w:eastAsia="zh-CN"/>
              </w:rPr>
              <w:t>号文），项目区位于北方风沙区，根据“水利部办公厅印发关于做好国家级水土流失重点预防区和重点治理区落地上图成果应用的通知（办水保〔2025〕170号）”，对项目区占地进行上图检索，项目区属于天山北坡国家级水土流失重点预防区，根据“关于印发新疆自治区级水土流失重点预防区和重点治理区复核划分成果的通知</w:t>
            </w:r>
            <w:r>
              <w:rPr>
                <w:rFonts w:hint="eastAsia" w:cs="Times New Roman"/>
                <w:b w:val="0"/>
                <w:bCs w:val="0"/>
                <w:color w:val="auto"/>
                <w:sz w:val="24"/>
                <w:lang w:val="en-US" w:eastAsia="zh-CN"/>
              </w:rPr>
              <w:t>（</w:t>
            </w:r>
            <w:r>
              <w:rPr>
                <w:rFonts w:hint="eastAsia" w:ascii="Times New Roman" w:hAnsi="Times New Roman" w:eastAsia="宋体" w:cs="Times New Roman"/>
                <w:b w:val="0"/>
                <w:bCs w:val="0"/>
                <w:color w:val="auto"/>
                <w:sz w:val="24"/>
                <w:lang w:val="en-US" w:eastAsia="zh-CN"/>
              </w:rPr>
              <w:t>新水办水保</w:t>
            </w:r>
            <w:r>
              <w:rPr>
                <w:rFonts w:hint="eastAsia" w:cs="Times New Roman"/>
                <w:b w:val="0"/>
                <w:bCs w:val="0"/>
                <w:color w:val="auto"/>
                <w:sz w:val="24"/>
                <w:lang w:val="en-US" w:eastAsia="zh-CN"/>
              </w:rPr>
              <w:t>〔2019〕4号）</w:t>
            </w:r>
            <w:r>
              <w:rPr>
                <w:rFonts w:hint="eastAsia" w:ascii="Times New Roman" w:hAnsi="Times New Roman" w:eastAsia="宋体" w:cs="Times New Roman"/>
                <w:b w:val="0"/>
                <w:bCs w:val="0"/>
                <w:color w:val="auto"/>
                <w:sz w:val="24"/>
                <w:lang w:val="en-US" w:eastAsia="zh-CN"/>
              </w:rPr>
              <w:t>”，项目区所属奇台县不涉及自治区级水土流失重点治理区和预防区。</w:t>
            </w:r>
          </w:p>
          <w:p w14:paraId="730C9946">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根据《土壤侵蚀分类分级标准》（</w:t>
            </w:r>
            <w:r>
              <w:rPr>
                <w:rFonts w:hint="default" w:ascii="Times New Roman" w:hAnsi="Times New Roman" w:eastAsia="宋体" w:cs="Times New Roman"/>
                <w:b w:val="0"/>
                <w:bCs w:val="0"/>
                <w:color w:val="auto"/>
                <w:sz w:val="24"/>
                <w:lang w:val="en-US" w:eastAsia="zh-CN"/>
              </w:rPr>
              <w:t>SL190-2007</w:t>
            </w:r>
            <w:r>
              <w:rPr>
                <w:rFonts w:hint="eastAsia" w:ascii="Times New Roman" w:hAnsi="Times New Roman" w:eastAsia="宋体" w:cs="Times New Roman"/>
                <w:b w:val="0"/>
                <w:bCs w:val="0"/>
                <w:color w:val="auto"/>
                <w:sz w:val="24"/>
                <w:lang w:val="en-US" w:eastAsia="zh-CN"/>
              </w:rPr>
              <w:t>）及《新疆维吾尔自治区</w:t>
            </w:r>
            <w:r>
              <w:rPr>
                <w:rFonts w:hint="default" w:ascii="Times New Roman" w:hAnsi="Times New Roman" w:eastAsia="宋体" w:cs="Times New Roman"/>
                <w:b w:val="0"/>
                <w:bCs w:val="0"/>
                <w:color w:val="auto"/>
                <w:sz w:val="24"/>
                <w:lang w:val="en-US" w:eastAsia="zh-CN"/>
              </w:rPr>
              <w:t>202</w:t>
            </w:r>
            <w:r>
              <w:rPr>
                <w:rFonts w:hint="eastAsia" w:ascii="Times New Roman" w:hAnsi="Times New Roman" w:eastAsia="宋体" w:cs="Times New Roman"/>
                <w:b w:val="0"/>
                <w:bCs w:val="0"/>
                <w:color w:val="auto"/>
                <w:sz w:val="24"/>
                <w:lang w:val="en-US" w:eastAsia="zh-CN"/>
              </w:rPr>
              <w:t>4年动态监测年报》，结合项目区现状情况、流域内土壤侵蚀情况、地形地貌情况、气候特征、土壤植被等自然条件情况，最终确定工程区为轻度风力侵蚀区，原地貌土壤侵蚀模数确定为</w:t>
            </w:r>
            <w:r>
              <w:rPr>
                <w:rFonts w:hint="default" w:ascii="Times New Roman" w:hAnsi="Times New Roman" w:eastAsia="宋体" w:cs="Times New Roman"/>
                <w:b w:val="0"/>
                <w:bCs w:val="0"/>
                <w:color w:val="auto"/>
                <w:sz w:val="24"/>
                <w:lang w:val="en-US" w:eastAsia="zh-CN"/>
              </w:rPr>
              <w:t>1300t/km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·a</w:t>
            </w:r>
            <w:r>
              <w:rPr>
                <w:rFonts w:hint="eastAsia" w:ascii="Times New Roman" w:hAnsi="Times New Roman" w:eastAsia="宋体" w:cs="Times New Roman"/>
                <w:b w:val="0"/>
                <w:bCs w:val="0"/>
                <w:color w:val="auto"/>
                <w:sz w:val="24"/>
                <w:lang w:val="en-US" w:eastAsia="zh-CN"/>
              </w:rPr>
              <w:t>，容许土壤流失量确定为</w:t>
            </w:r>
            <w:r>
              <w:rPr>
                <w:rFonts w:hint="default" w:ascii="Times New Roman" w:hAnsi="Times New Roman" w:eastAsia="宋体" w:cs="Times New Roman"/>
                <w:b w:val="0"/>
                <w:bCs w:val="0"/>
                <w:color w:val="auto"/>
                <w:sz w:val="24"/>
                <w:lang w:val="en-US" w:eastAsia="zh-CN"/>
              </w:rPr>
              <w:t>1300t/km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·a</w:t>
            </w:r>
            <w:r>
              <w:rPr>
                <w:rFonts w:hint="eastAsia" w:ascii="Times New Roman" w:hAnsi="Times New Roman" w:eastAsia="宋体" w:cs="Times New Roman"/>
                <w:b w:val="0"/>
                <w:bCs w:val="0"/>
                <w:color w:val="auto"/>
                <w:sz w:val="24"/>
                <w:lang w:val="en-US" w:eastAsia="zh-CN"/>
              </w:rPr>
              <w:t>。</w:t>
            </w:r>
          </w:p>
          <w:p w14:paraId="4B771F86">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1.7沙化土地</w:t>
            </w:r>
          </w:p>
          <w:p w14:paraId="7E172CEB">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根据《新疆第六次沙化监测报告》和《新疆第六次沙化监测监测区分布图》，本项目位于昌吉回族自治州奇台县境内，不涉及沙化土地区域。目前，该地区尚未出现严重沙化问题，但由于气候干旱、风力较大（年平均风速0.85～5.1m/s），仍需持续关注土壤退化和风蚀风险。</w:t>
            </w:r>
          </w:p>
          <w:p w14:paraId="70AC41E8">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1.8流域现状</w:t>
            </w:r>
          </w:p>
          <w:p w14:paraId="2ECD4F80">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（1）流域概况</w:t>
            </w:r>
          </w:p>
          <w:p w14:paraId="6A094D00">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碧流河流域地处奇台县南部，南北长57.25km，东西宽13.5km，流域面积464km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。碧流河乡位于流域的北部，以碧流河出山口为界，南部山区为乔仁乡的牧场。目前，碧流河在出山口处建有底栏栅式引水枢纽工程，平、枯水年份的水量基本全部被拦截引入碧流河乡用于耕地灌溉。</w:t>
            </w:r>
          </w:p>
          <w:p w14:paraId="3034EB2D">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流域地势南高北低，平均海拔1450m，南北气候有较大的差异，北部戈壁区干旱少雨，夏季炎热、冬季寒冷，南部山区降雨较多。</w:t>
            </w:r>
          </w:p>
          <w:p w14:paraId="3102A848">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碧流河流域可分三个地貌单元，南部山区、丘陵区及冲洪积平原区，各区地貌特征如下：</w:t>
            </w:r>
          </w:p>
          <w:p w14:paraId="4A78CE9F">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南部山区海拔高程在1500～3554m，该区雨量充沛，地形复杂。海拔1500～3200m范围适宜发展牧业和林业，是该流域畜牧业和山区林业生产基地。</w:t>
            </w:r>
          </w:p>
          <w:p w14:paraId="2217E327">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丘陵区紧接低山以下的丘陵，海拔1100～1500m，该区由厚层粉土状细土松散堆积而成，由南向北倾斜，平均坡降3</w:t>
            </w: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～5</w:t>
            </w: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，经水流侵蚀而形成梁、槽相间的浅丘地貌形态。在低山附近的梁地基本上都开垦成旱地，丘陵间的槽地地势低平，多半开垦成了水浇地，有利于发展牧业和林业生产。</w:t>
            </w:r>
          </w:p>
          <w:p w14:paraId="47CE2155">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冲洪积平原区海拔高程在650～</w:t>
            </w:r>
            <w:r>
              <w:rPr>
                <w:rFonts w:hint="eastAsia" w:cs="Times New Roman"/>
                <w:b w:val="0"/>
                <w:bCs w:val="0"/>
                <w:color w:val="auto"/>
                <w:sz w:val="24"/>
                <w:lang w:val="en-US" w:eastAsia="zh-CN"/>
              </w:rPr>
              <w:t>1100m</w:t>
            </w:r>
            <w:r>
              <w:rPr>
                <w:rFonts w:hint="default" w:ascii="Times New Roman" w:hAnsi="Times New Roman" w:eastAsia="宋体" w:cs="Times New Roman"/>
                <w:b w:val="0"/>
                <w:bCs w:val="0"/>
                <w:color w:val="auto"/>
                <w:sz w:val="24"/>
                <w:lang w:val="en-US" w:eastAsia="zh-CN"/>
              </w:rPr>
              <w:t>，该区地势平坦，由东南向西北倾斜，略有起伏，坡降为0.5</w:t>
            </w: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～1</w:t>
            </w:r>
            <w:r>
              <w:rPr>
                <w:rFonts w:hint="eastAsia" w:ascii="Times New Roman" w:hAnsi="Times New Roman" w:eastAsia="宋体" w:cs="Times New Roman"/>
                <w:b w:val="0"/>
                <w:bCs w:val="0"/>
                <w:color w:val="auto"/>
                <w:sz w:val="24"/>
                <w:lang w:val="en-US" w:eastAsia="zh-CN"/>
              </w:rPr>
              <w:t>%</w:t>
            </w:r>
            <w:r>
              <w:rPr>
                <w:rFonts w:hint="default" w:ascii="Times New Roman" w:hAnsi="Times New Roman" w:eastAsia="宋体" w:cs="Times New Roman"/>
                <w:b w:val="0"/>
                <w:bCs w:val="0"/>
                <w:color w:val="auto"/>
                <w:sz w:val="24"/>
                <w:lang w:val="en-US" w:eastAsia="zh-CN"/>
              </w:rPr>
              <w:t>，土层随坡降的减少而增大，是流域的主要农业耕作区。</w:t>
            </w:r>
          </w:p>
          <w:p w14:paraId="3D08DA11">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（2）河流水系</w:t>
            </w:r>
          </w:p>
          <w:p w14:paraId="43F8F327">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碧流河发源于博格达山脊北坡的冰峰雪岭处，冰川最高海拔4144m，有大小支流10条，西沟、二道沟和直沟为碧流河的主流，西沟沟长约10km，为4条小型山谷冰川汇集而成，为碧流河最长的支流；直沟发源于中山带，最高海拔3217m，其余支流均发源于博格达山脉的小冰川区。西沟汇合口以下始称碧流河。碧流河全长约60km，在山区段长34km，出山口以上集水面积为175.4km</w:t>
            </w:r>
            <w:r>
              <w:rPr>
                <w:rFonts w:hint="default" w:ascii="Times New Roman" w:hAnsi="Times New Roman" w:eastAsia="宋体" w:cs="Times New Roman"/>
                <w:b w:val="0"/>
                <w:bCs w:val="0"/>
                <w:color w:val="auto"/>
                <w:sz w:val="24"/>
                <w:vertAlign w:val="superscript"/>
                <w:lang w:val="en-US" w:eastAsia="zh-CN"/>
              </w:rPr>
              <w:t>2</w:t>
            </w:r>
            <w:r>
              <w:rPr>
                <w:rFonts w:hint="default" w:ascii="Times New Roman" w:hAnsi="Times New Roman" w:eastAsia="宋体" w:cs="Times New Roman"/>
                <w:b w:val="0"/>
                <w:bCs w:val="0"/>
                <w:color w:val="auto"/>
                <w:sz w:val="24"/>
                <w:lang w:val="en-US" w:eastAsia="zh-CN"/>
              </w:rPr>
              <w:t>。</w:t>
            </w:r>
          </w:p>
          <w:p w14:paraId="6FC0138A">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（3）现有主要水利工程</w:t>
            </w:r>
          </w:p>
          <w:p w14:paraId="74AB02B7">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①渠首工程</w:t>
            </w:r>
          </w:p>
          <w:p w14:paraId="15B07D92">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碧流河渠首水管站位于碧流河出山口处，地理坐标为东经89°33′50″，北纬43°38′08″，集水面积175.4km</w:t>
            </w:r>
            <w:r>
              <w:rPr>
                <w:rFonts w:hint="eastAsia" w:ascii="Times New Roman" w:hAnsi="Times New Roman" w:eastAsia="宋体" w:cs="Times New Roman"/>
                <w:b w:val="0"/>
                <w:bCs w:val="0"/>
                <w:color w:val="auto"/>
                <w:sz w:val="24"/>
                <w:vertAlign w:val="superscript"/>
                <w:lang w:val="en-US" w:eastAsia="zh-CN"/>
              </w:rPr>
              <w:t>2</w:t>
            </w:r>
            <w:r>
              <w:rPr>
                <w:rFonts w:hint="eastAsia" w:ascii="Times New Roman" w:hAnsi="Times New Roman" w:eastAsia="宋体" w:cs="Times New Roman"/>
                <w:b w:val="0"/>
                <w:bCs w:val="0"/>
                <w:color w:val="auto"/>
                <w:sz w:val="24"/>
                <w:lang w:val="en-US" w:eastAsia="zh-CN"/>
              </w:rPr>
              <w:t>。渠首站建于1958年，1963年动工修建引水工程，1964年5月投入使用。</w:t>
            </w:r>
          </w:p>
          <w:p w14:paraId="4D677D21">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②碧流河水库</w:t>
            </w:r>
          </w:p>
          <w:p w14:paraId="692DE79A">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奇台县碧流河水库是以灌溉供水为主，结合防洪、生活及工业供水。是一座具有综合利用任务的水利工程。主要建筑物有拦河大坝、泄水建筑物、引水建筑物。大坝为2级建筑物，其余为3级建筑物。工程区基本地震烈度为Ⅷ度，主要建筑物设防烈度为</w:t>
            </w:r>
            <w:r>
              <w:rPr>
                <w:rFonts w:hint="default" w:ascii="Times New Roman" w:hAnsi="Times New Roman" w:eastAsia="宋体" w:cs="Times New Roman"/>
                <w:b w:val="0"/>
                <w:bCs w:val="0"/>
                <w:color w:val="auto"/>
                <w:sz w:val="24"/>
                <w:lang w:val="en-US" w:eastAsia="zh-CN"/>
              </w:rPr>
              <w:t>Ⅷ</w:t>
            </w:r>
            <w:r>
              <w:rPr>
                <w:rFonts w:hint="eastAsia" w:ascii="Times New Roman" w:hAnsi="Times New Roman" w:eastAsia="宋体" w:cs="Times New Roman"/>
                <w:b w:val="0"/>
                <w:bCs w:val="0"/>
                <w:color w:val="auto"/>
                <w:sz w:val="24"/>
                <w:lang w:val="en-US" w:eastAsia="zh-CN"/>
              </w:rPr>
              <w:t>度，为中型</w:t>
            </w:r>
            <w:r>
              <w:rPr>
                <w:rFonts w:hint="default" w:ascii="Times New Roman" w:hAnsi="Times New Roman" w:eastAsia="宋体" w:cs="Times New Roman"/>
                <w:b w:val="0"/>
                <w:bCs w:val="0"/>
                <w:color w:val="auto"/>
                <w:sz w:val="24"/>
                <w:lang w:val="en-US" w:eastAsia="zh-CN"/>
              </w:rPr>
              <w:t>Ⅲ</w:t>
            </w:r>
            <w:r>
              <w:rPr>
                <w:rFonts w:hint="eastAsia" w:ascii="Times New Roman" w:hAnsi="Times New Roman" w:eastAsia="宋体" w:cs="Times New Roman"/>
                <w:b w:val="0"/>
                <w:bCs w:val="0"/>
                <w:color w:val="auto"/>
                <w:sz w:val="24"/>
                <w:lang w:val="en-US" w:eastAsia="zh-CN"/>
              </w:rPr>
              <w:t>等工程。</w:t>
            </w:r>
          </w:p>
          <w:p w14:paraId="0A8A826F">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坝型碾压式沥青砼心墙坝，坝长175.00m，最大坝高84.80m，水库总库容1440万m³，正常蓄水位1734.00m，相应库容1190万m³，兴利库容1040万m³；死水位1701.50m，死库容150万m³。输水洞设计过流90.00m ³/s，溢洪道设计过流78.00m³/s。2020年批准春季最高水位为1737.70m，相应库容为1432.38</w:t>
            </w:r>
            <w:r>
              <w:rPr>
                <w:rFonts w:hint="eastAsia" w:cs="Times New Roman"/>
                <w:b w:val="0"/>
                <w:bCs w:val="0"/>
                <w:color w:val="auto"/>
                <w:sz w:val="24"/>
                <w:lang w:val="en-US" w:eastAsia="zh-CN"/>
              </w:rPr>
              <w:t>万</w:t>
            </w:r>
            <w:r>
              <w:rPr>
                <w:rFonts w:hint="eastAsia" w:ascii="Times New Roman" w:hAnsi="Times New Roman" w:eastAsia="宋体" w:cs="Times New Roman"/>
                <w:b w:val="0"/>
                <w:bCs w:val="0"/>
                <w:color w:val="auto"/>
                <w:sz w:val="24"/>
                <w:lang w:val="en-US" w:eastAsia="zh-CN"/>
              </w:rPr>
              <w:t>m³。水库建成后，将下游防护对象的防洪标准5年一遇提高到10年一遇。目前蓄水库容为740.7万m³。</w:t>
            </w:r>
          </w:p>
          <w:p w14:paraId="2490DB98">
            <w:pPr>
              <w:keepNext w:val="0"/>
              <w:keepLines w:val="0"/>
              <w:pageBreakBefore w:val="0"/>
              <w:widowControl w:val="0"/>
              <w:numPr>
                <w:ilvl w:val="0"/>
                <w:numId w:val="0"/>
              </w:numPr>
              <w:kinsoku/>
              <w:wordWrap/>
              <w:overflowPunct w:val="0"/>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 w:val="0"/>
                <w:bCs w:val="0"/>
                <w:color w:val="auto"/>
                <w:sz w:val="24"/>
                <w:lang w:val="en-US" w:eastAsia="zh-CN"/>
              </w:rPr>
            </w:pPr>
            <w:r>
              <w:rPr>
                <w:rFonts w:hint="eastAsia" w:ascii="Times New Roman" w:hAnsi="Times New Roman" w:eastAsia="宋体" w:cs="Times New Roman"/>
                <w:b w:val="0"/>
                <w:bCs w:val="0"/>
                <w:color w:val="auto"/>
                <w:sz w:val="24"/>
                <w:lang w:val="en-US" w:eastAsia="zh-CN"/>
              </w:rPr>
              <w:t>碧流河水库主体工程于2013年9月开工建设，2015年11月25日通过由自治区水利厅组织的截流验收，同月29日完成截流；2018年10月，碧流河水库主体工程已基本完成建设，2018年11月3日完成水库蓄水安全鉴定，2019年5月24日完成由自治区移民管理局组织的征地移民安置蓄水阶段验收，2019年11月7日完成由自治区水利厅组织的蓄水阶段验收，2019年12月3日水库下闸蓄水。</w:t>
            </w:r>
          </w:p>
          <w:p w14:paraId="27318A70">
            <w:pPr>
              <w:keepNext w:val="0"/>
              <w:keepLines w:val="0"/>
              <w:pageBreakBefore w:val="0"/>
              <w:widowControl w:val="0"/>
              <w:numPr>
                <w:ilvl w:val="0"/>
                <w:numId w:val="9"/>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大气环境质量现状</w:t>
            </w:r>
          </w:p>
          <w:p w14:paraId="32ADCFE1">
            <w:pPr>
              <w:pStyle w:val="60"/>
              <w:keepNext w:val="0"/>
              <w:keepLines w:val="0"/>
              <w:pageBreakBefore w:val="0"/>
              <w:widowControl w:val="0"/>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color w:val="auto"/>
                <w:spacing w:val="1"/>
                <w:sz w:val="24"/>
                <w:szCs w:val="24"/>
              </w:rPr>
            </w:pPr>
            <w:r>
              <w:rPr>
                <w:rFonts w:hint="default" w:ascii="Times New Roman" w:hAnsi="Times New Roman" w:cs="Times New Roman"/>
                <w:color w:val="auto"/>
                <w:spacing w:val="1"/>
                <w:sz w:val="24"/>
                <w:szCs w:val="24"/>
              </w:rPr>
              <w:t>本环评根据《环境影响评价技术导则 大气环境》（HJ2.2-2018）对环境质量现状数据的要求，本次基本污染物环境质量现状评价引用《昌吉州2024年环境空气质量报告》中</w:t>
            </w:r>
            <w:r>
              <w:rPr>
                <w:rFonts w:hint="default" w:ascii="Times New Roman" w:hAnsi="Times New Roman" w:cs="Times New Roman"/>
                <w:color w:val="auto"/>
                <w:spacing w:val="1"/>
                <w:sz w:val="24"/>
                <w:szCs w:val="24"/>
                <w:lang w:val="en-US" w:eastAsia="zh-CN"/>
              </w:rPr>
              <w:t>2</w:t>
            </w:r>
            <w:r>
              <w:rPr>
                <w:rFonts w:hint="default" w:ascii="Times New Roman" w:hAnsi="Times New Roman" w:cs="Times New Roman"/>
                <w:color w:val="auto"/>
                <w:spacing w:val="1"/>
                <w:sz w:val="24"/>
                <w:szCs w:val="24"/>
              </w:rPr>
              <w:t>024年奇台县环境空气质量数据进行判定</w:t>
            </w:r>
            <w:r>
              <w:rPr>
                <w:rFonts w:hint="default" w:ascii="Times New Roman" w:hAnsi="Times New Roman" w:cs="Times New Roman"/>
                <w:color w:val="auto"/>
                <w:spacing w:val="1"/>
                <w:sz w:val="24"/>
                <w:szCs w:val="24"/>
                <w:lang w:eastAsia="zh-CN"/>
              </w:rPr>
              <w:t>，</w:t>
            </w:r>
            <w:r>
              <w:rPr>
                <w:rFonts w:hint="default" w:ascii="Times New Roman" w:hAnsi="Times New Roman" w:cs="Times New Roman"/>
                <w:color w:val="auto"/>
                <w:spacing w:val="1"/>
                <w:sz w:val="24"/>
                <w:szCs w:val="24"/>
                <w:lang w:val="en-US" w:eastAsia="zh-CN"/>
              </w:rPr>
              <w:t>本次环境空气质量评价标准采用</w:t>
            </w:r>
            <w:r>
              <w:rPr>
                <w:rFonts w:hint="default" w:ascii="Times New Roman" w:hAnsi="Times New Roman" w:cs="Times New Roman"/>
                <w:b w:val="0"/>
                <w:bCs w:val="0"/>
                <w:color w:val="auto"/>
                <w:spacing w:val="-3"/>
                <w:sz w:val="24"/>
                <w:szCs w:val="24"/>
              </w:rPr>
              <w:t>《环境空气质量标准》（GB3095-20</w:t>
            </w:r>
            <w:r>
              <w:rPr>
                <w:rFonts w:hint="default" w:ascii="Times New Roman" w:hAnsi="Times New Roman" w:cs="Times New Roman"/>
                <w:b w:val="0"/>
                <w:bCs w:val="0"/>
                <w:color w:val="auto"/>
                <w:spacing w:val="-3"/>
                <w:sz w:val="24"/>
                <w:szCs w:val="24"/>
                <w:lang w:val="en-US" w:eastAsia="zh-CN"/>
              </w:rPr>
              <w:t>26</w:t>
            </w:r>
            <w:r>
              <w:rPr>
                <w:rFonts w:hint="default" w:ascii="Times New Roman" w:hAnsi="Times New Roman" w:cs="Times New Roman"/>
                <w:b w:val="0"/>
                <w:bCs w:val="0"/>
                <w:color w:val="auto"/>
                <w:spacing w:val="-3"/>
                <w:sz w:val="24"/>
                <w:szCs w:val="24"/>
              </w:rPr>
              <w:t>）</w:t>
            </w:r>
            <w:r>
              <w:rPr>
                <w:rFonts w:hint="eastAsia" w:ascii="Times New Roman" w:hAnsi="Times New Roman" w:cs="Times New Roman"/>
                <w:b w:val="0"/>
                <w:bCs w:val="0"/>
                <w:color w:val="auto"/>
                <w:spacing w:val="-3"/>
                <w:sz w:val="24"/>
                <w:szCs w:val="24"/>
                <w:lang w:val="en-US" w:eastAsia="zh-CN"/>
              </w:rPr>
              <w:t>表1过渡阶段二级浓度限值</w:t>
            </w:r>
            <w:r>
              <w:rPr>
                <w:rFonts w:hint="default" w:ascii="Times New Roman" w:hAnsi="Times New Roman" w:cs="Times New Roman"/>
                <w:color w:val="auto"/>
                <w:spacing w:val="1"/>
                <w:sz w:val="24"/>
                <w:szCs w:val="24"/>
              </w:rPr>
              <w:t>。</w:t>
            </w:r>
          </w:p>
          <w:p w14:paraId="3E517ED8">
            <w:pPr>
              <w:pStyle w:val="25"/>
              <w:spacing w:line="360" w:lineRule="auto"/>
              <w:jc w:val="center"/>
              <w:rPr>
                <w:rFonts w:hint="eastAsia" w:ascii="Times New Roman" w:hAnsi="Times New Roman" w:eastAsia="宋体" w:cs="Times New Roman"/>
                <w:b/>
                <w:bCs w:val="0"/>
                <w:snapToGrid w:val="0"/>
                <w:color w:val="auto"/>
                <w:sz w:val="24"/>
                <w:szCs w:val="24"/>
                <w:lang w:val="en-US" w:eastAsia="zh-CN"/>
              </w:rPr>
            </w:pPr>
            <w:r>
              <w:rPr>
                <w:rFonts w:hint="default" w:ascii="Times New Roman" w:hAnsi="Times New Roman" w:eastAsia="宋体" w:cs="Times New Roman"/>
                <w:b/>
                <w:bCs w:val="0"/>
                <w:snapToGrid w:val="0"/>
                <w:color w:val="auto"/>
                <w:sz w:val="24"/>
                <w:szCs w:val="24"/>
                <w:lang w:val="en-US" w:eastAsia="zh-CN"/>
              </w:rPr>
              <w:t>表3-</w:t>
            </w:r>
            <w:r>
              <w:rPr>
                <w:rFonts w:hint="eastAsia" w:ascii="Times New Roman" w:hAnsi="Times New Roman" w:eastAsia="宋体" w:cs="Times New Roman"/>
                <w:b/>
                <w:bCs w:val="0"/>
                <w:snapToGrid w:val="0"/>
                <w:color w:val="auto"/>
                <w:sz w:val="24"/>
                <w:szCs w:val="24"/>
                <w:lang w:val="en-US" w:eastAsia="zh-CN"/>
              </w:rPr>
              <w:t>2</w:t>
            </w:r>
            <w:r>
              <w:rPr>
                <w:rFonts w:hint="eastAsia"/>
                <w:b/>
                <w:bCs/>
                <w:color w:val="auto"/>
                <w:spacing w:val="5"/>
                <w:sz w:val="24"/>
                <w:szCs w:val="24"/>
                <w:lang w:val="en-US" w:eastAsia="zh-CN"/>
              </w:rPr>
              <w:t>环境空气质量达标判定结果</w:t>
            </w:r>
          </w:p>
          <w:tbl>
            <w:tblPr>
              <w:tblStyle w:val="59"/>
              <w:tblpPr w:leftFromText="180" w:rightFromText="180" w:vertAnchor="text" w:horzAnchor="page" w:tblpX="82" w:tblpY="12"/>
              <w:tblOverlap w:val="never"/>
              <w:tblW w:w="8051" w:type="dxa"/>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88"/>
              <w:gridCol w:w="1984"/>
              <w:gridCol w:w="1416"/>
              <w:gridCol w:w="1250"/>
              <w:gridCol w:w="1486"/>
              <w:gridCol w:w="1127"/>
            </w:tblGrid>
            <w:tr w14:paraId="30ABDC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88" w:type="dxa"/>
                  <w:tcBorders>
                    <w:tl2br w:val="nil"/>
                    <w:tr2bl w:val="nil"/>
                  </w:tcBorders>
                  <w:vAlign w:val="center"/>
                </w:tcPr>
                <w:p w14:paraId="7FD42955">
                  <w:pPr>
                    <w:pStyle w:val="60"/>
                    <w:keepNext w:val="0"/>
                    <w:keepLines w:val="0"/>
                    <w:pageBreakBefore w:val="0"/>
                    <w:widowControl w:val="0"/>
                    <w:kinsoku/>
                    <w:wordWrap/>
                    <w:overflowPunct/>
                    <w:topLinePunct w:val="0"/>
                    <w:autoSpaceDE/>
                    <w:autoSpaceDN/>
                    <w:bidi w:val="0"/>
                    <w:adjustRightInd w:val="0"/>
                    <w:snapToGrid w:val="0"/>
                    <w:spacing w:line="360" w:lineRule="auto"/>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pacing w:val="3"/>
                      <w:sz w:val="21"/>
                      <w:szCs w:val="21"/>
                    </w:rPr>
                    <w:t>监测</w:t>
                  </w:r>
                  <w:r>
                    <w:rPr>
                      <w:rFonts w:hint="default" w:ascii="Times New Roman" w:hAnsi="Times New Roman" w:eastAsia="宋体" w:cs="Times New Roman"/>
                      <w:b/>
                      <w:bCs/>
                      <w:color w:val="auto"/>
                      <w:spacing w:val="-5"/>
                      <w:sz w:val="21"/>
                      <w:szCs w:val="21"/>
                    </w:rPr>
                    <w:t>因子</w:t>
                  </w:r>
                </w:p>
              </w:tc>
              <w:tc>
                <w:tcPr>
                  <w:tcW w:w="1984" w:type="dxa"/>
                  <w:tcBorders>
                    <w:tl2br w:val="nil"/>
                    <w:tr2bl w:val="nil"/>
                  </w:tcBorders>
                  <w:vAlign w:val="center"/>
                </w:tcPr>
                <w:p w14:paraId="67D94B5D">
                  <w:pPr>
                    <w:pStyle w:val="60"/>
                    <w:keepNext w:val="0"/>
                    <w:keepLines w:val="0"/>
                    <w:pageBreakBefore w:val="0"/>
                    <w:widowControl w:val="0"/>
                    <w:kinsoku/>
                    <w:wordWrap/>
                    <w:overflowPunct/>
                    <w:topLinePunct w:val="0"/>
                    <w:autoSpaceDE/>
                    <w:autoSpaceDN/>
                    <w:bidi w:val="0"/>
                    <w:adjustRightInd w:val="0"/>
                    <w:snapToGrid w:val="0"/>
                    <w:spacing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pacing w:val="6"/>
                      <w:sz w:val="21"/>
                      <w:szCs w:val="21"/>
                    </w:rPr>
                    <w:t>评价指标</w:t>
                  </w:r>
                </w:p>
              </w:tc>
              <w:tc>
                <w:tcPr>
                  <w:tcW w:w="1416" w:type="dxa"/>
                  <w:tcBorders>
                    <w:tl2br w:val="nil"/>
                    <w:tr2bl w:val="nil"/>
                  </w:tcBorders>
                  <w:vAlign w:val="center"/>
                </w:tcPr>
                <w:p w14:paraId="1109D5F1">
                  <w:pPr>
                    <w:pStyle w:val="60"/>
                    <w:keepNext w:val="0"/>
                    <w:keepLines w:val="0"/>
                    <w:pageBreakBefore w:val="0"/>
                    <w:widowControl w:val="0"/>
                    <w:kinsoku/>
                    <w:wordWrap/>
                    <w:overflowPunct/>
                    <w:topLinePunct w:val="0"/>
                    <w:autoSpaceDE/>
                    <w:autoSpaceDN/>
                    <w:bidi w:val="0"/>
                    <w:adjustRightInd w:val="0"/>
                    <w:snapToGrid w:val="0"/>
                    <w:spacing w:line="360" w:lineRule="auto"/>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pacing w:val="6"/>
                      <w:sz w:val="21"/>
                      <w:szCs w:val="21"/>
                    </w:rPr>
                    <w:t>现状浓度</w:t>
                  </w:r>
                  <w:r>
                    <w:rPr>
                      <w:rFonts w:hint="default" w:ascii="Times New Roman" w:hAnsi="Times New Roman" w:eastAsia="宋体" w:cs="Times New Roman"/>
                      <w:b/>
                      <w:bCs/>
                      <w:color w:val="auto"/>
                      <w:spacing w:val="6"/>
                      <w:sz w:val="21"/>
                      <w:szCs w:val="21"/>
                      <w:lang w:eastAsia="zh-CN"/>
                    </w:rPr>
                    <w:t>（</w:t>
                  </w:r>
                  <w:r>
                    <w:rPr>
                      <w:rFonts w:hint="default" w:ascii="Times New Roman" w:hAnsi="Times New Roman" w:eastAsia="宋体" w:cs="Times New Roman"/>
                      <w:b/>
                      <w:bCs/>
                      <w:color w:val="auto"/>
                      <w:sz w:val="21"/>
                      <w:szCs w:val="21"/>
                    </w:rPr>
                    <w:t>μg/m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250" w:type="dxa"/>
                  <w:tcBorders>
                    <w:tl2br w:val="nil"/>
                    <w:tr2bl w:val="nil"/>
                  </w:tcBorders>
                  <w:vAlign w:val="center"/>
                </w:tcPr>
                <w:p w14:paraId="0DCFC786">
                  <w:pPr>
                    <w:pStyle w:val="60"/>
                    <w:keepNext w:val="0"/>
                    <w:keepLines w:val="0"/>
                    <w:pageBreakBefore w:val="0"/>
                    <w:widowControl w:val="0"/>
                    <w:kinsoku/>
                    <w:wordWrap/>
                    <w:overflowPunct/>
                    <w:topLinePunct w:val="0"/>
                    <w:autoSpaceDE/>
                    <w:autoSpaceDN/>
                    <w:bidi w:val="0"/>
                    <w:adjustRightInd w:val="0"/>
                    <w:snapToGrid w:val="0"/>
                    <w:spacing w:line="360" w:lineRule="auto"/>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pacing w:val="5"/>
                      <w:sz w:val="21"/>
                      <w:szCs w:val="21"/>
                    </w:rPr>
                    <w:t>标准值</w:t>
                  </w:r>
                  <w:r>
                    <w:rPr>
                      <w:rFonts w:hint="default" w:ascii="Times New Roman" w:hAnsi="Times New Roman" w:eastAsia="宋体" w:cs="Times New Roman"/>
                      <w:b/>
                      <w:bCs/>
                      <w:color w:val="auto"/>
                      <w:spacing w:val="5"/>
                      <w:sz w:val="21"/>
                      <w:szCs w:val="21"/>
                      <w:lang w:eastAsia="zh-CN"/>
                    </w:rPr>
                    <w:t>（</w:t>
                  </w:r>
                  <w:r>
                    <w:rPr>
                      <w:rFonts w:hint="default" w:ascii="Times New Roman" w:hAnsi="Times New Roman" w:eastAsia="宋体" w:cs="Times New Roman"/>
                      <w:b/>
                      <w:bCs/>
                      <w:color w:val="auto"/>
                      <w:sz w:val="21"/>
                      <w:szCs w:val="21"/>
                    </w:rPr>
                    <w:t>μg/m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486" w:type="dxa"/>
                  <w:tcBorders>
                    <w:tl2br w:val="nil"/>
                    <w:tr2bl w:val="nil"/>
                  </w:tcBorders>
                  <w:vAlign w:val="center"/>
                </w:tcPr>
                <w:p w14:paraId="5EEF42AC">
                  <w:pPr>
                    <w:pStyle w:val="60"/>
                    <w:keepNext w:val="0"/>
                    <w:keepLines w:val="0"/>
                    <w:pageBreakBefore w:val="0"/>
                    <w:widowControl w:val="0"/>
                    <w:kinsoku/>
                    <w:wordWrap/>
                    <w:overflowPunct/>
                    <w:topLinePunct w:val="0"/>
                    <w:autoSpaceDE/>
                    <w:autoSpaceDN/>
                    <w:bidi w:val="0"/>
                    <w:adjustRightInd w:val="0"/>
                    <w:snapToGrid w:val="0"/>
                    <w:spacing w:line="360" w:lineRule="auto"/>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pacing w:val="6"/>
                      <w:sz w:val="21"/>
                      <w:szCs w:val="21"/>
                    </w:rPr>
                    <w:t>浓度占标率</w:t>
                  </w:r>
                  <w:r>
                    <w:rPr>
                      <w:rFonts w:hint="default" w:ascii="Times New Roman" w:hAnsi="Times New Roman" w:eastAsia="宋体" w:cs="Times New Roman"/>
                      <w:b/>
                      <w:bCs/>
                      <w:color w:val="auto"/>
                      <w:spacing w:val="-1"/>
                      <w:sz w:val="21"/>
                      <w:szCs w:val="21"/>
                    </w:rPr>
                    <w:t>（%）</w:t>
                  </w:r>
                </w:p>
              </w:tc>
              <w:tc>
                <w:tcPr>
                  <w:tcW w:w="1127" w:type="dxa"/>
                  <w:tcBorders>
                    <w:tl2br w:val="nil"/>
                    <w:tr2bl w:val="nil"/>
                  </w:tcBorders>
                  <w:vAlign w:val="center"/>
                </w:tcPr>
                <w:p w14:paraId="0B609063">
                  <w:pPr>
                    <w:pStyle w:val="60"/>
                    <w:keepNext w:val="0"/>
                    <w:keepLines w:val="0"/>
                    <w:pageBreakBefore w:val="0"/>
                    <w:widowControl w:val="0"/>
                    <w:kinsoku/>
                    <w:wordWrap/>
                    <w:overflowPunct/>
                    <w:topLinePunct w:val="0"/>
                    <w:autoSpaceDE/>
                    <w:autoSpaceDN/>
                    <w:bidi w:val="0"/>
                    <w:adjustRightInd w:val="0"/>
                    <w:snapToGrid w:val="0"/>
                    <w:spacing w:line="360" w:lineRule="auto"/>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pacing w:val="4"/>
                      <w:sz w:val="21"/>
                      <w:szCs w:val="21"/>
                    </w:rPr>
                    <w:t>达标</w:t>
                  </w:r>
                  <w:r>
                    <w:rPr>
                      <w:rFonts w:hint="default" w:ascii="Times New Roman" w:hAnsi="Times New Roman" w:eastAsia="宋体" w:cs="Times New Roman"/>
                      <w:b/>
                      <w:bCs/>
                      <w:color w:val="auto"/>
                      <w:spacing w:val="3"/>
                      <w:sz w:val="21"/>
                      <w:szCs w:val="21"/>
                    </w:rPr>
                    <w:t>情况</w:t>
                  </w:r>
                </w:p>
              </w:tc>
            </w:tr>
            <w:tr w14:paraId="07BE5C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788" w:type="dxa"/>
                  <w:tcBorders>
                    <w:tl2br w:val="nil"/>
                    <w:tr2bl w:val="nil"/>
                  </w:tcBorders>
                  <w:vAlign w:val="center"/>
                </w:tcPr>
                <w:p w14:paraId="1EC4BE75">
                  <w:pPr>
                    <w:keepNext w:val="0"/>
                    <w:keepLines w:val="0"/>
                    <w:pageBreakBefore w:val="0"/>
                    <w:widowControl w:val="0"/>
                    <w:kinsoku w:val="0"/>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pacing w:val="3"/>
                      <w:position w:val="-1"/>
                      <w:sz w:val="21"/>
                      <w:szCs w:val="21"/>
                      <w:vertAlign w:val="subscript"/>
                    </w:rPr>
                    <w:t>2</w:t>
                  </w:r>
                </w:p>
              </w:tc>
              <w:tc>
                <w:tcPr>
                  <w:tcW w:w="1984" w:type="dxa"/>
                  <w:tcBorders>
                    <w:tl2br w:val="nil"/>
                    <w:tr2bl w:val="nil"/>
                  </w:tcBorders>
                  <w:vAlign w:val="center"/>
                </w:tcPr>
                <w:p w14:paraId="79FE6317">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年平均值</w:t>
                  </w:r>
                </w:p>
              </w:tc>
              <w:tc>
                <w:tcPr>
                  <w:tcW w:w="1416" w:type="dxa"/>
                  <w:tcBorders>
                    <w:tl2br w:val="nil"/>
                    <w:tr2bl w:val="nil"/>
                  </w:tcBorders>
                  <w:vAlign w:val="center"/>
                </w:tcPr>
                <w:p w14:paraId="6325DE0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7.0</w:t>
                  </w:r>
                </w:p>
              </w:tc>
              <w:tc>
                <w:tcPr>
                  <w:tcW w:w="1250" w:type="dxa"/>
                  <w:tcBorders>
                    <w:tl2br w:val="nil"/>
                    <w:tr2bl w:val="nil"/>
                  </w:tcBorders>
                  <w:vAlign w:val="center"/>
                </w:tcPr>
                <w:p w14:paraId="1445B2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486" w:type="dxa"/>
                  <w:tcBorders>
                    <w:tl2br w:val="nil"/>
                    <w:tr2bl w:val="nil"/>
                  </w:tcBorders>
                  <w:vAlign w:val="center"/>
                </w:tcPr>
                <w:p w14:paraId="71C21D5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11.67</w:t>
                  </w:r>
                </w:p>
              </w:tc>
              <w:tc>
                <w:tcPr>
                  <w:tcW w:w="1127" w:type="dxa"/>
                  <w:tcBorders>
                    <w:tl2br w:val="nil"/>
                    <w:tr2bl w:val="nil"/>
                  </w:tcBorders>
                  <w:vAlign w:val="center"/>
                </w:tcPr>
                <w:p w14:paraId="300A078E">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达标</w:t>
                  </w:r>
                </w:p>
              </w:tc>
            </w:tr>
            <w:tr w14:paraId="3E4793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8" w:type="dxa"/>
                  <w:tcBorders>
                    <w:tl2br w:val="nil"/>
                    <w:tr2bl w:val="nil"/>
                  </w:tcBorders>
                  <w:vAlign w:val="center"/>
                </w:tcPr>
                <w:p w14:paraId="1B2C9642">
                  <w:pPr>
                    <w:keepNext w:val="0"/>
                    <w:keepLines w:val="0"/>
                    <w:pageBreakBefore w:val="0"/>
                    <w:widowControl w:val="0"/>
                    <w:kinsoku w:val="0"/>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NO</w:t>
                  </w:r>
                  <w:r>
                    <w:rPr>
                      <w:rFonts w:hint="default" w:ascii="Times New Roman" w:hAnsi="Times New Roman" w:eastAsia="宋体" w:cs="Times New Roman"/>
                      <w:color w:val="auto"/>
                      <w:spacing w:val="6"/>
                      <w:position w:val="-1"/>
                      <w:sz w:val="21"/>
                      <w:szCs w:val="21"/>
                      <w:vertAlign w:val="subscript"/>
                    </w:rPr>
                    <w:t>2</w:t>
                  </w:r>
                </w:p>
              </w:tc>
              <w:tc>
                <w:tcPr>
                  <w:tcW w:w="1984" w:type="dxa"/>
                  <w:tcBorders>
                    <w:tl2br w:val="nil"/>
                    <w:tr2bl w:val="nil"/>
                  </w:tcBorders>
                  <w:vAlign w:val="center"/>
                </w:tcPr>
                <w:p w14:paraId="2FAF0A48">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年平均值</w:t>
                  </w:r>
                </w:p>
              </w:tc>
              <w:tc>
                <w:tcPr>
                  <w:tcW w:w="1416" w:type="dxa"/>
                  <w:tcBorders>
                    <w:tl2br w:val="nil"/>
                    <w:tr2bl w:val="nil"/>
                  </w:tcBorders>
                  <w:vAlign w:val="center"/>
                </w:tcPr>
                <w:p w14:paraId="2DFEE59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10.0</w:t>
                  </w:r>
                </w:p>
              </w:tc>
              <w:tc>
                <w:tcPr>
                  <w:tcW w:w="1250" w:type="dxa"/>
                  <w:tcBorders>
                    <w:tl2br w:val="nil"/>
                    <w:tr2bl w:val="nil"/>
                  </w:tcBorders>
                  <w:vAlign w:val="center"/>
                </w:tcPr>
                <w:p w14:paraId="42AF66A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1486" w:type="dxa"/>
                  <w:tcBorders>
                    <w:tl2br w:val="nil"/>
                    <w:tr2bl w:val="nil"/>
                  </w:tcBorders>
                  <w:vAlign w:val="center"/>
                </w:tcPr>
                <w:p w14:paraId="52059EF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25.0</w:t>
                  </w:r>
                </w:p>
              </w:tc>
              <w:tc>
                <w:tcPr>
                  <w:tcW w:w="1127" w:type="dxa"/>
                  <w:tcBorders>
                    <w:tl2br w:val="nil"/>
                    <w:tr2bl w:val="nil"/>
                  </w:tcBorders>
                  <w:vAlign w:val="center"/>
                </w:tcPr>
                <w:p w14:paraId="0D84E771">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达标</w:t>
                  </w:r>
                </w:p>
              </w:tc>
            </w:tr>
            <w:tr w14:paraId="49DFE9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8" w:type="dxa"/>
                  <w:tcBorders>
                    <w:tl2br w:val="nil"/>
                    <w:tr2bl w:val="nil"/>
                  </w:tcBorders>
                  <w:vAlign w:val="center"/>
                </w:tcPr>
                <w:p w14:paraId="79E4E1CF">
                  <w:pPr>
                    <w:keepNext w:val="0"/>
                    <w:keepLines w:val="0"/>
                    <w:pageBreakBefore w:val="0"/>
                    <w:widowControl w:val="0"/>
                    <w:kinsoku w:val="0"/>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pacing w:val="8"/>
                      <w:position w:val="-1"/>
                      <w:sz w:val="21"/>
                      <w:szCs w:val="21"/>
                      <w:vertAlign w:val="subscript"/>
                    </w:rPr>
                    <w:t>10</w:t>
                  </w:r>
                </w:p>
              </w:tc>
              <w:tc>
                <w:tcPr>
                  <w:tcW w:w="1984" w:type="dxa"/>
                  <w:tcBorders>
                    <w:tl2br w:val="nil"/>
                    <w:tr2bl w:val="nil"/>
                  </w:tcBorders>
                  <w:vAlign w:val="center"/>
                </w:tcPr>
                <w:p w14:paraId="414176DB">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年平均值</w:t>
                  </w:r>
                </w:p>
              </w:tc>
              <w:tc>
                <w:tcPr>
                  <w:tcW w:w="1416" w:type="dxa"/>
                  <w:tcBorders>
                    <w:tl2br w:val="nil"/>
                    <w:tr2bl w:val="nil"/>
                  </w:tcBorders>
                  <w:vAlign w:val="center"/>
                </w:tcPr>
                <w:p w14:paraId="034B9B2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29</w:t>
                  </w:r>
                </w:p>
              </w:tc>
              <w:tc>
                <w:tcPr>
                  <w:tcW w:w="1250" w:type="dxa"/>
                  <w:tcBorders>
                    <w:tl2br w:val="nil"/>
                    <w:tr2bl w:val="nil"/>
                  </w:tcBorders>
                  <w:vAlign w:val="center"/>
                </w:tcPr>
                <w:p w14:paraId="7295627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486" w:type="dxa"/>
                  <w:tcBorders>
                    <w:tl2br w:val="nil"/>
                    <w:tr2bl w:val="nil"/>
                  </w:tcBorders>
                  <w:vAlign w:val="center"/>
                </w:tcPr>
                <w:p w14:paraId="19450BA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48.3</w:t>
                  </w:r>
                </w:p>
              </w:tc>
              <w:tc>
                <w:tcPr>
                  <w:tcW w:w="1127" w:type="dxa"/>
                  <w:tcBorders>
                    <w:tl2br w:val="nil"/>
                    <w:tr2bl w:val="nil"/>
                  </w:tcBorders>
                  <w:vAlign w:val="center"/>
                </w:tcPr>
                <w:p w14:paraId="39C6192B">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达标</w:t>
                  </w:r>
                </w:p>
              </w:tc>
            </w:tr>
            <w:tr w14:paraId="17032B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88" w:type="dxa"/>
                  <w:tcBorders>
                    <w:tl2br w:val="nil"/>
                    <w:tr2bl w:val="nil"/>
                  </w:tcBorders>
                  <w:vAlign w:val="center"/>
                </w:tcPr>
                <w:p w14:paraId="33477837">
                  <w:pPr>
                    <w:keepNext w:val="0"/>
                    <w:keepLines w:val="0"/>
                    <w:pageBreakBefore w:val="0"/>
                    <w:widowControl w:val="0"/>
                    <w:kinsoku w:val="0"/>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pacing w:val="6"/>
                      <w:position w:val="-1"/>
                      <w:sz w:val="21"/>
                      <w:szCs w:val="21"/>
                      <w:vertAlign w:val="subscript"/>
                    </w:rPr>
                    <w:t>2.5</w:t>
                  </w:r>
                </w:p>
              </w:tc>
              <w:tc>
                <w:tcPr>
                  <w:tcW w:w="1984" w:type="dxa"/>
                  <w:tcBorders>
                    <w:tl2br w:val="nil"/>
                    <w:tr2bl w:val="nil"/>
                  </w:tcBorders>
                  <w:vAlign w:val="center"/>
                </w:tcPr>
                <w:p w14:paraId="22F77FEF">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7"/>
                      <w:sz w:val="21"/>
                      <w:szCs w:val="21"/>
                    </w:rPr>
                    <w:t>年平均值</w:t>
                  </w:r>
                </w:p>
              </w:tc>
              <w:tc>
                <w:tcPr>
                  <w:tcW w:w="1416" w:type="dxa"/>
                  <w:tcBorders>
                    <w:tl2br w:val="nil"/>
                    <w:tr2bl w:val="nil"/>
                  </w:tcBorders>
                  <w:vAlign w:val="center"/>
                </w:tcPr>
                <w:p w14:paraId="7BA2729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p>
              </w:tc>
              <w:tc>
                <w:tcPr>
                  <w:tcW w:w="1250" w:type="dxa"/>
                  <w:tcBorders>
                    <w:tl2br w:val="nil"/>
                    <w:tr2bl w:val="nil"/>
                  </w:tcBorders>
                  <w:vAlign w:val="center"/>
                </w:tcPr>
                <w:p w14:paraId="3312265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1486" w:type="dxa"/>
                  <w:tcBorders>
                    <w:tl2br w:val="nil"/>
                    <w:tr2bl w:val="nil"/>
                  </w:tcBorders>
                  <w:vAlign w:val="center"/>
                </w:tcPr>
                <w:p w14:paraId="1D171FC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1127" w:type="dxa"/>
                  <w:tcBorders>
                    <w:tl2br w:val="nil"/>
                    <w:tr2bl w:val="nil"/>
                  </w:tcBorders>
                  <w:vAlign w:val="center"/>
                </w:tcPr>
                <w:p w14:paraId="0C896040">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达标</w:t>
                  </w:r>
                </w:p>
              </w:tc>
            </w:tr>
            <w:tr w14:paraId="2E69B6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788" w:type="dxa"/>
                  <w:tcBorders>
                    <w:tl2br w:val="nil"/>
                    <w:tr2bl w:val="nil"/>
                  </w:tcBorders>
                  <w:vAlign w:val="center"/>
                </w:tcPr>
                <w:p w14:paraId="6D30861D">
                  <w:pPr>
                    <w:keepNext w:val="0"/>
                    <w:keepLines w:val="0"/>
                    <w:pageBreakBefore w:val="0"/>
                    <w:widowControl w:val="0"/>
                    <w:kinsoku w:val="0"/>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CO</w:t>
                  </w:r>
                </w:p>
              </w:tc>
              <w:tc>
                <w:tcPr>
                  <w:tcW w:w="1984" w:type="dxa"/>
                  <w:tcBorders>
                    <w:tl2br w:val="nil"/>
                    <w:tr2bl w:val="nil"/>
                  </w:tcBorders>
                  <w:vAlign w:val="center"/>
                </w:tcPr>
                <w:p w14:paraId="0388F703">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24小时第95百分位</w:t>
                  </w:r>
                  <w:r>
                    <w:rPr>
                      <w:rFonts w:hint="default" w:ascii="Times New Roman" w:hAnsi="Times New Roman" w:eastAsia="宋体" w:cs="Times New Roman"/>
                      <w:color w:val="auto"/>
                      <w:spacing w:val="6"/>
                      <w:sz w:val="21"/>
                      <w:szCs w:val="21"/>
                    </w:rPr>
                    <w:t>数日平均</w:t>
                  </w:r>
                </w:p>
              </w:tc>
              <w:tc>
                <w:tcPr>
                  <w:tcW w:w="1416" w:type="dxa"/>
                  <w:tcBorders>
                    <w:tl2br w:val="nil"/>
                    <w:tr2bl w:val="nil"/>
                  </w:tcBorders>
                  <w:vAlign w:val="center"/>
                </w:tcPr>
                <w:p w14:paraId="7530384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600</w:t>
                  </w:r>
                </w:p>
              </w:tc>
              <w:tc>
                <w:tcPr>
                  <w:tcW w:w="1250" w:type="dxa"/>
                  <w:tcBorders>
                    <w:tl2br w:val="nil"/>
                    <w:tr2bl w:val="nil"/>
                  </w:tcBorders>
                  <w:vAlign w:val="center"/>
                </w:tcPr>
                <w:p w14:paraId="2C65AEB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4000</w:t>
                  </w:r>
                </w:p>
              </w:tc>
              <w:tc>
                <w:tcPr>
                  <w:tcW w:w="1486" w:type="dxa"/>
                  <w:tcBorders>
                    <w:tl2br w:val="nil"/>
                    <w:tr2bl w:val="nil"/>
                  </w:tcBorders>
                  <w:vAlign w:val="center"/>
                </w:tcPr>
                <w:p w14:paraId="505B507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15.0</w:t>
                  </w:r>
                </w:p>
              </w:tc>
              <w:tc>
                <w:tcPr>
                  <w:tcW w:w="1127" w:type="dxa"/>
                  <w:tcBorders>
                    <w:tl2br w:val="nil"/>
                    <w:tr2bl w:val="nil"/>
                  </w:tcBorders>
                  <w:vAlign w:val="center"/>
                </w:tcPr>
                <w:p w14:paraId="16DA3C00">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达标</w:t>
                  </w:r>
                </w:p>
              </w:tc>
            </w:tr>
            <w:tr w14:paraId="2111C6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88" w:type="dxa"/>
                  <w:tcBorders>
                    <w:tl2br w:val="nil"/>
                    <w:tr2bl w:val="nil"/>
                  </w:tcBorders>
                  <w:vAlign w:val="center"/>
                </w:tcPr>
                <w:p w14:paraId="44E03399">
                  <w:pPr>
                    <w:keepNext w:val="0"/>
                    <w:keepLines w:val="0"/>
                    <w:pageBreakBefore w:val="0"/>
                    <w:widowControl w:val="0"/>
                    <w:kinsoku w:val="0"/>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O</w:t>
                  </w:r>
                  <w:r>
                    <w:rPr>
                      <w:rFonts w:hint="default" w:ascii="Times New Roman" w:hAnsi="Times New Roman" w:eastAsia="宋体" w:cs="Times New Roman"/>
                      <w:color w:val="auto"/>
                      <w:spacing w:val="1"/>
                      <w:position w:val="-1"/>
                      <w:sz w:val="21"/>
                      <w:szCs w:val="21"/>
                      <w:vertAlign w:val="subscript"/>
                    </w:rPr>
                    <w:t>3</w:t>
                  </w:r>
                </w:p>
              </w:tc>
              <w:tc>
                <w:tcPr>
                  <w:tcW w:w="1984" w:type="dxa"/>
                  <w:tcBorders>
                    <w:tl2br w:val="nil"/>
                    <w:tr2bl w:val="nil"/>
                  </w:tcBorders>
                  <w:vAlign w:val="center"/>
                </w:tcPr>
                <w:p w14:paraId="3C229D51">
                  <w:pPr>
                    <w:pStyle w:val="60"/>
                    <w:keepNext w:val="0"/>
                    <w:keepLines w:val="0"/>
                    <w:pageBreakBefore w:val="0"/>
                    <w:widowControl w:val="0"/>
                    <w:kinsoku/>
                    <w:wordWrap/>
                    <w:overflowPunct/>
                    <w:topLinePunct w:val="0"/>
                    <w:autoSpaceDE/>
                    <w:autoSpaceDN/>
                    <w:bidi w:val="0"/>
                    <w:adjustRightInd w:val="0"/>
                    <w:snapToGrid w:val="0"/>
                    <w:spacing w:line="360" w:lineRule="auto"/>
                    <w:ind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最大8小时第90百</w:t>
                  </w:r>
                  <w:r>
                    <w:rPr>
                      <w:rFonts w:hint="default" w:ascii="Times New Roman" w:hAnsi="Times New Roman" w:eastAsia="宋体" w:cs="Times New Roman"/>
                      <w:color w:val="auto"/>
                      <w:spacing w:val="7"/>
                      <w:sz w:val="21"/>
                      <w:szCs w:val="21"/>
                    </w:rPr>
                    <w:t>分位数日平均</w:t>
                  </w:r>
                </w:p>
              </w:tc>
              <w:tc>
                <w:tcPr>
                  <w:tcW w:w="1416" w:type="dxa"/>
                  <w:tcBorders>
                    <w:tl2br w:val="nil"/>
                    <w:tr2bl w:val="nil"/>
                  </w:tcBorders>
                  <w:vAlign w:val="center"/>
                </w:tcPr>
                <w:p w14:paraId="69427B5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88</w:t>
                  </w:r>
                </w:p>
              </w:tc>
              <w:tc>
                <w:tcPr>
                  <w:tcW w:w="1250" w:type="dxa"/>
                  <w:tcBorders>
                    <w:tl2br w:val="nil"/>
                    <w:tr2bl w:val="nil"/>
                  </w:tcBorders>
                  <w:vAlign w:val="center"/>
                </w:tcPr>
                <w:p w14:paraId="7E3B950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160</w:t>
                  </w:r>
                </w:p>
              </w:tc>
              <w:tc>
                <w:tcPr>
                  <w:tcW w:w="1486" w:type="dxa"/>
                  <w:tcBorders>
                    <w:tl2br w:val="nil"/>
                    <w:tr2bl w:val="nil"/>
                  </w:tcBorders>
                  <w:vAlign w:val="center"/>
                </w:tcPr>
                <w:p w14:paraId="7B102B7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1127" w:type="dxa"/>
                  <w:tcBorders>
                    <w:tl2br w:val="nil"/>
                    <w:tr2bl w:val="nil"/>
                  </w:tcBorders>
                  <w:vAlign w:val="center"/>
                </w:tcPr>
                <w:p w14:paraId="5D9988DE">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5"/>
                      <w:sz w:val="21"/>
                      <w:szCs w:val="21"/>
                    </w:rPr>
                    <w:t>达标</w:t>
                  </w:r>
                </w:p>
              </w:tc>
            </w:tr>
          </w:tbl>
          <w:p w14:paraId="1B691555">
            <w:pPr>
              <w:keepNext w:val="0"/>
              <w:keepLines w:val="0"/>
              <w:pageBreakBefore w:val="0"/>
              <w:widowControl w:val="0"/>
              <w:kinsoku/>
              <w:wordWrap/>
              <w:overflowPunct w:val="0"/>
              <w:topLinePunct w:val="0"/>
              <w:autoSpaceDE/>
              <w:autoSpaceDN/>
              <w:bidi w:val="0"/>
              <w:adjustRightInd w:val="0"/>
              <w:snapToGrid/>
              <w:spacing w:before="157" w:beforeLines="50" w:line="360" w:lineRule="auto"/>
              <w:ind w:firstLine="476" w:firstLineChars="200"/>
              <w:jc w:val="both"/>
              <w:textAlignment w:val="auto"/>
              <w:rPr>
                <w:rFonts w:hint="default" w:ascii="Times New Roman" w:hAnsi="Times New Roman" w:eastAsia="宋体" w:cs="Times New Roman"/>
                <w:color w:val="auto"/>
                <w:sz w:val="24"/>
                <w:szCs w:val="24"/>
                <w:lang w:eastAsia="zh-CN"/>
              </w:rPr>
            </w:pPr>
            <w:r>
              <w:rPr>
                <w:color w:val="auto"/>
                <w:spacing w:val="-1"/>
                <w:sz w:val="24"/>
                <w:szCs w:val="24"/>
              </w:rPr>
              <w:t>根据上表评价结果可知，</w:t>
            </w:r>
            <w:r>
              <w:rPr>
                <w:rFonts w:ascii="Times New Roman" w:hAnsi="Times New Roman" w:eastAsia="Times New Roman" w:cs="Times New Roman"/>
                <w:color w:val="auto"/>
                <w:spacing w:val="-1"/>
                <w:sz w:val="24"/>
                <w:szCs w:val="24"/>
              </w:rPr>
              <w:t>2024</w:t>
            </w:r>
            <w:r>
              <w:rPr>
                <w:color w:val="auto"/>
                <w:spacing w:val="-1"/>
                <w:sz w:val="24"/>
                <w:szCs w:val="24"/>
              </w:rPr>
              <w:t>年奇台县</w:t>
            </w:r>
            <w:r>
              <w:rPr>
                <w:rFonts w:ascii="Times New Roman" w:hAnsi="Times New Roman" w:eastAsia="Times New Roman" w:cs="Times New Roman"/>
                <w:color w:val="auto"/>
                <w:spacing w:val="-1"/>
                <w:sz w:val="24"/>
                <w:szCs w:val="24"/>
              </w:rPr>
              <w:t>PM</w:t>
            </w:r>
            <w:r>
              <w:rPr>
                <w:rFonts w:ascii="Times New Roman" w:hAnsi="Times New Roman" w:eastAsia="Times New Roman" w:cs="Times New Roman"/>
                <w:color w:val="auto"/>
                <w:spacing w:val="-1"/>
                <w:position w:val="-1"/>
                <w:sz w:val="24"/>
                <w:szCs w:val="24"/>
                <w:vertAlign w:val="subscript"/>
              </w:rPr>
              <w:t>10</w:t>
            </w:r>
            <w:r>
              <w:rPr>
                <w:color w:val="auto"/>
                <w:spacing w:val="-1"/>
                <w:sz w:val="24"/>
                <w:szCs w:val="24"/>
              </w:rPr>
              <w:t>、</w:t>
            </w:r>
            <w:r>
              <w:rPr>
                <w:rFonts w:ascii="Times New Roman" w:hAnsi="Times New Roman" w:eastAsia="Times New Roman" w:cs="Times New Roman"/>
                <w:color w:val="auto"/>
                <w:spacing w:val="-1"/>
                <w:sz w:val="24"/>
                <w:szCs w:val="24"/>
              </w:rPr>
              <w:t>P</w:t>
            </w:r>
            <w:r>
              <w:rPr>
                <w:rFonts w:ascii="Times New Roman" w:hAnsi="Times New Roman" w:eastAsia="Times New Roman" w:cs="Times New Roman"/>
                <w:color w:val="auto"/>
                <w:spacing w:val="-2"/>
                <w:sz w:val="24"/>
                <w:szCs w:val="24"/>
              </w:rPr>
              <w:t>M</w:t>
            </w:r>
            <w:r>
              <w:rPr>
                <w:rFonts w:ascii="Times New Roman" w:hAnsi="Times New Roman" w:eastAsia="Times New Roman" w:cs="Times New Roman"/>
                <w:color w:val="auto"/>
                <w:spacing w:val="-2"/>
                <w:position w:val="-1"/>
                <w:sz w:val="24"/>
                <w:szCs w:val="24"/>
                <w:vertAlign w:val="subscript"/>
              </w:rPr>
              <w:t>2.5</w:t>
            </w:r>
            <w:r>
              <w:rPr>
                <w:color w:val="auto"/>
                <w:spacing w:val="-2"/>
                <w:sz w:val="24"/>
                <w:szCs w:val="24"/>
              </w:rPr>
              <w:t>、</w:t>
            </w:r>
            <w:r>
              <w:rPr>
                <w:rFonts w:ascii="Times New Roman" w:hAnsi="Times New Roman" w:eastAsia="Times New Roman" w:cs="Times New Roman"/>
                <w:color w:val="auto"/>
                <w:spacing w:val="-2"/>
                <w:sz w:val="24"/>
                <w:szCs w:val="24"/>
              </w:rPr>
              <w:t>NO</w:t>
            </w:r>
            <w:r>
              <w:rPr>
                <w:rFonts w:ascii="Times New Roman" w:hAnsi="Times New Roman" w:eastAsia="Times New Roman" w:cs="Times New Roman"/>
                <w:color w:val="auto"/>
                <w:spacing w:val="-2"/>
                <w:position w:val="-1"/>
                <w:sz w:val="24"/>
                <w:szCs w:val="24"/>
                <w:vertAlign w:val="subscript"/>
              </w:rPr>
              <w:t>2</w:t>
            </w:r>
            <w:r>
              <w:rPr>
                <w:color w:val="auto"/>
                <w:spacing w:val="-2"/>
                <w:sz w:val="24"/>
                <w:szCs w:val="24"/>
              </w:rPr>
              <w:t>、</w:t>
            </w:r>
            <w:r>
              <w:rPr>
                <w:rFonts w:ascii="Times New Roman" w:hAnsi="Times New Roman" w:eastAsia="Times New Roman" w:cs="Times New Roman"/>
                <w:color w:val="auto"/>
                <w:spacing w:val="-2"/>
                <w:sz w:val="24"/>
                <w:szCs w:val="24"/>
              </w:rPr>
              <w:t>O</w:t>
            </w:r>
            <w:r>
              <w:rPr>
                <w:rFonts w:ascii="Times New Roman" w:hAnsi="Times New Roman" w:eastAsia="Times New Roman" w:cs="Times New Roman"/>
                <w:color w:val="auto"/>
                <w:spacing w:val="-2"/>
                <w:position w:val="-1"/>
                <w:sz w:val="24"/>
                <w:szCs w:val="24"/>
                <w:vertAlign w:val="subscript"/>
              </w:rPr>
              <w:t>3</w:t>
            </w:r>
            <w:r>
              <w:rPr>
                <w:color w:val="auto"/>
                <w:spacing w:val="-2"/>
                <w:sz w:val="24"/>
                <w:szCs w:val="24"/>
              </w:rPr>
              <w:t>、</w:t>
            </w:r>
            <w:r>
              <w:rPr>
                <w:rFonts w:ascii="Times New Roman" w:hAnsi="Times New Roman" w:eastAsia="Times New Roman" w:cs="Times New Roman"/>
                <w:color w:val="auto"/>
                <w:spacing w:val="-2"/>
                <w:sz w:val="24"/>
                <w:szCs w:val="24"/>
              </w:rPr>
              <w:t>CO</w:t>
            </w:r>
            <w:r>
              <w:rPr>
                <w:color w:val="auto"/>
                <w:spacing w:val="-2"/>
                <w:sz w:val="24"/>
                <w:szCs w:val="24"/>
              </w:rPr>
              <w:t>、</w:t>
            </w:r>
            <w:r>
              <w:rPr>
                <w:rFonts w:ascii="Times New Roman" w:hAnsi="Times New Roman" w:eastAsia="Times New Roman" w:cs="Times New Roman"/>
                <w:color w:val="auto"/>
                <w:sz w:val="24"/>
                <w:szCs w:val="24"/>
              </w:rPr>
              <w:t>SO</w:t>
            </w:r>
            <w:r>
              <w:rPr>
                <w:rFonts w:ascii="Times New Roman" w:hAnsi="Times New Roman" w:eastAsia="Times New Roman" w:cs="Times New Roman"/>
                <w:color w:val="auto"/>
                <w:position w:val="-1"/>
                <w:sz w:val="24"/>
                <w:szCs w:val="24"/>
                <w:vertAlign w:val="subscript"/>
              </w:rPr>
              <w:t>2</w:t>
            </w:r>
            <w:r>
              <w:rPr>
                <w:color w:val="auto"/>
                <w:sz w:val="24"/>
                <w:szCs w:val="24"/>
              </w:rPr>
              <w:t>指标均</w:t>
            </w:r>
            <w:r>
              <w:rPr>
                <w:rFonts w:hint="eastAsia"/>
                <w:color w:val="auto"/>
                <w:spacing w:val="-1"/>
                <w:sz w:val="24"/>
                <w:szCs w:val="24"/>
                <w:lang w:val="en-US" w:eastAsia="zh-CN"/>
              </w:rPr>
              <w:t>符合</w:t>
            </w:r>
            <w:r>
              <w:rPr>
                <w:rFonts w:hint="default" w:ascii="Times New Roman" w:hAnsi="Times New Roman" w:cs="Times New Roman"/>
                <w:b w:val="0"/>
                <w:bCs w:val="0"/>
                <w:color w:val="auto"/>
                <w:spacing w:val="-3"/>
                <w:sz w:val="24"/>
                <w:szCs w:val="24"/>
              </w:rPr>
              <w:t>《环境空气质量标准》（GB3095-20</w:t>
            </w:r>
            <w:r>
              <w:rPr>
                <w:rFonts w:hint="default" w:ascii="Times New Roman" w:hAnsi="Times New Roman" w:cs="Times New Roman"/>
                <w:b w:val="0"/>
                <w:bCs w:val="0"/>
                <w:color w:val="auto"/>
                <w:spacing w:val="-3"/>
                <w:sz w:val="24"/>
                <w:szCs w:val="24"/>
                <w:lang w:val="en-US" w:eastAsia="zh-CN"/>
              </w:rPr>
              <w:t>26</w:t>
            </w:r>
            <w:r>
              <w:rPr>
                <w:rFonts w:hint="default" w:ascii="Times New Roman" w:hAnsi="Times New Roman" w:cs="Times New Roman"/>
                <w:b w:val="0"/>
                <w:bCs w:val="0"/>
                <w:color w:val="auto"/>
                <w:spacing w:val="-3"/>
                <w:sz w:val="24"/>
                <w:szCs w:val="24"/>
              </w:rPr>
              <w:t>）</w:t>
            </w:r>
            <w:r>
              <w:rPr>
                <w:rFonts w:hint="eastAsia" w:ascii="Times New Roman" w:hAnsi="Times New Roman" w:cs="Times New Roman"/>
                <w:b w:val="0"/>
                <w:bCs w:val="0"/>
                <w:color w:val="auto"/>
                <w:spacing w:val="-3"/>
                <w:sz w:val="24"/>
                <w:szCs w:val="24"/>
                <w:lang w:val="en-US" w:eastAsia="zh-CN"/>
              </w:rPr>
              <w:t>表1过渡阶段二级浓度限值</w:t>
            </w:r>
            <w:r>
              <w:rPr>
                <w:color w:val="auto"/>
                <w:spacing w:val="-1"/>
                <w:sz w:val="24"/>
                <w:szCs w:val="24"/>
              </w:rPr>
              <w:t>。根据《环</w:t>
            </w:r>
            <w:r>
              <w:rPr>
                <w:color w:val="auto"/>
                <w:spacing w:val="2"/>
                <w:sz w:val="24"/>
                <w:szCs w:val="24"/>
              </w:rPr>
              <w:t>境影响评价技术导则</w:t>
            </w:r>
            <w:r>
              <w:rPr>
                <w:rFonts w:hint="eastAsia"/>
                <w:color w:val="auto"/>
                <w:spacing w:val="2"/>
                <w:sz w:val="24"/>
                <w:szCs w:val="24"/>
                <w:lang w:val="en-US" w:eastAsia="zh-CN"/>
              </w:rPr>
              <w:t xml:space="preserve"> </w:t>
            </w:r>
            <w:r>
              <w:rPr>
                <w:color w:val="auto"/>
                <w:spacing w:val="2"/>
                <w:sz w:val="24"/>
                <w:szCs w:val="24"/>
              </w:rPr>
              <w:t>大气环境》（</w:t>
            </w:r>
            <w:r>
              <w:rPr>
                <w:rFonts w:ascii="Times New Roman" w:hAnsi="Times New Roman" w:eastAsia="Times New Roman" w:cs="Times New Roman"/>
                <w:color w:val="auto"/>
                <w:sz w:val="24"/>
                <w:szCs w:val="24"/>
              </w:rPr>
              <w:t>HJ</w:t>
            </w:r>
            <w:r>
              <w:rPr>
                <w:rFonts w:ascii="Times New Roman" w:hAnsi="Times New Roman" w:eastAsia="Times New Roman" w:cs="Times New Roman"/>
                <w:color w:val="auto"/>
                <w:spacing w:val="2"/>
                <w:sz w:val="24"/>
                <w:szCs w:val="24"/>
              </w:rPr>
              <w:t>2</w:t>
            </w:r>
            <w:r>
              <w:rPr>
                <w:rFonts w:hint="default" w:ascii="Times New Roman" w:hAnsi="Times New Roman" w:cs="Times New Roman"/>
                <w:color w:val="auto"/>
                <w:spacing w:val="1"/>
                <w:sz w:val="24"/>
                <w:szCs w:val="24"/>
              </w:rPr>
              <w:t>.2-2018），判定该区域环境空气质量达标区域。</w:t>
            </w:r>
          </w:p>
          <w:p w14:paraId="304987A3">
            <w:pPr>
              <w:keepNext w:val="0"/>
              <w:keepLines w:val="0"/>
              <w:pageBreakBefore w:val="0"/>
              <w:widowControl w:val="0"/>
              <w:numPr>
                <w:ilvl w:val="0"/>
                <w:numId w:val="9"/>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地表水环境现状</w:t>
            </w:r>
          </w:p>
          <w:p w14:paraId="2E2889B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color w:val="auto"/>
                <w:sz w:val="24"/>
                <w:highlight w:val="none"/>
              </w:rPr>
            </w:pPr>
            <w:r>
              <w:rPr>
                <w:rFonts w:hint="eastAsia" w:ascii="宋体" w:hAnsi="宋体" w:cs="宋体"/>
                <w:color w:val="auto"/>
                <w:kern w:val="0"/>
                <w:sz w:val="24"/>
                <w:highlight w:val="none"/>
                <w:lang w:bidi="ar"/>
              </w:rPr>
              <w:t>根据《环境影响评价技术导则地表水环境》（</w:t>
            </w:r>
            <w:r>
              <w:rPr>
                <w:color w:val="auto"/>
                <w:kern w:val="0"/>
                <w:sz w:val="24"/>
                <w:highlight w:val="none"/>
                <w:lang w:bidi="ar"/>
              </w:rPr>
              <w:t>HJ2.3-2018</w:t>
            </w:r>
            <w:r>
              <w:rPr>
                <w:rFonts w:hint="eastAsia" w:ascii="宋体" w:hAnsi="宋体" w:cs="宋体"/>
                <w:color w:val="auto"/>
                <w:kern w:val="0"/>
                <w:sz w:val="24"/>
                <w:highlight w:val="none"/>
                <w:lang w:bidi="ar"/>
              </w:rPr>
              <w:t>），本项目不向地表水体排污，因此地表水评价等级为三级</w:t>
            </w:r>
            <w:r>
              <w:rPr>
                <w:color w:val="auto"/>
                <w:kern w:val="0"/>
                <w:sz w:val="24"/>
                <w:highlight w:val="none"/>
                <w:lang w:bidi="ar"/>
              </w:rPr>
              <w:t>B</w:t>
            </w:r>
            <w:r>
              <w:rPr>
                <w:rFonts w:hint="eastAsia" w:ascii="宋体" w:hAnsi="宋体" w:cs="宋体"/>
                <w:color w:val="auto"/>
                <w:kern w:val="0"/>
                <w:sz w:val="24"/>
                <w:highlight w:val="none"/>
                <w:lang w:bidi="ar"/>
              </w:rPr>
              <w:t>。</w:t>
            </w:r>
            <w:r>
              <w:rPr>
                <w:color w:val="auto"/>
                <w:sz w:val="24"/>
                <w:szCs w:val="32"/>
                <w:highlight w:val="none"/>
              </w:rPr>
              <w:t>故不用做地</w:t>
            </w:r>
            <w:r>
              <w:rPr>
                <w:rFonts w:hint="eastAsia"/>
                <w:color w:val="auto"/>
                <w:sz w:val="24"/>
                <w:szCs w:val="32"/>
                <w:highlight w:val="none"/>
              </w:rPr>
              <w:t>表</w:t>
            </w:r>
            <w:r>
              <w:rPr>
                <w:color w:val="auto"/>
                <w:sz w:val="24"/>
                <w:szCs w:val="32"/>
                <w:highlight w:val="none"/>
              </w:rPr>
              <w:t>水现状调查</w:t>
            </w:r>
            <w:r>
              <w:rPr>
                <w:rFonts w:hint="eastAsia"/>
                <w:color w:val="auto"/>
                <w:sz w:val="24"/>
                <w:szCs w:val="32"/>
                <w:highlight w:val="none"/>
              </w:rPr>
              <w:t>及评价</w:t>
            </w:r>
            <w:r>
              <w:rPr>
                <w:color w:val="auto"/>
                <w:sz w:val="24"/>
                <w:szCs w:val="32"/>
                <w:highlight w:val="none"/>
              </w:rPr>
              <w:t>。</w:t>
            </w:r>
          </w:p>
          <w:p w14:paraId="7A61D847">
            <w:pPr>
              <w:pageBreakBefore w:val="0"/>
              <w:widowControl w:val="0"/>
              <w:kinsoku/>
              <w:wordWrap/>
              <w:overflowPunct w:val="0"/>
              <w:topLinePunct w:val="0"/>
              <w:autoSpaceDE/>
              <w:autoSpaceDN/>
              <w:bidi w:val="0"/>
              <w:snapToGrid/>
              <w:spacing w:line="360" w:lineRule="auto"/>
              <w:ind w:firstLine="480" w:firstLineChars="200"/>
              <w:textAlignment w:val="auto"/>
              <w:rPr>
                <w:rFonts w:hint="eastAsia"/>
                <w:b w:val="0"/>
                <w:bCs w:val="0"/>
                <w:color w:val="auto"/>
                <w:kern w:val="0"/>
                <w:sz w:val="24"/>
                <w:highlight w:val="none"/>
                <w:lang w:val="en-US" w:eastAsia="zh-CN" w:bidi="ar"/>
              </w:rPr>
            </w:pPr>
            <w:r>
              <w:rPr>
                <w:rFonts w:hint="eastAsia"/>
                <w:b w:val="0"/>
                <w:bCs w:val="0"/>
                <w:color w:val="auto"/>
                <w:kern w:val="0"/>
                <w:sz w:val="24"/>
                <w:highlight w:val="none"/>
                <w:lang w:val="en-US" w:eastAsia="zh-CN" w:bidi="ar"/>
              </w:rPr>
              <w:t>为了解碧流河河水水质，本次收集了昌吉回族自治州水资源管理中心委托新疆维吾尔自治区地质矿产勘查开发局第二水文工程地质大队2024年9月14日对奇台县境内河流的检测资料，其检测结果如下：</w:t>
            </w:r>
          </w:p>
          <w:p w14:paraId="50C15453">
            <w:pPr>
              <w:pStyle w:val="48"/>
              <w:spacing w:line="360" w:lineRule="auto"/>
              <w:ind w:firstLine="0" w:firstLineChars="0"/>
              <w:jc w:val="center"/>
              <w:textAlignment w:val="baseline"/>
              <w:rPr>
                <w:rFonts w:hint="eastAsia" w:ascii="Times New Roman" w:hAnsi="Times New Roman" w:eastAsia="宋体" w:cs="Times New Roman"/>
                <w:b/>
                <w:bCs w:val="0"/>
                <w:snapToGrid w:val="0"/>
                <w:color w:val="auto"/>
                <w:sz w:val="24"/>
                <w:szCs w:val="24"/>
                <w:lang w:val="en-US" w:eastAsia="zh-CN"/>
              </w:rPr>
            </w:pPr>
            <w:r>
              <w:rPr>
                <w:rFonts w:hint="eastAsia" w:ascii="Times New Roman" w:hAnsi="Times New Roman" w:eastAsia="宋体" w:cs="Times New Roman"/>
                <w:b/>
                <w:bCs w:val="0"/>
                <w:snapToGrid w:val="0"/>
                <w:color w:val="auto"/>
                <w:sz w:val="24"/>
                <w:szCs w:val="24"/>
                <w:lang w:val="en-US" w:eastAsia="zh-CN"/>
              </w:rPr>
              <w:t>表3-</w:t>
            </w:r>
            <w:r>
              <w:rPr>
                <w:rFonts w:hint="eastAsia" w:ascii="Times New Roman" w:hAnsi="Times New Roman" w:cs="Times New Roman"/>
                <w:b/>
                <w:bCs w:val="0"/>
                <w:snapToGrid w:val="0"/>
                <w:color w:val="auto"/>
                <w:sz w:val="24"/>
                <w:szCs w:val="24"/>
                <w:lang w:val="en-US" w:eastAsia="zh-CN"/>
              </w:rPr>
              <w:t>3</w:t>
            </w:r>
            <w:r>
              <w:rPr>
                <w:rFonts w:hint="eastAsia" w:ascii="Times New Roman" w:hAnsi="Times New Roman" w:eastAsia="宋体" w:cs="Times New Roman"/>
                <w:b/>
                <w:bCs w:val="0"/>
                <w:snapToGrid w:val="0"/>
                <w:color w:val="auto"/>
                <w:sz w:val="24"/>
                <w:szCs w:val="24"/>
                <w:lang w:val="en-US" w:eastAsia="zh-CN"/>
              </w:rPr>
              <w:t xml:space="preserve"> 碧流河地表水监测结果一览表（单位mg/L）</w:t>
            </w:r>
          </w:p>
          <w:tbl>
            <w:tblPr>
              <w:tblStyle w:val="32"/>
              <w:tblW w:w="745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2880"/>
              <w:gridCol w:w="1864"/>
              <w:gridCol w:w="1865"/>
            </w:tblGrid>
            <w:tr w14:paraId="550B2E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169409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bCs/>
                      <w:color w:val="auto"/>
                      <w:kern w:val="0"/>
                      <w:sz w:val="21"/>
                      <w:szCs w:val="21"/>
                      <w:highlight w:val="none"/>
                      <w:vertAlign w:val="baseline"/>
                      <w:lang w:val="en-US" w:eastAsia="zh-CN" w:bidi="ar"/>
                    </w:rPr>
                  </w:pPr>
                  <w:r>
                    <w:rPr>
                      <w:rFonts w:hint="eastAsia"/>
                      <w:b/>
                      <w:bCs/>
                      <w:color w:val="auto"/>
                      <w:kern w:val="0"/>
                      <w:sz w:val="21"/>
                      <w:szCs w:val="21"/>
                      <w:highlight w:val="none"/>
                      <w:vertAlign w:val="baseline"/>
                      <w:lang w:val="en-US" w:eastAsia="zh-CN" w:bidi="ar"/>
                    </w:rPr>
                    <w:t>序号</w:t>
                  </w:r>
                </w:p>
              </w:tc>
              <w:tc>
                <w:tcPr>
                  <w:tcW w:w="2880" w:type="dxa"/>
                  <w:tcBorders>
                    <w:tl2br w:val="nil"/>
                    <w:tr2bl w:val="nil"/>
                  </w:tcBorders>
                  <w:noWrap w:val="0"/>
                  <w:vAlign w:val="center"/>
                </w:tcPr>
                <w:p w14:paraId="7E0E8C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bCs/>
                      <w:color w:val="auto"/>
                      <w:kern w:val="0"/>
                      <w:sz w:val="21"/>
                      <w:szCs w:val="21"/>
                      <w:highlight w:val="none"/>
                      <w:vertAlign w:val="baseline"/>
                      <w:lang w:val="en-US" w:eastAsia="zh-CN" w:bidi="ar"/>
                    </w:rPr>
                  </w:pPr>
                  <w:r>
                    <w:rPr>
                      <w:rFonts w:hint="eastAsia"/>
                      <w:b/>
                      <w:bCs/>
                      <w:color w:val="auto"/>
                      <w:kern w:val="0"/>
                      <w:sz w:val="21"/>
                      <w:szCs w:val="21"/>
                      <w:highlight w:val="none"/>
                      <w:vertAlign w:val="baseline"/>
                      <w:lang w:val="en-US" w:eastAsia="zh-CN" w:bidi="ar"/>
                    </w:rPr>
                    <w:t>监测因子</w:t>
                  </w:r>
                </w:p>
              </w:tc>
              <w:tc>
                <w:tcPr>
                  <w:tcW w:w="1864" w:type="dxa"/>
                  <w:tcBorders>
                    <w:tl2br w:val="nil"/>
                    <w:tr2bl w:val="nil"/>
                  </w:tcBorders>
                  <w:noWrap w:val="0"/>
                  <w:vAlign w:val="center"/>
                </w:tcPr>
                <w:p w14:paraId="4A3682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bCs/>
                      <w:color w:val="auto"/>
                      <w:kern w:val="0"/>
                      <w:sz w:val="21"/>
                      <w:szCs w:val="21"/>
                      <w:highlight w:val="none"/>
                      <w:vertAlign w:val="baseline"/>
                      <w:lang w:val="en-US" w:eastAsia="zh-CN" w:bidi="ar"/>
                    </w:rPr>
                  </w:pPr>
                  <w:r>
                    <w:rPr>
                      <w:rFonts w:hint="eastAsia"/>
                      <w:b/>
                      <w:bCs/>
                      <w:color w:val="auto"/>
                      <w:kern w:val="0"/>
                      <w:sz w:val="21"/>
                      <w:szCs w:val="21"/>
                      <w:highlight w:val="none"/>
                      <w:vertAlign w:val="baseline"/>
                      <w:lang w:val="en-US" w:eastAsia="zh-CN" w:bidi="ar"/>
                    </w:rPr>
                    <w:t>监测数据</w:t>
                  </w:r>
                </w:p>
              </w:tc>
              <w:tc>
                <w:tcPr>
                  <w:tcW w:w="1865" w:type="dxa"/>
                  <w:tcBorders>
                    <w:tl2br w:val="nil"/>
                    <w:tr2bl w:val="nil"/>
                  </w:tcBorders>
                  <w:noWrap w:val="0"/>
                  <w:vAlign w:val="center"/>
                </w:tcPr>
                <w:p w14:paraId="4CEEF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bCs/>
                      <w:color w:val="auto"/>
                      <w:kern w:val="0"/>
                      <w:sz w:val="21"/>
                      <w:szCs w:val="21"/>
                      <w:highlight w:val="none"/>
                      <w:vertAlign w:val="baseline"/>
                      <w:lang w:val="en-US" w:eastAsia="zh-CN" w:bidi="ar"/>
                    </w:rPr>
                  </w:pPr>
                  <w:r>
                    <w:rPr>
                      <w:rFonts w:hint="eastAsia"/>
                      <w:b/>
                      <w:bCs/>
                      <w:color w:val="auto"/>
                      <w:kern w:val="0"/>
                      <w:sz w:val="21"/>
                      <w:szCs w:val="21"/>
                      <w:highlight w:val="none"/>
                      <w:vertAlign w:val="baseline"/>
                      <w:lang w:val="en-US" w:eastAsia="zh-CN" w:bidi="ar"/>
                    </w:rPr>
                    <w:t>标准数值</w:t>
                  </w:r>
                </w:p>
              </w:tc>
            </w:tr>
            <w:tr w14:paraId="6AC90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57F427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w:t>
                  </w:r>
                </w:p>
              </w:tc>
              <w:tc>
                <w:tcPr>
                  <w:tcW w:w="2880" w:type="dxa"/>
                  <w:tcBorders>
                    <w:tl2br w:val="nil"/>
                    <w:tr2bl w:val="nil"/>
                  </w:tcBorders>
                  <w:noWrap w:val="0"/>
                  <w:vAlign w:val="center"/>
                </w:tcPr>
                <w:p w14:paraId="5D3E7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pH</w:t>
                  </w:r>
                </w:p>
              </w:tc>
              <w:tc>
                <w:tcPr>
                  <w:tcW w:w="1864" w:type="dxa"/>
                  <w:tcBorders>
                    <w:tl2br w:val="nil"/>
                    <w:tr2bl w:val="nil"/>
                  </w:tcBorders>
                  <w:noWrap w:val="0"/>
                  <w:vAlign w:val="center"/>
                </w:tcPr>
                <w:p w14:paraId="2FBD92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8.23</w:t>
                  </w:r>
                </w:p>
              </w:tc>
              <w:tc>
                <w:tcPr>
                  <w:tcW w:w="1865" w:type="dxa"/>
                  <w:tcBorders>
                    <w:tl2br w:val="nil"/>
                    <w:tr2bl w:val="nil"/>
                  </w:tcBorders>
                  <w:noWrap w:val="0"/>
                  <w:vAlign w:val="center"/>
                </w:tcPr>
                <w:p w14:paraId="62C20E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6-9</w:t>
                  </w:r>
                </w:p>
              </w:tc>
            </w:tr>
            <w:tr w14:paraId="50E840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5FD6EA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2</w:t>
                  </w:r>
                </w:p>
              </w:tc>
              <w:tc>
                <w:tcPr>
                  <w:tcW w:w="2880" w:type="dxa"/>
                  <w:tcBorders>
                    <w:tl2br w:val="nil"/>
                    <w:tr2bl w:val="nil"/>
                  </w:tcBorders>
                  <w:noWrap w:val="0"/>
                  <w:vAlign w:val="center"/>
                </w:tcPr>
                <w:p w14:paraId="61AB13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氯化物</w:t>
                  </w:r>
                </w:p>
              </w:tc>
              <w:tc>
                <w:tcPr>
                  <w:tcW w:w="1864" w:type="dxa"/>
                  <w:tcBorders>
                    <w:tl2br w:val="nil"/>
                    <w:tr2bl w:val="nil"/>
                  </w:tcBorders>
                  <w:noWrap w:val="0"/>
                  <w:vAlign w:val="center"/>
                </w:tcPr>
                <w:p w14:paraId="02291E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7.10</w:t>
                  </w:r>
                </w:p>
              </w:tc>
              <w:tc>
                <w:tcPr>
                  <w:tcW w:w="1865" w:type="dxa"/>
                  <w:tcBorders>
                    <w:tl2br w:val="nil"/>
                    <w:tr2bl w:val="nil"/>
                  </w:tcBorders>
                  <w:noWrap w:val="0"/>
                  <w:vAlign w:val="center"/>
                </w:tcPr>
                <w:p w14:paraId="3C4AE9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≤250</w:t>
                  </w:r>
                </w:p>
              </w:tc>
            </w:tr>
            <w:tr w14:paraId="0651ED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70B8E0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3</w:t>
                  </w:r>
                </w:p>
              </w:tc>
              <w:tc>
                <w:tcPr>
                  <w:tcW w:w="2880" w:type="dxa"/>
                  <w:tcBorders>
                    <w:tl2br w:val="nil"/>
                    <w:tr2bl w:val="nil"/>
                  </w:tcBorders>
                  <w:noWrap w:val="0"/>
                  <w:vAlign w:val="center"/>
                </w:tcPr>
                <w:p w14:paraId="67476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硫酸盐</w:t>
                  </w:r>
                </w:p>
              </w:tc>
              <w:tc>
                <w:tcPr>
                  <w:tcW w:w="1864" w:type="dxa"/>
                  <w:tcBorders>
                    <w:tl2br w:val="nil"/>
                    <w:tr2bl w:val="nil"/>
                  </w:tcBorders>
                  <w:noWrap w:val="0"/>
                  <w:vAlign w:val="center"/>
                </w:tcPr>
                <w:p w14:paraId="0AFFED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128</w:t>
                  </w:r>
                </w:p>
              </w:tc>
              <w:tc>
                <w:tcPr>
                  <w:tcW w:w="1865" w:type="dxa"/>
                  <w:tcBorders>
                    <w:tl2br w:val="nil"/>
                    <w:tr2bl w:val="nil"/>
                  </w:tcBorders>
                  <w:noWrap w:val="0"/>
                  <w:vAlign w:val="center"/>
                </w:tcPr>
                <w:p w14:paraId="57A23C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≤250</w:t>
                  </w:r>
                </w:p>
              </w:tc>
            </w:tr>
            <w:tr w14:paraId="29AA2E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262C53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4</w:t>
                  </w:r>
                </w:p>
              </w:tc>
              <w:tc>
                <w:tcPr>
                  <w:tcW w:w="2880" w:type="dxa"/>
                  <w:tcBorders>
                    <w:tl2br w:val="nil"/>
                    <w:tr2bl w:val="nil"/>
                  </w:tcBorders>
                  <w:noWrap w:val="0"/>
                  <w:vAlign w:val="center"/>
                </w:tcPr>
                <w:p w14:paraId="0DACD1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硝酸盐氮</w:t>
                  </w:r>
                </w:p>
              </w:tc>
              <w:tc>
                <w:tcPr>
                  <w:tcW w:w="1864" w:type="dxa"/>
                  <w:tcBorders>
                    <w:tl2br w:val="nil"/>
                    <w:tr2bl w:val="nil"/>
                  </w:tcBorders>
                  <w:noWrap w:val="0"/>
                  <w:vAlign w:val="center"/>
                </w:tcPr>
                <w:p w14:paraId="29282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1.34</w:t>
                  </w:r>
                </w:p>
              </w:tc>
              <w:tc>
                <w:tcPr>
                  <w:tcW w:w="1865" w:type="dxa"/>
                  <w:tcBorders>
                    <w:tl2br w:val="nil"/>
                    <w:tr2bl w:val="nil"/>
                  </w:tcBorders>
                  <w:noWrap w:val="0"/>
                  <w:vAlign w:val="center"/>
                </w:tcPr>
                <w:p w14:paraId="3DEF49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≤10</w:t>
                  </w:r>
                </w:p>
              </w:tc>
            </w:tr>
            <w:tr w14:paraId="2634AF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1F2507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5</w:t>
                  </w:r>
                </w:p>
              </w:tc>
              <w:tc>
                <w:tcPr>
                  <w:tcW w:w="2880" w:type="dxa"/>
                  <w:tcBorders>
                    <w:tl2br w:val="nil"/>
                    <w:tr2bl w:val="nil"/>
                  </w:tcBorders>
                  <w:noWrap w:val="0"/>
                  <w:vAlign w:val="center"/>
                </w:tcPr>
                <w:p w14:paraId="55B19C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氨氮</w:t>
                  </w:r>
                </w:p>
              </w:tc>
              <w:tc>
                <w:tcPr>
                  <w:tcW w:w="1864" w:type="dxa"/>
                  <w:tcBorders>
                    <w:tl2br w:val="nil"/>
                    <w:tr2bl w:val="nil"/>
                  </w:tcBorders>
                  <w:noWrap w:val="0"/>
                  <w:vAlign w:val="center"/>
                </w:tcPr>
                <w:p w14:paraId="028257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w:t>
                  </w:r>
                </w:p>
              </w:tc>
              <w:tc>
                <w:tcPr>
                  <w:tcW w:w="1865" w:type="dxa"/>
                  <w:tcBorders>
                    <w:tl2br w:val="nil"/>
                    <w:tr2bl w:val="nil"/>
                  </w:tcBorders>
                  <w:noWrap w:val="0"/>
                  <w:vAlign w:val="center"/>
                </w:tcPr>
                <w:p w14:paraId="29DAED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≤1.0</w:t>
                  </w:r>
                </w:p>
              </w:tc>
            </w:tr>
            <w:tr w14:paraId="59224A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78204C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6</w:t>
                  </w:r>
                </w:p>
              </w:tc>
              <w:tc>
                <w:tcPr>
                  <w:tcW w:w="2880" w:type="dxa"/>
                  <w:tcBorders>
                    <w:tl2br w:val="nil"/>
                    <w:tr2bl w:val="nil"/>
                  </w:tcBorders>
                  <w:noWrap w:val="0"/>
                  <w:vAlign w:val="center"/>
                </w:tcPr>
                <w:p w14:paraId="3D09CE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氟化物</w:t>
                  </w:r>
                </w:p>
              </w:tc>
              <w:tc>
                <w:tcPr>
                  <w:tcW w:w="1864" w:type="dxa"/>
                  <w:tcBorders>
                    <w:tl2br w:val="nil"/>
                    <w:tr2bl w:val="nil"/>
                  </w:tcBorders>
                  <w:noWrap w:val="0"/>
                  <w:vAlign w:val="center"/>
                </w:tcPr>
                <w:p w14:paraId="340DD8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0.13</w:t>
                  </w:r>
                </w:p>
              </w:tc>
              <w:tc>
                <w:tcPr>
                  <w:tcW w:w="1865" w:type="dxa"/>
                  <w:tcBorders>
                    <w:tl2br w:val="nil"/>
                    <w:tr2bl w:val="nil"/>
                  </w:tcBorders>
                  <w:noWrap w:val="0"/>
                  <w:vAlign w:val="center"/>
                </w:tcPr>
                <w:p w14:paraId="3E8E20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≤1.0</w:t>
                  </w:r>
                </w:p>
              </w:tc>
            </w:tr>
            <w:tr w14:paraId="321E48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31F13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7</w:t>
                  </w:r>
                </w:p>
              </w:tc>
              <w:tc>
                <w:tcPr>
                  <w:tcW w:w="2880" w:type="dxa"/>
                  <w:tcBorders>
                    <w:tl2br w:val="nil"/>
                    <w:tr2bl w:val="nil"/>
                  </w:tcBorders>
                  <w:noWrap w:val="0"/>
                  <w:vAlign w:val="center"/>
                </w:tcPr>
                <w:p w14:paraId="3DA805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溶解氧</w:t>
                  </w:r>
                </w:p>
              </w:tc>
              <w:tc>
                <w:tcPr>
                  <w:tcW w:w="1864" w:type="dxa"/>
                  <w:tcBorders>
                    <w:tl2br w:val="nil"/>
                    <w:tr2bl w:val="nil"/>
                  </w:tcBorders>
                  <w:noWrap w:val="0"/>
                  <w:vAlign w:val="center"/>
                </w:tcPr>
                <w:p w14:paraId="1FE1F4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9.11</w:t>
                  </w:r>
                </w:p>
              </w:tc>
              <w:tc>
                <w:tcPr>
                  <w:tcW w:w="1865" w:type="dxa"/>
                  <w:tcBorders>
                    <w:tl2br w:val="nil"/>
                    <w:tr2bl w:val="nil"/>
                  </w:tcBorders>
                  <w:noWrap w:val="0"/>
                  <w:vAlign w:val="center"/>
                </w:tcPr>
                <w:p w14:paraId="3409CD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≥3.0</w:t>
                  </w:r>
                </w:p>
              </w:tc>
            </w:tr>
            <w:tr w14:paraId="15A12B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0F72FE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8</w:t>
                  </w:r>
                </w:p>
              </w:tc>
              <w:tc>
                <w:tcPr>
                  <w:tcW w:w="2880" w:type="dxa"/>
                  <w:tcBorders>
                    <w:tl2br w:val="nil"/>
                    <w:tr2bl w:val="nil"/>
                  </w:tcBorders>
                  <w:noWrap w:val="0"/>
                  <w:vAlign w:val="center"/>
                </w:tcPr>
                <w:p w14:paraId="10BA0A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高锰酸盐指数</w:t>
                  </w:r>
                </w:p>
              </w:tc>
              <w:tc>
                <w:tcPr>
                  <w:tcW w:w="1864" w:type="dxa"/>
                  <w:tcBorders>
                    <w:tl2br w:val="nil"/>
                    <w:tr2bl w:val="nil"/>
                  </w:tcBorders>
                  <w:noWrap w:val="0"/>
                  <w:vAlign w:val="center"/>
                </w:tcPr>
                <w:p w14:paraId="3A0279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0.7</w:t>
                  </w:r>
                </w:p>
              </w:tc>
              <w:tc>
                <w:tcPr>
                  <w:tcW w:w="1865" w:type="dxa"/>
                  <w:tcBorders>
                    <w:tl2br w:val="nil"/>
                    <w:tr2bl w:val="nil"/>
                  </w:tcBorders>
                  <w:noWrap w:val="0"/>
                  <w:vAlign w:val="center"/>
                </w:tcPr>
                <w:p w14:paraId="4E1928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≤6.0</w:t>
                  </w:r>
                </w:p>
              </w:tc>
            </w:tr>
            <w:tr w14:paraId="040E31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68BC89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9</w:t>
                  </w:r>
                </w:p>
              </w:tc>
              <w:tc>
                <w:tcPr>
                  <w:tcW w:w="2880" w:type="dxa"/>
                  <w:tcBorders>
                    <w:tl2br w:val="nil"/>
                    <w:tr2bl w:val="nil"/>
                  </w:tcBorders>
                  <w:noWrap w:val="0"/>
                  <w:vAlign w:val="center"/>
                </w:tcPr>
                <w:p w14:paraId="7D216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六价铬</w:t>
                  </w:r>
                </w:p>
              </w:tc>
              <w:tc>
                <w:tcPr>
                  <w:tcW w:w="1864" w:type="dxa"/>
                  <w:tcBorders>
                    <w:tl2br w:val="nil"/>
                    <w:tr2bl w:val="nil"/>
                  </w:tcBorders>
                  <w:noWrap w:val="0"/>
                  <w:vAlign w:val="center"/>
                </w:tcPr>
                <w:p w14:paraId="190BB7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＜0.004</w:t>
                  </w:r>
                </w:p>
              </w:tc>
              <w:tc>
                <w:tcPr>
                  <w:tcW w:w="1865" w:type="dxa"/>
                  <w:tcBorders>
                    <w:tl2br w:val="nil"/>
                    <w:tr2bl w:val="nil"/>
                  </w:tcBorders>
                  <w:noWrap w:val="0"/>
                  <w:vAlign w:val="center"/>
                </w:tcPr>
                <w:p w14:paraId="78A609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≤0.05</w:t>
                  </w:r>
                </w:p>
              </w:tc>
            </w:tr>
            <w:tr w14:paraId="7EDAE8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32E01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10</w:t>
                  </w:r>
                </w:p>
              </w:tc>
              <w:tc>
                <w:tcPr>
                  <w:tcW w:w="2880" w:type="dxa"/>
                  <w:tcBorders>
                    <w:tl2br w:val="nil"/>
                    <w:tr2bl w:val="nil"/>
                  </w:tcBorders>
                  <w:noWrap w:val="0"/>
                  <w:vAlign w:val="center"/>
                </w:tcPr>
                <w:p w14:paraId="4CB419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铁</w:t>
                  </w:r>
                </w:p>
              </w:tc>
              <w:tc>
                <w:tcPr>
                  <w:tcW w:w="1864" w:type="dxa"/>
                  <w:tcBorders>
                    <w:tl2br w:val="nil"/>
                    <w:tr2bl w:val="nil"/>
                  </w:tcBorders>
                  <w:noWrap w:val="0"/>
                  <w:vAlign w:val="center"/>
                </w:tcPr>
                <w:p w14:paraId="36A95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＜0.03</w:t>
                  </w:r>
                </w:p>
              </w:tc>
              <w:tc>
                <w:tcPr>
                  <w:tcW w:w="1865" w:type="dxa"/>
                  <w:tcBorders>
                    <w:tl2br w:val="nil"/>
                    <w:tr2bl w:val="nil"/>
                  </w:tcBorders>
                  <w:noWrap w:val="0"/>
                  <w:vAlign w:val="center"/>
                </w:tcPr>
                <w:p w14:paraId="6ED9ED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≤0.3</w:t>
                  </w:r>
                </w:p>
              </w:tc>
            </w:tr>
            <w:tr w14:paraId="4B1413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4503C1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11</w:t>
                  </w:r>
                </w:p>
              </w:tc>
              <w:tc>
                <w:tcPr>
                  <w:tcW w:w="2880" w:type="dxa"/>
                  <w:tcBorders>
                    <w:tl2br w:val="nil"/>
                    <w:tr2bl w:val="nil"/>
                  </w:tcBorders>
                  <w:noWrap w:val="0"/>
                  <w:vAlign w:val="center"/>
                </w:tcPr>
                <w:p w14:paraId="12DB7C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铜</w:t>
                  </w:r>
                </w:p>
              </w:tc>
              <w:tc>
                <w:tcPr>
                  <w:tcW w:w="1864" w:type="dxa"/>
                  <w:tcBorders>
                    <w:tl2br w:val="nil"/>
                    <w:tr2bl w:val="nil"/>
                  </w:tcBorders>
                  <w:noWrap w:val="0"/>
                  <w:vAlign w:val="center"/>
                </w:tcPr>
                <w:p w14:paraId="147F17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＜0.05</w:t>
                  </w:r>
                </w:p>
              </w:tc>
              <w:tc>
                <w:tcPr>
                  <w:tcW w:w="1865" w:type="dxa"/>
                  <w:tcBorders>
                    <w:tl2br w:val="nil"/>
                    <w:tr2bl w:val="nil"/>
                  </w:tcBorders>
                  <w:noWrap w:val="0"/>
                  <w:vAlign w:val="center"/>
                </w:tcPr>
                <w:p w14:paraId="42952A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≤1.0</w:t>
                  </w:r>
                </w:p>
              </w:tc>
            </w:tr>
            <w:tr w14:paraId="5FB42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245914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12</w:t>
                  </w:r>
                </w:p>
              </w:tc>
              <w:tc>
                <w:tcPr>
                  <w:tcW w:w="2880" w:type="dxa"/>
                  <w:tcBorders>
                    <w:tl2br w:val="nil"/>
                    <w:tr2bl w:val="nil"/>
                  </w:tcBorders>
                  <w:noWrap w:val="0"/>
                  <w:vAlign w:val="center"/>
                </w:tcPr>
                <w:p w14:paraId="07D8A5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锌</w:t>
                  </w:r>
                </w:p>
              </w:tc>
              <w:tc>
                <w:tcPr>
                  <w:tcW w:w="1864" w:type="dxa"/>
                  <w:tcBorders>
                    <w:tl2br w:val="nil"/>
                    <w:tr2bl w:val="nil"/>
                  </w:tcBorders>
                  <w:noWrap w:val="0"/>
                  <w:vAlign w:val="center"/>
                </w:tcPr>
                <w:p w14:paraId="023AD0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＜0.05</w:t>
                  </w:r>
                </w:p>
              </w:tc>
              <w:tc>
                <w:tcPr>
                  <w:tcW w:w="1865" w:type="dxa"/>
                  <w:tcBorders>
                    <w:tl2br w:val="nil"/>
                    <w:tr2bl w:val="nil"/>
                  </w:tcBorders>
                  <w:noWrap w:val="0"/>
                  <w:vAlign w:val="center"/>
                </w:tcPr>
                <w:p w14:paraId="1F5DB7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≤1.0</w:t>
                  </w:r>
                </w:p>
              </w:tc>
            </w:tr>
            <w:tr w14:paraId="1C1455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46A473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13</w:t>
                  </w:r>
                </w:p>
              </w:tc>
              <w:tc>
                <w:tcPr>
                  <w:tcW w:w="2880" w:type="dxa"/>
                  <w:tcBorders>
                    <w:tl2br w:val="nil"/>
                    <w:tr2bl w:val="nil"/>
                  </w:tcBorders>
                  <w:noWrap w:val="0"/>
                  <w:vAlign w:val="center"/>
                </w:tcPr>
                <w:p w14:paraId="379D59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镉</w:t>
                  </w:r>
                </w:p>
              </w:tc>
              <w:tc>
                <w:tcPr>
                  <w:tcW w:w="1864" w:type="dxa"/>
                  <w:tcBorders>
                    <w:tl2br w:val="nil"/>
                    <w:tr2bl w:val="nil"/>
                  </w:tcBorders>
                  <w:noWrap w:val="0"/>
                  <w:vAlign w:val="center"/>
                </w:tcPr>
                <w:p w14:paraId="43BA37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＜0.005</w:t>
                  </w:r>
                </w:p>
              </w:tc>
              <w:tc>
                <w:tcPr>
                  <w:tcW w:w="1865" w:type="dxa"/>
                  <w:tcBorders>
                    <w:tl2br w:val="nil"/>
                    <w:tr2bl w:val="nil"/>
                  </w:tcBorders>
                  <w:noWrap w:val="0"/>
                  <w:vAlign w:val="center"/>
                </w:tcPr>
                <w:p w14:paraId="3EC4F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≤0.005</w:t>
                  </w:r>
                </w:p>
              </w:tc>
            </w:tr>
            <w:tr w14:paraId="04969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0A9D9C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14</w:t>
                  </w:r>
                </w:p>
              </w:tc>
              <w:tc>
                <w:tcPr>
                  <w:tcW w:w="2880" w:type="dxa"/>
                  <w:tcBorders>
                    <w:tl2br w:val="nil"/>
                    <w:tr2bl w:val="nil"/>
                  </w:tcBorders>
                  <w:noWrap w:val="0"/>
                  <w:vAlign w:val="center"/>
                </w:tcPr>
                <w:p w14:paraId="11A544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锰</w:t>
                  </w:r>
                </w:p>
              </w:tc>
              <w:tc>
                <w:tcPr>
                  <w:tcW w:w="1864" w:type="dxa"/>
                  <w:tcBorders>
                    <w:tl2br w:val="nil"/>
                    <w:tr2bl w:val="nil"/>
                  </w:tcBorders>
                  <w:noWrap w:val="0"/>
                  <w:vAlign w:val="center"/>
                </w:tcPr>
                <w:p w14:paraId="344FC4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＜0.01</w:t>
                  </w:r>
                </w:p>
              </w:tc>
              <w:tc>
                <w:tcPr>
                  <w:tcW w:w="1865" w:type="dxa"/>
                  <w:tcBorders>
                    <w:tl2br w:val="nil"/>
                    <w:tr2bl w:val="nil"/>
                  </w:tcBorders>
                  <w:noWrap w:val="0"/>
                  <w:vAlign w:val="center"/>
                </w:tcPr>
                <w:p w14:paraId="734B26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≤0.1</w:t>
                  </w:r>
                </w:p>
              </w:tc>
            </w:tr>
            <w:tr w14:paraId="0A859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4A5AEE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15</w:t>
                  </w:r>
                </w:p>
              </w:tc>
              <w:tc>
                <w:tcPr>
                  <w:tcW w:w="2880" w:type="dxa"/>
                  <w:tcBorders>
                    <w:tl2br w:val="nil"/>
                    <w:tr2bl w:val="nil"/>
                  </w:tcBorders>
                  <w:noWrap w:val="0"/>
                  <w:vAlign w:val="center"/>
                </w:tcPr>
                <w:p w14:paraId="04CAC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氰化物</w:t>
                  </w:r>
                </w:p>
              </w:tc>
              <w:tc>
                <w:tcPr>
                  <w:tcW w:w="1864" w:type="dxa"/>
                  <w:tcBorders>
                    <w:tl2br w:val="nil"/>
                    <w:tr2bl w:val="nil"/>
                  </w:tcBorders>
                  <w:noWrap w:val="0"/>
                  <w:vAlign w:val="center"/>
                </w:tcPr>
                <w:p w14:paraId="6C627E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＜0.002</w:t>
                  </w:r>
                </w:p>
              </w:tc>
              <w:tc>
                <w:tcPr>
                  <w:tcW w:w="1865" w:type="dxa"/>
                  <w:tcBorders>
                    <w:tl2br w:val="nil"/>
                    <w:tr2bl w:val="nil"/>
                  </w:tcBorders>
                  <w:noWrap w:val="0"/>
                  <w:vAlign w:val="center"/>
                </w:tcPr>
                <w:p w14:paraId="5A0DA4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≤0.2</w:t>
                  </w:r>
                </w:p>
              </w:tc>
            </w:tr>
            <w:tr w14:paraId="6A4AAA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3DF0DA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16</w:t>
                  </w:r>
                </w:p>
              </w:tc>
              <w:tc>
                <w:tcPr>
                  <w:tcW w:w="2880" w:type="dxa"/>
                  <w:tcBorders>
                    <w:tl2br w:val="nil"/>
                    <w:tr2bl w:val="nil"/>
                  </w:tcBorders>
                  <w:noWrap w:val="0"/>
                  <w:vAlign w:val="center"/>
                </w:tcPr>
                <w:p w14:paraId="3B7541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挥发酚</w:t>
                  </w:r>
                </w:p>
              </w:tc>
              <w:tc>
                <w:tcPr>
                  <w:tcW w:w="1864" w:type="dxa"/>
                  <w:tcBorders>
                    <w:tl2br w:val="nil"/>
                    <w:tr2bl w:val="nil"/>
                  </w:tcBorders>
                  <w:noWrap w:val="0"/>
                  <w:vAlign w:val="center"/>
                </w:tcPr>
                <w:p w14:paraId="3D0F37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＜0.002</w:t>
                  </w:r>
                </w:p>
              </w:tc>
              <w:tc>
                <w:tcPr>
                  <w:tcW w:w="1865" w:type="dxa"/>
                  <w:tcBorders>
                    <w:tl2br w:val="nil"/>
                    <w:tr2bl w:val="nil"/>
                  </w:tcBorders>
                  <w:noWrap w:val="0"/>
                  <w:vAlign w:val="center"/>
                </w:tcPr>
                <w:p w14:paraId="3E902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≤0.005</w:t>
                  </w:r>
                </w:p>
              </w:tc>
            </w:tr>
            <w:tr w14:paraId="4E54F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2DAE8D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17</w:t>
                  </w:r>
                </w:p>
              </w:tc>
              <w:tc>
                <w:tcPr>
                  <w:tcW w:w="2880" w:type="dxa"/>
                  <w:tcBorders>
                    <w:tl2br w:val="nil"/>
                    <w:tr2bl w:val="nil"/>
                  </w:tcBorders>
                  <w:noWrap w:val="0"/>
                  <w:vAlign w:val="center"/>
                </w:tcPr>
                <w:p w14:paraId="54AA9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阴离子合成洗涤剂</w:t>
                  </w:r>
                </w:p>
              </w:tc>
              <w:tc>
                <w:tcPr>
                  <w:tcW w:w="1864" w:type="dxa"/>
                  <w:tcBorders>
                    <w:tl2br w:val="nil"/>
                    <w:tr2bl w:val="nil"/>
                  </w:tcBorders>
                  <w:noWrap w:val="0"/>
                  <w:vAlign w:val="center"/>
                </w:tcPr>
                <w:p w14:paraId="1F8D26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＜0.025</w:t>
                  </w:r>
                </w:p>
              </w:tc>
              <w:tc>
                <w:tcPr>
                  <w:tcW w:w="1865" w:type="dxa"/>
                  <w:tcBorders>
                    <w:tl2br w:val="nil"/>
                    <w:tr2bl w:val="nil"/>
                  </w:tcBorders>
                  <w:noWrap w:val="0"/>
                  <w:vAlign w:val="center"/>
                </w:tcPr>
                <w:p w14:paraId="5C4144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≤0.2</w:t>
                  </w:r>
                </w:p>
              </w:tc>
            </w:tr>
            <w:tr w14:paraId="1898D0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242D4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18</w:t>
                  </w:r>
                </w:p>
              </w:tc>
              <w:tc>
                <w:tcPr>
                  <w:tcW w:w="2880" w:type="dxa"/>
                  <w:tcBorders>
                    <w:tl2br w:val="nil"/>
                    <w:tr2bl w:val="nil"/>
                  </w:tcBorders>
                  <w:noWrap w:val="0"/>
                  <w:vAlign w:val="center"/>
                </w:tcPr>
                <w:p w14:paraId="22BDE0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砷</w:t>
                  </w:r>
                </w:p>
              </w:tc>
              <w:tc>
                <w:tcPr>
                  <w:tcW w:w="1864" w:type="dxa"/>
                  <w:tcBorders>
                    <w:tl2br w:val="nil"/>
                    <w:tr2bl w:val="nil"/>
                  </w:tcBorders>
                  <w:noWrap w:val="0"/>
                  <w:vAlign w:val="center"/>
                </w:tcPr>
                <w:p w14:paraId="3C3CBD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＜0.001</w:t>
                  </w:r>
                </w:p>
              </w:tc>
              <w:tc>
                <w:tcPr>
                  <w:tcW w:w="1865" w:type="dxa"/>
                  <w:tcBorders>
                    <w:tl2br w:val="nil"/>
                    <w:tr2bl w:val="nil"/>
                  </w:tcBorders>
                  <w:noWrap w:val="0"/>
                  <w:vAlign w:val="center"/>
                </w:tcPr>
                <w:p w14:paraId="1027A2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≤0.05</w:t>
                  </w:r>
                </w:p>
              </w:tc>
            </w:tr>
            <w:tr w14:paraId="1721AD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0AB526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19</w:t>
                  </w:r>
                </w:p>
              </w:tc>
              <w:tc>
                <w:tcPr>
                  <w:tcW w:w="2880" w:type="dxa"/>
                  <w:tcBorders>
                    <w:tl2br w:val="nil"/>
                    <w:tr2bl w:val="nil"/>
                  </w:tcBorders>
                  <w:noWrap w:val="0"/>
                  <w:vAlign w:val="center"/>
                </w:tcPr>
                <w:p w14:paraId="7C09B7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汞</w:t>
                  </w:r>
                </w:p>
              </w:tc>
              <w:tc>
                <w:tcPr>
                  <w:tcW w:w="1864" w:type="dxa"/>
                  <w:tcBorders>
                    <w:tl2br w:val="nil"/>
                    <w:tr2bl w:val="nil"/>
                  </w:tcBorders>
                  <w:noWrap w:val="0"/>
                  <w:vAlign w:val="center"/>
                </w:tcPr>
                <w:p w14:paraId="744105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＜0.0001</w:t>
                  </w:r>
                </w:p>
              </w:tc>
              <w:tc>
                <w:tcPr>
                  <w:tcW w:w="1865" w:type="dxa"/>
                  <w:tcBorders>
                    <w:tl2br w:val="nil"/>
                    <w:tr2bl w:val="nil"/>
                  </w:tcBorders>
                  <w:noWrap w:val="0"/>
                  <w:vAlign w:val="center"/>
                </w:tcPr>
                <w:p w14:paraId="51A390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≤0.0001</w:t>
                  </w:r>
                </w:p>
              </w:tc>
            </w:tr>
            <w:tr w14:paraId="0B5E8A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5CDBD4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20</w:t>
                  </w:r>
                </w:p>
              </w:tc>
              <w:tc>
                <w:tcPr>
                  <w:tcW w:w="2880" w:type="dxa"/>
                  <w:tcBorders>
                    <w:tl2br w:val="nil"/>
                    <w:tr2bl w:val="nil"/>
                  </w:tcBorders>
                  <w:noWrap w:val="0"/>
                  <w:vAlign w:val="center"/>
                </w:tcPr>
                <w:p w14:paraId="73261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铅</w:t>
                  </w:r>
                </w:p>
              </w:tc>
              <w:tc>
                <w:tcPr>
                  <w:tcW w:w="1864" w:type="dxa"/>
                  <w:tcBorders>
                    <w:tl2br w:val="nil"/>
                    <w:tr2bl w:val="nil"/>
                  </w:tcBorders>
                  <w:noWrap w:val="0"/>
                  <w:vAlign w:val="center"/>
                </w:tcPr>
                <w:p w14:paraId="44E2A9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＜0.001</w:t>
                  </w:r>
                </w:p>
              </w:tc>
              <w:tc>
                <w:tcPr>
                  <w:tcW w:w="1865" w:type="dxa"/>
                  <w:tcBorders>
                    <w:tl2br w:val="nil"/>
                    <w:tr2bl w:val="nil"/>
                  </w:tcBorders>
                  <w:noWrap w:val="0"/>
                  <w:vAlign w:val="center"/>
                </w:tcPr>
                <w:p w14:paraId="11FB18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≤0.05</w:t>
                  </w:r>
                </w:p>
              </w:tc>
            </w:tr>
            <w:tr w14:paraId="3EF94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9" w:type="dxa"/>
                  <w:tcBorders>
                    <w:tl2br w:val="nil"/>
                    <w:tr2bl w:val="nil"/>
                  </w:tcBorders>
                  <w:noWrap w:val="0"/>
                  <w:vAlign w:val="center"/>
                </w:tcPr>
                <w:p w14:paraId="32DC72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21</w:t>
                  </w:r>
                </w:p>
              </w:tc>
              <w:tc>
                <w:tcPr>
                  <w:tcW w:w="2880" w:type="dxa"/>
                  <w:tcBorders>
                    <w:tl2br w:val="nil"/>
                    <w:tr2bl w:val="nil"/>
                  </w:tcBorders>
                  <w:noWrap w:val="0"/>
                  <w:vAlign w:val="center"/>
                </w:tcPr>
                <w:p w14:paraId="40AEE4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b w:val="0"/>
                      <w:bCs w:val="0"/>
                      <w:color w:val="auto"/>
                      <w:kern w:val="0"/>
                      <w:sz w:val="21"/>
                      <w:szCs w:val="21"/>
                      <w:highlight w:val="none"/>
                      <w:vertAlign w:val="baseline"/>
                      <w:lang w:val="en-US" w:eastAsia="zh-CN" w:bidi="ar"/>
                    </w:rPr>
                  </w:pPr>
                  <w:r>
                    <w:rPr>
                      <w:rFonts w:hint="eastAsia"/>
                      <w:b w:val="0"/>
                      <w:bCs w:val="0"/>
                      <w:color w:val="auto"/>
                      <w:kern w:val="0"/>
                      <w:sz w:val="21"/>
                      <w:szCs w:val="21"/>
                      <w:highlight w:val="none"/>
                      <w:vertAlign w:val="baseline"/>
                      <w:lang w:val="en-US" w:eastAsia="zh-CN" w:bidi="ar"/>
                    </w:rPr>
                    <w:t>硒</w:t>
                  </w:r>
                </w:p>
              </w:tc>
              <w:tc>
                <w:tcPr>
                  <w:tcW w:w="1864" w:type="dxa"/>
                  <w:tcBorders>
                    <w:tl2br w:val="nil"/>
                    <w:tr2bl w:val="nil"/>
                  </w:tcBorders>
                  <w:noWrap w:val="0"/>
                  <w:vAlign w:val="center"/>
                </w:tcPr>
                <w:p w14:paraId="13297C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＜0.0004</w:t>
                  </w:r>
                </w:p>
              </w:tc>
              <w:tc>
                <w:tcPr>
                  <w:tcW w:w="1865" w:type="dxa"/>
                  <w:tcBorders>
                    <w:tl2br w:val="nil"/>
                    <w:tr2bl w:val="nil"/>
                  </w:tcBorders>
                  <w:noWrap w:val="0"/>
                  <w:vAlign w:val="center"/>
                </w:tcPr>
                <w:p w14:paraId="6E39F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val="0"/>
                      <w:bCs w:val="0"/>
                      <w:color w:val="auto"/>
                      <w:kern w:val="0"/>
                      <w:sz w:val="21"/>
                      <w:szCs w:val="21"/>
                      <w:highlight w:val="none"/>
                      <w:vertAlign w:val="baseline"/>
                      <w:lang w:val="en-US" w:bidi="ar"/>
                    </w:rPr>
                  </w:pPr>
                  <w:r>
                    <w:rPr>
                      <w:rFonts w:hint="eastAsia"/>
                      <w:b w:val="0"/>
                      <w:bCs w:val="0"/>
                      <w:color w:val="auto"/>
                      <w:kern w:val="0"/>
                      <w:sz w:val="21"/>
                      <w:szCs w:val="21"/>
                      <w:highlight w:val="none"/>
                      <w:vertAlign w:val="baseline"/>
                      <w:lang w:val="en-US" w:eastAsia="zh-CN" w:bidi="ar"/>
                    </w:rPr>
                    <w:t>≤0.05</w:t>
                  </w:r>
                </w:p>
              </w:tc>
            </w:tr>
          </w:tbl>
          <w:p w14:paraId="24118FF4">
            <w:pPr>
              <w:keepNext w:val="0"/>
              <w:keepLines w:val="0"/>
              <w:pageBreakBefore w:val="0"/>
              <w:widowControl w:val="0"/>
              <w:kinsoku/>
              <w:wordWrap/>
              <w:overflowPunct w:val="0"/>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z w:val="24"/>
                <w:szCs w:val="22"/>
                <w:lang w:val="en-US" w:eastAsia="zh-CN"/>
              </w:rPr>
            </w:pPr>
            <w:r>
              <w:rPr>
                <w:rFonts w:hint="eastAsia" w:ascii="Times New Roman" w:hAnsi="Times New Roman" w:eastAsia="宋体" w:cs="Times New Roman"/>
                <w:color w:val="auto"/>
                <w:sz w:val="24"/>
                <w:szCs w:val="22"/>
                <w:lang w:val="en-US" w:eastAsia="zh-CN"/>
              </w:rPr>
              <w:t>根据收集的检测数据显示，碧流河河水水质满足《地表水环境质量标准》（GB3838-2002）中的Ⅲ类标准限值。</w:t>
            </w:r>
          </w:p>
          <w:p w14:paraId="38184B82">
            <w:pPr>
              <w:keepNext w:val="0"/>
              <w:keepLines w:val="0"/>
              <w:pageBreakBefore w:val="0"/>
              <w:widowControl w:val="0"/>
              <w:numPr>
                <w:ilvl w:val="0"/>
                <w:numId w:val="9"/>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声环境质量现状</w:t>
            </w:r>
          </w:p>
          <w:p w14:paraId="13B52D8F">
            <w:pPr>
              <w:pageBreakBefore w:val="0"/>
              <w:widowControl w:val="0"/>
              <w:kinsoku/>
              <w:wordWrap/>
              <w:overflowPunct w:val="0"/>
              <w:topLinePunct w:val="0"/>
              <w:autoSpaceDE/>
              <w:autoSpaceDN/>
              <w:bidi w:val="0"/>
              <w:snapToGrid/>
              <w:spacing w:line="360" w:lineRule="auto"/>
              <w:ind w:firstLine="480" w:firstLineChars="200"/>
              <w:textAlignment w:val="auto"/>
              <w:rPr>
                <w:rFonts w:hint="eastAsia"/>
                <w:color w:val="auto"/>
                <w:sz w:val="24"/>
                <w:highlight w:val="none"/>
                <w:lang w:val="en-US" w:eastAsia="zh-CN"/>
              </w:rPr>
            </w:pPr>
            <w:r>
              <w:rPr>
                <w:rFonts w:hint="eastAsia"/>
                <w:color w:val="auto"/>
                <w:sz w:val="24"/>
                <w:highlight w:val="none"/>
              </w:rPr>
              <w:t>项目位于昌吉回族自治州奇台县境内，项目施工边界50m范围内分布有居民，其为集中的居民分布区，属于环境敏感点，因此，本次项目选取了</w:t>
            </w:r>
            <w:r>
              <w:rPr>
                <w:rFonts w:hint="eastAsia"/>
                <w:color w:val="auto"/>
                <w:sz w:val="24"/>
                <w:highlight w:val="none"/>
                <w:lang w:val="en-US" w:eastAsia="zh-CN"/>
              </w:rPr>
              <w:t>11</w:t>
            </w:r>
            <w:r>
              <w:rPr>
                <w:rFonts w:hint="eastAsia"/>
                <w:color w:val="auto"/>
                <w:sz w:val="24"/>
                <w:highlight w:val="none"/>
              </w:rPr>
              <w:t>处距离项目最近的区域进行现状监测。本次声环境质量现状评价委托新疆合普联科检测技术研究院（有限公司）于</w:t>
            </w:r>
            <w:r>
              <w:rPr>
                <w:rFonts w:hint="eastAsia"/>
                <w:color w:val="auto"/>
                <w:sz w:val="24"/>
                <w:highlight w:val="none"/>
                <w:lang w:val="en-US" w:eastAsia="zh-CN"/>
              </w:rPr>
              <w:t>2026年5月2</w:t>
            </w:r>
            <w:r>
              <w:rPr>
                <w:rFonts w:hint="eastAsia"/>
                <w:color w:val="auto"/>
                <w:sz w:val="24"/>
                <w:highlight w:val="none"/>
              </w:rPr>
              <w:t>日对本项目周边50m范围内的声环境保护目标进行了噪声实测，共设置了</w:t>
            </w:r>
            <w:r>
              <w:rPr>
                <w:rFonts w:hint="eastAsia"/>
                <w:color w:val="auto"/>
                <w:sz w:val="24"/>
                <w:highlight w:val="none"/>
                <w:lang w:val="en-US" w:eastAsia="zh-CN"/>
              </w:rPr>
              <w:t>11</w:t>
            </w:r>
            <w:r>
              <w:rPr>
                <w:rFonts w:hint="eastAsia"/>
                <w:color w:val="auto"/>
                <w:sz w:val="24"/>
                <w:highlight w:val="none"/>
              </w:rPr>
              <w:t>个环境噪声监测点，监测结果见表</w:t>
            </w:r>
            <w:r>
              <w:rPr>
                <w:rFonts w:hint="eastAsia"/>
                <w:color w:val="auto"/>
                <w:sz w:val="24"/>
                <w:highlight w:val="none"/>
                <w:lang w:val="en-US" w:eastAsia="zh-CN"/>
              </w:rPr>
              <w:t>3-4</w:t>
            </w:r>
            <w:r>
              <w:rPr>
                <w:rFonts w:hint="eastAsia"/>
                <w:color w:val="auto"/>
                <w:sz w:val="24"/>
                <w:highlight w:val="none"/>
                <w:lang w:eastAsia="zh-CN"/>
              </w:rPr>
              <w:t>，</w:t>
            </w:r>
            <w:r>
              <w:rPr>
                <w:rFonts w:hint="eastAsia"/>
                <w:color w:val="auto"/>
                <w:sz w:val="24"/>
                <w:highlight w:val="none"/>
                <w:lang w:val="en-US" w:eastAsia="zh-CN"/>
              </w:rPr>
              <w:t>监测布点见附图。</w:t>
            </w:r>
          </w:p>
          <w:p w14:paraId="5065EAA8">
            <w:pPr>
              <w:pStyle w:val="48"/>
              <w:spacing w:line="360" w:lineRule="auto"/>
              <w:ind w:firstLine="0" w:firstLineChars="0"/>
              <w:jc w:val="center"/>
              <w:textAlignment w:val="baseline"/>
              <w:rPr>
                <w:rFonts w:hint="default" w:ascii="Times New Roman" w:hAnsi="Times New Roman" w:eastAsia="宋体" w:cs="Times New Roman"/>
                <w:b/>
                <w:bCs w:val="0"/>
                <w:snapToGrid w:val="0"/>
                <w:color w:val="auto"/>
                <w:sz w:val="24"/>
                <w:szCs w:val="24"/>
                <w:lang w:val="en-US" w:eastAsia="zh-CN"/>
              </w:rPr>
            </w:pPr>
            <w:r>
              <w:rPr>
                <w:rFonts w:hint="eastAsia" w:ascii="Times New Roman" w:hAnsi="Times New Roman" w:eastAsia="宋体" w:cs="Times New Roman"/>
                <w:b/>
                <w:bCs w:val="0"/>
                <w:snapToGrid w:val="0"/>
                <w:color w:val="auto"/>
                <w:sz w:val="24"/>
                <w:szCs w:val="24"/>
                <w:lang w:val="en-US" w:eastAsia="zh-CN"/>
              </w:rPr>
              <w:t>表3-</w:t>
            </w:r>
            <w:r>
              <w:rPr>
                <w:rFonts w:hint="eastAsia" w:ascii="Times New Roman" w:hAnsi="Times New Roman" w:cs="Times New Roman"/>
                <w:b/>
                <w:bCs w:val="0"/>
                <w:snapToGrid w:val="0"/>
                <w:color w:val="auto"/>
                <w:sz w:val="24"/>
                <w:szCs w:val="24"/>
                <w:lang w:val="en-US" w:eastAsia="zh-CN"/>
              </w:rPr>
              <w:t>4</w:t>
            </w:r>
            <w:r>
              <w:rPr>
                <w:rFonts w:hint="eastAsia" w:ascii="Times New Roman" w:hAnsi="Times New Roman" w:eastAsia="宋体" w:cs="Times New Roman"/>
                <w:b/>
                <w:bCs w:val="0"/>
                <w:snapToGrid w:val="0"/>
                <w:color w:val="auto"/>
                <w:sz w:val="24"/>
                <w:szCs w:val="24"/>
                <w:lang w:val="en-US" w:eastAsia="zh-CN"/>
              </w:rPr>
              <w:t xml:space="preserve"> </w:t>
            </w:r>
            <w:r>
              <w:rPr>
                <w:rFonts w:hint="eastAsia"/>
                <w:b/>
                <w:bCs/>
                <w:color w:val="auto"/>
                <w:szCs w:val="21"/>
                <w:highlight w:val="none"/>
              </w:rPr>
              <w:t>声环境质量现状监测结果统计表</w:t>
            </w:r>
            <w:r>
              <w:rPr>
                <w:rFonts w:hint="eastAsia"/>
                <w:b/>
                <w:bCs/>
                <w:color w:val="auto"/>
                <w:szCs w:val="21"/>
                <w:highlight w:val="none"/>
                <w:lang w:val="en-US" w:eastAsia="zh-CN"/>
              </w:rPr>
              <w:t xml:space="preserve">    </w:t>
            </w:r>
            <w:r>
              <w:rPr>
                <w:rFonts w:hint="eastAsia" w:ascii="Times New Roman" w:hAnsi="Times New Roman" w:eastAsia="宋体" w:cs="Times New Roman"/>
                <w:b/>
                <w:bCs w:val="0"/>
                <w:snapToGrid w:val="0"/>
                <w:color w:val="auto"/>
                <w:sz w:val="24"/>
                <w:szCs w:val="24"/>
                <w:lang w:val="en-US" w:eastAsia="zh-CN"/>
              </w:rPr>
              <w:t>单位</w:t>
            </w:r>
            <w:r>
              <w:rPr>
                <w:rFonts w:hint="eastAsia"/>
                <w:b/>
                <w:bCs/>
                <w:color w:val="auto"/>
                <w:szCs w:val="21"/>
                <w:highlight w:val="none"/>
              </w:rPr>
              <w:t>dB（A）</w:t>
            </w:r>
          </w:p>
          <w:tbl>
            <w:tblPr>
              <w:tblStyle w:val="32"/>
              <w:tblW w:w="4999"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1964"/>
              <w:gridCol w:w="1964"/>
              <w:gridCol w:w="1965"/>
            </w:tblGrid>
            <w:tr w14:paraId="66EA8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restart"/>
                  <w:tcBorders>
                    <w:tl2br w:val="nil"/>
                    <w:tr2bl w:val="nil"/>
                  </w:tcBorders>
                  <w:vAlign w:val="center"/>
                </w:tcPr>
                <w:p w14:paraId="7C1ED4DA">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监测因子</w:t>
                  </w:r>
                </w:p>
              </w:tc>
              <w:tc>
                <w:tcPr>
                  <w:tcW w:w="1249" w:type="pct"/>
                  <w:vMerge w:val="restart"/>
                  <w:tcBorders>
                    <w:tl2br w:val="nil"/>
                    <w:tr2bl w:val="nil"/>
                  </w:tcBorders>
                  <w:vAlign w:val="center"/>
                </w:tcPr>
                <w:p w14:paraId="06114CFF">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监测点位</w:t>
                  </w:r>
                </w:p>
              </w:tc>
              <w:tc>
                <w:tcPr>
                  <w:tcW w:w="2500" w:type="pct"/>
                  <w:gridSpan w:val="2"/>
                  <w:tcBorders>
                    <w:tl2br w:val="nil"/>
                    <w:tr2bl w:val="nil"/>
                  </w:tcBorders>
                  <w:vAlign w:val="center"/>
                </w:tcPr>
                <w:p w14:paraId="1C0AFBD2">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r>
                    <w:rPr>
                      <w:rFonts w:hint="default" w:ascii="Times New Roman" w:hAnsi="Times New Roman" w:eastAsia="宋体" w:cs="Times New Roman"/>
                      <w:b/>
                      <w:bCs/>
                      <w:color w:val="auto"/>
                      <w:sz w:val="21"/>
                      <w:szCs w:val="21"/>
                      <w:vertAlign w:val="baseline"/>
                    </w:rPr>
                    <w:t>2026年5月</w:t>
                  </w:r>
                  <w:r>
                    <w:rPr>
                      <w:rFonts w:hint="eastAsia" w:cs="Times New Roman"/>
                      <w:b/>
                      <w:bCs/>
                      <w:color w:val="auto"/>
                      <w:sz w:val="21"/>
                      <w:szCs w:val="21"/>
                      <w:vertAlign w:val="baseline"/>
                      <w:lang w:val="en-US" w:eastAsia="zh-CN"/>
                    </w:rPr>
                    <w:t>2</w:t>
                  </w:r>
                  <w:r>
                    <w:rPr>
                      <w:rFonts w:hint="default" w:ascii="Times New Roman" w:hAnsi="Times New Roman" w:eastAsia="宋体" w:cs="Times New Roman"/>
                      <w:b/>
                      <w:bCs/>
                      <w:color w:val="auto"/>
                      <w:sz w:val="21"/>
                      <w:szCs w:val="21"/>
                      <w:vertAlign w:val="baseline"/>
                    </w:rPr>
                    <w:t>日</w:t>
                  </w:r>
                </w:p>
              </w:tc>
            </w:tr>
            <w:tr w14:paraId="0F592C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42F885E0">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p>
              </w:tc>
              <w:tc>
                <w:tcPr>
                  <w:tcW w:w="1249" w:type="pct"/>
                  <w:vMerge w:val="continue"/>
                  <w:tcBorders>
                    <w:tl2br w:val="nil"/>
                    <w:tr2bl w:val="nil"/>
                  </w:tcBorders>
                  <w:vAlign w:val="center"/>
                </w:tcPr>
                <w:p w14:paraId="145B55A2">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rPr>
                  </w:pPr>
                </w:p>
              </w:tc>
              <w:tc>
                <w:tcPr>
                  <w:tcW w:w="1250" w:type="pct"/>
                  <w:tcBorders>
                    <w:tl2br w:val="nil"/>
                    <w:tr2bl w:val="nil"/>
                  </w:tcBorders>
                  <w:vAlign w:val="center"/>
                </w:tcPr>
                <w:p w14:paraId="2646CBD7">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昼间</w:t>
                  </w:r>
                </w:p>
              </w:tc>
              <w:tc>
                <w:tcPr>
                  <w:tcW w:w="1250" w:type="pct"/>
                  <w:tcBorders>
                    <w:tl2br w:val="nil"/>
                    <w:tr2bl w:val="nil"/>
                  </w:tcBorders>
                  <w:vAlign w:val="center"/>
                </w:tcPr>
                <w:p w14:paraId="50ED4214">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夜间</w:t>
                  </w:r>
                </w:p>
              </w:tc>
            </w:tr>
            <w:tr w14:paraId="39D26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restart"/>
                  <w:tcBorders>
                    <w:tl2br w:val="nil"/>
                    <w:tr2bl w:val="nil"/>
                  </w:tcBorders>
                  <w:vAlign w:val="center"/>
                </w:tcPr>
                <w:p w14:paraId="6805182C">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噪声</w:t>
                  </w:r>
                </w:p>
              </w:tc>
              <w:tc>
                <w:tcPr>
                  <w:tcW w:w="1249" w:type="pct"/>
                  <w:tcBorders>
                    <w:tl2br w:val="nil"/>
                    <w:tr2bl w:val="nil"/>
                  </w:tcBorders>
                  <w:vAlign w:val="center"/>
                </w:tcPr>
                <w:p w14:paraId="464F2D99">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1250" w:type="pct"/>
                  <w:tcBorders>
                    <w:tl2br w:val="nil"/>
                    <w:tr2bl w:val="nil"/>
                  </w:tcBorders>
                  <w:vAlign w:val="center"/>
                </w:tcPr>
                <w:p w14:paraId="4CD4F6E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46</w:t>
                  </w:r>
                </w:p>
              </w:tc>
              <w:tc>
                <w:tcPr>
                  <w:tcW w:w="1250" w:type="pct"/>
                  <w:tcBorders>
                    <w:tl2br w:val="nil"/>
                    <w:tr2bl w:val="nil"/>
                  </w:tcBorders>
                  <w:vAlign w:val="center"/>
                </w:tcPr>
                <w:p w14:paraId="2664F690">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42</w:t>
                  </w:r>
                </w:p>
              </w:tc>
            </w:tr>
            <w:tr w14:paraId="031824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7D265806">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118DD5FA">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1250" w:type="pct"/>
                  <w:tcBorders>
                    <w:tl2br w:val="nil"/>
                    <w:tr2bl w:val="nil"/>
                  </w:tcBorders>
                  <w:vAlign w:val="center"/>
                </w:tcPr>
                <w:p w14:paraId="74E68F9B">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41</w:t>
                  </w:r>
                </w:p>
              </w:tc>
              <w:tc>
                <w:tcPr>
                  <w:tcW w:w="1250" w:type="pct"/>
                  <w:tcBorders>
                    <w:tl2br w:val="nil"/>
                    <w:tr2bl w:val="nil"/>
                  </w:tcBorders>
                  <w:vAlign w:val="center"/>
                </w:tcPr>
                <w:p w14:paraId="5E14FA96">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41</w:t>
                  </w:r>
                </w:p>
              </w:tc>
            </w:tr>
            <w:tr w14:paraId="5EAD7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108A9BA9">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6AF2C2FD">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w:t>
                  </w:r>
                </w:p>
              </w:tc>
              <w:tc>
                <w:tcPr>
                  <w:tcW w:w="1250" w:type="pct"/>
                  <w:tcBorders>
                    <w:tl2br w:val="nil"/>
                    <w:tr2bl w:val="nil"/>
                  </w:tcBorders>
                  <w:vAlign w:val="center"/>
                </w:tcPr>
                <w:p w14:paraId="5077FBD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44</w:t>
                  </w:r>
                </w:p>
              </w:tc>
              <w:tc>
                <w:tcPr>
                  <w:tcW w:w="1250" w:type="pct"/>
                  <w:tcBorders>
                    <w:tl2br w:val="nil"/>
                    <w:tr2bl w:val="nil"/>
                  </w:tcBorders>
                  <w:vAlign w:val="center"/>
                </w:tcPr>
                <w:p w14:paraId="02B70D4E">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r>
            <w:tr w14:paraId="309EF7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0E552E9B">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257D3BCE">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w:t>
                  </w:r>
                </w:p>
              </w:tc>
              <w:tc>
                <w:tcPr>
                  <w:tcW w:w="1250" w:type="pct"/>
                  <w:tcBorders>
                    <w:tl2br w:val="nil"/>
                    <w:tr2bl w:val="nil"/>
                  </w:tcBorders>
                  <w:vAlign w:val="center"/>
                </w:tcPr>
                <w:p w14:paraId="4D5DA0D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42</w:t>
                  </w:r>
                </w:p>
              </w:tc>
              <w:tc>
                <w:tcPr>
                  <w:tcW w:w="1250" w:type="pct"/>
                  <w:tcBorders>
                    <w:tl2br w:val="nil"/>
                    <w:tr2bl w:val="nil"/>
                  </w:tcBorders>
                  <w:vAlign w:val="center"/>
                </w:tcPr>
                <w:p w14:paraId="25CEE2A5">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r>
            <w:tr w14:paraId="160AD1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12E4033E">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5A3B8ABE">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w:t>
                  </w:r>
                </w:p>
              </w:tc>
              <w:tc>
                <w:tcPr>
                  <w:tcW w:w="1250" w:type="pct"/>
                  <w:tcBorders>
                    <w:tl2br w:val="nil"/>
                    <w:tr2bl w:val="nil"/>
                  </w:tcBorders>
                  <w:vAlign w:val="center"/>
                </w:tcPr>
                <w:p w14:paraId="0E67970F">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43</w:t>
                  </w:r>
                </w:p>
              </w:tc>
              <w:tc>
                <w:tcPr>
                  <w:tcW w:w="1250" w:type="pct"/>
                  <w:tcBorders>
                    <w:tl2br w:val="nil"/>
                    <w:tr2bl w:val="nil"/>
                  </w:tcBorders>
                  <w:vAlign w:val="center"/>
                </w:tcPr>
                <w:p w14:paraId="08C0F206">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42</w:t>
                  </w:r>
                </w:p>
              </w:tc>
            </w:tr>
            <w:tr w14:paraId="6201E5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11F06257">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5CDB1C69">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6#</w:t>
                  </w:r>
                </w:p>
              </w:tc>
              <w:tc>
                <w:tcPr>
                  <w:tcW w:w="1250" w:type="pct"/>
                  <w:tcBorders>
                    <w:tl2br w:val="nil"/>
                    <w:tr2bl w:val="nil"/>
                  </w:tcBorders>
                  <w:vAlign w:val="center"/>
                </w:tcPr>
                <w:p w14:paraId="0009F2B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c>
                <w:tcPr>
                  <w:tcW w:w="1250" w:type="pct"/>
                  <w:tcBorders>
                    <w:tl2br w:val="nil"/>
                    <w:tr2bl w:val="nil"/>
                  </w:tcBorders>
                  <w:vAlign w:val="center"/>
                </w:tcPr>
                <w:p w14:paraId="534BE73C">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r>
            <w:tr w14:paraId="21E6FD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69D36FF1">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32CB5531">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w:t>
                  </w:r>
                </w:p>
              </w:tc>
              <w:tc>
                <w:tcPr>
                  <w:tcW w:w="1250" w:type="pct"/>
                  <w:tcBorders>
                    <w:tl2br w:val="nil"/>
                    <w:tr2bl w:val="nil"/>
                  </w:tcBorders>
                  <w:vAlign w:val="center"/>
                </w:tcPr>
                <w:p w14:paraId="550890CC">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44</w:t>
                  </w:r>
                </w:p>
              </w:tc>
              <w:tc>
                <w:tcPr>
                  <w:tcW w:w="1250" w:type="pct"/>
                  <w:tcBorders>
                    <w:tl2br w:val="nil"/>
                    <w:tr2bl w:val="nil"/>
                  </w:tcBorders>
                  <w:vAlign w:val="center"/>
                </w:tcPr>
                <w:p w14:paraId="7CF2518F">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42</w:t>
                  </w:r>
                </w:p>
              </w:tc>
            </w:tr>
            <w:tr w14:paraId="511F5A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4824B11B">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6425C617">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8#</w:t>
                  </w:r>
                </w:p>
              </w:tc>
              <w:tc>
                <w:tcPr>
                  <w:tcW w:w="1250" w:type="pct"/>
                  <w:tcBorders>
                    <w:tl2br w:val="nil"/>
                    <w:tr2bl w:val="nil"/>
                  </w:tcBorders>
                  <w:vAlign w:val="center"/>
                </w:tcPr>
                <w:p w14:paraId="062008F1">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c>
                <w:tcPr>
                  <w:tcW w:w="1250" w:type="pct"/>
                  <w:tcBorders>
                    <w:tl2br w:val="nil"/>
                    <w:tr2bl w:val="nil"/>
                  </w:tcBorders>
                  <w:vAlign w:val="center"/>
                </w:tcPr>
                <w:p w14:paraId="160EB28C">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r>
            <w:tr w14:paraId="1237F8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68D6231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4922EF43">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9#</w:t>
                  </w:r>
                </w:p>
              </w:tc>
              <w:tc>
                <w:tcPr>
                  <w:tcW w:w="1250" w:type="pct"/>
                  <w:tcBorders>
                    <w:tl2br w:val="nil"/>
                    <w:tr2bl w:val="nil"/>
                  </w:tcBorders>
                  <w:vAlign w:val="center"/>
                </w:tcPr>
                <w:p w14:paraId="0F36F04C">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41</w:t>
                  </w:r>
                </w:p>
              </w:tc>
              <w:tc>
                <w:tcPr>
                  <w:tcW w:w="1250" w:type="pct"/>
                  <w:tcBorders>
                    <w:tl2br w:val="nil"/>
                    <w:tr2bl w:val="nil"/>
                  </w:tcBorders>
                  <w:vAlign w:val="center"/>
                </w:tcPr>
                <w:p w14:paraId="6331240D">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r>
            <w:tr w14:paraId="089A1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01E5EAC3">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3C3E4940">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w:t>
                  </w:r>
                </w:p>
              </w:tc>
              <w:tc>
                <w:tcPr>
                  <w:tcW w:w="1250" w:type="pct"/>
                  <w:tcBorders>
                    <w:tl2br w:val="nil"/>
                    <w:tr2bl w:val="nil"/>
                  </w:tcBorders>
                  <w:vAlign w:val="center"/>
                </w:tcPr>
                <w:p w14:paraId="4B2D61EC">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42</w:t>
                  </w:r>
                </w:p>
              </w:tc>
              <w:tc>
                <w:tcPr>
                  <w:tcW w:w="1250" w:type="pct"/>
                  <w:tcBorders>
                    <w:tl2br w:val="nil"/>
                    <w:tr2bl w:val="nil"/>
                  </w:tcBorders>
                  <w:vAlign w:val="center"/>
                </w:tcPr>
                <w:p w14:paraId="309BB9E9">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40</w:t>
                  </w:r>
                </w:p>
              </w:tc>
            </w:tr>
            <w:tr w14:paraId="244E11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9" w:type="pct"/>
                  <w:vMerge w:val="continue"/>
                  <w:tcBorders>
                    <w:tl2br w:val="nil"/>
                    <w:tr2bl w:val="nil"/>
                  </w:tcBorders>
                  <w:vAlign w:val="center"/>
                </w:tcPr>
                <w:p w14:paraId="1247BD32">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p>
              </w:tc>
              <w:tc>
                <w:tcPr>
                  <w:tcW w:w="1249" w:type="pct"/>
                  <w:tcBorders>
                    <w:tl2br w:val="nil"/>
                    <w:tr2bl w:val="nil"/>
                  </w:tcBorders>
                  <w:vAlign w:val="center"/>
                </w:tcPr>
                <w:p w14:paraId="0E575AD5">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11#</w:t>
                  </w:r>
                </w:p>
              </w:tc>
              <w:tc>
                <w:tcPr>
                  <w:tcW w:w="1250" w:type="pct"/>
                  <w:tcBorders>
                    <w:tl2br w:val="nil"/>
                    <w:tr2bl w:val="nil"/>
                  </w:tcBorders>
                  <w:vAlign w:val="center"/>
                </w:tcPr>
                <w:p w14:paraId="7743F1F7">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43</w:t>
                  </w:r>
                </w:p>
              </w:tc>
              <w:tc>
                <w:tcPr>
                  <w:tcW w:w="1250" w:type="pct"/>
                  <w:tcBorders>
                    <w:tl2br w:val="nil"/>
                    <w:tr2bl w:val="nil"/>
                  </w:tcBorders>
                  <w:vAlign w:val="center"/>
                </w:tcPr>
                <w:p w14:paraId="71E9AE24">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41</w:t>
                  </w:r>
                </w:p>
              </w:tc>
            </w:tr>
            <w:tr w14:paraId="1A6308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gridSpan w:val="2"/>
                  <w:tcBorders>
                    <w:tl2br w:val="nil"/>
                    <w:tr2bl w:val="nil"/>
                  </w:tcBorders>
                  <w:vAlign w:val="center"/>
                </w:tcPr>
                <w:p w14:paraId="6C686E40">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标准值</w:t>
                  </w:r>
                </w:p>
              </w:tc>
              <w:tc>
                <w:tcPr>
                  <w:tcW w:w="1250" w:type="pct"/>
                  <w:tcBorders>
                    <w:tl2br w:val="nil"/>
                    <w:tr2bl w:val="nil"/>
                  </w:tcBorders>
                  <w:vAlign w:val="center"/>
                </w:tcPr>
                <w:p w14:paraId="4773F474">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55</w:t>
                  </w:r>
                </w:p>
              </w:tc>
              <w:tc>
                <w:tcPr>
                  <w:tcW w:w="1250" w:type="pct"/>
                  <w:tcBorders>
                    <w:tl2br w:val="nil"/>
                    <w:tr2bl w:val="nil"/>
                  </w:tcBorders>
                  <w:vAlign w:val="center"/>
                </w:tcPr>
                <w:p w14:paraId="5EFBE699">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45</w:t>
                  </w:r>
                </w:p>
              </w:tc>
            </w:tr>
            <w:tr w14:paraId="79C98B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9" w:type="pct"/>
                  <w:gridSpan w:val="2"/>
                  <w:tcBorders>
                    <w:tl2br w:val="nil"/>
                    <w:tr2bl w:val="nil"/>
                  </w:tcBorders>
                  <w:vAlign w:val="center"/>
                </w:tcPr>
                <w:p w14:paraId="588D3C06">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评价</w:t>
                  </w:r>
                </w:p>
              </w:tc>
              <w:tc>
                <w:tcPr>
                  <w:tcW w:w="1250" w:type="pct"/>
                  <w:tcBorders>
                    <w:tl2br w:val="nil"/>
                    <w:tr2bl w:val="nil"/>
                  </w:tcBorders>
                  <w:vAlign w:val="center"/>
                </w:tcPr>
                <w:p w14:paraId="5A3D25C1">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达标</w:t>
                  </w:r>
                </w:p>
              </w:tc>
              <w:tc>
                <w:tcPr>
                  <w:tcW w:w="1250" w:type="pct"/>
                  <w:tcBorders>
                    <w:tl2br w:val="nil"/>
                    <w:tr2bl w:val="nil"/>
                  </w:tcBorders>
                  <w:vAlign w:val="center"/>
                </w:tcPr>
                <w:p w14:paraId="68CB118D">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达标</w:t>
                  </w:r>
                </w:p>
              </w:tc>
            </w:tr>
            <w:tr w14:paraId="23EF5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vAlign w:val="center"/>
                </w:tcPr>
                <w:p w14:paraId="4CD53E9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highlight w:val="none"/>
                    </w:rPr>
                    <w:t>执行标准：《声环境质量标准》（GB3096-2008）中的1类标准</w:t>
                  </w:r>
                </w:p>
              </w:tc>
            </w:tr>
          </w:tbl>
          <w:p w14:paraId="3CB81E12">
            <w:pPr>
              <w:pStyle w:val="40"/>
              <w:keepNext/>
              <w:keepLines/>
              <w:pageBreakBefore w:val="0"/>
              <w:widowControl w:val="0"/>
              <w:kinsoku/>
              <w:wordWrap/>
              <w:overflowPunct w:val="0"/>
              <w:topLinePunct w:val="0"/>
              <w:autoSpaceDE/>
              <w:autoSpaceDN/>
              <w:bidi w:val="0"/>
              <w:adjustRightInd w:val="0"/>
              <w:snapToGrid/>
              <w:spacing w:before="157" w:beforeLines="50" w:line="360" w:lineRule="auto"/>
              <w:ind w:firstLine="480" w:firstLineChars="200"/>
              <w:textAlignment w:val="auto"/>
              <w:outlineLvl w:val="9"/>
              <w:rPr>
                <w:rFonts w:hint="default" w:ascii="Times New Roman" w:hAnsi="Times New Roman" w:eastAsia="宋体" w:cs="Times New Roman"/>
                <w:b w:val="0"/>
                <w:bCs w:val="0"/>
                <w:color w:val="auto"/>
                <w:sz w:val="24"/>
              </w:rPr>
            </w:pPr>
            <w:r>
              <w:rPr>
                <w:rFonts w:hint="eastAsia" w:ascii="Times New Roman" w:hAnsi="Times New Roman" w:eastAsia="宋体" w:cs="Times New Roman"/>
                <w:b w:val="0"/>
                <w:bCs w:val="0"/>
                <w:color w:val="auto"/>
                <w:sz w:val="24"/>
              </w:rPr>
              <w:t>根据监测结果可知：居民区昼夜间声环境质量现状监测值符合《声环境质量标准》（GB3096-2008）中的1类标准限值要求。</w:t>
            </w:r>
          </w:p>
          <w:p w14:paraId="4E29ECA4">
            <w:pPr>
              <w:keepNext w:val="0"/>
              <w:keepLines w:val="0"/>
              <w:pageBreakBefore w:val="0"/>
              <w:widowControl w:val="0"/>
              <w:numPr>
                <w:ilvl w:val="0"/>
                <w:numId w:val="9"/>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地下水</w:t>
            </w:r>
            <w:r>
              <w:rPr>
                <w:rFonts w:hint="default" w:ascii="Times New Roman" w:hAnsi="Times New Roman" w:eastAsia="宋体" w:cs="Times New Roman"/>
                <w:b/>
                <w:bCs/>
                <w:color w:val="auto"/>
                <w:kern w:val="0"/>
                <w:sz w:val="24"/>
                <w:szCs w:val="24"/>
                <w:highlight w:val="none"/>
                <w:lang w:val="en-US" w:eastAsia="zh-CN"/>
              </w:rPr>
              <w:t>现状</w:t>
            </w:r>
          </w:p>
          <w:p w14:paraId="50B80023">
            <w:pPr>
              <w:pStyle w:val="40"/>
              <w:keepNext/>
              <w:keepLines/>
              <w:pageBreakBefore w:val="0"/>
              <w:widowControl w:val="0"/>
              <w:kinsoku/>
              <w:wordWrap/>
              <w:overflowPunct w:val="0"/>
              <w:topLinePunct w:val="0"/>
              <w:autoSpaceDE/>
              <w:autoSpaceDN/>
              <w:bidi w:val="0"/>
              <w:adjustRightInd w:val="0"/>
              <w:snapToGrid/>
              <w:spacing w:before="157" w:beforeLines="50" w:line="360" w:lineRule="auto"/>
              <w:ind w:firstLine="480" w:firstLineChars="200"/>
              <w:textAlignment w:val="auto"/>
              <w:outlineLvl w:val="9"/>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根据《环境影响评价技术导则地下水环境》（HJ610-2016）“附录A地下水环境影响评价行业分类表”，本项目属于“A水利、4、防洪除涝工程”，为Ⅳ类地下水环境影响评价项目类别。故不用做地下水现状调查及评价。</w:t>
            </w:r>
          </w:p>
          <w:p w14:paraId="440E2584">
            <w:pPr>
              <w:keepNext w:val="0"/>
              <w:keepLines w:val="0"/>
              <w:pageBreakBefore w:val="0"/>
              <w:widowControl w:val="0"/>
              <w:numPr>
                <w:ilvl w:val="0"/>
                <w:numId w:val="9"/>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土壤环境</w:t>
            </w:r>
            <w:r>
              <w:rPr>
                <w:rFonts w:hint="default" w:ascii="Times New Roman" w:hAnsi="Times New Roman" w:eastAsia="宋体" w:cs="Times New Roman"/>
                <w:b/>
                <w:bCs/>
                <w:color w:val="auto"/>
                <w:kern w:val="0"/>
                <w:sz w:val="24"/>
                <w:szCs w:val="24"/>
                <w:highlight w:val="none"/>
                <w:lang w:val="en-US" w:eastAsia="zh-CN"/>
              </w:rPr>
              <w:t>现状</w:t>
            </w:r>
          </w:p>
          <w:p w14:paraId="48C2FE31">
            <w:pPr>
              <w:pStyle w:val="40"/>
              <w:keepNext/>
              <w:keepLines/>
              <w:pageBreakBefore w:val="0"/>
              <w:widowControl w:val="0"/>
              <w:kinsoku/>
              <w:wordWrap/>
              <w:overflowPunct w:val="0"/>
              <w:topLinePunct w:val="0"/>
              <w:autoSpaceDE/>
              <w:autoSpaceDN/>
              <w:bidi w:val="0"/>
              <w:adjustRightInd w:val="0"/>
              <w:snapToGrid/>
              <w:spacing w:before="157" w:beforeLines="50" w:line="360" w:lineRule="auto"/>
              <w:ind w:firstLine="480" w:firstLineChars="200"/>
              <w:textAlignment w:val="auto"/>
              <w:outlineLvl w:val="9"/>
              <w:rPr>
                <w:rFonts w:hint="default" w:ascii="Times New Roman" w:hAnsi="Times New Roman" w:cs="Times New Roman"/>
                <w:b w:val="0"/>
                <w:bCs w:val="0"/>
                <w:color w:val="auto"/>
                <w:sz w:val="24"/>
                <w:highlight w:val="none"/>
                <w:lang w:val="en-US" w:eastAsia="zh-CN"/>
              </w:rPr>
            </w:pPr>
            <w:r>
              <w:rPr>
                <w:rFonts w:hint="default" w:ascii="Times New Roman" w:hAnsi="Times New Roman" w:cs="Times New Roman"/>
                <w:b w:val="0"/>
                <w:bCs w:val="0"/>
                <w:color w:val="auto"/>
                <w:sz w:val="24"/>
                <w:lang w:val="en-US" w:eastAsia="zh-CN"/>
              </w:rPr>
              <w:t>根据《环境影响评价技术导则土壤环境（试行）》（HJ964-2018）附录A土壤环境影响评价行业分类表，本项目行业类别为“水利，其他”，土壤环境影响评价项目类别属于Ⅲ类项目，根据第三次全国土壤普查（2022—2025）昌吉州国家级汇总成果，项目区位于昌吉州</w:t>
            </w:r>
            <w:r>
              <w:rPr>
                <w:rFonts w:hint="eastAsia" w:cs="Times New Roman"/>
                <w:b w:val="0"/>
                <w:bCs w:val="0"/>
                <w:color w:val="auto"/>
                <w:sz w:val="24"/>
                <w:lang w:val="en-US" w:eastAsia="zh-CN"/>
              </w:rPr>
              <w:t>奇台</w:t>
            </w:r>
            <w:r>
              <w:rPr>
                <w:rFonts w:hint="default" w:ascii="Times New Roman" w:hAnsi="Times New Roman" w:cs="Times New Roman"/>
                <w:b w:val="0"/>
                <w:bCs w:val="0"/>
                <w:color w:val="auto"/>
                <w:sz w:val="24"/>
                <w:lang w:val="en-US" w:eastAsia="zh-CN"/>
              </w:rPr>
              <w:t>县，属中温带大陆性干旱气候，干燥度K=3.0～7.0，为重度干旱区；</w:t>
            </w:r>
            <w:r>
              <w:rPr>
                <w:rFonts w:hint="default" w:ascii="Times New Roman" w:hAnsi="Times New Roman" w:cs="Times New Roman"/>
                <w:b w:val="0"/>
                <w:bCs w:val="0"/>
                <w:color w:val="auto"/>
                <w:sz w:val="24"/>
                <w:highlight w:val="none"/>
                <w:lang w:val="en-US" w:eastAsia="zh-CN"/>
              </w:rPr>
              <w:t>土壤类型以</w:t>
            </w:r>
            <w:r>
              <w:rPr>
                <w:rFonts w:hint="eastAsia" w:cs="Times New Roman"/>
                <w:b w:val="0"/>
                <w:bCs w:val="0"/>
                <w:color w:val="auto"/>
                <w:sz w:val="24"/>
                <w:highlight w:val="none"/>
                <w:lang w:val="en-US" w:eastAsia="zh-CN"/>
              </w:rPr>
              <w:t>棕钙土、</w:t>
            </w:r>
            <w:r>
              <w:rPr>
                <w:rFonts w:hint="default" w:ascii="Times New Roman" w:hAnsi="Times New Roman" w:cs="Times New Roman"/>
                <w:b w:val="0"/>
                <w:bCs w:val="0"/>
                <w:color w:val="auto"/>
                <w:sz w:val="24"/>
                <w:highlight w:val="none"/>
                <w:lang w:val="en-US" w:eastAsia="zh-CN"/>
              </w:rPr>
              <w:t>灰漠土、轻度盐渍土为主，pH8.0～8.8，呈弱碱性；</w:t>
            </w:r>
            <w:r>
              <w:rPr>
                <w:rFonts w:hint="eastAsia" w:cs="Times New Roman"/>
                <w:b w:val="0"/>
                <w:bCs w:val="0"/>
                <w:color w:val="auto"/>
                <w:sz w:val="24"/>
                <w:highlight w:val="none"/>
                <w:lang w:val="en-US" w:eastAsia="zh-CN"/>
              </w:rPr>
              <w:t>渠道</w:t>
            </w:r>
            <w:r>
              <w:rPr>
                <w:rFonts w:hint="default" w:ascii="Times New Roman" w:hAnsi="Times New Roman" w:cs="Times New Roman"/>
                <w:b w:val="0"/>
                <w:bCs w:val="0"/>
                <w:color w:val="auto"/>
                <w:sz w:val="24"/>
                <w:highlight w:val="none"/>
                <w:lang w:val="en-US" w:eastAsia="zh-CN"/>
              </w:rPr>
              <w:t>沿线地形平坦，地下水埋深1～2.5m，存在次生盐渍化风险。根据《环境影响评价技术导则土壤环境（试行）》（HJ964-2018）的生态影响型敏感程度分级表，可知项目土壤环境敏感程度判定为较敏感。评价等级为三级。</w:t>
            </w:r>
          </w:p>
          <w:p w14:paraId="37BB3D00">
            <w:pPr>
              <w:pStyle w:val="40"/>
              <w:keepNext/>
              <w:keepLines/>
              <w:pageBreakBefore w:val="0"/>
              <w:widowControl w:val="0"/>
              <w:kinsoku/>
              <w:wordWrap/>
              <w:overflowPunct w:val="0"/>
              <w:topLinePunct w:val="0"/>
              <w:autoSpaceDE/>
              <w:autoSpaceDN/>
              <w:bidi w:val="0"/>
              <w:adjustRightInd w:val="0"/>
              <w:snapToGrid/>
              <w:spacing w:before="157" w:beforeLines="50" w:line="360" w:lineRule="auto"/>
              <w:ind w:firstLine="480" w:firstLineChars="200"/>
              <w:textAlignment w:val="auto"/>
              <w:outlineLvl w:val="9"/>
              <w:rPr>
                <w:rFonts w:hint="default" w:ascii="Times New Roman" w:hAnsi="Times New Roman" w:eastAsia="宋体" w:cs="Times New Roman"/>
                <w:b w:val="0"/>
                <w:bCs w:val="0"/>
                <w:color w:val="auto"/>
                <w:sz w:val="24"/>
              </w:rPr>
            </w:pPr>
            <w:r>
              <w:rPr>
                <w:rFonts w:hint="default" w:ascii="Times New Roman" w:hAnsi="Times New Roman" w:cs="Times New Roman"/>
                <w:b w:val="0"/>
                <w:bCs w:val="0"/>
                <w:color w:val="auto"/>
                <w:sz w:val="24"/>
                <w:highlight w:val="none"/>
                <w:lang w:val="en-US" w:eastAsia="zh-CN"/>
              </w:rPr>
              <w:t>根据第三次全国土壤普查（2022—2025）昌吉州国家级汇总成果</w:t>
            </w:r>
            <w:r>
              <w:rPr>
                <w:rFonts w:hint="eastAsia" w:cs="Times New Roman"/>
                <w:b w:val="0"/>
                <w:bCs w:val="0"/>
                <w:color w:val="auto"/>
                <w:sz w:val="24"/>
                <w:highlight w:val="none"/>
                <w:lang w:val="en-US" w:eastAsia="zh-CN"/>
              </w:rPr>
              <w:t>及其数据显示，项目区土壤环境质量问题主要为土壤盐泽化。</w:t>
            </w:r>
          </w:p>
        </w:tc>
      </w:tr>
      <w:tr w14:paraId="428FE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noWrap w:val="0"/>
            <w:vAlign w:val="center"/>
          </w:tcPr>
          <w:p w14:paraId="6D80B48B">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bCs/>
                <w:color w:val="auto"/>
                <w:sz w:val="24"/>
              </w:rPr>
              <w:t>与项目有关的原有环境污染和生态破坏问题</w:t>
            </w:r>
          </w:p>
        </w:tc>
        <w:tc>
          <w:tcPr>
            <w:tcW w:w="4578" w:type="pct"/>
            <w:noWrap w:val="0"/>
            <w:vAlign w:val="center"/>
          </w:tcPr>
          <w:p w14:paraId="69F85C9F">
            <w:pPr>
              <w:pageBreakBefore w:val="0"/>
              <w:widowControl w:val="0"/>
              <w:kinsoku/>
              <w:wordWrap/>
              <w:overflowPunct w:val="0"/>
              <w:topLinePunct w:val="0"/>
              <w:autoSpaceDE/>
              <w:autoSpaceDN/>
              <w:bidi w:val="0"/>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default"/>
                <w:color w:val="auto"/>
                <w:sz w:val="24"/>
                <w:highlight w:val="none"/>
              </w:rPr>
              <w:t>本项目</w:t>
            </w:r>
            <w:r>
              <w:rPr>
                <w:rFonts w:hint="eastAsia"/>
                <w:color w:val="auto"/>
                <w:sz w:val="24"/>
                <w:highlight w:val="none"/>
                <w:lang w:val="en-US" w:eastAsia="zh-CN"/>
              </w:rPr>
              <w:t>主要工作内容为老旧渠道防渗改建，碧流河灌区内骨干水利工程大多建设于上世纪八十年代，无相关环评批复，原有旧土渠、老化衬砌渠渗漏严重，渗漏损失大，渠系水利用系数低，造成大量输水损耗；渠道淤积、杂草丛生，水流不畅，悬浮物、有机物积累，COD升高，长时间不治理会产生局部渠道发黑发臭；沿岸生活垃圾、秸秆、畜禽粪污入渠，形成“垃圾围渠”，蚊蝇滋生，长时间不治理会污染渠道周边土壤</w:t>
            </w:r>
            <w:r>
              <w:rPr>
                <w:rFonts w:hint="default"/>
                <w:color w:val="auto"/>
                <w:sz w:val="24"/>
                <w:highlight w:val="none"/>
              </w:rPr>
              <w:t>。土渠边坡衬砌</w:t>
            </w:r>
            <w:r>
              <w:rPr>
                <w:rFonts w:hint="eastAsia"/>
                <w:color w:val="auto"/>
                <w:sz w:val="24"/>
                <w:highlight w:val="none"/>
                <w:lang w:val="en-US" w:eastAsia="zh-CN"/>
              </w:rPr>
              <w:t>损坏</w:t>
            </w:r>
            <w:r>
              <w:rPr>
                <w:rFonts w:hint="default"/>
                <w:color w:val="auto"/>
                <w:sz w:val="24"/>
                <w:highlight w:val="none"/>
              </w:rPr>
              <w:t>，</w:t>
            </w:r>
            <w:r>
              <w:rPr>
                <w:rFonts w:hint="eastAsia"/>
                <w:color w:val="auto"/>
                <w:sz w:val="24"/>
                <w:highlight w:val="none"/>
                <w:lang w:val="en-US" w:eastAsia="zh-CN"/>
              </w:rPr>
              <w:t>会造成</w:t>
            </w:r>
            <w:r>
              <w:rPr>
                <w:rFonts w:hint="default"/>
                <w:color w:val="auto"/>
                <w:sz w:val="24"/>
                <w:highlight w:val="none"/>
              </w:rPr>
              <w:t>坍塌、滑坡，</w:t>
            </w:r>
            <w:r>
              <w:rPr>
                <w:rFonts w:hint="eastAsia"/>
                <w:color w:val="auto"/>
                <w:sz w:val="24"/>
                <w:highlight w:val="none"/>
                <w:lang w:val="en-US" w:eastAsia="zh-CN"/>
              </w:rPr>
              <w:t>致使</w:t>
            </w:r>
            <w:r>
              <w:rPr>
                <w:rFonts w:hint="default"/>
                <w:color w:val="auto"/>
                <w:sz w:val="24"/>
                <w:highlight w:val="none"/>
              </w:rPr>
              <w:t>岸坡植被稀疏，水土流失加剧</w:t>
            </w:r>
            <w:r>
              <w:rPr>
                <w:rFonts w:hint="eastAsia"/>
                <w:color w:val="auto"/>
                <w:sz w:val="24"/>
                <w:highlight w:val="none"/>
                <w:lang w:eastAsia="zh-CN"/>
              </w:rPr>
              <w:t>；</w:t>
            </w:r>
            <w:r>
              <w:rPr>
                <w:rFonts w:hint="eastAsia"/>
                <w:color w:val="auto"/>
                <w:sz w:val="24"/>
                <w:highlight w:val="none"/>
                <w:lang w:val="en-US" w:eastAsia="zh-CN"/>
              </w:rPr>
              <w:t>渠</w:t>
            </w:r>
            <w:r>
              <w:rPr>
                <w:rFonts w:hint="eastAsia"/>
                <w:color w:val="auto"/>
                <w:sz w:val="24"/>
                <w:highlight w:val="none"/>
                <w:lang w:eastAsia="zh-CN"/>
              </w:rPr>
              <w:t>道淤积、垃圾堆积，景观脏乱，生态廊道断裂，阻碍生物迁移。</w:t>
            </w:r>
            <w:r>
              <w:rPr>
                <w:rFonts w:hint="eastAsia"/>
                <w:color w:val="auto"/>
                <w:sz w:val="24"/>
                <w:highlight w:val="none"/>
                <w:lang w:val="en-US" w:eastAsia="zh-CN"/>
              </w:rPr>
              <w:t>通过本次项目实施，对老旧渠道进行防渗改建同时加强渠道管理，可有效改善上述问题。</w:t>
            </w:r>
          </w:p>
        </w:tc>
      </w:tr>
      <w:tr w14:paraId="682A2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48" w:hRule="atLeast"/>
          <w:jc w:val="center"/>
        </w:trPr>
        <w:tc>
          <w:tcPr>
            <w:tcW w:w="421" w:type="pct"/>
            <w:noWrap w:val="0"/>
            <w:vAlign w:val="center"/>
          </w:tcPr>
          <w:p w14:paraId="23370070">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生态环境保护目标</w:t>
            </w:r>
          </w:p>
        </w:tc>
        <w:tc>
          <w:tcPr>
            <w:tcW w:w="4578" w:type="pct"/>
            <w:noWrap w:val="0"/>
            <w:vAlign w:val="top"/>
          </w:tcPr>
          <w:p w14:paraId="66648740">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（1）大气环境：本项目区</w:t>
            </w:r>
            <w:r>
              <w:rPr>
                <w:rFonts w:hint="default" w:ascii="Times New Roman" w:hAnsi="Times New Roman" w:cs="Times New Roman"/>
                <w:color w:val="auto"/>
                <w:kern w:val="21"/>
                <w:sz w:val="24"/>
              </w:rPr>
              <w:t>厂界外500</w:t>
            </w:r>
            <w:r>
              <w:rPr>
                <w:rFonts w:hint="default" w:ascii="Times New Roman" w:hAnsi="Times New Roman" w:cs="Times New Roman"/>
                <w:color w:val="auto"/>
                <w:kern w:val="21"/>
                <w:sz w:val="24"/>
                <w:lang w:val="en-US" w:eastAsia="zh-CN"/>
              </w:rPr>
              <w:t>m</w:t>
            </w:r>
            <w:r>
              <w:rPr>
                <w:rFonts w:hint="default" w:ascii="Times New Roman" w:hAnsi="Times New Roman" w:cs="Times New Roman"/>
                <w:color w:val="auto"/>
                <w:kern w:val="21"/>
                <w:sz w:val="24"/>
              </w:rPr>
              <w:t>范围内无自然保护区、风景名胜区</w:t>
            </w:r>
            <w:r>
              <w:rPr>
                <w:rFonts w:hint="eastAsia" w:cs="Times New Roman"/>
                <w:color w:val="auto"/>
                <w:kern w:val="21"/>
                <w:sz w:val="24"/>
                <w:lang w:eastAsia="zh-CN"/>
              </w:rPr>
              <w:t>，</w:t>
            </w:r>
            <w:r>
              <w:rPr>
                <w:rFonts w:hint="eastAsia" w:cs="Times New Roman"/>
                <w:color w:val="auto"/>
                <w:kern w:val="21"/>
                <w:sz w:val="24"/>
                <w:lang w:val="en-US" w:eastAsia="zh-CN"/>
              </w:rPr>
              <w:t>存在</w:t>
            </w:r>
            <w:r>
              <w:rPr>
                <w:rFonts w:hint="default" w:ascii="Times New Roman" w:hAnsi="Times New Roman" w:cs="Times New Roman"/>
                <w:color w:val="auto"/>
                <w:kern w:val="21"/>
                <w:sz w:val="24"/>
              </w:rPr>
              <w:t>居住区、文化区等人群较集中的区域。</w:t>
            </w:r>
          </w:p>
          <w:p w14:paraId="0BE6900D">
            <w:pPr>
              <w:pStyle w:val="54"/>
              <w:spacing w:line="360" w:lineRule="auto"/>
              <w:ind w:firstLine="480"/>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（2）声环境：</w:t>
            </w:r>
            <w:r>
              <w:rPr>
                <w:rFonts w:hint="default" w:ascii="Times New Roman" w:hAnsi="Times New Roman" w:cs="Times New Roman"/>
                <w:color w:val="auto"/>
                <w:kern w:val="21"/>
                <w:sz w:val="24"/>
                <w:szCs w:val="24"/>
              </w:rPr>
              <w:t>本项目厂界外50</w:t>
            </w:r>
            <w:r>
              <w:rPr>
                <w:rFonts w:hint="default" w:ascii="Times New Roman" w:hAnsi="Times New Roman" w:cs="Times New Roman"/>
                <w:color w:val="auto"/>
                <w:kern w:val="21"/>
                <w:sz w:val="24"/>
                <w:szCs w:val="24"/>
                <w:lang w:val="en-US" w:eastAsia="zh-CN"/>
              </w:rPr>
              <w:t>m</w:t>
            </w:r>
            <w:r>
              <w:rPr>
                <w:rFonts w:hint="default" w:ascii="Times New Roman" w:hAnsi="Times New Roman" w:cs="Times New Roman"/>
                <w:color w:val="auto"/>
                <w:kern w:val="21"/>
                <w:sz w:val="24"/>
                <w:szCs w:val="24"/>
              </w:rPr>
              <w:t>范围内</w:t>
            </w:r>
            <w:r>
              <w:rPr>
                <w:rFonts w:hint="eastAsia" w:cs="Times New Roman"/>
                <w:color w:val="auto"/>
                <w:kern w:val="21"/>
                <w:sz w:val="24"/>
                <w:szCs w:val="24"/>
                <w:lang w:val="en-US" w:eastAsia="zh-CN"/>
              </w:rPr>
              <w:t>存在</w:t>
            </w:r>
            <w:r>
              <w:rPr>
                <w:rFonts w:hint="default" w:ascii="Times New Roman" w:hAnsi="Times New Roman" w:cs="Times New Roman"/>
                <w:color w:val="auto"/>
                <w:kern w:val="21"/>
                <w:sz w:val="24"/>
              </w:rPr>
              <w:t>居住区</w:t>
            </w:r>
            <w:r>
              <w:rPr>
                <w:rFonts w:hint="default" w:ascii="Times New Roman" w:hAnsi="Times New Roman" w:cs="Times New Roman"/>
                <w:color w:val="auto"/>
                <w:kern w:val="2"/>
                <w:sz w:val="24"/>
                <w:szCs w:val="24"/>
              </w:rPr>
              <w:t>。</w:t>
            </w:r>
          </w:p>
          <w:p w14:paraId="48B4A47F">
            <w:pPr>
              <w:pStyle w:val="54"/>
              <w:spacing w:line="360" w:lineRule="auto"/>
              <w:ind w:firstLine="480"/>
              <w:jc w:val="both"/>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（3）地下水环境：</w:t>
            </w:r>
            <w:r>
              <w:rPr>
                <w:rFonts w:hint="default" w:ascii="Times New Roman" w:hAnsi="Times New Roman" w:cs="Times New Roman"/>
                <w:color w:val="auto"/>
                <w:kern w:val="21"/>
                <w:sz w:val="24"/>
                <w:szCs w:val="24"/>
              </w:rPr>
              <w:t>本项目厂界外500</w:t>
            </w:r>
            <w:r>
              <w:rPr>
                <w:rFonts w:hint="default" w:ascii="Times New Roman" w:hAnsi="Times New Roman" w:cs="Times New Roman"/>
                <w:color w:val="auto"/>
                <w:kern w:val="21"/>
                <w:sz w:val="24"/>
                <w:szCs w:val="24"/>
                <w:lang w:val="en-US" w:eastAsia="zh-CN"/>
              </w:rPr>
              <w:t>m</w:t>
            </w:r>
            <w:r>
              <w:rPr>
                <w:rFonts w:hint="default" w:ascii="Times New Roman" w:hAnsi="Times New Roman" w:cs="Times New Roman"/>
                <w:color w:val="auto"/>
                <w:kern w:val="21"/>
                <w:sz w:val="24"/>
                <w:szCs w:val="24"/>
              </w:rPr>
              <w:t>范围内无地下水集中式饮用水水源和热水、矿泉水、温泉等特殊地下水资源</w:t>
            </w:r>
            <w:r>
              <w:rPr>
                <w:rFonts w:hint="default" w:ascii="Times New Roman" w:hAnsi="Times New Roman" w:cs="Times New Roman"/>
                <w:color w:val="auto"/>
                <w:kern w:val="2"/>
                <w:sz w:val="24"/>
                <w:szCs w:val="24"/>
              </w:rPr>
              <w:t>。</w:t>
            </w:r>
          </w:p>
          <w:p w14:paraId="3E7304E0">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（4）生态环境：根据对项目的现场踏勘，本项目主要</w:t>
            </w:r>
            <w:r>
              <w:rPr>
                <w:rFonts w:hint="eastAsia" w:cs="Times New Roman"/>
                <w:color w:val="auto"/>
                <w:sz w:val="24"/>
                <w:lang w:val="en-US" w:eastAsia="zh-CN"/>
              </w:rPr>
              <w:t>占用水域及水利设施用地和裸土地</w:t>
            </w:r>
            <w:r>
              <w:rPr>
                <w:rFonts w:hint="default" w:ascii="Times New Roman" w:hAnsi="Times New Roman" w:cs="Times New Roman"/>
                <w:color w:val="auto"/>
                <w:sz w:val="24"/>
              </w:rPr>
              <w:t>。</w:t>
            </w:r>
          </w:p>
          <w:p w14:paraId="4E0A44E0">
            <w:pPr>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本项目生态环境保护目标见表3-</w:t>
            </w:r>
            <w:r>
              <w:rPr>
                <w:rFonts w:hint="eastAsia" w:cs="Times New Roman"/>
                <w:color w:val="auto"/>
                <w:sz w:val="24"/>
                <w:lang w:val="en-US" w:eastAsia="zh-CN"/>
              </w:rPr>
              <w:t>5</w:t>
            </w:r>
            <w:r>
              <w:rPr>
                <w:rFonts w:hint="default" w:ascii="Times New Roman" w:hAnsi="Times New Roman" w:cs="Times New Roman"/>
                <w:color w:val="auto"/>
                <w:sz w:val="24"/>
              </w:rPr>
              <w:t>。</w:t>
            </w:r>
          </w:p>
          <w:p w14:paraId="5481E2E0">
            <w:pPr>
              <w:pStyle w:val="48"/>
              <w:spacing w:line="360" w:lineRule="auto"/>
              <w:ind w:firstLine="0" w:firstLineChars="0"/>
              <w:jc w:val="center"/>
              <w:textAlignment w:val="baseline"/>
              <w:rPr>
                <w:rFonts w:hint="default" w:ascii="Times New Roman" w:hAnsi="Times New Roman" w:eastAsia="宋体" w:cs="Times New Roman"/>
                <w:b/>
                <w:bCs w:val="0"/>
                <w:snapToGrid w:val="0"/>
                <w:color w:val="auto"/>
                <w:sz w:val="24"/>
                <w:szCs w:val="24"/>
                <w:lang w:val="en-US" w:eastAsia="zh-CN"/>
              </w:rPr>
            </w:pPr>
            <w:r>
              <w:rPr>
                <w:rFonts w:hint="default" w:ascii="Times New Roman" w:hAnsi="Times New Roman" w:eastAsia="宋体" w:cs="Times New Roman"/>
                <w:b/>
                <w:bCs w:val="0"/>
                <w:snapToGrid w:val="0"/>
                <w:color w:val="auto"/>
                <w:sz w:val="24"/>
                <w:szCs w:val="24"/>
                <w:lang w:val="en-US" w:eastAsia="zh-CN"/>
              </w:rPr>
              <w:t>表3-</w:t>
            </w:r>
            <w:r>
              <w:rPr>
                <w:rFonts w:hint="eastAsia" w:ascii="Times New Roman" w:hAnsi="Times New Roman" w:cs="Times New Roman"/>
                <w:b/>
                <w:bCs w:val="0"/>
                <w:snapToGrid w:val="0"/>
                <w:color w:val="auto"/>
                <w:sz w:val="24"/>
                <w:szCs w:val="24"/>
                <w:lang w:val="en-US" w:eastAsia="zh-CN"/>
              </w:rPr>
              <w:t>5</w:t>
            </w:r>
            <w:r>
              <w:rPr>
                <w:rFonts w:hint="default" w:ascii="Times New Roman" w:hAnsi="Times New Roman" w:eastAsia="宋体" w:cs="Times New Roman"/>
                <w:b/>
                <w:bCs w:val="0"/>
                <w:snapToGrid w:val="0"/>
                <w:color w:val="auto"/>
                <w:sz w:val="24"/>
                <w:szCs w:val="24"/>
                <w:lang w:val="en-US" w:eastAsia="zh-CN"/>
              </w:rPr>
              <w:t>生态环境保护目标</w:t>
            </w:r>
          </w:p>
          <w:tbl>
            <w:tblPr>
              <w:tblStyle w:val="32"/>
              <w:tblW w:w="7951"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732"/>
              <w:gridCol w:w="1035"/>
              <w:gridCol w:w="946"/>
              <w:gridCol w:w="1689"/>
              <w:gridCol w:w="806"/>
              <w:gridCol w:w="2083"/>
            </w:tblGrid>
            <w:tr w14:paraId="47BE9C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41" w:type="pct"/>
                  <w:vMerge w:val="restart"/>
                  <w:tcBorders>
                    <w:tl2br w:val="nil"/>
                    <w:tr2bl w:val="nil"/>
                  </w:tcBorders>
                  <w:vAlign w:val="center"/>
                </w:tcPr>
                <w:p w14:paraId="3D0823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保护时段</w:t>
                  </w:r>
                </w:p>
              </w:tc>
              <w:tc>
                <w:tcPr>
                  <w:tcW w:w="486" w:type="pct"/>
                  <w:vMerge w:val="restart"/>
                  <w:tcBorders>
                    <w:tl2br w:val="nil"/>
                    <w:tr2bl w:val="nil"/>
                  </w:tcBorders>
                  <w:vAlign w:val="center"/>
                </w:tcPr>
                <w:p w14:paraId="7A2B4B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环境要素</w:t>
                  </w:r>
                </w:p>
              </w:tc>
              <w:tc>
                <w:tcPr>
                  <w:tcW w:w="676" w:type="pct"/>
                  <w:vMerge w:val="restart"/>
                  <w:tcBorders>
                    <w:tl2br w:val="nil"/>
                    <w:tr2bl w:val="nil"/>
                  </w:tcBorders>
                  <w:vAlign w:val="center"/>
                </w:tcPr>
                <w:p w14:paraId="4904FE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保护目标</w:t>
                  </w:r>
                </w:p>
              </w:tc>
              <w:tc>
                <w:tcPr>
                  <w:tcW w:w="620" w:type="pct"/>
                  <w:vMerge w:val="restart"/>
                  <w:tcBorders>
                    <w:tl2br w:val="nil"/>
                    <w:tr2bl w:val="nil"/>
                  </w:tcBorders>
                  <w:vAlign w:val="center"/>
                </w:tcPr>
                <w:p w14:paraId="641CB7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规模</w:t>
                  </w:r>
                </w:p>
              </w:tc>
              <w:tc>
                <w:tcPr>
                  <w:tcW w:w="1619" w:type="pct"/>
                  <w:gridSpan w:val="2"/>
                  <w:tcBorders>
                    <w:tl2br w:val="nil"/>
                    <w:tr2bl w:val="nil"/>
                  </w:tcBorders>
                  <w:vAlign w:val="center"/>
                </w:tcPr>
                <w:p w14:paraId="5EA353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敏感点方位和距离</w:t>
                  </w:r>
                </w:p>
              </w:tc>
              <w:tc>
                <w:tcPr>
                  <w:tcW w:w="1155" w:type="pct"/>
                  <w:vMerge w:val="restart"/>
                  <w:tcBorders>
                    <w:tl2br w:val="nil"/>
                    <w:tr2bl w:val="nil"/>
                  </w:tcBorders>
                  <w:vAlign w:val="center"/>
                </w:tcPr>
                <w:p w14:paraId="32AF4B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保护标准</w:t>
                  </w:r>
                </w:p>
              </w:tc>
            </w:tr>
            <w:tr w14:paraId="1350DE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41" w:type="pct"/>
                  <w:vMerge w:val="continue"/>
                  <w:tcBorders>
                    <w:tl2br w:val="nil"/>
                    <w:tr2bl w:val="nil"/>
                  </w:tcBorders>
                  <w:vAlign w:val="center"/>
                </w:tcPr>
                <w:p w14:paraId="6ED037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486" w:type="pct"/>
                  <w:vMerge w:val="continue"/>
                  <w:tcBorders>
                    <w:tl2br w:val="nil"/>
                    <w:tr2bl w:val="nil"/>
                  </w:tcBorders>
                  <w:vAlign w:val="center"/>
                </w:tcPr>
                <w:p w14:paraId="493DCE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676" w:type="pct"/>
                  <w:vMerge w:val="continue"/>
                  <w:tcBorders>
                    <w:tl2br w:val="nil"/>
                    <w:tr2bl w:val="nil"/>
                  </w:tcBorders>
                  <w:vAlign w:val="center"/>
                </w:tcPr>
                <w:p w14:paraId="096857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620" w:type="pct"/>
                  <w:vMerge w:val="continue"/>
                  <w:tcBorders>
                    <w:tl2br w:val="nil"/>
                    <w:tr2bl w:val="nil"/>
                  </w:tcBorders>
                  <w:vAlign w:val="center"/>
                </w:tcPr>
                <w:p w14:paraId="7813E1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rPr>
                  </w:pPr>
                </w:p>
              </w:tc>
              <w:tc>
                <w:tcPr>
                  <w:tcW w:w="1087" w:type="pct"/>
                  <w:tcBorders>
                    <w:tl2br w:val="nil"/>
                    <w:tr2bl w:val="nil"/>
                  </w:tcBorders>
                  <w:vAlign w:val="center"/>
                </w:tcPr>
                <w:p w14:paraId="589EE0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方位</w:t>
                  </w:r>
                </w:p>
              </w:tc>
              <w:tc>
                <w:tcPr>
                  <w:tcW w:w="531" w:type="pct"/>
                  <w:tcBorders>
                    <w:tl2br w:val="nil"/>
                    <w:tr2bl w:val="nil"/>
                  </w:tcBorders>
                  <w:vAlign w:val="center"/>
                </w:tcPr>
                <w:p w14:paraId="7789A0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距离</w:t>
                  </w:r>
                </w:p>
              </w:tc>
              <w:tc>
                <w:tcPr>
                  <w:tcW w:w="1155" w:type="pct"/>
                  <w:vMerge w:val="continue"/>
                  <w:tcBorders>
                    <w:tl2br w:val="nil"/>
                    <w:tr2bl w:val="nil"/>
                  </w:tcBorders>
                  <w:vAlign w:val="center"/>
                </w:tcPr>
                <w:p w14:paraId="37F09A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211F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restart"/>
                  <w:tcBorders>
                    <w:tl2br w:val="nil"/>
                    <w:tr2bl w:val="nil"/>
                  </w:tcBorders>
                  <w:vAlign w:val="center"/>
                </w:tcPr>
                <w:p w14:paraId="69D409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施工期</w:t>
                  </w:r>
                </w:p>
              </w:tc>
              <w:tc>
                <w:tcPr>
                  <w:tcW w:w="486" w:type="pct"/>
                  <w:vMerge w:val="restart"/>
                  <w:tcBorders>
                    <w:tl2br w:val="nil"/>
                    <w:tr2bl w:val="nil"/>
                  </w:tcBorders>
                  <w:vAlign w:val="center"/>
                </w:tcPr>
                <w:p w14:paraId="615E16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环境空气</w:t>
                  </w:r>
                </w:p>
              </w:tc>
              <w:tc>
                <w:tcPr>
                  <w:tcW w:w="676" w:type="pct"/>
                  <w:tcBorders>
                    <w:tl2br w:val="nil"/>
                    <w:tr2bl w:val="nil"/>
                  </w:tcBorders>
                  <w:vAlign w:val="center"/>
                </w:tcPr>
                <w:p w14:paraId="72B72131">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厂房</w:t>
                  </w:r>
                </w:p>
              </w:tc>
              <w:tc>
                <w:tcPr>
                  <w:tcW w:w="620" w:type="pct"/>
                  <w:tcBorders>
                    <w:tl2br w:val="nil"/>
                    <w:tr2bl w:val="nil"/>
                  </w:tcBorders>
                  <w:vAlign w:val="center"/>
                </w:tcPr>
                <w:p w14:paraId="7CFD7D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301711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碧流河西干渠西侧</w:t>
                  </w:r>
                </w:p>
              </w:tc>
              <w:tc>
                <w:tcPr>
                  <w:tcW w:w="531" w:type="pct"/>
                  <w:tcBorders>
                    <w:tl2br w:val="nil"/>
                    <w:tr2bl w:val="nil"/>
                  </w:tcBorders>
                  <w:vAlign w:val="center"/>
                </w:tcPr>
                <w:p w14:paraId="0AAF68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48</w:t>
                  </w:r>
                  <w:r>
                    <w:rPr>
                      <w:rFonts w:hint="eastAsia" w:ascii="Times New Roman" w:hAnsi="Times New Roman" w:eastAsia="宋体" w:cs="Times New Roman"/>
                      <w:color w:val="auto"/>
                      <w:sz w:val="21"/>
                      <w:szCs w:val="21"/>
                      <w:highlight w:val="none"/>
                      <w:vertAlign w:val="baseline"/>
                      <w:lang w:val="en-US" w:eastAsia="zh-CN"/>
                    </w:rPr>
                    <w:t>m</w:t>
                  </w:r>
                </w:p>
              </w:tc>
              <w:tc>
                <w:tcPr>
                  <w:tcW w:w="1155" w:type="pct"/>
                  <w:vMerge w:val="restart"/>
                  <w:tcBorders>
                    <w:tl2br w:val="nil"/>
                    <w:tr2bl w:val="nil"/>
                  </w:tcBorders>
                  <w:vAlign w:val="center"/>
                </w:tcPr>
                <w:p w14:paraId="457033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eastAsia="zh-CN"/>
                    </w:rPr>
                  </w:pPr>
                  <w:r>
                    <w:rPr>
                      <w:rFonts w:hint="eastAsia" w:cs="Times New Roman"/>
                      <w:color w:val="auto"/>
                      <w:sz w:val="21"/>
                      <w:szCs w:val="21"/>
                      <w:vertAlign w:val="baseline"/>
                      <w:lang w:eastAsia="zh-CN"/>
                    </w:rPr>
                    <w:t>《环境空气质量标准》（GB3095-2026）二级标准过渡值</w:t>
                  </w:r>
                </w:p>
              </w:tc>
            </w:tr>
            <w:tr w14:paraId="388FD2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3E54BF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5EE9F5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601D0432">
                  <w:pPr>
                    <w:pStyle w:val="2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洞子沟村</w:t>
                  </w:r>
                </w:p>
              </w:tc>
              <w:tc>
                <w:tcPr>
                  <w:tcW w:w="620" w:type="pct"/>
                  <w:tcBorders>
                    <w:tl2br w:val="nil"/>
                    <w:tr2bl w:val="nil"/>
                  </w:tcBorders>
                  <w:vAlign w:val="center"/>
                </w:tcPr>
                <w:p w14:paraId="61DF5D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15户</w:t>
                  </w:r>
                </w:p>
              </w:tc>
              <w:tc>
                <w:tcPr>
                  <w:tcW w:w="1087" w:type="pct"/>
                  <w:tcBorders>
                    <w:tl2br w:val="nil"/>
                    <w:tr2bl w:val="nil"/>
                  </w:tcBorders>
                  <w:vAlign w:val="center"/>
                </w:tcPr>
                <w:p w14:paraId="236972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碧流河西干渠西侧</w:t>
                  </w:r>
                </w:p>
              </w:tc>
              <w:tc>
                <w:tcPr>
                  <w:tcW w:w="531" w:type="pct"/>
                  <w:tcBorders>
                    <w:tl2br w:val="nil"/>
                    <w:tr2bl w:val="nil"/>
                  </w:tcBorders>
                  <w:vAlign w:val="center"/>
                </w:tcPr>
                <w:p w14:paraId="63BAC3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500m</w:t>
                  </w:r>
                </w:p>
              </w:tc>
              <w:tc>
                <w:tcPr>
                  <w:tcW w:w="1155" w:type="pct"/>
                  <w:vMerge w:val="continue"/>
                  <w:tcBorders>
                    <w:tl2br w:val="nil"/>
                    <w:tr2bl w:val="nil"/>
                  </w:tcBorders>
                  <w:vAlign w:val="center"/>
                </w:tcPr>
                <w:p w14:paraId="70EDCB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7FB914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546975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04E045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5F401074">
                  <w:pPr>
                    <w:pStyle w:val="2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7B6E99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w:t>
                  </w:r>
                  <w:r>
                    <w:rPr>
                      <w:rFonts w:hint="eastAsia"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16B1A1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洞子沟村支渠</w:t>
                  </w:r>
                  <w:r>
                    <w:rPr>
                      <w:rFonts w:hint="eastAsia" w:cs="Times New Roman"/>
                      <w:color w:val="auto"/>
                      <w:sz w:val="21"/>
                      <w:szCs w:val="21"/>
                      <w:vertAlign w:val="baseline"/>
                      <w:lang w:val="en-US" w:eastAsia="zh-CN"/>
                    </w:rPr>
                    <w:t>西侧</w:t>
                  </w:r>
                </w:p>
              </w:tc>
              <w:tc>
                <w:tcPr>
                  <w:tcW w:w="531" w:type="pct"/>
                  <w:tcBorders>
                    <w:tl2br w:val="nil"/>
                    <w:tr2bl w:val="nil"/>
                  </w:tcBorders>
                  <w:vAlign w:val="center"/>
                </w:tcPr>
                <w:p w14:paraId="1C4BCA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500m</w:t>
                  </w:r>
                </w:p>
              </w:tc>
              <w:tc>
                <w:tcPr>
                  <w:tcW w:w="1155" w:type="pct"/>
                  <w:vMerge w:val="continue"/>
                  <w:tcBorders>
                    <w:tl2br w:val="nil"/>
                    <w:tr2bl w:val="nil"/>
                  </w:tcBorders>
                  <w:vAlign w:val="center"/>
                </w:tcPr>
                <w:p w14:paraId="2459B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69C8B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6BED4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66DA22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71C50C16">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坊门村</w:t>
                  </w:r>
                </w:p>
              </w:tc>
              <w:tc>
                <w:tcPr>
                  <w:tcW w:w="620" w:type="pct"/>
                  <w:tcBorders>
                    <w:tl2br w:val="nil"/>
                    <w:tr2bl w:val="nil"/>
                  </w:tcBorders>
                  <w:vAlign w:val="center"/>
                </w:tcPr>
                <w:p w14:paraId="3565D7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50</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512849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eastAsia" w:ascii="Times New Roman" w:hAnsi="Times New Roman" w:eastAsia="宋体" w:cs="Times New Roman"/>
                      <w:color w:val="auto"/>
                      <w:sz w:val="21"/>
                      <w:szCs w:val="21"/>
                      <w:highlight w:val="none"/>
                      <w:vertAlign w:val="baseline"/>
                      <w:lang w:val="en-US" w:eastAsia="zh-CN"/>
                    </w:rPr>
                    <w:t>宽沟至塘坊门村支渠</w:t>
                  </w:r>
                  <w:r>
                    <w:rPr>
                      <w:rFonts w:hint="eastAsia" w:cs="Times New Roman"/>
                      <w:color w:val="auto"/>
                      <w:sz w:val="21"/>
                      <w:szCs w:val="21"/>
                      <w:highlight w:val="none"/>
                      <w:vertAlign w:val="baseline"/>
                      <w:lang w:val="en-US" w:eastAsia="zh-CN"/>
                    </w:rPr>
                    <w:t>北</w:t>
                  </w:r>
                  <w:r>
                    <w:rPr>
                      <w:rFonts w:hint="eastAsia" w:ascii="Times New Roman" w:hAnsi="Times New Roman" w:eastAsia="宋体" w:cs="Times New Roman"/>
                      <w:color w:val="auto"/>
                      <w:sz w:val="21"/>
                      <w:szCs w:val="21"/>
                      <w:highlight w:val="none"/>
                      <w:vertAlign w:val="baseline"/>
                      <w:lang w:val="en-US" w:eastAsia="zh-CN"/>
                    </w:rPr>
                    <w:t>侧</w:t>
                  </w:r>
                </w:p>
              </w:tc>
              <w:tc>
                <w:tcPr>
                  <w:tcW w:w="531" w:type="pct"/>
                  <w:tcBorders>
                    <w:tl2br w:val="nil"/>
                    <w:tr2bl w:val="nil"/>
                  </w:tcBorders>
                  <w:vAlign w:val="center"/>
                </w:tcPr>
                <w:p w14:paraId="1E6E9B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500m</w:t>
                  </w:r>
                </w:p>
              </w:tc>
              <w:tc>
                <w:tcPr>
                  <w:tcW w:w="1155" w:type="pct"/>
                  <w:vMerge w:val="continue"/>
                  <w:tcBorders>
                    <w:tl2br w:val="nil"/>
                    <w:tr2bl w:val="nil"/>
                  </w:tcBorders>
                  <w:vAlign w:val="center"/>
                </w:tcPr>
                <w:p w14:paraId="2E6C3A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0B8EC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1E521E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3CC65B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1B0B4D80">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4D8537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35户</w:t>
                  </w:r>
                </w:p>
              </w:tc>
              <w:tc>
                <w:tcPr>
                  <w:tcW w:w="1087" w:type="pct"/>
                  <w:tcBorders>
                    <w:tl2br w:val="nil"/>
                    <w:tr2bl w:val="nil"/>
                  </w:tcBorders>
                  <w:vAlign w:val="center"/>
                </w:tcPr>
                <w:p w14:paraId="67C0B5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宽沟至塘坊门村支渠西侧</w:t>
                  </w:r>
                </w:p>
              </w:tc>
              <w:tc>
                <w:tcPr>
                  <w:tcW w:w="531" w:type="pct"/>
                  <w:tcBorders>
                    <w:tl2br w:val="nil"/>
                    <w:tr2bl w:val="nil"/>
                  </w:tcBorders>
                  <w:vAlign w:val="center"/>
                </w:tcPr>
                <w:p w14:paraId="1BC328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500m</w:t>
                  </w:r>
                </w:p>
              </w:tc>
              <w:tc>
                <w:tcPr>
                  <w:tcW w:w="1155" w:type="pct"/>
                  <w:vMerge w:val="continue"/>
                  <w:tcBorders>
                    <w:tl2br w:val="nil"/>
                    <w:tr2bl w:val="nil"/>
                  </w:tcBorders>
                  <w:vAlign w:val="center"/>
                </w:tcPr>
                <w:p w14:paraId="4BCD72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4E869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6F539E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2B7359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69FAD23F">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153BCD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15户</w:t>
                  </w:r>
                </w:p>
              </w:tc>
              <w:tc>
                <w:tcPr>
                  <w:tcW w:w="1087" w:type="pct"/>
                  <w:tcBorders>
                    <w:tl2br w:val="nil"/>
                    <w:tr2bl w:val="nil"/>
                  </w:tcBorders>
                  <w:vAlign w:val="center"/>
                </w:tcPr>
                <w:p w14:paraId="3F36F3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宽沟至塘坊门村支渠南侧</w:t>
                  </w:r>
                </w:p>
              </w:tc>
              <w:tc>
                <w:tcPr>
                  <w:tcW w:w="531" w:type="pct"/>
                  <w:tcBorders>
                    <w:tl2br w:val="nil"/>
                    <w:tr2bl w:val="nil"/>
                  </w:tcBorders>
                  <w:vAlign w:val="center"/>
                </w:tcPr>
                <w:p w14:paraId="7B3535E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500m</w:t>
                  </w:r>
                </w:p>
              </w:tc>
              <w:tc>
                <w:tcPr>
                  <w:tcW w:w="1155" w:type="pct"/>
                  <w:vMerge w:val="continue"/>
                  <w:tcBorders>
                    <w:tl2br w:val="nil"/>
                    <w:tr2bl w:val="nil"/>
                  </w:tcBorders>
                  <w:vAlign w:val="center"/>
                </w:tcPr>
                <w:p w14:paraId="793920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491356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5D93A6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79BF82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34FD3414">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24BB53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6户</w:t>
                  </w:r>
                </w:p>
              </w:tc>
              <w:tc>
                <w:tcPr>
                  <w:tcW w:w="1087" w:type="pct"/>
                  <w:tcBorders>
                    <w:tl2br w:val="nil"/>
                    <w:tr2bl w:val="nil"/>
                  </w:tcBorders>
                  <w:vAlign w:val="center"/>
                </w:tcPr>
                <w:p w14:paraId="14C399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皇宫村支渠西侧</w:t>
                  </w:r>
                </w:p>
              </w:tc>
              <w:tc>
                <w:tcPr>
                  <w:tcW w:w="531" w:type="pct"/>
                  <w:tcBorders>
                    <w:tl2br w:val="nil"/>
                    <w:tr2bl w:val="nil"/>
                  </w:tcBorders>
                  <w:vAlign w:val="center"/>
                </w:tcPr>
                <w:p w14:paraId="68013C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195m</w:t>
                  </w:r>
                </w:p>
              </w:tc>
              <w:tc>
                <w:tcPr>
                  <w:tcW w:w="1155" w:type="pct"/>
                  <w:vMerge w:val="continue"/>
                  <w:tcBorders>
                    <w:tl2br w:val="nil"/>
                    <w:tr2bl w:val="nil"/>
                  </w:tcBorders>
                  <w:vAlign w:val="center"/>
                </w:tcPr>
                <w:p w14:paraId="7CDC1B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4763C5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4161CA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3F290B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5E58444F">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皇宫村</w:t>
                  </w:r>
                </w:p>
              </w:tc>
              <w:tc>
                <w:tcPr>
                  <w:tcW w:w="620" w:type="pct"/>
                  <w:tcBorders>
                    <w:tl2br w:val="nil"/>
                    <w:tr2bl w:val="nil"/>
                  </w:tcBorders>
                  <w:vAlign w:val="center"/>
                </w:tcPr>
                <w:p w14:paraId="152CA5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17</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0337E8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皇宫村支渠东侧</w:t>
                  </w:r>
                </w:p>
              </w:tc>
              <w:tc>
                <w:tcPr>
                  <w:tcW w:w="531" w:type="pct"/>
                  <w:tcBorders>
                    <w:tl2br w:val="nil"/>
                    <w:tr2bl w:val="nil"/>
                  </w:tcBorders>
                  <w:vAlign w:val="center"/>
                </w:tcPr>
                <w:p w14:paraId="31990F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500m</w:t>
                  </w:r>
                </w:p>
              </w:tc>
              <w:tc>
                <w:tcPr>
                  <w:tcW w:w="1155" w:type="pct"/>
                  <w:vMerge w:val="continue"/>
                  <w:tcBorders>
                    <w:tl2br w:val="nil"/>
                    <w:tr2bl w:val="nil"/>
                  </w:tcBorders>
                  <w:vAlign w:val="center"/>
                </w:tcPr>
                <w:p w14:paraId="5D8481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7763A0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3C4323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180663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7A2C21D0">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5A6D7D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17户</w:t>
                  </w:r>
                </w:p>
              </w:tc>
              <w:tc>
                <w:tcPr>
                  <w:tcW w:w="1087" w:type="pct"/>
                  <w:tcBorders>
                    <w:tl2br w:val="nil"/>
                    <w:tr2bl w:val="nil"/>
                  </w:tcBorders>
                  <w:vAlign w:val="center"/>
                </w:tcPr>
                <w:p w14:paraId="4D6AA3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西戈壁支渠西侧</w:t>
                  </w:r>
                </w:p>
              </w:tc>
              <w:tc>
                <w:tcPr>
                  <w:tcW w:w="531" w:type="pct"/>
                  <w:tcBorders>
                    <w:tl2br w:val="nil"/>
                    <w:tr2bl w:val="nil"/>
                  </w:tcBorders>
                  <w:vAlign w:val="center"/>
                </w:tcPr>
                <w:p w14:paraId="35AB6F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500m</w:t>
                  </w:r>
                </w:p>
              </w:tc>
              <w:tc>
                <w:tcPr>
                  <w:tcW w:w="1155" w:type="pct"/>
                  <w:vMerge w:val="continue"/>
                  <w:tcBorders>
                    <w:tl2br w:val="nil"/>
                    <w:tr2bl w:val="nil"/>
                  </w:tcBorders>
                  <w:vAlign w:val="center"/>
                </w:tcPr>
                <w:p w14:paraId="22C5AD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9D715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61B8BF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3D7E45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35FC44D1">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411800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13户</w:t>
                  </w:r>
                </w:p>
              </w:tc>
              <w:tc>
                <w:tcPr>
                  <w:tcW w:w="1087" w:type="pct"/>
                  <w:tcBorders>
                    <w:tl2br w:val="nil"/>
                    <w:tr2bl w:val="nil"/>
                  </w:tcBorders>
                  <w:vAlign w:val="center"/>
                </w:tcPr>
                <w:p w14:paraId="55E01B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西戈壁支渠西侧</w:t>
                  </w:r>
                </w:p>
              </w:tc>
              <w:tc>
                <w:tcPr>
                  <w:tcW w:w="531" w:type="pct"/>
                  <w:tcBorders>
                    <w:tl2br w:val="nil"/>
                    <w:tr2bl w:val="nil"/>
                  </w:tcBorders>
                  <w:vAlign w:val="center"/>
                </w:tcPr>
                <w:p w14:paraId="7563C4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230m</w:t>
                  </w:r>
                </w:p>
              </w:tc>
              <w:tc>
                <w:tcPr>
                  <w:tcW w:w="1155" w:type="pct"/>
                  <w:vMerge w:val="continue"/>
                  <w:tcBorders>
                    <w:tl2br w:val="nil"/>
                    <w:tr2bl w:val="nil"/>
                  </w:tcBorders>
                  <w:vAlign w:val="center"/>
                </w:tcPr>
                <w:p w14:paraId="66724A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7C694A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47D10D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5A376C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1D7EA81C">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51C9FA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55户</w:t>
                  </w:r>
                </w:p>
              </w:tc>
              <w:tc>
                <w:tcPr>
                  <w:tcW w:w="1087" w:type="pct"/>
                  <w:tcBorders>
                    <w:tl2br w:val="nil"/>
                    <w:tr2bl w:val="nil"/>
                  </w:tcBorders>
                  <w:vAlign w:val="center"/>
                </w:tcPr>
                <w:p w14:paraId="7759A3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东戈壁支渠东西两侧</w:t>
                  </w:r>
                </w:p>
              </w:tc>
              <w:tc>
                <w:tcPr>
                  <w:tcW w:w="531" w:type="pct"/>
                  <w:tcBorders>
                    <w:tl2br w:val="nil"/>
                    <w:tr2bl w:val="nil"/>
                  </w:tcBorders>
                  <w:vAlign w:val="center"/>
                </w:tcPr>
                <w:p w14:paraId="538124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290m</w:t>
                  </w:r>
                </w:p>
              </w:tc>
              <w:tc>
                <w:tcPr>
                  <w:tcW w:w="1155" w:type="pct"/>
                  <w:vMerge w:val="continue"/>
                  <w:tcBorders>
                    <w:tl2br w:val="nil"/>
                    <w:tr2bl w:val="nil"/>
                  </w:tcBorders>
                  <w:vAlign w:val="center"/>
                </w:tcPr>
                <w:p w14:paraId="1B3FC6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80E4C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5D8060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3AE770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107774B0">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vertAlign w:val="baseline"/>
                      <w:lang w:val="en-US"/>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098ABE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28</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7C9FEC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eastAsia" w:ascii="Times New Roman" w:hAnsi="Times New Roman" w:eastAsia="宋体" w:cs="Times New Roman"/>
                      <w:color w:val="auto"/>
                      <w:sz w:val="21"/>
                      <w:szCs w:val="21"/>
                      <w:highlight w:val="none"/>
                      <w:vertAlign w:val="baseline"/>
                      <w:lang w:val="en-US" w:eastAsia="zh-CN"/>
                    </w:rPr>
                    <w:t>东戈壁支渠东西两侧</w:t>
                  </w:r>
                </w:p>
              </w:tc>
              <w:tc>
                <w:tcPr>
                  <w:tcW w:w="531" w:type="pct"/>
                  <w:tcBorders>
                    <w:tl2br w:val="nil"/>
                    <w:tr2bl w:val="nil"/>
                  </w:tcBorders>
                  <w:vAlign w:val="center"/>
                </w:tcPr>
                <w:p w14:paraId="515D6A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220m</w:t>
                  </w:r>
                </w:p>
              </w:tc>
              <w:tc>
                <w:tcPr>
                  <w:tcW w:w="1155" w:type="pct"/>
                  <w:vMerge w:val="continue"/>
                  <w:tcBorders>
                    <w:tl2br w:val="nil"/>
                    <w:tr2bl w:val="nil"/>
                  </w:tcBorders>
                  <w:vAlign w:val="center"/>
                </w:tcPr>
                <w:p w14:paraId="3FD3A9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EDD2F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0C4A19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68B05A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4DF3B2FF">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2724DB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17户</w:t>
                  </w:r>
                </w:p>
              </w:tc>
              <w:tc>
                <w:tcPr>
                  <w:tcW w:w="1087" w:type="pct"/>
                  <w:tcBorders>
                    <w:tl2br w:val="nil"/>
                    <w:tr2bl w:val="nil"/>
                  </w:tcBorders>
                  <w:vAlign w:val="center"/>
                </w:tcPr>
                <w:p w14:paraId="734B7D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东戈壁支渠东西两侧</w:t>
                  </w:r>
                </w:p>
              </w:tc>
              <w:tc>
                <w:tcPr>
                  <w:tcW w:w="531" w:type="pct"/>
                  <w:tcBorders>
                    <w:tl2br w:val="nil"/>
                    <w:tr2bl w:val="nil"/>
                  </w:tcBorders>
                  <w:vAlign w:val="center"/>
                </w:tcPr>
                <w:p w14:paraId="179986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225m</w:t>
                  </w:r>
                </w:p>
              </w:tc>
              <w:tc>
                <w:tcPr>
                  <w:tcW w:w="1155" w:type="pct"/>
                  <w:vMerge w:val="continue"/>
                  <w:tcBorders>
                    <w:tl2br w:val="nil"/>
                    <w:tr2bl w:val="nil"/>
                  </w:tcBorders>
                  <w:vAlign w:val="center"/>
                </w:tcPr>
                <w:p w14:paraId="793911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2BC39B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313801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6F0B4E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7BE4526A">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126EE4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13</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3160EF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东戈壁支渠东侧</w:t>
                  </w:r>
                </w:p>
              </w:tc>
              <w:tc>
                <w:tcPr>
                  <w:tcW w:w="531" w:type="pct"/>
                  <w:tcBorders>
                    <w:tl2br w:val="nil"/>
                    <w:tr2bl w:val="nil"/>
                  </w:tcBorders>
                  <w:vAlign w:val="center"/>
                </w:tcPr>
                <w:p w14:paraId="5CB68E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80m</w:t>
                  </w:r>
                </w:p>
              </w:tc>
              <w:tc>
                <w:tcPr>
                  <w:tcW w:w="1155" w:type="pct"/>
                  <w:vMerge w:val="continue"/>
                  <w:tcBorders>
                    <w:tl2br w:val="nil"/>
                    <w:tr2bl w:val="nil"/>
                  </w:tcBorders>
                  <w:vAlign w:val="center"/>
                </w:tcPr>
                <w:p w14:paraId="669259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59DBD2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7BA088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0C5455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480B50D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280FBC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11</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6729A6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东戈壁支渠东侧</w:t>
                  </w:r>
                </w:p>
              </w:tc>
              <w:tc>
                <w:tcPr>
                  <w:tcW w:w="531" w:type="pct"/>
                  <w:tcBorders>
                    <w:tl2br w:val="nil"/>
                    <w:tr2bl w:val="nil"/>
                  </w:tcBorders>
                  <w:vAlign w:val="center"/>
                </w:tcPr>
                <w:p w14:paraId="76DF03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250m</w:t>
                  </w:r>
                </w:p>
              </w:tc>
              <w:tc>
                <w:tcPr>
                  <w:tcW w:w="1155" w:type="pct"/>
                  <w:vMerge w:val="continue"/>
                  <w:tcBorders>
                    <w:tl2br w:val="nil"/>
                    <w:tr2bl w:val="nil"/>
                  </w:tcBorders>
                  <w:vAlign w:val="center"/>
                </w:tcPr>
                <w:p w14:paraId="6EEC04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568EE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30510F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3574F0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7DD79C5F">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50F095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26</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0A9E5D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东戈壁支渠西侧</w:t>
                  </w:r>
                </w:p>
              </w:tc>
              <w:tc>
                <w:tcPr>
                  <w:tcW w:w="531" w:type="pct"/>
                  <w:tcBorders>
                    <w:tl2br w:val="nil"/>
                    <w:tr2bl w:val="nil"/>
                  </w:tcBorders>
                  <w:vAlign w:val="center"/>
                </w:tcPr>
                <w:p w14:paraId="672646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130m</w:t>
                  </w:r>
                </w:p>
              </w:tc>
              <w:tc>
                <w:tcPr>
                  <w:tcW w:w="1155" w:type="pct"/>
                  <w:vMerge w:val="continue"/>
                  <w:tcBorders>
                    <w:tl2br w:val="nil"/>
                    <w:tr2bl w:val="nil"/>
                  </w:tcBorders>
                  <w:vAlign w:val="center"/>
                </w:tcPr>
                <w:p w14:paraId="4A2E62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52FEF0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05570A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0995D7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7454E248">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19D0B7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32</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5DA367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东戈壁支渠西侧</w:t>
                  </w:r>
                </w:p>
              </w:tc>
              <w:tc>
                <w:tcPr>
                  <w:tcW w:w="531" w:type="pct"/>
                  <w:tcBorders>
                    <w:tl2br w:val="nil"/>
                    <w:tr2bl w:val="nil"/>
                  </w:tcBorders>
                  <w:vAlign w:val="center"/>
                </w:tcPr>
                <w:p w14:paraId="4C9AB0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highlight w:val="none"/>
                      <w:vertAlign w:val="baseline"/>
                      <w:lang w:val="en-US" w:eastAsia="zh-CN"/>
                    </w:rPr>
                    <w:t>400</w:t>
                  </w:r>
                  <w:r>
                    <w:rPr>
                      <w:rFonts w:hint="eastAsia" w:ascii="Times New Roman" w:hAnsi="Times New Roman" w:eastAsia="宋体" w:cs="Times New Roman"/>
                      <w:color w:val="auto"/>
                      <w:sz w:val="21"/>
                      <w:szCs w:val="21"/>
                      <w:highlight w:val="none"/>
                      <w:vertAlign w:val="baseline"/>
                      <w:lang w:val="en-US" w:eastAsia="zh-CN"/>
                    </w:rPr>
                    <w:t>m</w:t>
                  </w:r>
                </w:p>
              </w:tc>
              <w:tc>
                <w:tcPr>
                  <w:tcW w:w="1155" w:type="pct"/>
                  <w:vMerge w:val="continue"/>
                  <w:tcBorders>
                    <w:tl2br w:val="nil"/>
                    <w:tr2bl w:val="nil"/>
                  </w:tcBorders>
                  <w:vAlign w:val="center"/>
                </w:tcPr>
                <w:p w14:paraId="113EB8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1A4B34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7A7290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restart"/>
                  <w:tcBorders>
                    <w:tl2br w:val="nil"/>
                    <w:tr2bl w:val="nil"/>
                  </w:tcBorders>
                  <w:vAlign w:val="center"/>
                </w:tcPr>
                <w:p w14:paraId="710E90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eastAsia"/>
                      <w:color w:val="auto"/>
                      <w:kern w:val="0"/>
                      <w:szCs w:val="21"/>
                      <w:highlight w:val="none"/>
                    </w:rPr>
                    <w:t>声环境</w:t>
                  </w:r>
                </w:p>
              </w:tc>
              <w:tc>
                <w:tcPr>
                  <w:tcW w:w="676" w:type="pct"/>
                  <w:tcBorders>
                    <w:tl2br w:val="nil"/>
                    <w:tr2bl w:val="nil"/>
                  </w:tcBorders>
                  <w:vAlign w:val="center"/>
                </w:tcPr>
                <w:p w14:paraId="5551FE22">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厂房</w:t>
                  </w:r>
                </w:p>
              </w:tc>
              <w:tc>
                <w:tcPr>
                  <w:tcW w:w="620" w:type="pct"/>
                  <w:tcBorders>
                    <w:tl2br w:val="nil"/>
                    <w:tr2bl w:val="nil"/>
                  </w:tcBorders>
                  <w:vAlign w:val="center"/>
                </w:tcPr>
                <w:p w14:paraId="723F8D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230B8E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碧流河西干渠西侧</w:t>
                  </w:r>
                </w:p>
              </w:tc>
              <w:tc>
                <w:tcPr>
                  <w:tcW w:w="531" w:type="pct"/>
                  <w:tcBorders>
                    <w:tl2br w:val="nil"/>
                    <w:tr2bl w:val="nil"/>
                  </w:tcBorders>
                  <w:vAlign w:val="center"/>
                </w:tcPr>
                <w:p w14:paraId="67FA68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48</w:t>
                  </w:r>
                  <w:r>
                    <w:rPr>
                      <w:rFonts w:hint="eastAsia" w:ascii="Times New Roman" w:hAnsi="Times New Roman" w:eastAsia="宋体" w:cs="Times New Roman"/>
                      <w:color w:val="auto"/>
                      <w:sz w:val="21"/>
                      <w:szCs w:val="21"/>
                      <w:highlight w:val="none"/>
                      <w:vertAlign w:val="baseline"/>
                      <w:lang w:val="en-US" w:eastAsia="zh-CN"/>
                    </w:rPr>
                    <w:t>m</w:t>
                  </w:r>
                </w:p>
              </w:tc>
              <w:tc>
                <w:tcPr>
                  <w:tcW w:w="1155" w:type="pct"/>
                  <w:vMerge w:val="restart"/>
                  <w:tcBorders>
                    <w:tl2br w:val="nil"/>
                    <w:tr2bl w:val="nil"/>
                  </w:tcBorders>
                  <w:vAlign w:val="center"/>
                </w:tcPr>
                <w:p w14:paraId="03A8F6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《声环境质量标准》（GB3096-2008）1类标准</w:t>
                  </w:r>
                </w:p>
              </w:tc>
            </w:tr>
            <w:tr w14:paraId="4FE487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5C3B25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60255F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10391A0F">
                  <w:pPr>
                    <w:pStyle w:val="23"/>
                    <w:keepNext w:val="0"/>
                    <w:keepLines w:val="0"/>
                    <w:pageBreakBefore w:val="0"/>
                    <w:widowControl w:val="0"/>
                    <w:kinsoku/>
                    <w:wordWrap/>
                    <w:overflowPunct/>
                    <w:topLinePunct w:val="0"/>
                    <w:autoSpaceDE/>
                    <w:autoSpaceDN/>
                    <w:bidi w:val="0"/>
                    <w:adjustRightInd/>
                    <w:snapToGrid/>
                    <w:spacing w:line="360" w:lineRule="exact"/>
                    <w:ind w:firstLine="210" w:firstLineChars="100"/>
                    <w:jc w:val="both"/>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6EB305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w:t>
                  </w:r>
                  <w:r>
                    <w:rPr>
                      <w:rFonts w:hint="eastAsia"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5C1B25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宽沟至塘坊门村支渠</w:t>
                  </w:r>
                  <w:r>
                    <w:rPr>
                      <w:rFonts w:hint="eastAsia" w:cs="Times New Roman"/>
                      <w:color w:val="auto"/>
                      <w:sz w:val="21"/>
                      <w:szCs w:val="21"/>
                      <w:highlight w:val="none"/>
                      <w:vertAlign w:val="baseline"/>
                      <w:lang w:val="en-US" w:eastAsia="zh-CN"/>
                    </w:rPr>
                    <w:t>西</w:t>
                  </w:r>
                  <w:r>
                    <w:rPr>
                      <w:rFonts w:hint="eastAsia" w:ascii="Times New Roman" w:hAnsi="Times New Roman" w:eastAsia="宋体" w:cs="Times New Roman"/>
                      <w:color w:val="auto"/>
                      <w:sz w:val="21"/>
                      <w:szCs w:val="21"/>
                      <w:highlight w:val="none"/>
                      <w:vertAlign w:val="baseline"/>
                      <w:lang w:val="en-US" w:eastAsia="zh-CN"/>
                    </w:rPr>
                    <w:t>侧</w:t>
                  </w:r>
                </w:p>
              </w:tc>
              <w:tc>
                <w:tcPr>
                  <w:tcW w:w="531" w:type="pct"/>
                  <w:tcBorders>
                    <w:tl2br w:val="nil"/>
                    <w:tr2bl w:val="nil"/>
                  </w:tcBorders>
                  <w:vAlign w:val="center"/>
                </w:tcPr>
                <w:p w14:paraId="47F946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40m</w:t>
                  </w:r>
                </w:p>
              </w:tc>
              <w:tc>
                <w:tcPr>
                  <w:tcW w:w="1155" w:type="pct"/>
                  <w:vMerge w:val="continue"/>
                  <w:tcBorders>
                    <w:tl2br w:val="nil"/>
                    <w:tr2bl w:val="nil"/>
                  </w:tcBorders>
                  <w:vAlign w:val="center"/>
                </w:tcPr>
                <w:p w14:paraId="2EA342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D7924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24E1B2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6845C9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383C953B">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塘坊门村</w:t>
                  </w:r>
                </w:p>
              </w:tc>
              <w:tc>
                <w:tcPr>
                  <w:tcW w:w="620" w:type="pct"/>
                  <w:tcBorders>
                    <w:tl2br w:val="nil"/>
                    <w:tr2bl w:val="nil"/>
                  </w:tcBorders>
                  <w:vAlign w:val="center"/>
                </w:tcPr>
                <w:p w14:paraId="4D913F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34F007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宽沟至塘坊门村支渠</w:t>
                  </w:r>
                  <w:r>
                    <w:rPr>
                      <w:rFonts w:hint="eastAsia" w:cs="Times New Roman"/>
                      <w:color w:val="auto"/>
                      <w:sz w:val="21"/>
                      <w:szCs w:val="21"/>
                      <w:highlight w:val="none"/>
                      <w:vertAlign w:val="baseline"/>
                      <w:lang w:val="en-US" w:eastAsia="zh-CN"/>
                    </w:rPr>
                    <w:t>北</w:t>
                  </w:r>
                  <w:r>
                    <w:rPr>
                      <w:rFonts w:hint="eastAsia" w:ascii="Times New Roman" w:hAnsi="Times New Roman" w:eastAsia="宋体" w:cs="Times New Roman"/>
                      <w:color w:val="auto"/>
                      <w:sz w:val="21"/>
                      <w:szCs w:val="21"/>
                      <w:highlight w:val="none"/>
                      <w:vertAlign w:val="baseline"/>
                      <w:lang w:val="en-US" w:eastAsia="zh-CN"/>
                    </w:rPr>
                    <w:t>侧</w:t>
                  </w:r>
                </w:p>
              </w:tc>
              <w:tc>
                <w:tcPr>
                  <w:tcW w:w="531" w:type="pct"/>
                  <w:tcBorders>
                    <w:tl2br w:val="nil"/>
                    <w:tr2bl w:val="nil"/>
                  </w:tcBorders>
                  <w:vAlign w:val="center"/>
                </w:tcPr>
                <w:p w14:paraId="6D288D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186451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C6C96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108A07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245F93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51E7C222">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6BADA7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7户</w:t>
                  </w:r>
                </w:p>
              </w:tc>
              <w:tc>
                <w:tcPr>
                  <w:tcW w:w="1087" w:type="pct"/>
                  <w:tcBorders>
                    <w:tl2br w:val="nil"/>
                    <w:tr2bl w:val="nil"/>
                  </w:tcBorders>
                  <w:vAlign w:val="center"/>
                </w:tcPr>
                <w:p w14:paraId="251C1A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西戈壁支渠西侧</w:t>
                  </w:r>
                </w:p>
              </w:tc>
              <w:tc>
                <w:tcPr>
                  <w:tcW w:w="531" w:type="pct"/>
                  <w:tcBorders>
                    <w:tl2br w:val="nil"/>
                    <w:tr2bl w:val="nil"/>
                  </w:tcBorders>
                  <w:vAlign w:val="center"/>
                </w:tcPr>
                <w:p w14:paraId="2FE2AA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1985C9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7F87E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2F5E5D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0B4964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6ADE1606">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69D4B7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4户</w:t>
                  </w:r>
                </w:p>
              </w:tc>
              <w:tc>
                <w:tcPr>
                  <w:tcW w:w="1087" w:type="pct"/>
                  <w:tcBorders>
                    <w:tl2br w:val="nil"/>
                    <w:tr2bl w:val="nil"/>
                  </w:tcBorders>
                  <w:vAlign w:val="center"/>
                </w:tcPr>
                <w:p w14:paraId="497526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西戈壁支渠西侧</w:t>
                  </w:r>
                </w:p>
              </w:tc>
              <w:tc>
                <w:tcPr>
                  <w:tcW w:w="531" w:type="pct"/>
                  <w:tcBorders>
                    <w:tl2br w:val="nil"/>
                    <w:tr2bl w:val="nil"/>
                  </w:tcBorders>
                  <w:vAlign w:val="center"/>
                </w:tcPr>
                <w:p w14:paraId="5E80B6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5E82DF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32F9A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74CCDB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27E3A9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4DB0FF4B">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0FC88D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30户</w:t>
                  </w:r>
                </w:p>
              </w:tc>
              <w:tc>
                <w:tcPr>
                  <w:tcW w:w="1087" w:type="pct"/>
                  <w:tcBorders>
                    <w:tl2br w:val="nil"/>
                    <w:tr2bl w:val="nil"/>
                  </w:tcBorders>
                  <w:vAlign w:val="center"/>
                </w:tcPr>
                <w:p w14:paraId="6B3982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东戈壁支渠东西两侧</w:t>
                  </w:r>
                </w:p>
              </w:tc>
              <w:tc>
                <w:tcPr>
                  <w:tcW w:w="531" w:type="pct"/>
                  <w:tcBorders>
                    <w:tl2br w:val="nil"/>
                    <w:tr2bl w:val="nil"/>
                  </w:tcBorders>
                  <w:vAlign w:val="center"/>
                </w:tcPr>
                <w:p w14:paraId="101C56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5E9549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82106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29337D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0B0A2A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2C922793">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520041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10</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4F3B29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东戈壁支渠东西两侧</w:t>
                  </w:r>
                </w:p>
              </w:tc>
              <w:tc>
                <w:tcPr>
                  <w:tcW w:w="531" w:type="pct"/>
                  <w:tcBorders>
                    <w:tl2br w:val="nil"/>
                    <w:tr2bl w:val="nil"/>
                  </w:tcBorders>
                  <w:vAlign w:val="center"/>
                </w:tcPr>
                <w:p w14:paraId="48FB52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19D220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6680FB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2AF725F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2B9C30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44985754">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0ABD4D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10户</w:t>
                  </w:r>
                </w:p>
              </w:tc>
              <w:tc>
                <w:tcPr>
                  <w:tcW w:w="1087" w:type="pct"/>
                  <w:tcBorders>
                    <w:tl2br w:val="nil"/>
                    <w:tr2bl w:val="nil"/>
                  </w:tcBorders>
                  <w:vAlign w:val="center"/>
                </w:tcPr>
                <w:p w14:paraId="7E113B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东戈壁支渠东西两侧</w:t>
                  </w:r>
                </w:p>
              </w:tc>
              <w:tc>
                <w:tcPr>
                  <w:tcW w:w="531" w:type="pct"/>
                  <w:tcBorders>
                    <w:tl2br w:val="nil"/>
                    <w:tr2bl w:val="nil"/>
                  </w:tcBorders>
                  <w:vAlign w:val="center"/>
                </w:tcPr>
                <w:p w14:paraId="5CF729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2D338D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026C2E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746AAC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76C39E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1D393695">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7BBD25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8</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2604A6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东戈壁支渠东侧</w:t>
                  </w:r>
                </w:p>
              </w:tc>
              <w:tc>
                <w:tcPr>
                  <w:tcW w:w="531" w:type="pct"/>
                  <w:tcBorders>
                    <w:tl2br w:val="nil"/>
                    <w:tr2bl w:val="nil"/>
                  </w:tcBorders>
                  <w:vAlign w:val="center"/>
                </w:tcPr>
                <w:p w14:paraId="780E2E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74F657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8CC36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6BA54D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0C2A18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56D4D199">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5FDE9C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13</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64699C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东戈壁支渠西侧</w:t>
                  </w:r>
                </w:p>
              </w:tc>
              <w:tc>
                <w:tcPr>
                  <w:tcW w:w="531" w:type="pct"/>
                  <w:tcBorders>
                    <w:tl2br w:val="nil"/>
                    <w:tr2bl w:val="nil"/>
                  </w:tcBorders>
                  <w:vAlign w:val="center"/>
                </w:tcPr>
                <w:p w14:paraId="725128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0B822A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1CB9C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48AF10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vMerge w:val="continue"/>
                  <w:tcBorders>
                    <w:tl2br w:val="nil"/>
                    <w:tr2bl w:val="nil"/>
                  </w:tcBorders>
                  <w:vAlign w:val="center"/>
                </w:tcPr>
                <w:p w14:paraId="738A17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676" w:type="pct"/>
                  <w:tcBorders>
                    <w:tl2br w:val="nil"/>
                    <w:tr2bl w:val="nil"/>
                  </w:tcBorders>
                  <w:vAlign w:val="center"/>
                </w:tcPr>
                <w:p w14:paraId="1B7A9606">
                  <w:pPr>
                    <w:pStyle w:val="2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居民点</w:t>
                  </w:r>
                </w:p>
              </w:tc>
              <w:tc>
                <w:tcPr>
                  <w:tcW w:w="620" w:type="pct"/>
                  <w:tcBorders>
                    <w:tl2br w:val="nil"/>
                    <w:tr2bl w:val="nil"/>
                  </w:tcBorders>
                  <w:vAlign w:val="center"/>
                </w:tcPr>
                <w:p w14:paraId="4633CB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户</w:t>
                  </w:r>
                </w:p>
              </w:tc>
              <w:tc>
                <w:tcPr>
                  <w:tcW w:w="1087" w:type="pct"/>
                  <w:tcBorders>
                    <w:tl2br w:val="nil"/>
                    <w:tr2bl w:val="nil"/>
                  </w:tcBorders>
                  <w:vAlign w:val="center"/>
                </w:tcPr>
                <w:p w14:paraId="51D8E6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东戈壁支渠西侧</w:t>
                  </w:r>
                </w:p>
              </w:tc>
              <w:tc>
                <w:tcPr>
                  <w:tcW w:w="531" w:type="pct"/>
                  <w:tcBorders>
                    <w:tl2br w:val="nil"/>
                    <w:tr2bl w:val="nil"/>
                  </w:tcBorders>
                  <w:vAlign w:val="center"/>
                </w:tcPr>
                <w:p w14:paraId="2CC2D2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50m</w:t>
                  </w:r>
                </w:p>
              </w:tc>
              <w:tc>
                <w:tcPr>
                  <w:tcW w:w="1155" w:type="pct"/>
                  <w:vMerge w:val="continue"/>
                  <w:tcBorders>
                    <w:tl2br w:val="nil"/>
                    <w:tr2bl w:val="nil"/>
                  </w:tcBorders>
                  <w:vAlign w:val="center"/>
                </w:tcPr>
                <w:p w14:paraId="21D570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r>
            <w:tr w14:paraId="31344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1CC233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tcBorders>
                    <w:tl2br w:val="nil"/>
                    <w:tr2bl w:val="nil"/>
                  </w:tcBorders>
                  <w:vAlign w:val="center"/>
                </w:tcPr>
                <w:p w14:paraId="04869400">
                  <w:pPr>
                    <w:adjustRightInd w:val="0"/>
                    <w:snapToGrid w:val="0"/>
                    <w:jc w:val="center"/>
                    <w:textAlignment w:val="baseline"/>
                    <w:rPr>
                      <w:rFonts w:hint="default" w:ascii="Times New Roman" w:hAnsi="Times New Roman" w:eastAsia="宋体" w:cs="Times New Roman"/>
                      <w:color w:val="auto"/>
                      <w:sz w:val="21"/>
                      <w:szCs w:val="21"/>
                      <w:vertAlign w:val="baseline"/>
                    </w:rPr>
                  </w:pPr>
                  <w:r>
                    <w:rPr>
                      <w:rFonts w:hint="eastAsia"/>
                      <w:color w:val="auto"/>
                      <w:kern w:val="0"/>
                      <w:szCs w:val="21"/>
                      <w:highlight w:val="none"/>
                    </w:rPr>
                    <w:t>地表水</w:t>
                  </w:r>
                </w:p>
              </w:tc>
              <w:tc>
                <w:tcPr>
                  <w:tcW w:w="676" w:type="pct"/>
                  <w:tcBorders>
                    <w:tl2br w:val="nil"/>
                    <w:tr2bl w:val="nil"/>
                  </w:tcBorders>
                  <w:vAlign w:val="center"/>
                </w:tcPr>
                <w:p w14:paraId="3E86BD74">
                  <w:pPr>
                    <w:adjustRightInd w:val="0"/>
                    <w:snapToGrid w:val="0"/>
                    <w:jc w:val="center"/>
                    <w:textAlignment w:val="baseline"/>
                    <w:rPr>
                      <w:rFonts w:hint="eastAsia" w:ascii="Times New Roman" w:hAnsi="Times New Roman" w:eastAsia="宋体" w:cs="Times New Roman"/>
                      <w:color w:val="auto"/>
                      <w:sz w:val="21"/>
                      <w:szCs w:val="21"/>
                      <w:vertAlign w:val="baseline"/>
                      <w:lang w:val="en-US" w:eastAsia="zh-CN"/>
                    </w:rPr>
                  </w:pPr>
                  <w:r>
                    <w:rPr>
                      <w:rFonts w:hint="eastAsia"/>
                      <w:color w:val="auto"/>
                      <w:kern w:val="0"/>
                      <w:szCs w:val="21"/>
                      <w:highlight w:val="none"/>
                    </w:rPr>
                    <w:t>碧流河</w:t>
                  </w:r>
                </w:p>
              </w:tc>
              <w:tc>
                <w:tcPr>
                  <w:tcW w:w="620" w:type="pct"/>
                  <w:tcBorders>
                    <w:tl2br w:val="nil"/>
                    <w:tr2bl w:val="nil"/>
                  </w:tcBorders>
                  <w:vAlign w:val="center"/>
                </w:tcPr>
                <w:p w14:paraId="2F53A541">
                  <w:pPr>
                    <w:adjustRightInd w:val="0"/>
                    <w:snapToGrid w:val="0"/>
                    <w:jc w:val="center"/>
                    <w:textAlignment w:val="baseline"/>
                    <w:rPr>
                      <w:rFonts w:hint="eastAsia" w:ascii="Times New Roman" w:hAnsi="Times New Roman" w:eastAsia="宋体" w:cs="Times New Roman"/>
                      <w:color w:val="auto"/>
                      <w:sz w:val="21"/>
                      <w:szCs w:val="21"/>
                      <w:vertAlign w:val="baseline"/>
                      <w:lang w:val="en-US" w:eastAsia="zh-CN"/>
                    </w:rPr>
                  </w:pPr>
                  <w:r>
                    <w:rPr>
                      <w:rFonts w:hint="eastAsia"/>
                      <w:color w:val="auto"/>
                      <w:kern w:val="0"/>
                      <w:szCs w:val="21"/>
                      <w:highlight w:val="none"/>
                    </w:rPr>
                    <w:t>项目区</w:t>
                  </w:r>
                </w:p>
              </w:tc>
              <w:tc>
                <w:tcPr>
                  <w:tcW w:w="1087" w:type="pct"/>
                  <w:tcBorders>
                    <w:tl2br w:val="nil"/>
                    <w:tr2bl w:val="nil"/>
                  </w:tcBorders>
                  <w:vAlign w:val="center"/>
                </w:tcPr>
                <w:p w14:paraId="50E0C5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531" w:type="pct"/>
                  <w:tcBorders>
                    <w:tl2br w:val="nil"/>
                    <w:tr2bl w:val="nil"/>
                  </w:tcBorders>
                  <w:vAlign w:val="center"/>
                </w:tcPr>
                <w:p w14:paraId="5E8FDD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1155" w:type="pct"/>
                  <w:tcBorders>
                    <w:tl2br w:val="nil"/>
                    <w:tr2bl w:val="nil"/>
                  </w:tcBorders>
                  <w:vAlign w:val="center"/>
                </w:tcPr>
                <w:p w14:paraId="32A30B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《地表水环境质量标准》（GB3838-2002）Ⅲ类标准</w:t>
                  </w:r>
                </w:p>
              </w:tc>
            </w:tr>
            <w:tr w14:paraId="7F1229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1" w:type="pct"/>
                  <w:vMerge w:val="continue"/>
                  <w:tcBorders>
                    <w:tl2br w:val="nil"/>
                    <w:tr2bl w:val="nil"/>
                  </w:tcBorders>
                  <w:vAlign w:val="center"/>
                </w:tcPr>
                <w:p w14:paraId="38C628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tcBorders>
                    <w:tl2br w:val="nil"/>
                    <w:tr2bl w:val="nil"/>
                  </w:tcBorders>
                  <w:vAlign w:val="center"/>
                </w:tcPr>
                <w:p w14:paraId="56B7EE51">
                  <w:pPr>
                    <w:adjustRightInd w:val="0"/>
                    <w:snapToGrid w:val="0"/>
                    <w:jc w:val="center"/>
                    <w:textAlignment w:val="baseline"/>
                    <w:rPr>
                      <w:rFonts w:hint="default" w:eastAsia="宋体"/>
                      <w:color w:val="auto"/>
                      <w:kern w:val="0"/>
                      <w:szCs w:val="21"/>
                      <w:highlight w:val="none"/>
                      <w:lang w:val="en-US" w:eastAsia="zh-CN"/>
                    </w:rPr>
                  </w:pPr>
                  <w:r>
                    <w:rPr>
                      <w:rFonts w:hint="eastAsia"/>
                      <w:color w:val="auto"/>
                      <w:kern w:val="0"/>
                      <w:szCs w:val="21"/>
                      <w:highlight w:val="none"/>
                      <w:lang w:val="en-US" w:eastAsia="zh-CN"/>
                    </w:rPr>
                    <w:t>土壤</w:t>
                  </w:r>
                </w:p>
              </w:tc>
              <w:tc>
                <w:tcPr>
                  <w:tcW w:w="676" w:type="pct"/>
                  <w:tcBorders>
                    <w:tl2br w:val="nil"/>
                    <w:tr2bl w:val="nil"/>
                  </w:tcBorders>
                  <w:vAlign w:val="center"/>
                </w:tcPr>
                <w:p w14:paraId="556BFBC1">
                  <w:pPr>
                    <w:adjustRightInd w:val="0"/>
                    <w:snapToGrid w:val="0"/>
                    <w:jc w:val="center"/>
                    <w:textAlignment w:val="baseline"/>
                    <w:rPr>
                      <w:rFonts w:hint="default" w:eastAsia="宋体"/>
                      <w:color w:val="auto"/>
                      <w:kern w:val="0"/>
                      <w:szCs w:val="21"/>
                      <w:highlight w:val="none"/>
                      <w:lang w:val="en-US" w:eastAsia="zh-CN"/>
                    </w:rPr>
                  </w:pPr>
                  <w:r>
                    <w:rPr>
                      <w:rFonts w:hint="eastAsia"/>
                      <w:color w:val="auto"/>
                      <w:kern w:val="0"/>
                      <w:szCs w:val="21"/>
                      <w:highlight w:val="none"/>
                      <w:lang w:val="en-US" w:eastAsia="zh-CN"/>
                    </w:rPr>
                    <w:t>渠道两侧土壤</w:t>
                  </w:r>
                </w:p>
              </w:tc>
              <w:tc>
                <w:tcPr>
                  <w:tcW w:w="620" w:type="pct"/>
                  <w:tcBorders>
                    <w:tl2br w:val="nil"/>
                    <w:tr2bl w:val="nil"/>
                  </w:tcBorders>
                  <w:vAlign w:val="center"/>
                </w:tcPr>
                <w:p w14:paraId="76D531A0">
                  <w:pPr>
                    <w:adjustRightInd w:val="0"/>
                    <w:snapToGrid w:val="0"/>
                    <w:jc w:val="center"/>
                    <w:textAlignment w:val="baseline"/>
                    <w:rPr>
                      <w:rFonts w:hint="default" w:eastAsia="宋体"/>
                      <w:color w:val="auto"/>
                      <w:kern w:val="0"/>
                      <w:szCs w:val="21"/>
                      <w:highlight w:val="none"/>
                      <w:lang w:val="en-US" w:eastAsia="zh-CN"/>
                    </w:rPr>
                  </w:pPr>
                  <w:r>
                    <w:rPr>
                      <w:rFonts w:hint="eastAsia"/>
                      <w:color w:val="auto"/>
                      <w:kern w:val="0"/>
                      <w:szCs w:val="21"/>
                      <w:highlight w:val="none"/>
                      <w:lang w:val="en-US" w:eastAsia="zh-CN"/>
                    </w:rPr>
                    <w:t>项目区沿线</w:t>
                  </w:r>
                </w:p>
              </w:tc>
              <w:tc>
                <w:tcPr>
                  <w:tcW w:w="1087" w:type="pct"/>
                  <w:tcBorders>
                    <w:tl2br w:val="nil"/>
                    <w:tr2bl w:val="nil"/>
                  </w:tcBorders>
                  <w:vAlign w:val="center"/>
                </w:tcPr>
                <w:p w14:paraId="07561F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531" w:type="pct"/>
                  <w:tcBorders>
                    <w:tl2br w:val="nil"/>
                    <w:tr2bl w:val="nil"/>
                  </w:tcBorders>
                  <w:vAlign w:val="center"/>
                </w:tcPr>
                <w:p w14:paraId="474F63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1155" w:type="pct"/>
                  <w:tcBorders>
                    <w:tl2br w:val="nil"/>
                    <w:tr2bl w:val="nil"/>
                  </w:tcBorders>
                  <w:vAlign w:val="center"/>
                </w:tcPr>
                <w:p w14:paraId="4A147F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《土壤环境质量农用地土壤污染风险管控标准（试行）》（GB15618—2018）筛选值</w:t>
                  </w:r>
                </w:p>
              </w:tc>
            </w:tr>
            <w:tr w14:paraId="063EE7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41" w:type="pct"/>
                  <w:vMerge w:val="continue"/>
                  <w:tcBorders>
                    <w:tl2br w:val="nil"/>
                    <w:tr2bl w:val="nil"/>
                  </w:tcBorders>
                  <w:vAlign w:val="center"/>
                </w:tcPr>
                <w:p w14:paraId="1E0949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p>
              </w:tc>
              <w:tc>
                <w:tcPr>
                  <w:tcW w:w="486" w:type="pct"/>
                  <w:tcBorders>
                    <w:tl2br w:val="nil"/>
                    <w:tr2bl w:val="nil"/>
                  </w:tcBorders>
                  <w:vAlign w:val="center"/>
                </w:tcPr>
                <w:p w14:paraId="2BEDEFD9">
                  <w:pPr>
                    <w:adjustRightInd w:val="0"/>
                    <w:snapToGrid w:val="0"/>
                    <w:jc w:val="center"/>
                    <w:textAlignment w:val="baseline"/>
                    <w:rPr>
                      <w:rFonts w:hint="eastAsia"/>
                      <w:color w:val="auto"/>
                      <w:kern w:val="0"/>
                      <w:szCs w:val="21"/>
                      <w:highlight w:val="none"/>
                    </w:rPr>
                  </w:pPr>
                  <w:r>
                    <w:rPr>
                      <w:rFonts w:hint="eastAsia"/>
                      <w:color w:val="auto"/>
                      <w:kern w:val="0"/>
                      <w:szCs w:val="21"/>
                      <w:highlight w:val="none"/>
                    </w:rPr>
                    <w:t>生态环境</w:t>
                  </w:r>
                </w:p>
              </w:tc>
              <w:tc>
                <w:tcPr>
                  <w:tcW w:w="676" w:type="pct"/>
                  <w:tcBorders>
                    <w:tl2br w:val="nil"/>
                    <w:tr2bl w:val="nil"/>
                  </w:tcBorders>
                  <w:vAlign w:val="center"/>
                </w:tcPr>
                <w:p w14:paraId="1558CC9C">
                  <w:pPr>
                    <w:adjustRightInd w:val="0"/>
                    <w:snapToGrid w:val="0"/>
                    <w:jc w:val="center"/>
                    <w:textAlignment w:val="baseline"/>
                    <w:rPr>
                      <w:rFonts w:hint="eastAsia"/>
                      <w:color w:val="auto"/>
                      <w:kern w:val="0"/>
                      <w:szCs w:val="21"/>
                      <w:highlight w:val="none"/>
                    </w:rPr>
                  </w:pPr>
                  <w:r>
                    <w:rPr>
                      <w:rFonts w:hint="eastAsia"/>
                      <w:color w:val="auto"/>
                      <w:kern w:val="0"/>
                      <w:szCs w:val="21"/>
                      <w:highlight w:val="none"/>
                    </w:rPr>
                    <w:t>耕地、自然植被、野生动物</w:t>
                  </w:r>
                </w:p>
              </w:tc>
              <w:tc>
                <w:tcPr>
                  <w:tcW w:w="620" w:type="pct"/>
                  <w:tcBorders>
                    <w:tl2br w:val="nil"/>
                    <w:tr2bl w:val="nil"/>
                  </w:tcBorders>
                  <w:vAlign w:val="center"/>
                </w:tcPr>
                <w:p w14:paraId="4AD5F590">
                  <w:pPr>
                    <w:adjustRightInd w:val="0"/>
                    <w:snapToGrid w:val="0"/>
                    <w:jc w:val="center"/>
                    <w:textAlignment w:val="baseline"/>
                    <w:rPr>
                      <w:rFonts w:hint="eastAsia"/>
                      <w:color w:val="auto"/>
                      <w:kern w:val="0"/>
                      <w:szCs w:val="21"/>
                      <w:highlight w:val="none"/>
                    </w:rPr>
                  </w:pPr>
                  <w:r>
                    <w:rPr>
                      <w:rFonts w:hint="eastAsia"/>
                      <w:color w:val="auto"/>
                      <w:kern w:val="0"/>
                      <w:szCs w:val="21"/>
                      <w:highlight w:val="none"/>
                    </w:rPr>
                    <w:t>项目区沿线</w:t>
                  </w:r>
                </w:p>
              </w:tc>
              <w:tc>
                <w:tcPr>
                  <w:tcW w:w="1087" w:type="pct"/>
                  <w:tcBorders>
                    <w:tl2br w:val="nil"/>
                    <w:tr2bl w:val="nil"/>
                  </w:tcBorders>
                  <w:vAlign w:val="center"/>
                </w:tcPr>
                <w:p w14:paraId="6B671D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531" w:type="pct"/>
                  <w:tcBorders>
                    <w:tl2br w:val="nil"/>
                    <w:tr2bl w:val="nil"/>
                  </w:tcBorders>
                  <w:vAlign w:val="center"/>
                </w:tcPr>
                <w:p w14:paraId="6E5F3A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1155" w:type="pct"/>
                  <w:tcBorders>
                    <w:tl2br w:val="nil"/>
                    <w:tr2bl w:val="nil"/>
                  </w:tcBorders>
                  <w:vAlign w:val="center"/>
                </w:tcPr>
                <w:p w14:paraId="590BB3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保护区域植被、生物多样性</w:t>
                  </w:r>
                </w:p>
              </w:tc>
            </w:tr>
          </w:tbl>
          <w:p w14:paraId="21AF7663">
            <w:pPr>
              <w:adjustRightInd w:val="0"/>
              <w:snapToGrid w:val="0"/>
              <w:spacing w:line="360" w:lineRule="auto"/>
              <w:jc w:val="both"/>
              <w:rPr>
                <w:rFonts w:hint="default" w:ascii="Times New Roman" w:hAnsi="Times New Roman" w:cs="Times New Roman"/>
                <w:color w:val="auto"/>
                <w:sz w:val="24"/>
              </w:rPr>
            </w:pPr>
          </w:p>
        </w:tc>
      </w:tr>
      <w:tr w14:paraId="39E8C2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66" w:hRule="atLeast"/>
          <w:jc w:val="center"/>
        </w:trPr>
        <w:tc>
          <w:tcPr>
            <w:tcW w:w="421" w:type="pct"/>
            <w:noWrap w:val="0"/>
            <w:vAlign w:val="center"/>
          </w:tcPr>
          <w:p w14:paraId="23BBCE16">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评价</w:t>
            </w:r>
          </w:p>
          <w:p w14:paraId="21B6FE3D">
            <w:pPr>
              <w:adjustRightInd w:val="0"/>
              <w:snapToGrid w:val="0"/>
              <w:jc w:val="center"/>
              <w:rPr>
                <w:rFonts w:hint="default" w:ascii="Times New Roman" w:hAnsi="Times New Roman" w:cs="Times New Roman"/>
                <w:color w:val="auto"/>
                <w:kern w:val="0"/>
                <w:sz w:val="24"/>
              </w:rPr>
            </w:pPr>
            <w:r>
              <w:rPr>
                <w:rFonts w:hint="default" w:ascii="Times New Roman" w:hAnsi="Times New Roman" w:cs="Times New Roman"/>
                <w:color w:val="auto"/>
                <w:kern w:val="0"/>
                <w:sz w:val="24"/>
              </w:rPr>
              <w:t>标准</w:t>
            </w:r>
          </w:p>
        </w:tc>
        <w:tc>
          <w:tcPr>
            <w:tcW w:w="4578" w:type="pct"/>
            <w:noWrap w:val="0"/>
            <w:vAlign w:val="center"/>
          </w:tcPr>
          <w:p w14:paraId="47AC7296">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环境质量标准</w:t>
            </w:r>
          </w:p>
          <w:p w14:paraId="58EE13CE">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rPr>
            </w:pPr>
            <w:r>
              <w:rPr>
                <w:rFonts w:hint="eastAsia" w:cs="Times New Roman"/>
                <w:color w:val="auto"/>
                <w:sz w:val="24"/>
                <w:lang w:eastAsia="zh-CN"/>
              </w:rPr>
              <w:t>《环境空气质量标准》（GB3095-2026）二级标准过渡值</w:t>
            </w:r>
            <w:r>
              <w:rPr>
                <w:rFonts w:hint="default" w:ascii="Times New Roman" w:hAnsi="Times New Roman" w:eastAsia="宋体" w:cs="Times New Roman"/>
                <w:color w:val="auto"/>
                <w:sz w:val="24"/>
              </w:rPr>
              <w:t>；</w:t>
            </w:r>
          </w:p>
          <w:p w14:paraId="08FE7DEE">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cs="Times New Roman"/>
                <w:color w:val="auto"/>
                <w:sz w:val="24"/>
                <w:lang w:eastAsia="zh-CN"/>
              </w:rPr>
            </w:pPr>
            <w:r>
              <w:rPr>
                <w:rFonts w:hint="default" w:ascii="Times New Roman" w:hAnsi="Times New Roman" w:cs="Times New Roman"/>
                <w:color w:val="auto"/>
                <w:sz w:val="24"/>
              </w:rPr>
              <w:t>《声环境质量标准》（GB3096-2008）中</w:t>
            </w:r>
            <w:r>
              <w:rPr>
                <w:rFonts w:hint="eastAsia" w:cs="Times New Roman"/>
                <w:color w:val="auto"/>
                <w:sz w:val="24"/>
                <w:lang w:val="en-US" w:eastAsia="zh-CN"/>
              </w:rPr>
              <w:t>1</w:t>
            </w:r>
            <w:r>
              <w:rPr>
                <w:rFonts w:hint="default" w:ascii="Times New Roman" w:hAnsi="Times New Roman" w:cs="Times New Roman"/>
                <w:color w:val="auto"/>
                <w:sz w:val="24"/>
              </w:rPr>
              <w:t>类标准</w:t>
            </w:r>
            <w:r>
              <w:rPr>
                <w:rFonts w:hint="eastAsia" w:cs="Times New Roman"/>
                <w:color w:val="auto"/>
                <w:sz w:val="24"/>
                <w:lang w:eastAsia="zh-CN"/>
              </w:rPr>
              <w:t>；</w:t>
            </w:r>
          </w:p>
          <w:p w14:paraId="7857A08E">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《地表水环境质量标准》（GB3838-2002）中的</w:t>
            </w:r>
            <w:r>
              <w:rPr>
                <w:rFonts w:hint="default" w:ascii="Times New Roman" w:hAnsi="Times New Roman" w:eastAsia="宋体" w:cs="Times New Roman"/>
                <w:color w:val="auto"/>
                <w:sz w:val="24"/>
              </w:rPr>
              <w:t>Ⅲ</w:t>
            </w:r>
            <w:r>
              <w:rPr>
                <w:rFonts w:hint="eastAsia" w:ascii="Times New Roman" w:hAnsi="Times New Roman" w:eastAsia="宋体" w:cs="Times New Roman"/>
                <w:color w:val="auto"/>
                <w:sz w:val="24"/>
              </w:rPr>
              <w:t>类标准</w:t>
            </w:r>
            <w:r>
              <w:rPr>
                <w:rFonts w:hint="eastAsia" w:ascii="Times New Roman" w:hAnsi="Times New Roman" w:eastAsia="宋体" w:cs="Times New Roman"/>
                <w:color w:val="auto"/>
                <w:sz w:val="24"/>
                <w:lang w:eastAsia="zh-CN"/>
              </w:rPr>
              <w:t>；</w:t>
            </w:r>
          </w:p>
          <w:p w14:paraId="41B12B5F">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rPr>
              <w:t>《土壤环境质量农用地土壤污染风险管控标准（试行）》（GB15618—2018）筛选值</w:t>
            </w:r>
            <w:r>
              <w:rPr>
                <w:rFonts w:hint="eastAsia" w:ascii="Times New Roman" w:hAnsi="Times New Roman" w:eastAsia="宋体" w:cs="Times New Roman"/>
                <w:color w:val="auto"/>
                <w:sz w:val="24"/>
                <w:lang w:eastAsia="zh-CN"/>
              </w:rPr>
              <w:t>。</w:t>
            </w:r>
          </w:p>
          <w:p w14:paraId="62097F47">
            <w:pPr>
              <w:keepNext w:val="0"/>
              <w:keepLines w:val="0"/>
              <w:pageBreakBefore w:val="0"/>
              <w:widowControl w:val="0"/>
              <w:numPr>
                <w:ilvl w:val="0"/>
                <w:numId w:val="10"/>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污染物排放标准</w:t>
            </w:r>
          </w:p>
          <w:p w14:paraId="71E4BAC7">
            <w:pPr>
              <w:pStyle w:val="41"/>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（1）施工期噪声执行《</w:t>
            </w:r>
            <w:r>
              <w:rPr>
                <w:rFonts w:hint="default" w:ascii="Times New Roman" w:hAnsi="Times New Roman" w:cs="Times New Roman"/>
                <w:color w:val="auto"/>
                <w:szCs w:val="24"/>
                <w:lang w:eastAsia="zh-CN"/>
              </w:rPr>
              <w:t>建筑施工噪声排放标准</w:t>
            </w:r>
            <w:r>
              <w:rPr>
                <w:rFonts w:hint="default" w:ascii="Times New Roman" w:hAnsi="Times New Roman" w:cs="Times New Roman"/>
                <w:color w:val="auto"/>
                <w:szCs w:val="24"/>
              </w:rPr>
              <w:t>》（</w:t>
            </w:r>
            <w:r>
              <w:rPr>
                <w:rFonts w:hint="default" w:ascii="Times New Roman" w:hAnsi="Times New Roman" w:cs="Times New Roman"/>
                <w:color w:val="auto"/>
                <w:szCs w:val="24"/>
                <w:lang w:eastAsia="zh-CN"/>
              </w:rPr>
              <w:t>GB12523-2025</w:t>
            </w:r>
            <w:r>
              <w:rPr>
                <w:rFonts w:hint="default" w:ascii="Times New Roman" w:hAnsi="Times New Roman" w:cs="Times New Roman"/>
                <w:color w:val="auto"/>
                <w:szCs w:val="24"/>
              </w:rPr>
              <w:t>）标准昼间70dB(A</w:t>
            </w:r>
            <w:r>
              <w:rPr>
                <w:rFonts w:hint="eastAsia" w:ascii="Times New Roman" w:cs="Times New Roman"/>
                <w:color w:val="auto"/>
                <w:szCs w:val="24"/>
                <w:lang w:eastAsia="zh-CN"/>
              </w:rPr>
              <w:t>）</w:t>
            </w:r>
            <w:r>
              <w:rPr>
                <w:rFonts w:hint="default" w:ascii="Times New Roman" w:hAnsi="Times New Roman" w:cs="Times New Roman"/>
                <w:color w:val="auto"/>
                <w:szCs w:val="24"/>
              </w:rPr>
              <w:t>，夜间55dB(A</w:t>
            </w:r>
            <w:r>
              <w:rPr>
                <w:rFonts w:hint="eastAsia" w:ascii="Times New Roman" w:cs="Times New Roman"/>
                <w:color w:val="auto"/>
                <w:szCs w:val="24"/>
                <w:lang w:eastAsia="zh-CN"/>
              </w:rPr>
              <w:t>）</w:t>
            </w:r>
            <w:r>
              <w:rPr>
                <w:rFonts w:hint="default" w:ascii="Times New Roman" w:hAnsi="Times New Roman" w:cs="Times New Roman"/>
                <w:color w:val="auto"/>
                <w:szCs w:val="24"/>
              </w:rPr>
              <w:t>）；</w:t>
            </w:r>
          </w:p>
          <w:p w14:paraId="47C6135D">
            <w:pPr>
              <w:pStyle w:val="41"/>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（2）施工期粉尘执行《大气污染物综合排放标准》（</w:t>
            </w:r>
            <w:r>
              <w:rPr>
                <w:rFonts w:hint="eastAsia" w:ascii="Times New Roman" w:cs="Times New Roman"/>
                <w:color w:val="auto"/>
                <w:szCs w:val="24"/>
                <w:lang w:eastAsia="zh-CN"/>
              </w:rPr>
              <w:t>GB16297</w:t>
            </w:r>
            <w:r>
              <w:rPr>
                <w:rFonts w:hint="default" w:ascii="Times New Roman" w:hAnsi="Times New Roman" w:cs="Times New Roman"/>
                <w:color w:val="auto"/>
                <w:szCs w:val="24"/>
              </w:rPr>
              <w:t>-1996）无组织排放监控浓度限值；</w:t>
            </w:r>
          </w:p>
          <w:p w14:paraId="2BA2F8F4">
            <w:pPr>
              <w:pStyle w:val="41"/>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eastAsia="宋体" w:cs="Times New Roman"/>
                <w:color w:val="auto"/>
                <w:szCs w:val="24"/>
                <w:lang w:eastAsia="zh-CN"/>
              </w:rPr>
            </w:pPr>
            <w:r>
              <w:rPr>
                <w:rFonts w:hint="default" w:ascii="Times New Roman" w:hAnsi="Times New Roman" w:cs="Times New Roman"/>
                <w:color w:val="auto"/>
                <w:szCs w:val="24"/>
                <w:lang w:eastAsia="zh-CN"/>
              </w:rPr>
              <w:t>（</w:t>
            </w:r>
            <w:r>
              <w:rPr>
                <w:rFonts w:hint="default" w:ascii="Times New Roman" w:hAnsi="Times New Roman" w:cs="Times New Roman"/>
                <w:color w:val="auto"/>
                <w:szCs w:val="24"/>
                <w:lang w:val="en-US" w:eastAsia="zh-CN"/>
              </w:rPr>
              <w:t>3</w:t>
            </w:r>
            <w:r>
              <w:rPr>
                <w:rFonts w:hint="default" w:ascii="Times New Roman" w:hAnsi="Times New Roman" w:cs="Times New Roman"/>
                <w:color w:val="auto"/>
                <w:szCs w:val="24"/>
                <w:lang w:eastAsia="zh-CN"/>
              </w:rPr>
              <w:t>）</w:t>
            </w:r>
            <w:r>
              <w:rPr>
                <w:rFonts w:hint="default" w:ascii="Times New Roman" w:hAnsi="Times New Roman" w:eastAsia="宋体" w:cs="Times New Roman"/>
                <w:color w:val="auto"/>
                <w:kern w:val="2"/>
                <w:szCs w:val="22"/>
                <w:lang w:val="en-US" w:eastAsia="zh-CN" w:bidi="ar-SA"/>
              </w:rPr>
              <w:t>生活污水执行《污水综合排放标准》（GB8978-1996）中三级标准</w:t>
            </w:r>
            <w:r>
              <w:rPr>
                <w:rFonts w:hint="default" w:ascii="Times New Roman" w:hAnsi="Times New Roman" w:cs="Times New Roman"/>
                <w:color w:val="auto"/>
                <w:kern w:val="2"/>
                <w:szCs w:val="22"/>
                <w:lang w:val="en-US" w:eastAsia="zh-CN" w:bidi="ar-SA"/>
              </w:rPr>
              <w:t>。</w:t>
            </w:r>
          </w:p>
          <w:p w14:paraId="4C1F70DC">
            <w:pPr>
              <w:pStyle w:val="41"/>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eastAsia="宋体" w:cs="Times New Roman"/>
                <w:color w:val="auto"/>
                <w:kern w:val="2"/>
                <w:szCs w:val="22"/>
                <w:lang w:val="en-US" w:eastAsia="zh-CN" w:bidi="ar-SA"/>
              </w:rPr>
            </w:pPr>
            <w:r>
              <w:rPr>
                <w:rFonts w:hint="default" w:ascii="Times New Roman" w:hAnsi="Times New Roman" w:cs="Times New Roman"/>
                <w:color w:val="auto"/>
                <w:szCs w:val="24"/>
                <w:lang w:eastAsia="zh-CN"/>
              </w:rPr>
              <w:t>（</w:t>
            </w:r>
            <w:r>
              <w:rPr>
                <w:rFonts w:hint="default" w:ascii="Times New Roman" w:hAnsi="Times New Roman" w:cs="Times New Roman"/>
                <w:color w:val="auto"/>
                <w:szCs w:val="24"/>
                <w:lang w:val="en-US" w:eastAsia="zh-CN"/>
              </w:rPr>
              <w:t>4</w:t>
            </w:r>
            <w:r>
              <w:rPr>
                <w:rFonts w:hint="default" w:ascii="Times New Roman" w:hAnsi="Times New Roman" w:cs="Times New Roman"/>
                <w:color w:val="auto"/>
                <w:szCs w:val="24"/>
                <w:lang w:eastAsia="zh-CN"/>
              </w:rPr>
              <w:t>）</w:t>
            </w:r>
            <w:r>
              <w:rPr>
                <w:rFonts w:hint="default" w:ascii="Times New Roman" w:hAnsi="Times New Roman" w:eastAsia="宋体" w:cs="Times New Roman"/>
                <w:color w:val="auto"/>
                <w:kern w:val="2"/>
                <w:szCs w:val="22"/>
                <w:lang w:val="en-US" w:eastAsia="zh-CN" w:bidi="ar-SA"/>
              </w:rPr>
              <w:t>运营期噪声执行《工业企业厂界环境噪声排放标准》（GB12348-2008）</w:t>
            </w:r>
            <w:r>
              <w:rPr>
                <w:rFonts w:hint="eastAsia" w:ascii="Times New Roman" w:hAnsi="Times New Roman" w:eastAsia="宋体" w:cs="Times New Roman"/>
                <w:color w:val="auto"/>
                <w:kern w:val="2"/>
                <w:szCs w:val="22"/>
                <w:lang w:val="en-US" w:eastAsia="zh-CN" w:bidi="ar-SA"/>
              </w:rPr>
              <w:t>1</w:t>
            </w:r>
            <w:r>
              <w:rPr>
                <w:rFonts w:hint="default" w:ascii="Times New Roman" w:hAnsi="Times New Roman" w:eastAsia="宋体" w:cs="Times New Roman"/>
                <w:color w:val="auto"/>
                <w:kern w:val="2"/>
                <w:szCs w:val="22"/>
                <w:lang w:val="en-US" w:eastAsia="zh-CN" w:bidi="ar-SA"/>
              </w:rPr>
              <w:t>类声环境功能区对应的厂界噪声排放标准要求；</w:t>
            </w:r>
          </w:p>
          <w:p w14:paraId="3948C00C">
            <w:pPr>
              <w:pStyle w:val="41"/>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szCs w:val="24"/>
              </w:rPr>
              <w:t>《一般工业固体废物贮存和填埋污染控制标准》（GB18599-2020）；</w:t>
            </w:r>
          </w:p>
          <w:p w14:paraId="43A54D4D">
            <w:pPr>
              <w:pStyle w:val="41"/>
              <w:keepNext w:val="0"/>
              <w:keepLines w:val="0"/>
              <w:pageBreakBefore w:val="0"/>
              <w:widowControl w:val="0"/>
              <w:kinsoku/>
              <w:wordWrap/>
              <w:overflowPunct/>
              <w:topLinePunct w:val="0"/>
              <w:autoSpaceDE/>
              <w:autoSpaceDN/>
              <w:bidi w:val="0"/>
              <w:adjustRightInd w:val="0"/>
              <w:snapToGrid w:val="0"/>
              <w:spacing w:before="0"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w:t>
            </w:r>
            <w:r>
              <w:rPr>
                <w:rFonts w:hint="default" w:ascii="Times New Roman" w:hAnsi="Times New Roman" w:cs="Times New Roman"/>
                <w:color w:val="auto"/>
                <w:szCs w:val="24"/>
                <w:lang w:val="en-US" w:eastAsia="zh-CN"/>
              </w:rPr>
              <w:t>6</w:t>
            </w:r>
            <w:r>
              <w:rPr>
                <w:rFonts w:hint="default" w:ascii="Times New Roman" w:hAnsi="Times New Roman" w:cs="Times New Roman"/>
                <w:color w:val="auto"/>
                <w:szCs w:val="24"/>
              </w:rPr>
              <w:t>）《危险废物贮存污染控制标准》（GB18597-20</w:t>
            </w:r>
            <w:r>
              <w:rPr>
                <w:rFonts w:hint="default" w:ascii="Times New Roman" w:hAnsi="Times New Roman" w:cs="Times New Roman"/>
                <w:color w:val="auto"/>
                <w:szCs w:val="24"/>
                <w:lang w:val="en-US" w:eastAsia="zh-CN"/>
              </w:rPr>
              <w:t>23</w:t>
            </w:r>
            <w:r>
              <w:rPr>
                <w:rFonts w:hint="default" w:ascii="Times New Roman" w:hAnsi="Times New Roman" w:cs="Times New Roman"/>
                <w:color w:val="auto"/>
                <w:szCs w:val="24"/>
              </w:rPr>
              <w:t>）；</w:t>
            </w:r>
          </w:p>
        </w:tc>
      </w:tr>
      <w:tr w14:paraId="6814B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5" w:hRule="atLeast"/>
          <w:jc w:val="center"/>
        </w:trPr>
        <w:tc>
          <w:tcPr>
            <w:tcW w:w="421" w:type="pct"/>
            <w:noWrap w:val="0"/>
            <w:vAlign w:val="center"/>
          </w:tcPr>
          <w:p w14:paraId="04CA66B8">
            <w:pPr>
              <w:adjustRightInd w:val="0"/>
              <w:snapToGrid w:val="0"/>
              <w:jc w:val="center"/>
              <w:rPr>
                <w:rFonts w:hint="default" w:ascii="Times New Roman" w:hAnsi="Times New Roman" w:eastAsia="宋体" w:cs="Times New Roman"/>
                <w:color w:val="auto"/>
                <w:kern w:val="0"/>
                <w:sz w:val="24"/>
                <w:lang w:val="en-US" w:eastAsia="zh-CN"/>
              </w:rPr>
            </w:pPr>
            <w:r>
              <w:rPr>
                <w:rFonts w:hint="eastAsia" w:cs="Times New Roman"/>
                <w:color w:val="auto"/>
                <w:kern w:val="0"/>
                <w:sz w:val="24"/>
                <w:lang w:val="en-US" w:eastAsia="zh-CN"/>
              </w:rPr>
              <w:t>其他需要说明事项</w:t>
            </w:r>
          </w:p>
        </w:tc>
        <w:tc>
          <w:tcPr>
            <w:tcW w:w="4578" w:type="pct"/>
            <w:noWrap w:val="0"/>
            <w:vAlign w:val="center"/>
          </w:tcPr>
          <w:p w14:paraId="7B68FD80">
            <w:pPr>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sz w:val="24"/>
              </w:rPr>
              <w:t>根据国家总量控制指标结合本项目所在区域的环境特征及本项目排污情况，本项目不设总量控制指标。</w:t>
            </w:r>
          </w:p>
        </w:tc>
      </w:tr>
    </w:tbl>
    <w:p w14:paraId="5E3C51C9">
      <w:pPr>
        <w:pStyle w:val="2"/>
        <w:numPr>
          <w:ilvl w:val="0"/>
          <w:numId w:val="0"/>
        </w:numPr>
        <w:bidi w:val="0"/>
        <w:ind w:leftChars="0"/>
        <w:jc w:val="center"/>
        <w:rPr>
          <w:rFonts w:hint="default" w:ascii="Times New Roman" w:hAnsi="Times New Roman" w:cs="Times New Roman"/>
          <w:color w:val="auto"/>
        </w:rPr>
      </w:pPr>
      <w:bookmarkStart w:id="18" w:name="_Toc11500"/>
      <w:r>
        <w:rPr>
          <w:rFonts w:hint="default" w:ascii="Times New Roman" w:hAnsi="Times New Roman" w:cs="Times New Roman"/>
          <w:color w:val="auto"/>
          <w:lang w:eastAsia="zh-CN"/>
        </w:rPr>
        <w:t>四、</w:t>
      </w:r>
      <w:r>
        <w:rPr>
          <w:rFonts w:hint="default" w:ascii="Times New Roman" w:hAnsi="Times New Roman" w:cs="Times New Roman"/>
          <w:color w:val="auto"/>
        </w:rPr>
        <w:t>生态环境影响分析</w:t>
      </w:r>
      <w:bookmarkEnd w:id="18"/>
    </w:p>
    <w:tbl>
      <w:tblPr>
        <w:tblStyle w:val="3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7851"/>
      </w:tblGrid>
      <w:tr w14:paraId="104608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349" w:type="pct"/>
            <w:noWrap w:val="0"/>
            <w:tcMar>
              <w:left w:w="28" w:type="dxa"/>
              <w:right w:w="28" w:type="dxa"/>
            </w:tcMar>
            <w:vAlign w:val="center"/>
          </w:tcPr>
          <w:p w14:paraId="3D4991D2">
            <w:pPr>
              <w:pageBreakBefore w:val="0"/>
              <w:widowControl/>
              <w:kinsoku/>
              <w:wordWrap/>
              <w:overflowPunct/>
              <w:bidi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bCs/>
                <w:color w:val="auto"/>
                <w:kern w:val="2"/>
                <w:sz w:val="24"/>
                <w:szCs w:val="24"/>
                <w:lang w:val="en-US" w:eastAsia="zh-CN" w:bidi="ar-SA"/>
              </w:rPr>
            </w:pPr>
            <w:bookmarkStart w:id="19" w:name="_Hlk49796138"/>
            <w:r>
              <w:rPr>
                <w:rFonts w:hint="default" w:ascii="Times New Roman" w:hAnsi="Times New Roman" w:eastAsia="宋体" w:cs="Times New Roman"/>
                <w:bCs/>
                <w:color w:val="auto"/>
                <w:spacing w:val="10"/>
                <w:kern w:val="2"/>
                <w:sz w:val="24"/>
                <w:szCs w:val="24"/>
                <w:lang w:val="en-US" w:eastAsia="zh-CN" w:bidi="ar-SA"/>
              </w:rPr>
              <w:t>施工期生态环境影响分析</w:t>
            </w:r>
            <w:bookmarkEnd w:id="19"/>
          </w:p>
        </w:tc>
        <w:tc>
          <w:tcPr>
            <w:tcW w:w="4650" w:type="pct"/>
            <w:noWrap w:val="0"/>
            <w:vAlign w:val="top"/>
          </w:tcPr>
          <w:p w14:paraId="04DC6857">
            <w:pPr>
              <w:keepNext w:val="0"/>
              <w:keepLines w:val="0"/>
              <w:pageBreakBefore w:val="0"/>
              <w:widowControl w:val="0"/>
              <w:numPr>
                <w:ilvl w:val="0"/>
                <w:numId w:val="12"/>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生态环境影响分析</w:t>
            </w:r>
          </w:p>
          <w:p w14:paraId="3676BCF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渠道工程的产排污环节主要集中在施工期，完工后的运营期基本不产生污染物。施工中的主要环境影响可归纳为废水、废气、噪声、固体废物和生态影响五大类。</w:t>
            </w:r>
          </w:p>
          <w:p w14:paraId="3FB5323A">
            <w:pPr>
              <w:pStyle w:val="23"/>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工程施工期产排污环节一览表</w:t>
            </w:r>
          </w:p>
          <w:tbl>
            <w:tblPr>
              <w:tblStyle w:val="31"/>
              <w:tblpPr w:leftFromText="180" w:rightFromText="180" w:vertAnchor="text" w:tblpXSpec="center" w:tblpY="1"/>
              <w:tblOverlap w:val="never"/>
              <w:tblW w:w="4998" w:type="pct"/>
              <w:tblInd w:w="1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31"/>
              <w:gridCol w:w="1462"/>
              <w:gridCol w:w="1067"/>
              <w:gridCol w:w="691"/>
              <w:gridCol w:w="3681"/>
            </w:tblGrid>
            <w:tr w14:paraId="0BFED1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535" w:type="pct"/>
                  <w:tcBorders>
                    <w:tl2br w:val="nil"/>
                    <w:tr2bl w:val="nil"/>
                  </w:tcBorders>
                  <w:noWrap w:val="0"/>
                  <w:vAlign w:val="center"/>
                </w:tcPr>
                <w:p w14:paraId="3ACF47FB">
                  <w:pPr>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环境影响</w:t>
                  </w:r>
                </w:p>
              </w:tc>
              <w:tc>
                <w:tcPr>
                  <w:tcW w:w="1014" w:type="pct"/>
                  <w:tcBorders>
                    <w:tl2br w:val="nil"/>
                    <w:tr2bl w:val="nil"/>
                  </w:tcBorders>
                  <w:noWrap w:val="0"/>
                  <w:vAlign w:val="center"/>
                </w:tcPr>
                <w:p w14:paraId="7C576C83">
                  <w:pPr>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主要影响因素</w:t>
                  </w:r>
                </w:p>
              </w:tc>
              <w:tc>
                <w:tcPr>
                  <w:tcW w:w="755" w:type="pct"/>
                  <w:tcBorders>
                    <w:tl2br w:val="nil"/>
                    <w:tr2bl w:val="nil"/>
                  </w:tcBorders>
                  <w:noWrap w:val="0"/>
                  <w:vAlign w:val="center"/>
                </w:tcPr>
                <w:p w14:paraId="21BB8B8C">
                  <w:pPr>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主要染物因子</w:t>
                  </w:r>
                </w:p>
              </w:tc>
              <w:tc>
                <w:tcPr>
                  <w:tcW w:w="509" w:type="pct"/>
                  <w:tcBorders>
                    <w:tl2br w:val="nil"/>
                    <w:tr2bl w:val="nil"/>
                  </w:tcBorders>
                  <w:noWrap w:val="0"/>
                  <w:vAlign w:val="center"/>
                </w:tcPr>
                <w:p w14:paraId="6DBAD916">
                  <w:pPr>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影响性质</w:t>
                  </w:r>
                </w:p>
              </w:tc>
              <w:tc>
                <w:tcPr>
                  <w:tcW w:w="2185" w:type="pct"/>
                  <w:tcBorders>
                    <w:tl2br w:val="nil"/>
                    <w:tr2bl w:val="nil"/>
                  </w:tcBorders>
                  <w:noWrap w:val="0"/>
                  <w:vAlign w:val="center"/>
                </w:tcPr>
                <w:p w14:paraId="5396B008">
                  <w:pPr>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影响简析</w:t>
                  </w:r>
                </w:p>
              </w:tc>
            </w:tr>
            <w:tr w14:paraId="2BF2C6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3" w:hRule="atLeast"/>
              </w:trPr>
              <w:tc>
                <w:tcPr>
                  <w:tcW w:w="535" w:type="pct"/>
                  <w:vMerge w:val="restart"/>
                  <w:tcBorders>
                    <w:tl2br w:val="nil"/>
                    <w:tr2bl w:val="nil"/>
                  </w:tcBorders>
                  <w:noWrap w:val="0"/>
                  <w:vAlign w:val="center"/>
                </w:tcPr>
                <w:p w14:paraId="5A24ED23">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环境空气</w:t>
                  </w:r>
                </w:p>
              </w:tc>
              <w:tc>
                <w:tcPr>
                  <w:tcW w:w="1014" w:type="pct"/>
                  <w:tcBorders>
                    <w:tl2br w:val="nil"/>
                    <w:tr2bl w:val="nil"/>
                  </w:tcBorders>
                  <w:noWrap w:val="0"/>
                  <w:vAlign w:val="center"/>
                </w:tcPr>
                <w:p w14:paraId="0DF30D77">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扬尘</w:t>
                  </w:r>
                </w:p>
              </w:tc>
              <w:tc>
                <w:tcPr>
                  <w:tcW w:w="755" w:type="pct"/>
                  <w:tcBorders>
                    <w:tl2br w:val="nil"/>
                    <w:tr2bl w:val="nil"/>
                  </w:tcBorders>
                  <w:noWrap w:val="0"/>
                  <w:vAlign w:val="center"/>
                </w:tcPr>
                <w:p w14:paraId="66B38D73">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TSP</w:t>
                  </w:r>
                </w:p>
              </w:tc>
              <w:tc>
                <w:tcPr>
                  <w:tcW w:w="509" w:type="pct"/>
                  <w:vMerge w:val="restart"/>
                  <w:tcBorders>
                    <w:tl2br w:val="nil"/>
                    <w:tr2bl w:val="nil"/>
                  </w:tcBorders>
                  <w:noWrap w:val="0"/>
                  <w:vAlign w:val="center"/>
                </w:tcPr>
                <w:p w14:paraId="670CCF89">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短期不利影响</w:t>
                  </w:r>
                </w:p>
              </w:tc>
              <w:tc>
                <w:tcPr>
                  <w:tcW w:w="2185" w:type="pct"/>
                  <w:vMerge w:val="restart"/>
                  <w:tcBorders>
                    <w:tl2br w:val="nil"/>
                    <w:tr2bl w:val="nil"/>
                  </w:tcBorders>
                  <w:noWrap w:val="0"/>
                  <w:vAlign w:val="center"/>
                </w:tcPr>
                <w:p w14:paraId="20F0767D">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粒状物料的装卸、运输、堆放过程中有大量扬尘产生；施工运输车辆使用过程产生的尾气；3）土方开挖过程产生的扬尘。</w:t>
                  </w:r>
                </w:p>
              </w:tc>
            </w:tr>
            <w:tr w14:paraId="76FA0E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4" w:hRule="atLeast"/>
              </w:trPr>
              <w:tc>
                <w:tcPr>
                  <w:tcW w:w="535" w:type="pct"/>
                  <w:vMerge w:val="continue"/>
                  <w:tcBorders>
                    <w:tl2br w:val="nil"/>
                    <w:tr2bl w:val="nil"/>
                  </w:tcBorders>
                  <w:noWrap w:val="0"/>
                  <w:vAlign w:val="center"/>
                </w:tcPr>
                <w:p w14:paraId="1A1A0C54">
                  <w:pPr>
                    <w:spacing w:line="360" w:lineRule="auto"/>
                    <w:jc w:val="center"/>
                    <w:rPr>
                      <w:rFonts w:hint="default" w:ascii="Times New Roman" w:hAnsi="Times New Roman" w:eastAsia="宋体" w:cs="Times New Roman"/>
                      <w:color w:val="auto"/>
                      <w:sz w:val="21"/>
                      <w:szCs w:val="21"/>
                      <w:lang w:val="en-US" w:eastAsia="zh-CN"/>
                    </w:rPr>
                  </w:pPr>
                </w:p>
              </w:tc>
              <w:tc>
                <w:tcPr>
                  <w:tcW w:w="1014" w:type="pct"/>
                  <w:tcBorders>
                    <w:tl2br w:val="nil"/>
                    <w:tr2bl w:val="nil"/>
                  </w:tcBorders>
                  <w:noWrap w:val="0"/>
                  <w:vAlign w:val="center"/>
                </w:tcPr>
                <w:p w14:paraId="451A87A2">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施工机械废气</w:t>
                  </w:r>
                </w:p>
              </w:tc>
              <w:tc>
                <w:tcPr>
                  <w:tcW w:w="755" w:type="pct"/>
                  <w:tcBorders>
                    <w:tl2br w:val="nil"/>
                    <w:tr2bl w:val="nil"/>
                  </w:tcBorders>
                  <w:noWrap w:val="0"/>
                  <w:vAlign w:val="center"/>
                </w:tcPr>
                <w:p w14:paraId="22DCB64A">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CO、NOx等</w:t>
                  </w:r>
                </w:p>
              </w:tc>
              <w:tc>
                <w:tcPr>
                  <w:tcW w:w="509" w:type="pct"/>
                  <w:vMerge w:val="continue"/>
                  <w:tcBorders>
                    <w:tl2br w:val="nil"/>
                    <w:tr2bl w:val="nil"/>
                  </w:tcBorders>
                  <w:noWrap w:val="0"/>
                  <w:vAlign w:val="center"/>
                </w:tcPr>
                <w:p w14:paraId="37C7CBDC">
                  <w:pPr>
                    <w:spacing w:line="360" w:lineRule="auto"/>
                    <w:jc w:val="center"/>
                    <w:rPr>
                      <w:rFonts w:hint="default" w:ascii="Times New Roman" w:hAnsi="Times New Roman" w:eastAsia="宋体" w:cs="Times New Roman"/>
                      <w:color w:val="auto"/>
                      <w:sz w:val="21"/>
                      <w:szCs w:val="21"/>
                      <w:lang w:val="en-US" w:eastAsia="zh-CN"/>
                    </w:rPr>
                  </w:pPr>
                </w:p>
              </w:tc>
              <w:tc>
                <w:tcPr>
                  <w:tcW w:w="2185" w:type="pct"/>
                  <w:vMerge w:val="continue"/>
                  <w:tcBorders>
                    <w:tl2br w:val="nil"/>
                    <w:tr2bl w:val="nil"/>
                  </w:tcBorders>
                  <w:noWrap w:val="0"/>
                  <w:vAlign w:val="center"/>
                </w:tcPr>
                <w:p w14:paraId="12C9047A">
                  <w:pPr>
                    <w:spacing w:line="360" w:lineRule="auto"/>
                    <w:jc w:val="center"/>
                    <w:rPr>
                      <w:rFonts w:hint="default" w:ascii="Times New Roman" w:hAnsi="Times New Roman" w:eastAsia="宋体" w:cs="Times New Roman"/>
                      <w:color w:val="auto"/>
                      <w:sz w:val="21"/>
                      <w:szCs w:val="21"/>
                      <w:lang w:val="en-US" w:eastAsia="zh-CN"/>
                    </w:rPr>
                  </w:pPr>
                </w:p>
              </w:tc>
            </w:tr>
            <w:tr w14:paraId="42A6F5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6" w:hRule="atLeast"/>
              </w:trPr>
              <w:tc>
                <w:tcPr>
                  <w:tcW w:w="535" w:type="pct"/>
                  <w:vMerge w:val="continue"/>
                  <w:tcBorders>
                    <w:tl2br w:val="nil"/>
                    <w:tr2bl w:val="nil"/>
                  </w:tcBorders>
                  <w:noWrap w:val="0"/>
                  <w:vAlign w:val="center"/>
                </w:tcPr>
                <w:p w14:paraId="1BEB569F">
                  <w:pPr>
                    <w:spacing w:line="360" w:lineRule="auto"/>
                    <w:jc w:val="center"/>
                    <w:rPr>
                      <w:rFonts w:hint="default" w:ascii="Times New Roman" w:hAnsi="Times New Roman" w:eastAsia="宋体" w:cs="Times New Roman"/>
                      <w:color w:val="auto"/>
                      <w:sz w:val="21"/>
                      <w:szCs w:val="21"/>
                      <w:lang w:val="en-US" w:eastAsia="zh-CN"/>
                    </w:rPr>
                  </w:pPr>
                </w:p>
              </w:tc>
              <w:tc>
                <w:tcPr>
                  <w:tcW w:w="1014" w:type="pct"/>
                  <w:tcBorders>
                    <w:tl2br w:val="nil"/>
                    <w:tr2bl w:val="nil"/>
                  </w:tcBorders>
                  <w:noWrap w:val="0"/>
                  <w:vAlign w:val="center"/>
                </w:tcPr>
                <w:p w14:paraId="4EE986F6">
                  <w:pPr>
                    <w:spacing w:line="36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临时拌合站废气</w:t>
                  </w:r>
                </w:p>
              </w:tc>
              <w:tc>
                <w:tcPr>
                  <w:tcW w:w="755" w:type="pct"/>
                  <w:tcBorders>
                    <w:tl2br w:val="nil"/>
                    <w:tr2bl w:val="nil"/>
                  </w:tcBorders>
                  <w:noWrap w:val="0"/>
                  <w:vAlign w:val="center"/>
                </w:tcPr>
                <w:p w14:paraId="4A4A0395">
                  <w:pPr>
                    <w:spacing w:line="36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粉尘</w:t>
                  </w:r>
                </w:p>
              </w:tc>
              <w:tc>
                <w:tcPr>
                  <w:tcW w:w="509" w:type="pct"/>
                  <w:vMerge w:val="continue"/>
                  <w:tcBorders>
                    <w:tl2br w:val="nil"/>
                    <w:tr2bl w:val="nil"/>
                  </w:tcBorders>
                  <w:noWrap w:val="0"/>
                  <w:vAlign w:val="center"/>
                </w:tcPr>
                <w:p w14:paraId="38645323">
                  <w:pPr>
                    <w:spacing w:line="360" w:lineRule="auto"/>
                    <w:jc w:val="center"/>
                    <w:rPr>
                      <w:rFonts w:hint="default" w:ascii="Times New Roman" w:hAnsi="Times New Roman" w:eastAsia="宋体" w:cs="Times New Roman"/>
                      <w:color w:val="auto"/>
                      <w:sz w:val="21"/>
                      <w:szCs w:val="21"/>
                      <w:lang w:val="en-US" w:eastAsia="zh-CN"/>
                    </w:rPr>
                  </w:pPr>
                </w:p>
              </w:tc>
              <w:tc>
                <w:tcPr>
                  <w:tcW w:w="2185" w:type="pct"/>
                  <w:tcBorders>
                    <w:tl2br w:val="nil"/>
                    <w:tr2bl w:val="nil"/>
                  </w:tcBorders>
                  <w:noWrap w:val="0"/>
                  <w:vAlign w:val="center"/>
                </w:tcPr>
                <w:p w14:paraId="79CC2D1D">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临时生产区的砼拌合系统中的移动式拌合机上料会有少量颗粒物产生，要求移动式混凝土拌合机所用骨料仓封闭，砂石骨料定期洒水润湿，封闭水泥筒仓上料过程产生的粉尘采用仓顶自带袋式除尘器除尘后有组织排放，粉尘排放浓度相对较低，能达到《大气污染物综合排放标准》（GB16297-1996）中最高允许排放浓度（120m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）要求，搅拌机区域同时进行洒水降尘，不会对区域环境空气质量产生大的影响。</w:t>
                  </w:r>
                </w:p>
              </w:tc>
            </w:tr>
            <w:tr w14:paraId="646C1A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4" w:hRule="atLeast"/>
              </w:trPr>
              <w:tc>
                <w:tcPr>
                  <w:tcW w:w="535" w:type="pct"/>
                  <w:vMerge w:val="restart"/>
                  <w:tcBorders>
                    <w:tl2br w:val="nil"/>
                    <w:tr2bl w:val="nil"/>
                  </w:tcBorders>
                  <w:noWrap w:val="0"/>
                  <w:vAlign w:val="center"/>
                </w:tcPr>
                <w:p w14:paraId="1B7B25E2">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声环境</w:t>
                  </w:r>
                </w:p>
              </w:tc>
              <w:tc>
                <w:tcPr>
                  <w:tcW w:w="1014" w:type="pct"/>
                  <w:tcBorders>
                    <w:tl2br w:val="nil"/>
                    <w:tr2bl w:val="nil"/>
                  </w:tcBorders>
                  <w:noWrap w:val="0"/>
                  <w:vAlign w:val="center"/>
                </w:tcPr>
                <w:p w14:paraId="267F6068">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施工机械噪声</w:t>
                  </w:r>
                </w:p>
              </w:tc>
              <w:tc>
                <w:tcPr>
                  <w:tcW w:w="755" w:type="pct"/>
                  <w:tcBorders>
                    <w:tl2br w:val="nil"/>
                    <w:tr2bl w:val="nil"/>
                  </w:tcBorders>
                  <w:noWrap w:val="0"/>
                  <w:vAlign w:val="center"/>
                </w:tcPr>
                <w:p w14:paraId="37F3B946">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机械噪声</w:t>
                  </w:r>
                </w:p>
              </w:tc>
              <w:tc>
                <w:tcPr>
                  <w:tcW w:w="509" w:type="pct"/>
                  <w:vMerge w:val="restart"/>
                  <w:tcBorders>
                    <w:tl2br w:val="nil"/>
                    <w:tr2bl w:val="nil"/>
                  </w:tcBorders>
                  <w:noWrap w:val="0"/>
                  <w:vAlign w:val="center"/>
                </w:tcPr>
                <w:p w14:paraId="55007327">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短期不利影响</w:t>
                  </w:r>
                </w:p>
              </w:tc>
              <w:tc>
                <w:tcPr>
                  <w:tcW w:w="2185" w:type="pct"/>
                  <w:vMerge w:val="restart"/>
                  <w:tcBorders>
                    <w:tl2br w:val="nil"/>
                    <w:tr2bl w:val="nil"/>
                  </w:tcBorders>
                  <w:noWrap w:val="0"/>
                  <w:vAlign w:val="center"/>
                </w:tcPr>
                <w:p w14:paraId="39653FBA">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工程施工过程施工机械产生的机械噪声；</w:t>
                  </w:r>
                </w:p>
                <w:p w14:paraId="3D145801">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运输车辆产生的交通噪声。</w:t>
                  </w:r>
                </w:p>
              </w:tc>
            </w:tr>
            <w:tr w14:paraId="43E990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6" w:hRule="atLeast"/>
              </w:trPr>
              <w:tc>
                <w:tcPr>
                  <w:tcW w:w="535" w:type="pct"/>
                  <w:vMerge w:val="continue"/>
                  <w:tcBorders>
                    <w:tl2br w:val="nil"/>
                    <w:tr2bl w:val="nil"/>
                  </w:tcBorders>
                  <w:noWrap w:val="0"/>
                  <w:vAlign w:val="center"/>
                </w:tcPr>
                <w:p w14:paraId="192E8844">
                  <w:pPr>
                    <w:spacing w:line="360" w:lineRule="auto"/>
                    <w:jc w:val="center"/>
                    <w:rPr>
                      <w:rFonts w:hint="default" w:ascii="Times New Roman" w:hAnsi="Times New Roman" w:eastAsia="宋体" w:cs="Times New Roman"/>
                      <w:color w:val="auto"/>
                      <w:sz w:val="21"/>
                      <w:szCs w:val="21"/>
                      <w:lang w:val="en-US" w:eastAsia="zh-CN"/>
                    </w:rPr>
                  </w:pPr>
                </w:p>
              </w:tc>
              <w:tc>
                <w:tcPr>
                  <w:tcW w:w="1014" w:type="pct"/>
                  <w:tcBorders>
                    <w:tl2br w:val="nil"/>
                    <w:tr2bl w:val="nil"/>
                  </w:tcBorders>
                  <w:noWrap w:val="0"/>
                  <w:vAlign w:val="center"/>
                </w:tcPr>
                <w:p w14:paraId="557B6AF5">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施工运输车辆</w:t>
                  </w:r>
                </w:p>
              </w:tc>
              <w:tc>
                <w:tcPr>
                  <w:tcW w:w="755" w:type="pct"/>
                  <w:tcBorders>
                    <w:tl2br w:val="nil"/>
                    <w:tr2bl w:val="nil"/>
                  </w:tcBorders>
                  <w:noWrap w:val="0"/>
                  <w:vAlign w:val="center"/>
                </w:tcPr>
                <w:p w14:paraId="39DA3068">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交通噪声</w:t>
                  </w:r>
                </w:p>
              </w:tc>
              <w:tc>
                <w:tcPr>
                  <w:tcW w:w="509" w:type="pct"/>
                  <w:vMerge w:val="continue"/>
                  <w:tcBorders>
                    <w:tl2br w:val="nil"/>
                    <w:tr2bl w:val="nil"/>
                  </w:tcBorders>
                  <w:noWrap w:val="0"/>
                  <w:vAlign w:val="center"/>
                </w:tcPr>
                <w:p w14:paraId="1A0FC493">
                  <w:pPr>
                    <w:spacing w:line="360" w:lineRule="auto"/>
                    <w:jc w:val="center"/>
                    <w:rPr>
                      <w:rFonts w:hint="default" w:ascii="Times New Roman" w:hAnsi="Times New Roman" w:eastAsia="宋体" w:cs="Times New Roman"/>
                      <w:color w:val="auto"/>
                      <w:sz w:val="21"/>
                      <w:szCs w:val="21"/>
                      <w:lang w:val="en-US" w:eastAsia="zh-CN"/>
                    </w:rPr>
                  </w:pPr>
                </w:p>
              </w:tc>
              <w:tc>
                <w:tcPr>
                  <w:tcW w:w="2185" w:type="pct"/>
                  <w:vMerge w:val="continue"/>
                  <w:tcBorders>
                    <w:tl2br w:val="nil"/>
                    <w:tr2bl w:val="nil"/>
                  </w:tcBorders>
                  <w:noWrap w:val="0"/>
                  <w:vAlign w:val="center"/>
                </w:tcPr>
                <w:p w14:paraId="5554007F">
                  <w:pPr>
                    <w:spacing w:line="360" w:lineRule="auto"/>
                    <w:jc w:val="center"/>
                    <w:rPr>
                      <w:rFonts w:hint="default" w:ascii="Times New Roman" w:hAnsi="Times New Roman" w:eastAsia="宋体" w:cs="Times New Roman"/>
                      <w:color w:val="auto"/>
                      <w:sz w:val="21"/>
                      <w:szCs w:val="21"/>
                      <w:lang w:val="en-US" w:eastAsia="zh-CN"/>
                    </w:rPr>
                  </w:pPr>
                </w:p>
              </w:tc>
            </w:tr>
            <w:tr w14:paraId="31FD79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4" w:hRule="atLeast"/>
              </w:trPr>
              <w:tc>
                <w:tcPr>
                  <w:tcW w:w="535" w:type="pct"/>
                  <w:vMerge w:val="restart"/>
                  <w:tcBorders>
                    <w:tl2br w:val="nil"/>
                    <w:tr2bl w:val="nil"/>
                  </w:tcBorders>
                  <w:noWrap w:val="0"/>
                  <w:vAlign w:val="center"/>
                </w:tcPr>
                <w:p w14:paraId="64D0BA1B">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水环境</w:t>
                  </w:r>
                </w:p>
              </w:tc>
              <w:tc>
                <w:tcPr>
                  <w:tcW w:w="1014" w:type="pct"/>
                  <w:tcBorders>
                    <w:tl2br w:val="nil"/>
                    <w:tr2bl w:val="nil"/>
                  </w:tcBorders>
                  <w:noWrap w:val="0"/>
                  <w:vAlign w:val="center"/>
                </w:tcPr>
                <w:p w14:paraId="39CB3A27">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施工废水</w:t>
                  </w:r>
                </w:p>
              </w:tc>
              <w:tc>
                <w:tcPr>
                  <w:tcW w:w="755" w:type="pct"/>
                  <w:tcBorders>
                    <w:tl2br w:val="nil"/>
                    <w:tr2bl w:val="nil"/>
                  </w:tcBorders>
                  <w:noWrap w:val="0"/>
                  <w:vAlign w:val="center"/>
                </w:tcPr>
                <w:p w14:paraId="11E3676F">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SS等</w:t>
                  </w:r>
                </w:p>
              </w:tc>
              <w:tc>
                <w:tcPr>
                  <w:tcW w:w="509" w:type="pct"/>
                  <w:vMerge w:val="restart"/>
                  <w:tcBorders>
                    <w:tl2br w:val="nil"/>
                    <w:tr2bl w:val="nil"/>
                  </w:tcBorders>
                  <w:noWrap w:val="0"/>
                  <w:vAlign w:val="center"/>
                </w:tcPr>
                <w:p w14:paraId="0FE39086">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短期不利影响</w:t>
                  </w:r>
                </w:p>
              </w:tc>
              <w:tc>
                <w:tcPr>
                  <w:tcW w:w="2185" w:type="pct"/>
                  <w:vMerge w:val="restart"/>
                  <w:tcBorders>
                    <w:tl2br w:val="nil"/>
                    <w:tr2bl w:val="nil"/>
                  </w:tcBorders>
                  <w:noWrap w:val="0"/>
                  <w:vAlign w:val="center"/>
                </w:tcPr>
                <w:p w14:paraId="74BB0096">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1）施工过程产生的设备清洗废水等；</w:t>
                  </w:r>
                </w:p>
                <w:p w14:paraId="223EA90C">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2）施工人员产生的生活污水。</w:t>
                  </w:r>
                </w:p>
              </w:tc>
            </w:tr>
            <w:tr w14:paraId="789133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6" w:hRule="atLeast"/>
              </w:trPr>
              <w:tc>
                <w:tcPr>
                  <w:tcW w:w="535" w:type="pct"/>
                  <w:vMerge w:val="continue"/>
                  <w:tcBorders>
                    <w:tl2br w:val="nil"/>
                    <w:tr2bl w:val="nil"/>
                  </w:tcBorders>
                  <w:noWrap w:val="0"/>
                  <w:vAlign w:val="center"/>
                </w:tcPr>
                <w:p w14:paraId="4E6BC1B9">
                  <w:pPr>
                    <w:spacing w:line="360" w:lineRule="auto"/>
                    <w:jc w:val="center"/>
                    <w:rPr>
                      <w:rFonts w:hint="default" w:ascii="Times New Roman" w:hAnsi="Times New Roman" w:eastAsia="宋体" w:cs="Times New Roman"/>
                      <w:color w:val="auto"/>
                      <w:sz w:val="21"/>
                      <w:szCs w:val="21"/>
                      <w:lang w:val="en-US" w:eastAsia="zh-CN"/>
                    </w:rPr>
                  </w:pPr>
                </w:p>
              </w:tc>
              <w:tc>
                <w:tcPr>
                  <w:tcW w:w="1014" w:type="pct"/>
                  <w:tcBorders>
                    <w:tl2br w:val="nil"/>
                    <w:tr2bl w:val="nil"/>
                  </w:tcBorders>
                  <w:noWrap w:val="0"/>
                  <w:vAlign w:val="center"/>
                </w:tcPr>
                <w:p w14:paraId="0FFA22F4">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生活废水</w:t>
                  </w:r>
                </w:p>
              </w:tc>
              <w:tc>
                <w:tcPr>
                  <w:tcW w:w="755" w:type="pct"/>
                  <w:tcBorders>
                    <w:tl2br w:val="nil"/>
                    <w:tr2bl w:val="nil"/>
                  </w:tcBorders>
                  <w:noWrap w:val="0"/>
                  <w:vAlign w:val="center"/>
                </w:tcPr>
                <w:p w14:paraId="46F114FB">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SS、BOD5、COD等</w:t>
                  </w:r>
                </w:p>
              </w:tc>
              <w:tc>
                <w:tcPr>
                  <w:tcW w:w="509" w:type="pct"/>
                  <w:vMerge w:val="continue"/>
                  <w:tcBorders>
                    <w:tl2br w:val="nil"/>
                    <w:tr2bl w:val="nil"/>
                  </w:tcBorders>
                  <w:noWrap w:val="0"/>
                  <w:vAlign w:val="center"/>
                </w:tcPr>
                <w:p w14:paraId="4397F60E">
                  <w:pPr>
                    <w:spacing w:line="360" w:lineRule="auto"/>
                    <w:jc w:val="center"/>
                    <w:rPr>
                      <w:rFonts w:hint="default" w:ascii="Times New Roman" w:hAnsi="Times New Roman" w:eastAsia="宋体" w:cs="Times New Roman"/>
                      <w:color w:val="auto"/>
                      <w:sz w:val="21"/>
                      <w:szCs w:val="21"/>
                      <w:lang w:val="en-US" w:eastAsia="zh-CN"/>
                    </w:rPr>
                  </w:pPr>
                </w:p>
              </w:tc>
              <w:tc>
                <w:tcPr>
                  <w:tcW w:w="2185" w:type="pct"/>
                  <w:vMerge w:val="continue"/>
                  <w:tcBorders>
                    <w:tl2br w:val="nil"/>
                    <w:tr2bl w:val="nil"/>
                  </w:tcBorders>
                  <w:noWrap w:val="0"/>
                  <w:vAlign w:val="center"/>
                </w:tcPr>
                <w:p w14:paraId="0480C86B">
                  <w:pPr>
                    <w:spacing w:line="360" w:lineRule="auto"/>
                    <w:jc w:val="center"/>
                    <w:rPr>
                      <w:rFonts w:hint="default" w:ascii="Times New Roman" w:hAnsi="Times New Roman" w:eastAsia="宋体" w:cs="Times New Roman"/>
                      <w:color w:val="auto"/>
                      <w:sz w:val="21"/>
                      <w:szCs w:val="21"/>
                      <w:lang w:val="en-US" w:eastAsia="zh-CN"/>
                    </w:rPr>
                  </w:pPr>
                </w:p>
              </w:tc>
            </w:tr>
            <w:tr w14:paraId="7CBD05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535" w:type="pct"/>
                  <w:tcBorders>
                    <w:tl2br w:val="nil"/>
                    <w:tr2bl w:val="nil"/>
                  </w:tcBorders>
                  <w:noWrap w:val="0"/>
                  <w:vAlign w:val="center"/>
                </w:tcPr>
                <w:p w14:paraId="12066C57">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生态环境</w:t>
                  </w:r>
                </w:p>
              </w:tc>
              <w:tc>
                <w:tcPr>
                  <w:tcW w:w="1014" w:type="pct"/>
                  <w:tcBorders>
                    <w:tl2br w:val="nil"/>
                    <w:tr2bl w:val="nil"/>
                  </w:tcBorders>
                  <w:noWrap w:val="0"/>
                  <w:vAlign w:val="center"/>
                </w:tcPr>
                <w:p w14:paraId="468DCE87">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施工占地水土流失，施工活动</w:t>
                  </w:r>
                </w:p>
              </w:tc>
              <w:tc>
                <w:tcPr>
                  <w:tcW w:w="755" w:type="pct"/>
                  <w:tcBorders>
                    <w:tl2br w:val="nil"/>
                    <w:tr2bl w:val="nil"/>
                  </w:tcBorders>
                  <w:noWrap w:val="0"/>
                  <w:vAlign w:val="center"/>
                </w:tcPr>
                <w:p w14:paraId="31C7470D">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施工临时占地等</w:t>
                  </w:r>
                </w:p>
              </w:tc>
              <w:tc>
                <w:tcPr>
                  <w:tcW w:w="509" w:type="pct"/>
                  <w:tcBorders>
                    <w:tl2br w:val="nil"/>
                    <w:tr2bl w:val="nil"/>
                  </w:tcBorders>
                  <w:noWrap w:val="0"/>
                  <w:vAlign w:val="center"/>
                </w:tcPr>
                <w:p w14:paraId="21F0D1F3">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短期不利影响</w:t>
                  </w:r>
                </w:p>
              </w:tc>
              <w:tc>
                <w:tcPr>
                  <w:tcW w:w="2185" w:type="pct"/>
                  <w:tcBorders>
                    <w:tl2br w:val="nil"/>
                    <w:tr2bl w:val="nil"/>
                  </w:tcBorders>
                  <w:noWrap w:val="0"/>
                  <w:vAlign w:val="center"/>
                </w:tcPr>
                <w:p w14:paraId="606AC9D6">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工程施工占地产生的水土流失，植被、水生生态破坏等，对生态环境产生影响。</w:t>
                  </w:r>
                </w:p>
              </w:tc>
            </w:tr>
            <w:tr w14:paraId="03D73F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535" w:type="pct"/>
                  <w:vMerge w:val="restart"/>
                  <w:tcBorders>
                    <w:tl2br w:val="nil"/>
                    <w:tr2bl w:val="nil"/>
                  </w:tcBorders>
                  <w:noWrap w:val="0"/>
                  <w:vAlign w:val="center"/>
                </w:tcPr>
                <w:p w14:paraId="2BAC377F">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固体废物</w:t>
                  </w:r>
                </w:p>
              </w:tc>
              <w:tc>
                <w:tcPr>
                  <w:tcW w:w="1014" w:type="pct"/>
                  <w:tcBorders>
                    <w:tl2br w:val="nil"/>
                    <w:tr2bl w:val="nil"/>
                  </w:tcBorders>
                  <w:noWrap w:val="0"/>
                  <w:vAlign w:val="center"/>
                </w:tcPr>
                <w:p w14:paraId="7F78A573">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施工弃渣</w:t>
                  </w:r>
                </w:p>
              </w:tc>
              <w:tc>
                <w:tcPr>
                  <w:tcW w:w="755" w:type="pct"/>
                  <w:tcBorders>
                    <w:tl2br w:val="nil"/>
                    <w:tr2bl w:val="nil"/>
                  </w:tcBorders>
                  <w:noWrap w:val="0"/>
                  <w:vAlign w:val="center"/>
                </w:tcPr>
                <w:p w14:paraId="5F2A2189">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弃渣等</w:t>
                  </w:r>
                </w:p>
              </w:tc>
              <w:tc>
                <w:tcPr>
                  <w:tcW w:w="509" w:type="pct"/>
                  <w:vMerge w:val="restart"/>
                  <w:tcBorders>
                    <w:tl2br w:val="nil"/>
                    <w:tr2bl w:val="nil"/>
                  </w:tcBorders>
                  <w:noWrap w:val="0"/>
                  <w:vAlign w:val="center"/>
                </w:tcPr>
                <w:p w14:paraId="5BC40155">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短期不利影响</w:t>
                  </w:r>
                </w:p>
              </w:tc>
              <w:tc>
                <w:tcPr>
                  <w:tcW w:w="2185" w:type="pct"/>
                  <w:vMerge w:val="restart"/>
                  <w:tcBorders>
                    <w:tl2br w:val="nil"/>
                    <w:tr2bl w:val="nil"/>
                  </w:tcBorders>
                  <w:noWrap/>
                  <w:vAlign w:val="center"/>
                </w:tcPr>
                <w:p w14:paraId="0CFAA150">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1）施工过程产生的弃渣及建筑垃圾；</w:t>
                  </w:r>
                </w:p>
                <w:p w14:paraId="6A0C26E9">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2）施工人员产生的生活垃圾等。</w:t>
                  </w:r>
                </w:p>
              </w:tc>
            </w:tr>
            <w:tr w14:paraId="251A1B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tcW w:w="535" w:type="pct"/>
                  <w:vMerge w:val="continue"/>
                  <w:tcBorders>
                    <w:tl2br w:val="nil"/>
                    <w:tr2bl w:val="nil"/>
                  </w:tcBorders>
                  <w:noWrap w:val="0"/>
                  <w:vAlign w:val="center"/>
                </w:tcPr>
                <w:p w14:paraId="043B6020">
                  <w:pPr>
                    <w:spacing w:line="360" w:lineRule="auto"/>
                    <w:jc w:val="center"/>
                    <w:rPr>
                      <w:rFonts w:hint="default" w:ascii="Times New Roman" w:hAnsi="Times New Roman" w:eastAsia="宋体" w:cs="Times New Roman"/>
                      <w:color w:val="auto"/>
                      <w:sz w:val="21"/>
                      <w:szCs w:val="21"/>
                      <w:lang w:val="en-US" w:eastAsia="zh-CN"/>
                    </w:rPr>
                  </w:pPr>
                </w:p>
              </w:tc>
              <w:tc>
                <w:tcPr>
                  <w:tcW w:w="1014" w:type="pct"/>
                  <w:tcBorders>
                    <w:tl2br w:val="nil"/>
                    <w:tr2bl w:val="nil"/>
                  </w:tcBorders>
                  <w:noWrap w:val="0"/>
                  <w:vAlign w:val="center"/>
                </w:tcPr>
                <w:p w14:paraId="2F9FAC11">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施工生活垃圾</w:t>
                  </w:r>
                </w:p>
              </w:tc>
              <w:tc>
                <w:tcPr>
                  <w:tcW w:w="755" w:type="pct"/>
                  <w:tcBorders>
                    <w:tl2br w:val="nil"/>
                    <w:tr2bl w:val="nil"/>
                  </w:tcBorders>
                  <w:noWrap w:val="0"/>
                  <w:vAlign w:val="center"/>
                </w:tcPr>
                <w:p w14:paraId="43AF7BAA">
                  <w:pPr>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生活垃圾</w:t>
                  </w:r>
                </w:p>
              </w:tc>
              <w:tc>
                <w:tcPr>
                  <w:tcW w:w="509" w:type="pct"/>
                  <w:vMerge w:val="continue"/>
                  <w:tcBorders>
                    <w:tl2br w:val="nil"/>
                    <w:tr2bl w:val="nil"/>
                  </w:tcBorders>
                  <w:noWrap w:val="0"/>
                  <w:vAlign w:val="center"/>
                </w:tcPr>
                <w:p w14:paraId="1DBEC971">
                  <w:pPr>
                    <w:spacing w:line="360" w:lineRule="auto"/>
                    <w:jc w:val="center"/>
                    <w:rPr>
                      <w:rFonts w:hint="default" w:ascii="Times New Roman" w:hAnsi="Times New Roman" w:eastAsia="宋体" w:cs="Times New Roman"/>
                      <w:color w:val="auto"/>
                      <w:sz w:val="21"/>
                      <w:szCs w:val="21"/>
                      <w:lang w:val="en-US" w:eastAsia="zh-CN"/>
                    </w:rPr>
                  </w:pPr>
                </w:p>
              </w:tc>
              <w:tc>
                <w:tcPr>
                  <w:tcW w:w="2185" w:type="pct"/>
                  <w:vMerge w:val="continue"/>
                  <w:tcBorders>
                    <w:tl2br w:val="nil"/>
                    <w:tr2bl w:val="nil"/>
                  </w:tcBorders>
                  <w:noWrap/>
                  <w:vAlign w:val="center"/>
                </w:tcPr>
                <w:p w14:paraId="2552E9C4">
                  <w:pPr>
                    <w:spacing w:line="360" w:lineRule="auto"/>
                    <w:jc w:val="center"/>
                    <w:rPr>
                      <w:rFonts w:hint="default" w:ascii="Times New Roman" w:hAnsi="Times New Roman" w:eastAsia="宋体" w:cs="Times New Roman"/>
                      <w:color w:val="auto"/>
                      <w:sz w:val="21"/>
                      <w:szCs w:val="21"/>
                      <w:lang w:val="en-US" w:eastAsia="zh-CN"/>
                    </w:rPr>
                  </w:pPr>
                </w:p>
              </w:tc>
            </w:tr>
          </w:tbl>
          <w:p w14:paraId="717C9316">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本项目施工期生态影响因素主要表现为：工程施工期间的挖方、土石方临时堆放等临时占地，对建设区生态环境产生的影响。</w:t>
            </w:r>
          </w:p>
          <w:p w14:paraId="1368CB5C">
            <w:pPr>
              <w:pageBreakBefore w:val="0"/>
              <w:kinsoku/>
              <w:wordWrap/>
              <w:overflowPunct/>
              <w:bidi w:val="0"/>
              <w:spacing w:line="360" w:lineRule="auto"/>
              <w:ind w:left="0" w:leftChars="0" w:right="0" w:rightChars="0" w:firstLine="482" w:firstLineChars="20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1.1</w:t>
            </w:r>
            <w:r>
              <w:rPr>
                <w:rFonts w:hint="default" w:ascii="Times New Roman" w:hAnsi="Times New Roman" w:eastAsia="宋体" w:cs="Times New Roman"/>
                <w:b/>
                <w:bCs w:val="0"/>
                <w:color w:val="auto"/>
                <w:sz w:val="24"/>
              </w:rPr>
              <w:t>占地生态影响</w:t>
            </w:r>
          </w:p>
          <w:p w14:paraId="393954BD">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本工程总占地面积</w:t>
            </w:r>
            <w:r>
              <w:rPr>
                <w:rFonts w:hint="eastAsia" w:cs="Times New Roman"/>
                <w:bCs/>
                <w:color w:val="auto"/>
                <w:sz w:val="24"/>
                <w:lang w:val="en-US" w:eastAsia="zh-CN"/>
              </w:rPr>
              <w:t>27.59</w:t>
            </w:r>
            <w:r>
              <w:rPr>
                <w:rFonts w:hint="default" w:ascii="Times New Roman" w:hAnsi="Times New Roman" w:eastAsia="宋体" w:cs="Times New Roman"/>
                <w:bCs/>
                <w:color w:val="auto"/>
                <w:sz w:val="24"/>
              </w:rPr>
              <w:t>hm</w:t>
            </w:r>
            <w:r>
              <w:rPr>
                <w:rFonts w:hint="default" w:ascii="Times New Roman" w:hAnsi="Times New Roman" w:eastAsia="宋体" w:cs="Times New Roman"/>
                <w:bCs/>
                <w:color w:val="auto"/>
                <w:sz w:val="24"/>
                <w:vertAlign w:val="superscript"/>
              </w:rPr>
              <w:t>2</w:t>
            </w:r>
            <w:r>
              <w:rPr>
                <w:rFonts w:hint="default" w:ascii="Times New Roman" w:hAnsi="Times New Roman" w:eastAsia="宋体" w:cs="Times New Roman"/>
                <w:bCs/>
                <w:color w:val="auto"/>
                <w:sz w:val="24"/>
              </w:rPr>
              <w:t>，其中永久占地</w:t>
            </w:r>
            <w:r>
              <w:rPr>
                <w:rFonts w:hint="eastAsia" w:cs="Times New Roman"/>
                <w:bCs/>
                <w:color w:val="auto"/>
                <w:sz w:val="24"/>
                <w:lang w:val="en-US" w:eastAsia="zh-CN"/>
              </w:rPr>
              <w:t>19.77</w:t>
            </w:r>
            <w:r>
              <w:rPr>
                <w:rFonts w:hint="default" w:ascii="Times New Roman" w:hAnsi="Times New Roman" w:eastAsia="宋体" w:cs="Times New Roman"/>
                <w:bCs/>
                <w:color w:val="auto"/>
                <w:sz w:val="24"/>
              </w:rPr>
              <w:t>hm</w:t>
            </w:r>
            <w:r>
              <w:rPr>
                <w:rFonts w:hint="default" w:ascii="Times New Roman" w:hAnsi="Times New Roman" w:eastAsia="宋体" w:cs="Times New Roman"/>
                <w:bCs/>
                <w:color w:val="auto"/>
                <w:sz w:val="24"/>
                <w:vertAlign w:val="superscript"/>
              </w:rPr>
              <w:t>2</w:t>
            </w:r>
            <w:r>
              <w:rPr>
                <w:rFonts w:hint="default" w:ascii="Times New Roman" w:hAnsi="Times New Roman" w:eastAsia="宋体" w:cs="Times New Roman"/>
                <w:bCs/>
                <w:color w:val="auto"/>
                <w:sz w:val="24"/>
              </w:rPr>
              <w:t>，包括渠道工程主体和渠系建筑物，临时占地</w:t>
            </w:r>
            <w:r>
              <w:rPr>
                <w:rFonts w:hint="eastAsia" w:cs="Times New Roman"/>
                <w:bCs/>
                <w:color w:val="auto"/>
                <w:sz w:val="24"/>
                <w:lang w:val="en-US" w:eastAsia="zh-CN"/>
              </w:rPr>
              <w:t>7.82</w:t>
            </w:r>
            <w:r>
              <w:rPr>
                <w:rFonts w:hint="default" w:ascii="Times New Roman" w:hAnsi="Times New Roman" w:eastAsia="宋体" w:cs="Times New Roman"/>
                <w:bCs/>
                <w:color w:val="auto"/>
                <w:sz w:val="24"/>
              </w:rPr>
              <w:t>hm</w:t>
            </w:r>
            <w:r>
              <w:rPr>
                <w:rFonts w:hint="default" w:ascii="Times New Roman" w:hAnsi="Times New Roman" w:eastAsia="宋体" w:cs="Times New Roman"/>
                <w:bCs/>
                <w:color w:val="auto"/>
                <w:sz w:val="24"/>
                <w:vertAlign w:val="superscript"/>
              </w:rPr>
              <w:t>2</w:t>
            </w:r>
            <w:r>
              <w:rPr>
                <w:rFonts w:hint="default" w:ascii="Times New Roman" w:hAnsi="Times New Roman" w:eastAsia="宋体" w:cs="Times New Roman"/>
                <w:bCs/>
                <w:color w:val="auto"/>
                <w:sz w:val="24"/>
              </w:rPr>
              <w:t>，主要包括渠道工程区、渠系建筑物区</w:t>
            </w:r>
            <w:r>
              <w:rPr>
                <w:rFonts w:hint="eastAsia" w:cs="Times New Roman"/>
                <w:bCs/>
                <w:color w:val="auto"/>
                <w:sz w:val="24"/>
                <w:lang w:val="en-US" w:eastAsia="zh-CN"/>
              </w:rPr>
              <w:t>施工临时占地、</w:t>
            </w:r>
            <w:r>
              <w:rPr>
                <w:rFonts w:hint="default" w:ascii="Times New Roman" w:hAnsi="Times New Roman" w:eastAsia="宋体" w:cs="Times New Roman"/>
                <w:bCs/>
                <w:color w:val="auto"/>
                <w:sz w:val="24"/>
              </w:rPr>
              <w:t>临时施工道路区占地和临时生产区占地。工程区占地类型为</w:t>
            </w:r>
            <w:r>
              <w:rPr>
                <w:rFonts w:hint="eastAsia" w:cs="Times New Roman"/>
                <w:bCs/>
                <w:color w:val="auto"/>
                <w:sz w:val="24"/>
                <w:lang w:eastAsia="zh-CN"/>
              </w:rPr>
              <w:t>水域及水利设施用地、</w:t>
            </w:r>
            <w:r>
              <w:rPr>
                <w:rFonts w:hint="eastAsia" w:cs="Times New Roman"/>
                <w:bCs/>
                <w:color w:val="auto"/>
                <w:sz w:val="24"/>
                <w:lang w:val="en-US" w:eastAsia="zh-CN"/>
              </w:rPr>
              <w:t>裸土地</w:t>
            </w:r>
            <w:r>
              <w:rPr>
                <w:rFonts w:hint="default" w:ascii="Times New Roman" w:hAnsi="Times New Roman" w:eastAsia="宋体" w:cs="Times New Roman"/>
                <w:bCs/>
                <w:color w:val="auto"/>
                <w:sz w:val="24"/>
              </w:rPr>
              <w:t>，未占用耕地及林地。</w:t>
            </w:r>
          </w:p>
          <w:p w14:paraId="6A969E1C">
            <w:pPr>
              <w:pStyle w:val="23"/>
              <w:spacing w:line="360" w:lineRule="auto"/>
              <w:ind w:firstLine="480" w:firstLineChars="200"/>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从工程占地性质分析，本项目为旧渠道改建及新建项目，是在原有渠道的基础上进行，渠道仍采用原来的渠线，与原有渠道相比不新增永久占地，未新增永久占地面积。项目建成后其土地的利用状况不会发生改变，仍可以保持原有的使用功能。施工场地、施工生产区的设置破坏了地表植被，导致土壤侵蚀模数相应增大，临时堆场不仅会压埋地表植被，还会形成新的水土流失区，遇到雨季则会引起较大规模的水土流失。临时用地在施工结束后，将拆除临时建筑物，建筑垃圾统一清运，清理平整后，进行景观绿化建设，播撒草籽，因此这类占地对环境的影响是暂时的。建设单位和施工单位应重视临时施工用地在工程结束后的清理和植被恢复工作，减少临时占地对生态的影响。</w:t>
            </w:r>
          </w:p>
          <w:p w14:paraId="70F49CB4">
            <w:pPr>
              <w:pStyle w:val="23"/>
              <w:spacing w:line="360" w:lineRule="auto"/>
              <w:ind w:firstLine="480" w:firstLineChars="200"/>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工程永久占地、临时占地暂时改变了土壤植被的使用功能，改变土壤结构，生产力降低。工程永久占地为水利设施用地，对于临时占地，施工期间主要采取洒水、碾压等工程措施进行防护；施工结束后，对临时设施拆除清运到就近生活垃圾填埋场堆放，对占用的土地采取平整、绿化措施。施工结束后，进行土地平整。随着环保措施的实施，临时占地的影响将会降至最低。</w:t>
            </w:r>
          </w:p>
          <w:p w14:paraId="2D680ACB">
            <w:pPr>
              <w:pStyle w:val="23"/>
              <w:spacing w:line="360" w:lineRule="auto"/>
              <w:ind w:firstLine="480" w:firstLineChars="200"/>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工程临时占地主要为施工临时工区等。经过现场调查，临时占地范围内未发现珍稀保护植物。施工期间将会使分布于占地范围内的植物群落降低，对个体造成一定的破坏，但不会影响到植物的种群繁衍。</w:t>
            </w:r>
          </w:p>
          <w:p w14:paraId="747787F2">
            <w:pPr>
              <w:pStyle w:val="23"/>
              <w:spacing w:line="360" w:lineRule="auto"/>
              <w:ind w:firstLine="480" w:firstLineChars="200"/>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项目区渠系周围主要以农田、道路、居民区为主，工程施工开挖、占压等活动将扰动地表，不可避免产生一定的水土流失等，但开挖、土石方施工以及工程施工道路占压范围相对于评价区域面积很小，并且施工结束后，按照生态保护措施做好生态恢复，受施工活动影响的植被会逐渐恢复。</w:t>
            </w:r>
          </w:p>
          <w:p w14:paraId="4B36492D">
            <w:pPr>
              <w:pStyle w:val="23"/>
              <w:spacing w:line="360" w:lineRule="auto"/>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综上所述，施工临时占地生态环境影响在做好生态恢复工作后，影响是可接受的。</w:t>
            </w:r>
          </w:p>
          <w:p w14:paraId="4EF203C2">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lang w:eastAsia="zh-CN"/>
              </w:rPr>
            </w:pPr>
            <w:r>
              <w:rPr>
                <w:rFonts w:hint="default" w:ascii="Times New Roman" w:hAnsi="Times New Roman" w:eastAsia="宋体" w:cs="Times New Roman"/>
                <w:b/>
                <w:bCs w:val="0"/>
                <w:color w:val="auto"/>
                <w:sz w:val="24"/>
                <w:lang w:val="en-US" w:eastAsia="zh-CN"/>
              </w:rPr>
              <w:t>1.2</w:t>
            </w:r>
            <w:r>
              <w:rPr>
                <w:rFonts w:hint="default" w:ascii="Times New Roman" w:hAnsi="Times New Roman" w:eastAsia="宋体" w:cs="Times New Roman"/>
                <w:b/>
                <w:bCs w:val="0"/>
                <w:color w:val="auto"/>
                <w:sz w:val="24"/>
              </w:rPr>
              <w:t>植被影响分析</w:t>
            </w:r>
          </w:p>
          <w:p w14:paraId="0C5C762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施工期对植被的影响主要为占地范围内原有植物的剥离、清理及占压。在施工过程中，土方开挖扰动范围内植物的地上部分与根系均被清除，施工带两侧的植被由于挖掘土方的堆放、人员的践踏、施工车辆和机具的碾压而受到不同程度的破坏，会造成地上部分破坏甚至死亡。</w:t>
            </w:r>
          </w:p>
          <w:p w14:paraId="7583B23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工程位于奇台县，工程区地表植被稀少，施工范围内未发现国家及地方珍稀濒危保护物种。但施工过程中仍要注意保护植被，将施工占地范围控制在设计范围之内，严禁外扩范围，减少植被破坏面积，在施工结束后伴随自然恢复，工程对植物的影响将大大减小。</w:t>
            </w:r>
          </w:p>
          <w:p w14:paraId="4F0D31B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综上所述，本工程的建设不会对项目区植物种类的生存和繁衍造成严重影响，不会使评价区植物群落发生变化，也不会造成某一植物物种的消失。施工结束后及时进行覆土回填，并及时清理施工建筑废弃物，恢复原有地貌，对植被的影响分析较小。</w:t>
            </w:r>
          </w:p>
          <w:p w14:paraId="54C5A7D3">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1.3</w:t>
            </w:r>
            <w:r>
              <w:rPr>
                <w:rFonts w:hint="default" w:ascii="Times New Roman" w:hAnsi="Times New Roman" w:eastAsia="宋体" w:cs="Times New Roman"/>
                <w:b/>
                <w:bCs w:val="0"/>
                <w:color w:val="auto"/>
                <w:sz w:val="24"/>
              </w:rPr>
              <w:t>野生动物影响分析</w:t>
            </w:r>
          </w:p>
          <w:p w14:paraId="59B9F828">
            <w:pPr>
              <w:pageBreakBefore w:val="0"/>
              <w:kinsoku/>
              <w:wordWrap/>
              <w:overflowPunct/>
              <w:bidi w:val="0"/>
              <w:spacing w:line="360" w:lineRule="auto"/>
              <w:ind w:left="0" w:leftChars="0" w:right="0" w:rightChars="0" w:firstLine="480"/>
              <w:rPr>
                <w:rFonts w:hint="eastAsia" w:cs="Times New Roman"/>
                <w:bCs/>
                <w:color w:val="auto"/>
                <w:sz w:val="24"/>
                <w:lang w:eastAsia="zh-CN"/>
              </w:rPr>
            </w:pPr>
            <w:r>
              <w:rPr>
                <w:rFonts w:hint="default" w:ascii="Times New Roman" w:hAnsi="Times New Roman" w:eastAsia="宋体" w:cs="Times New Roman"/>
                <w:bCs/>
                <w:color w:val="auto"/>
                <w:sz w:val="24"/>
              </w:rPr>
              <w:t>评价区内无国家和省级保护野生动物，常见动物为小型爬行类及啮齿类动物。项目施工期对动物的影响，主要是运输、施工机械噪声和人为活动，使动物</w:t>
            </w:r>
            <w:r>
              <w:rPr>
                <w:rFonts w:hint="eastAsia" w:cs="Times New Roman"/>
                <w:bCs/>
                <w:color w:val="auto"/>
                <w:sz w:val="24"/>
                <w:lang w:eastAsia="zh-CN"/>
              </w:rPr>
              <w:t>受到</w:t>
            </w:r>
            <w:r>
              <w:rPr>
                <w:rFonts w:hint="default" w:ascii="Times New Roman" w:hAnsi="Times New Roman" w:eastAsia="宋体" w:cs="Times New Roman"/>
                <w:bCs/>
                <w:color w:val="auto"/>
                <w:sz w:val="24"/>
              </w:rPr>
              <w:t>惊扰，迫使其向项目区周边其他生态环境迁移。因此，在施工过程中应加强对施工人员活动的控制，减少对野生动物的干扰，夜间尽量减少活动；合理安排施工时间，在动物繁殖季节停止施工，减少工程建设对动物繁殖的影响。项目施工期短暂，施工结束后，野生动物生活环境很快可得到恢复，野生动物可以很快回迁。在此基础上，项目建设对野生动物的影响小</w:t>
            </w:r>
            <w:r>
              <w:rPr>
                <w:rFonts w:hint="eastAsia" w:cs="Times New Roman"/>
                <w:bCs/>
                <w:color w:val="auto"/>
                <w:sz w:val="24"/>
                <w:lang w:eastAsia="zh-CN"/>
              </w:rPr>
              <w:t>。</w:t>
            </w:r>
          </w:p>
          <w:p w14:paraId="61B5841E">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w:t>
            </w:r>
            <w:r>
              <w:rPr>
                <w:rFonts w:hint="eastAsia" w:ascii="Times New Roman" w:hAnsi="Times New Roman" w:eastAsia="宋体" w:cs="Times New Roman"/>
                <w:b/>
                <w:bCs w:val="0"/>
                <w:color w:val="auto"/>
                <w:sz w:val="24"/>
                <w:lang w:val="en-US" w:eastAsia="zh-CN"/>
              </w:rPr>
              <w:t>5水生生态的影响</w:t>
            </w:r>
          </w:p>
          <w:p w14:paraId="5A8D60AA">
            <w:pPr>
              <w:pageBreakBefore w:val="0"/>
              <w:kinsoku/>
              <w:wordWrap/>
              <w:overflowPunct/>
              <w:bidi w:val="0"/>
              <w:spacing w:line="360" w:lineRule="auto"/>
              <w:ind w:left="0" w:leftChars="0" w:right="0" w:rightChars="0" w:firstLine="480"/>
              <w:rPr>
                <w:rFonts w:hint="eastAsia" w:ascii="Times New Roman" w:hAnsi="Times New Roman" w:eastAsia="宋体" w:cs="Times New Roman"/>
                <w:bCs/>
                <w:color w:val="auto"/>
                <w:sz w:val="24"/>
                <w:lang w:eastAsia="zh-CN"/>
              </w:rPr>
            </w:pPr>
            <w:r>
              <w:rPr>
                <w:rFonts w:hint="eastAsia" w:ascii="Times New Roman" w:hAnsi="Times New Roman" w:eastAsia="宋体" w:cs="Times New Roman"/>
                <w:bCs/>
                <w:color w:val="auto"/>
                <w:sz w:val="24"/>
                <w:lang w:eastAsia="zh-CN"/>
              </w:rPr>
              <w:t>项目施工期均选择在非灌溉期，渠道内无水流通过，施工废水经沉淀处理后回用或用于场地洒水抑尘，不排入地表水体。项目施工不会对水生生态环境造成影响。</w:t>
            </w:r>
          </w:p>
          <w:p w14:paraId="26678EB4">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w:t>
            </w:r>
            <w:r>
              <w:rPr>
                <w:rFonts w:hint="eastAsia" w:cs="Times New Roman"/>
                <w:b/>
                <w:bCs w:val="0"/>
                <w:color w:val="auto"/>
                <w:sz w:val="24"/>
                <w:lang w:val="en-US" w:eastAsia="zh-CN"/>
              </w:rPr>
              <w:t>6</w:t>
            </w:r>
            <w:r>
              <w:rPr>
                <w:rFonts w:hint="default" w:ascii="Times New Roman" w:hAnsi="Times New Roman" w:eastAsia="宋体" w:cs="Times New Roman"/>
                <w:b/>
                <w:bCs w:val="0"/>
                <w:color w:val="auto"/>
                <w:sz w:val="24"/>
              </w:rPr>
              <w:t>水土流失影响分析</w:t>
            </w:r>
          </w:p>
          <w:p w14:paraId="1CAA435B">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工程建设过程中，由于施工人员践踏、机械作业等，对地表植被及土壤结构造成破坏，形成一定面积的裸地，遇到雨天将会造成水土流失，开挖的土石方将占用一定的土地，对占地范围产生扰动、植被破坏，开挖土石方堆存易发生水土流失。工程建设新增水土流失产生于以下方面：</w:t>
            </w:r>
          </w:p>
          <w:p w14:paraId="0B52C745">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①工程实施期间，由于场地开拓及平整地基土层的填挖、施工临时生产区、施工道路的布置等，均有可能造成原生地表植被的破坏，引发和加剧水土流失。</w:t>
            </w:r>
          </w:p>
          <w:p w14:paraId="7CA5C0C1">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②临时的土方堆放被风蚀的可能性较大，若堆放或保护措施不当，将会在大风作用下产生水土流失。</w:t>
            </w:r>
          </w:p>
          <w:p w14:paraId="1CC1F2A4">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从本工程建设性质来看，主体工程及其配套设施建设将扰动原地貌，改变地形地貌，破坏植被，工程建设对占地范围内的土地产生扰动，本次提出严格控制施工占地，对临时堆土采取防尘网苫盖措施，施工结束后恢复原有地貌，采取以上措施后，对项目区周边水土流失的影响不大。</w:t>
            </w:r>
          </w:p>
          <w:p w14:paraId="19576328">
            <w:pPr>
              <w:pageBreakBefore w:val="0"/>
              <w:kinsoku/>
              <w:wordWrap/>
              <w:overflowPunct/>
              <w:bidi w:val="0"/>
              <w:spacing w:line="360" w:lineRule="auto"/>
              <w:ind w:left="0" w:leftChars="0" w:right="0" w:rightChars="0" w:firstLine="48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1.</w:t>
            </w:r>
            <w:r>
              <w:rPr>
                <w:rFonts w:hint="eastAsia" w:cs="Times New Roman"/>
                <w:b/>
                <w:bCs w:val="0"/>
                <w:color w:val="auto"/>
                <w:sz w:val="24"/>
                <w:lang w:val="en-US" w:eastAsia="zh-CN"/>
              </w:rPr>
              <w:t>7</w:t>
            </w:r>
            <w:r>
              <w:rPr>
                <w:rFonts w:hint="eastAsia" w:ascii="Times New Roman" w:hAnsi="Times New Roman" w:eastAsia="宋体" w:cs="Times New Roman"/>
                <w:b/>
                <w:bCs w:val="0"/>
                <w:color w:val="auto"/>
                <w:sz w:val="24"/>
                <w:lang w:val="en-US" w:eastAsia="zh-CN"/>
              </w:rPr>
              <w:t>对土地沙化</w:t>
            </w:r>
            <w:r>
              <w:rPr>
                <w:rFonts w:hint="default" w:ascii="Times New Roman" w:hAnsi="Times New Roman" w:eastAsia="宋体" w:cs="Times New Roman"/>
                <w:b/>
                <w:bCs w:val="0"/>
                <w:color w:val="auto"/>
                <w:sz w:val="24"/>
              </w:rPr>
              <w:t>影响分析</w:t>
            </w:r>
          </w:p>
          <w:p w14:paraId="170154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本项目建设过程中对原地貌的扰动将降低项目占地范围内的土壤抗侵蚀能力，加剧土地沙化；由于项目地处内陆地区，风沙较大，空气干燥，若项目土石方堆存过程中未采取防尘网苫盖、洒水抑尘等措施，地表沙化的土壤及废土等遇大风天气易产生严重的扬尘，形成沙尘天气。施工期间对环境产生的影响主要为土石方挖掘、土建施工、交通运输和机械设备的安装、调试等。施工过程中，对原有地表土壤造成扰动，造成地表原有结构的破坏，影响区域植被生长，造成土壤逐渐沙化。此外，在施工过程中，车辆行驶将使经过的土壤变紧实，严重的经过多次碾压后植物很难再生长，甚至退化。上述施工作业过程中，对原地貌的扰动大大降低了项目占地范围内的土壤抗侵蚀能力，若未采取相应的防护措施，遇大风天气，极易加重区域沙尘天气。</w:t>
            </w:r>
          </w:p>
          <w:p w14:paraId="26AEFA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因此施工过程中，应尽可能在有植被的地段采取人工开挖，局部降低作业带宽度，减少对植被的破坏。还需严格控制施工活动范围，严禁乱碾乱轧，避免对项目占地范围外的区域造成扰动，施工作业应分段作业，开挖的土方应分层开挖、分层堆放、分层回填，避免在大风天气作业，以免造成土壤风蚀影响。</w:t>
            </w:r>
          </w:p>
          <w:p w14:paraId="47203E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施工结束后对场地进行清理、平整并压实，场地实施场地硬化，避免水土流失影响，严禁破坏占地范围外的植被，严禁在大风天气进行土方作业。粉状材料及临时土方等在堆场应采取覆盖防尘布，逸散性材料运输采用篷布遮盖，减少施工扬尘产生量和起沙量。针对施工机械及运输车辆，提出如下措施：施工期间应划定施工活动范围，严格控制和管理运输车辆及重型机械的运行线路和范围，不得离开运输道路随意行驶，由专人负责，以防破坏土壤和植被，加剧土地荒漠化。</w:t>
            </w:r>
          </w:p>
          <w:p w14:paraId="0BE10A89">
            <w:pPr>
              <w:keepNext w:val="0"/>
              <w:keepLines w:val="0"/>
              <w:pageBreakBefore w:val="0"/>
              <w:widowControl w:val="0"/>
              <w:numPr>
                <w:ilvl w:val="0"/>
                <w:numId w:val="12"/>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大气环境影响分析</w:t>
            </w:r>
          </w:p>
          <w:p w14:paraId="77D90145">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（1）扬尘</w:t>
            </w:r>
          </w:p>
          <w:p w14:paraId="01136F2D">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在整个施工期间，产生扬尘的作业主要有土方的开挖、回填及建筑材料的装卸、施工垃圾的清理等；车辆经过裸露路面亦容易引起路面积尘飞扬。这类风力扬尘的主要特点是与风速等气象条件有关，也与尘粒本身的沉降速度有关，主要影响范围在扬尘点下风向近距离范围内。施工现场扬尘对环境的影响状况见表4-</w:t>
            </w:r>
            <w:r>
              <w:rPr>
                <w:rFonts w:hint="default" w:ascii="Times New Roman" w:hAnsi="Times New Roman" w:cs="Times New Roman"/>
                <w:color w:val="auto"/>
                <w:sz w:val="24"/>
                <w:lang w:val="en-US" w:eastAsia="zh-CN"/>
              </w:rPr>
              <w:t>1</w:t>
            </w:r>
            <w:r>
              <w:rPr>
                <w:rFonts w:hint="default" w:ascii="Times New Roman" w:hAnsi="Times New Roman" w:eastAsia="宋体" w:cs="Times New Roman"/>
                <w:color w:val="auto"/>
                <w:sz w:val="24"/>
              </w:rPr>
              <w:t>。</w:t>
            </w:r>
          </w:p>
          <w:p w14:paraId="20791923">
            <w:pPr>
              <w:pStyle w:val="48"/>
              <w:spacing w:line="360" w:lineRule="auto"/>
              <w:ind w:firstLine="0" w:firstLineChars="0"/>
              <w:jc w:val="center"/>
              <w:textAlignment w:val="baseline"/>
              <w:rPr>
                <w:rFonts w:hint="default" w:ascii="Times New Roman" w:hAnsi="Times New Roman" w:eastAsia="宋体" w:cs="Times New Roman"/>
                <w:b/>
                <w:bCs w:val="0"/>
                <w:snapToGrid w:val="0"/>
                <w:color w:val="auto"/>
                <w:sz w:val="24"/>
                <w:szCs w:val="24"/>
              </w:rPr>
            </w:pPr>
            <w:r>
              <w:rPr>
                <w:rFonts w:hint="default" w:ascii="Times New Roman" w:hAnsi="Times New Roman" w:eastAsia="宋体" w:cs="Times New Roman"/>
                <w:b/>
                <w:bCs w:val="0"/>
                <w:snapToGrid w:val="0"/>
                <w:color w:val="auto"/>
                <w:sz w:val="24"/>
                <w:szCs w:val="24"/>
              </w:rPr>
              <w:t>表4-</w:t>
            </w:r>
            <w:r>
              <w:rPr>
                <w:rFonts w:hint="default" w:ascii="Times New Roman" w:hAnsi="Times New Roman" w:eastAsia="宋体" w:cs="Times New Roman"/>
                <w:b/>
                <w:bCs w:val="0"/>
                <w:snapToGrid w:val="0"/>
                <w:color w:val="auto"/>
                <w:sz w:val="24"/>
                <w:szCs w:val="24"/>
                <w:lang w:val="en-US" w:eastAsia="zh-CN"/>
              </w:rPr>
              <w:t>1</w:t>
            </w:r>
            <w:r>
              <w:rPr>
                <w:rFonts w:hint="default" w:ascii="Times New Roman" w:hAnsi="Times New Roman" w:eastAsia="宋体" w:cs="Times New Roman"/>
                <w:b/>
                <w:bCs w:val="0"/>
                <w:snapToGrid w:val="0"/>
                <w:color w:val="auto"/>
                <w:sz w:val="24"/>
                <w:szCs w:val="24"/>
              </w:rPr>
              <w:t>施工现场扬尘TSP对环境的污染状况单位：mg/m</w:t>
            </w:r>
            <w:r>
              <w:rPr>
                <w:rFonts w:hint="default" w:ascii="Times New Roman" w:hAnsi="Times New Roman" w:eastAsia="宋体" w:cs="Times New Roman"/>
                <w:b/>
                <w:bCs w:val="0"/>
                <w:snapToGrid w:val="0"/>
                <w:color w:val="auto"/>
                <w:sz w:val="24"/>
                <w:szCs w:val="24"/>
                <w:vertAlign w:val="superscript"/>
              </w:rPr>
              <w:t>3</w:t>
            </w:r>
          </w:p>
          <w:tbl>
            <w:tblPr>
              <w:tblStyle w:val="31"/>
              <w:tblW w:w="4999"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autofit"/>
              <w:tblCellMar>
                <w:top w:w="0" w:type="dxa"/>
                <w:left w:w="108" w:type="dxa"/>
                <w:bottom w:w="0" w:type="dxa"/>
                <w:right w:w="108" w:type="dxa"/>
              </w:tblCellMar>
            </w:tblPr>
            <w:tblGrid>
              <w:gridCol w:w="1971"/>
              <w:gridCol w:w="803"/>
              <w:gridCol w:w="980"/>
              <w:gridCol w:w="1014"/>
              <w:gridCol w:w="982"/>
              <w:gridCol w:w="999"/>
              <w:gridCol w:w="884"/>
            </w:tblGrid>
            <w:tr w14:paraId="5E9F5D8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62" w:hRule="atLeast"/>
              </w:trPr>
              <w:tc>
                <w:tcPr>
                  <w:tcW w:w="1291" w:type="pct"/>
                  <w:vMerge w:val="restart"/>
                  <w:tcBorders>
                    <w:tl2br w:val="nil"/>
                    <w:tr2bl w:val="nil"/>
                  </w:tcBorders>
                  <w:noWrap w:val="0"/>
                  <w:vAlign w:val="center"/>
                </w:tcPr>
                <w:p w14:paraId="2B984B9F">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降尘措施</w:t>
                  </w:r>
                </w:p>
              </w:tc>
              <w:tc>
                <w:tcPr>
                  <w:tcW w:w="3708" w:type="pct"/>
                  <w:gridSpan w:val="6"/>
                  <w:tcBorders>
                    <w:tl2br w:val="nil"/>
                    <w:tr2bl w:val="nil"/>
                  </w:tcBorders>
                  <w:noWrap w:val="0"/>
                  <w:vAlign w:val="center"/>
                </w:tcPr>
                <w:p w14:paraId="0BEE4E12">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工地下风向距离</w:t>
                  </w:r>
                </w:p>
              </w:tc>
            </w:tr>
            <w:tr w14:paraId="31D2D98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trPr>
              <w:tc>
                <w:tcPr>
                  <w:tcW w:w="1291" w:type="pct"/>
                  <w:vMerge w:val="continue"/>
                  <w:tcBorders>
                    <w:tl2br w:val="nil"/>
                    <w:tr2bl w:val="nil"/>
                  </w:tcBorders>
                  <w:noWrap w:val="0"/>
                  <w:vAlign w:val="center"/>
                </w:tcPr>
                <w:p w14:paraId="526D980C">
                  <w:pPr>
                    <w:pageBreakBefore w:val="0"/>
                    <w:widowControl/>
                    <w:kinsoku/>
                    <w:wordWrap/>
                    <w:overflowPunct/>
                    <w:bidi w:val="0"/>
                    <w:ind w:left="0" w:leftChars="0" w:right="0" w:rightChars="0"/>
                    <w:jc w:val="left"/>
                    <w:rPr>
                      <w:rFonts w:hint="default" w:ascii="Times New Roman" w:hAnsi="Times New Roman" w:eastAsia="宋体" w:cs="Times New Roman"/>
                      <w:b/>
                      <w:bCs/>
                      <w:color w:val="auto"/>
                      <w:szCs w:val="21"/>
                    </w:rPr>
                  </w:pPr>
                </w:p>
              </w:tc>
              <w:tc>
                <w:tcPr>
                  <w:tcW w:w="526" w:type="pct"/>
                  <w:tcBorders>
                    <w:tl2br w:val="nil"/>
                    <w:tr2bl w:val="nil"/>
                  </w:tcBorders>
                  <w:noWrap w:val="0"/>
                  <w:vAlign w:val="center"/>
                </w:tcPr>
                <w:p w14:paraId="2946C08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20m</w:t>
                  </w:r>
                </w:p>
              </w:tc>
              <w:tc>
                <w:tcPr>
                  <w:tcW w:w="642" w:type="pct"/>
                  <w:tcBorders>
                    <w:tl2br w:val="nil"/>
                    <w:tr2bl w:val="nil"/>
                  </w:tcBorders>
                  <w:noWrap w:val="0"/>
                  <w:vAlign w:val="center"/>
                </w:tcPr>
                <w:p w14:paraId="55A2E26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50m</w:t>
                  </w:r>
                </w:p>
              </w:tc>
              <w:tc>
                <w:tcPr>
                  <w:tcW w:w="664" w:type="pct"/>
                  <w:tcBorders>
                    <w:tl2br w:val="nil"/>
                    <w:tr2bl w:val="nil"/>
                  </w:tcBorders>
                  <w:noWrap w:val="0"/>
                  <w:vAlign w:val="center"/>
                </w:tcPr>
                <w:p w14:paraId="77AD0A2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100m</w:t>
                  </w:r>
                </w:p>
              </w:tc>
              <w:tc>
                <w:tcPr>
                  <w:tcW w:w="643" w:type="pct"/>
                  <w:tcBorders>
                    <w:tl2br w:val="nil"/>
                    <w:tr2bl w:val="nil"/>
                  </w:tcBorders>
                  <w:noWrap w:val="0"/>
                  <w:vAlign w:val="center"/>
                </w:tcPr>
                <w:p w14:paraId="7658C949">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150m</w:t>
                  </w:r>
                </w:p>
              </w:tc>
              <w:tc>
                <w:tcPr>
                  <w:tcW w:w="654" w:type="pct"/>
                  <w:tcBorders>
                    <w:tl2br w:val="nil"/>
                    <w:tr2bl w:val="nil"/>
                  </w:tcBorders>
                  <w:noWrap w:val="0"/>
                  <w:vAlign w:val="center"/>
                </w:tcPr>
                <w:p w14:paraId="469632BF">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200m</w:t>
                  </w:r>
                </w:p>
              </w:tc>
              <w:tc>
                <w:tcPr>
                  <w:tcW w:w="576" w:type="pct"/>
                  <w:tcBorders>
                    <w:tl2br w:val="nil"/>
                    <w:tr2bl w:val="nil"/>
                  </w:tcBorders>
                  <w:noWrap w:val="0"/>
                  <w:vAlign w:val="center"/>
                </w:tcPr>
                <w:p w14:paraId="49542693">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250m</w:t>
                  </w:r>
                </w:p>
              </w:tc>
            </w:tr>
            <w:tr w14:paraId="1FF5FAA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71" w:hRule="atLeast"/>
              </w:trPr>
              <w:tc>
                <w:tcPr>
                  <w:tcW w:w="1291" w:type="pct"/>
                  <w:tcBorders>
                    <w:tl2br w:val="nil"/>
                    <w:tr2bl w:val="nil"/>
                  </w:tcBorders>
                  <w:noWrap w:val="0"/>
                  <w:vAlign w:val="center"/>
                </w:tcPr>
                <w:p w14:paraId="42DFB7F8">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无</w:t>
                  </w:r>
                </w:p>
              </w:tc>
              <w:tc>
                <w:tcPr>
                  <w:tcW w:w="526" w:type="pct"/>
                  <w:tcBorders>
                    <w:tl2br w:val="nil"/>
                    <w:tr2bl w:val="nil"/>
                  </w:tcBorders>
                  <w:noWrap w:val="0"/>
                  <w:vAlign w:val="center"/>
                </w:tcPr>
                <w:p w14:paraId="2E8E9C24">
                  <w:pPr>
                    <w:pageBreakBefore w:val="0"/>
                    <w:kinsoku/>
                    <w:wordWrap/>
                    <w:overflowPunct/>
                    <w:bidi w:val="0"/>
                    <w:ind w:left="0" w:leftChars="0" w:right="0" w:rightChars="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1.</w:t>
                  </w:r>
                  <w:r>
                    <w:rPr>
                      <w:rFonts w:hint="default" w:ascii="Times New Roman" w:hAnsi="Times New Roman" w:cs="Times New Roman"/>
                      <w:color w:val="auto"/>
                      <w:szCs w:val="21"/>
                      <w:lang w:eastAsia="zh-CN"/>
                    </w:rPr>
                    <w:t>30</w:t>
                  </w:r>
                </w:p>
              </w:tc>
              <w:tc>
                <w:tcPr>
                  <w:tcW w:w="642" w:type="pct"/>
                  <w:tcBorders>
                    <w:tl2br w:val="nil"/>
                    <w:tr2bl w:val="nil"/>
                  </w:tcBorders>
                  <w:noWrap w:val="0"/>
                  <w:vAlign w:val="center"/>
                </w:tcPr>
                <w:p w14:paraId="20C88D9F">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0.722</w:t>
                  </w:r>
                </w:p>
              </w:tc>
              <w:tc>
                <w:tcPr>
                  <w:tcW w:w="664" w:type="pct"/>
                  <w:tcBorders>
                    <w:tl2br w:val="nil"/>
                    <w:tr2bl w:val="nil"/>
                  </w:tcBorders>
                  <w:noWrap w:val="0"/>
                  <w:vAlign w:val="center"/>
                </w:tcPr>
                <w:p w14:paraId="2547AA6A">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0.402</w:t>
                  </w:r>
                </w:p>
              </w:tc>
              <w:tc>
                <w:tcPr>
                  <w:tcW w:w="643" w:type="pct"/>
                  <w:tcBorders>
                    <w:tl2br w:val="nil"/>
                    <w:tr2bl w:val="nil"/>
                  </w:tcBorders>
                  <w:noWrap w:val="0"/>
                  <w:vAlign w:val="center"/>
                </w:tcPr>
                <w:p w14:paraId="39CA7E88">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0.311</w:t>
                  </w:r>
                </w:p>
              </w:tc>
              <w:tc>
                <w:tcPr>
                  <w:tcW w:w="654" w:type="pct"/>
                  <w:tcBorders>
                    <w:tl2br w:val="nil"/>
                    <w:tr2bl w:val="nil"/>
                  </w:tcBorders>
                  <w:noWrap w:val="0"/>
                  <w:vAlign w:val="center"/>
                </w:tcPr>
                <w:p w14:paraId="503DE47A">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0.270</w:t>
                  </w:r>
                </w:p>
              </w:tc>
              <w:tc>
                <w:tcPr>
                  <w:tcW w:w="576" w:type="pct"/>
                  <w:tcBorders>
                    <w:tl2br w:val="nil"/>
                    <w:tr2bl w:val="nil"/>
                  </w:tcBorders>
                  <w:noWrap w:val="0"/>
                  <w:vAlign w:val="center"/>
                </w:tcPr>
                <w:p w14:paraId="30E576B3">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0.210</w:t>
                  </w:r>
                </w:p>
              </w:tc>
            </w:tr>
            <w:tr w14:paraId="0B2169F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89" w:hRule="atLeast"/>
              </w:trPr>
              <w:tc>
                <w:tcPr>
                  <w:tcW w:w="1291" w:type="pct"/>
                  <w:tcBorders>
                    <w:tl2br w:val="nil"/>
                    <w:tr2bl w:val="nil"/>
                  </w:tcBorders>
                  <w:noWrap w:val="0"/>
                  <w:vAlign w:val="center"/>
                </w:tcPr>
                <w:p w14:paraId="1AA5651A">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有（围金属板）</w:t>
                  </w:r>
                </w:p>
              </w:tc>
              <w:tc>
                <w:tcPr>
                  <w:tcW w:w="526" w:type="pct"/>
                  <w:tcBorders>
                    <w:tl2br w:val="nil"/>
                    <w:tr2bl w:val="nil"/>
                  </w:tcBorders>
                  <w:noWrap w:val="0"/>
                  <w:vAlign w:val="center"/>
                </w:tcPr>
                <w:p w14:paraId="49EC4C2B">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0.824</w:t>
                  </w:r>
                </w:p>
              </w:tc>
              <w:tc>
                <w:tcPr>
                  <w:tcW w:w="642" w:type="pct"/>
                  <w:tcBorders>
                    <w:tl2br w:val="nil"/>
                    <w:tr2bl w:val="nil"/>
                  </w:tcBorders>
                  <w:noWrap w:val="0"/>
                  <w:vAlign w:val="center"/>
                </w:tcPr>
                <w:p w14:paraId="2A89B334">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0.426</w:t>
                  </w:r>
                </w:p>
              </w:tc>
              <w:tc>
                <w:tcPr>
                  <w:tcW w:w="664" w:type="pct"/>
                  <w:tcBorders>
                    <w:tl2br w:val="nil"/>
                    <w:tr2bl w:val="nil"/>
                  </w:tcBorders>
                  <w:noWrap w:val="0"/>
                  <w:vAlign w:val="center"/>
                </w:tcPr>
                <w:p w14:paraId="7C6B5E47">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0.235</w:t>
                  </w:r>
                </w:p>
              </w:tc>
              <w:tc>
                <w:tcPr>
                  <w:tcW w:w="643" w:type="pct"/>
                  <w:tcBorders>
                    <w:tl2br w:val="nil"/>
                    <w:tr2bl w:val="nil"/>
                  </w:tcBorders>
                  <w:noWrap w:val="0"/>
                  <w:vAlign w:val="center"/>
                </w:tcPr>
                <w:p w14:paraId="15814A17">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0.221</w:t>
                  </w:r>
                </w:p>
              </w:tc>
              <w:tc>
                <w:tcPr>
                  <w:tcW w:w="654" w:type="pct"/>
                  <w:tcBorders>
                    <w:tl2br w:val="nil"/>
                    <w:tr2bl w:val="nil"/>
                  </w:tcBorders>
                  <w:noWrap w:val="0"/>
                  <w:vAlign w:val="center"/>
                </w:tcPr>
                <w:p w14:paraId="09B6031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0.215</w:t>
                  </w:r>
                </w:p>
              </w:tc>
              <w:tc>
                <w:tcPr>
                  <w:tcW w:w="576" w:type="pct"/>
                  <w:tcBorders>
                    <w:tl2br w:val="nil"/>
                    <w:tr2bl w:val="nil"/>
                  </w:tcBorders>
                  <w:noWrap w:val="0"/>
                  <w:vAlign w:val="center"/>
                </w:tcPr>
                <w:p w14:paraId="69788670">
                  <w:pPr>
                    <w:pageBreakBefore w:val="0"/>
                    <w:kinsoku/>
                    <w:wordWrap/>
                    <w:overflowPunct/>
                    <w:bidi w:val="0"/>
                    <w:ind w:left="0" w:leftChars="0" w:right="0" w:rightChars="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0.206</w:t>
                  </w:r>
                </w:p>
              </w:tc>
            </w:tr>
          </w:tbl>
          <w:p w14:paraId="42F88DBA">
            <w:pPr>
              <w:keepNext w:val="0"/>
              <w:keepLines w:val="0"/>
              <w:pageBreakBefore w:val="0"/>
              <w:widowControl w:val="0"/>
              <w:kinsoku/>
              <w:wordWrap/>
              <w:overflowPunct/>
              <w:topLinePunct/>
              <w:autoSpaceDE/>
              <w:autoSpaceDN/>
              <w:bidi w:val="0"/>
              <w:adjustRightInd/>
              <w:snapToGrid/>
              <w:spacing w:before="157" w:beforeLines="50" w:line="360" w:lineRule="auto"/>
              <w:ind w:left="0" w:leftChars="0" w:right="0" w:rightChars="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由表4-1可知，在无任何防尘措施的情况下，施工现场对周围环境的影响较严重，200m外TSP浓度才可达到</w:t>
            </w:r>
            <w:r>
              <w:rPr>
                <w:rFonts w:hint="eastAsia" w:cs="Times New Roman"/>
                <w:color w:val="auto"/>
                <w:sz w:val="24"/>
                <w:lang w:eastAsia="zh-CN"/>
              </w:rPr>
              <w:t>《环境空气质量标准》（GB3095-2026）二级标准过渡值</w:t>
            </w:r>
            <w:r>
              <w:rPr>
                <w:rFonts w:hint="default" w:ascii="Times New Roman" w:hAnsi="Times New Roman" w:eastAsia="宋体" w:cs="Times New Roman"/>
                <w:color w:val="auto"/>
                <w:sz w:val="24"/>
              </w:rPr>
              <w:t>；而在有防尘措施的情况下，影响范围降至100m范围内。抑制扬尘最简洁有效的措施是洒水。土方开挖、土方回填及建筑材料的装卸、施工垃圾的清理等产生扬尘较大的污染工序之前均采取洒水降尘后进行，施工期间对车辆行驶的路面每天洒水4-5次，可使扬尘减少70%以上，并可将TSP污染距离缩小到50m的范围内。因此项目施工期间建设单位应重视施工扬尘治理，注意落实建设围栏、洒水抑尘等相应的降尘措施</w:t>
            </w:r>
            <w:r>
              <w:rPr>
                <w:rFonts w:hint="default" w:ascii="Times New Roman" w:hAnsi="Times New Roman" w:cs="Times New Roman"/>
                <w:color w:val="auto"/>
                <w:kern w:val="0"/>
                <w:sz w:val="24"/>
                <w:lang w:bidi="ar"/>
              </w:rPr>
              <w:t>。</w:t>
            </w:r>
            <w:r>
              <w:rPr>
                <w:rFonts w:hint="default" w:ascii="Times New Roman" w:hAnsi="Times New Roman" w:eastAsia="宋体" w:cs="Times New Roman"/>
                <w:color w:val="auto"/>
                <w:sz w:val="24"/>
              </w:rPr>
              <w:t>尽可能将施工扬尘影响控制在施工场地范围内，以减小施工扬尘对周边的环境影响。</w:t>
            </w:r>
          </w:p>
          <w:p w14:paraId="09FADF5C">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default" w:ascii="Times New Roman" w:hAnsi="Times New Roman" w:eastAsia="宋体" w:cs="Times New Roman"/>
                <w:b w:val="0"/>
                <w:bCs/>
                <w:color w:val="auto"/>
                <w:sz w:val="24"/>
                <w:szCs w:val="24"/>
                <w:lang w:val="en-US" w:eastAsia="zh-CN"/>
              </w:rPr>
              <w:t>临时堆土场扬尘</w:t>
            </w:r>
            <w:r>
              <w:rPr>
                <w:rFonts w:hint="default" w:ascii="Times New Roman" w:hAnsi="Times New Roman" w:eastAsia="宋体" w:cs="Times New Roman"/>
                <w:color w:val="auto"/>
                <w:sz w:val="24"/>
              </w:rPr>
              <w:t>环境影响分析</w:t>
            </w:r>
          </w:p>
          <w:p w14:paraId="47244B6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color w:val="auto"/>
                <w:sz w:val="24"/>
                <w:szCs w:val="24"/>
                <w:u w:val="none"/>
                <w:lang w:val="zh-CN"/>
              </w:rPr>
            </w:pPr>
            <w:r>
              <w:rPr>
                <w:rFonts w:hint="default" w:ascii="Times New Roman" w:hAnsi="Times New Roman" w:eastAsia="宋体" w:cs="Times New Roman"/>
                <w:color w:val="auto"/>
                <w:sz w:val="24"/>
                <w:szCs w:val="24"/>
                <w:lang w:val="en-US" w:eastAsia="zh-CN"/>
              </w:rPr>
              <w:t>临时堆土场</w:t>
            </w:r>
            <w:r>
              <w:rPr>
                <w:rFonts w:hint="default" w:ascii="Times New Roman" w:hAnsi="Times New Roman" w:eastAsia="宋体" w:cs="Times New Roman"/>
                <w:color w:val="auto"/>
                <w:sz w:val="24"/>
                <w:szCs w:val="24"/>
              </w:rPr>
              <w:t>物料的种类、性质及风速与起尘量有很大关系，比重小的物料容易受扰动而起尘，物料中小颗粒比例大时起尘量相应也大。</w:t>
            </w:r>
            <w:r>
              <w:rPr>
                <w:rFonts w:hint="default" w:ascii="Times New Roman" w:hAnsi="Times New Roman" w:eastAsia="宋体" w:cs="Times New Roman"/>
                <w:color w:val="auto"/>
                <w:sz w:val="24"/>
                <w:szCs w:val="24"/>
                <w:lang w:val="en-US" w:eastAsia="zh-CN"/>
              </w:rPr>
              <w:t>临时堆土场</w:t>
            </w:r>
            <w:r>
              <w:rPr>
                <w:rFonts w:hint="default" w:ascii="Times New Roman" w:hAnsi="Times New Roman" w:eastAsia="宋体" w:cs="Times New Roman"/>
                <w:color w:val="auto"/>
                <w:sz w:val="24"/>
                <w:szCs w:val="24"/>
              </w:rPr>
              <w:t>的扬尘包括料堆的风吹扬尘、装卸扬尘和过往车辆引起路面积尘二次扬尘等，这将产生较大的扬尘污染，会对周围环境带来一定的影响。但通过洒水可有效地抑制扬尘量，可使扬尘量减少约70％。此外，对一些粉状材料及砂石料等采取覆盖或进仓防风措施也将有效减少扬尘污染。</w:t>
            </w:r>
            <w:r>
              <w:rPr>
                <w:rFonts w:hint="default" w:ascii="Times New Roman" w:hAnsi="Times New Roman" w:eastAsia="宋体" w:cs="Times New Roman"/>
                <w:color w:val="auto"/>
                <w:sz w:val="24"/>
                <w:szCs w:val="24"/>
                <w:lang w:eastAsia="zh-CN"/>
              </w:rPr>
              <w:t>因此</w:t>
            </w:r>
            <w:r>
              <w:rPr>
                <w:rFonts w:hint="default" w:ascii="Times New Roman" w:hAnsi="Times New Roman" w:eastAsia="宋体" w:cs="Times New Roman"/>
                <w:color w:val="auto"/>
                <w:sz w:val="24"/>
                <w:szCs w:val="24"/>
                <w:u w:val="none"/>
                <w:lang w:val="zh-CN"/>
              </w:rPr>
              <w:t>施工单位必须使用废气排放符合国家标准的机械设备和运输车辆，并加强设备、车辆的维护保养，使其始终处于良好的工作状态，严禁使用报废车辆，以确保施工场地周围区域环境空气质量达到</w:t>
            </w:r>
            <w:r>
              <w:rPr>
                <w:rFonts w:hint="eastAsia" w:cs="Times New Roman"/>
                <w:color w:val="auto"/>
                <w:sz w:val="24"/>
                <w:szCs w:val="24"/>
                <w:u w:val="none"/>
                <w:lang w:val="zh-CN"/>
              </w:rPr>
              <w:t>《环境空气质量标准》（GB3095-2026）二级标准过渡值</w:t>
            </w:r>
            <w:r>
              <w:rPr>
                <w:rFonts w:hint="default" w:ascii="Times New Roman" w:hAnsi="Times New Roman" w:eastAsia="宋体" w:cs="Times New Roman"/>
                <w:color w:val="auto"/>
                <w:sz w:val="24"/>
                <w:szCs w:val="24"/>
                <w:u w:val="none"/>
                <w:lang w:val="zh-CN"/>
              </w:rPr>
              <w:t>要求。</w:t>
            </w:r>
          </w:p>
          <w:p w14:paraId="484BB530">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）施工车辆尾气环境影响分析</w:t>
            </w:r>
          </w:p>
          <w:p w14:paraId="3BCFC3A0">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汽车尾气中所含的有害物质主要有CO、THC、NO</w:t>
            </w:r>
            <w:r>
              <w:rPr>
                <w:rFonts w:hint="default" w:ascii="Times New Roman" w:hAnsi="Times New Roman" w:eastAsia="宋体" w:cs="Times New Roman"/>
                <w:color w:val="auto"/>
                <w:sz w:val="24"/>
                <w:vertAlign w:val="subscript"/>
              </w:rPr>
              <w:t>X</w:t>
            </w:r>
            <w:r>
              <w:rPr>
                <w:rFonts w:hint="default" w:ascii="Times New Roman" w:hAnsi="Times New Roman" w:eastAsia="宋体" w:cs="Times New Roman"/>
                <w:color w:val="auto"/>
                <w:sz w:val="24"/>
              </w:rPr>
              <w:t>等，但这些污染源较分散且为流动性，污染物排放量不大，表现为间歇性特征，影响是短期和局部的，施工结束影响也随之消失，这类废气对大气环境的影响比较小。要求施工单位必须使用污染物排放符合国家标准的运输车辆，加强车辆的保养，使车辆处于良好的工作状态，严禁使用报废车辆，以减少施工车辆尾气对周围环境的影响。</w:t>
            </w:r>
          </w:p>
          <w:p w14:paraId="2E019B87">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lang w:eastAsia="zh-CN"/>
              </w:rPr>
              <w:t>）施工机械废气</w:t>
            </w:r>
            <w:r>
              <w:rPr>
                <w:rFonts w:hint="default" w:ascii="Times New Roman" w:hAnsi="Times New Roman" w:eastAsia="宋体" w:cs="Times New Roman"/>
                <w:color w:val="auto"/>
                <w:sz w:val="24"/>
              </w:rPr>
              <w:t>环境影响分析</w:t>
            </w:r>
          </w:p>
          <w:p w14:paraId="1249A905">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本项目</w:t>
            </w:r>
            <w:r>
              <w:rPr>
                <w:rFonts w:hint="default" w:ascii="Times New Roman" w:hAnsi="Times New Roman" w:eastAsia="宋体" w:cs="Times New Roman"/>
                <w:color w:val="auto"/>
                <w:sz w:val="24"/>
                <w:lang w:val="en-US" w:eastAsia="zh-CN"/>
              </w:rPr>
              <w:t>临时电源采用柴油发电机，施工现场设置油罐。柴油发电机</w:t>
            </w:r>
            <w:r>
              <w:rPr>
                <w:rFonts w:hint="default" w:ascii="Times New Roman" w:hAnsi="Times New Roman" w:eastAsia="宋体" w:cs="Times New Roman"/>
                <w:color w:val="auto"/>
                <w:sz w:val="24"/>
                <w:lang w:eastAsia="zh-CN"/>
              </w:rPr>
              <w:t>燃烧</w:t>
            </w:r>
            <w:r>
              <w:rPr>
                <w:rFonts w:hint="default" w:ascii="Times New Roman" w:hAnsi="Times New Roman" w:eastAsia="宋体" w:cs="Times New Roman"/>
                <w:color w:val="auto"/>
                <w:sz w:val="24"/>
                <w:lang w:val="en-US" w:eastAsia="zh-CN"/>
              </w:rPr>
              <w:t>柴油</w:t>
            </w:r>
            <w:r>
              <w:rPr>
                <w:rFonts w:hint="default" w:ascii="Times New Roman" w:hAnsi="Times New Roman" w:eastAsia="宋体" w:cs="Times New Roman"/>
                <w:color w:val="auto"/>
                <w:sz w:val="24"/>
                <w:lang w:eastAsia="zh-CN"/>
              </w:rPr>
              <w:t>过程中将产生CO、NOx、SO</w:t>
            </w:r>
            <w:r>
              <w:rPr>
                <w:rFonts w:hint="default" w:ascii="Times New Roman" w:hAnsi="Times New Roman" w:eastAsia="宋体" w:cs="Times New Roman"/>
                <w:color w:val="auto"/>
                <w:sz w:val="24"/>
                <w:vertAlign w:val="subscript"/>
                <w:lang w:eastAsia="zh-CN"/>
              </w:rPr>
              <w:t>2</w:t>
            </w:r>
            <w:r>
              <w:rPr>
                <w:rFonts w:hint="default" w:ascii="Times New Roman" w:hAnsi="Times New Roman" w:eastAsia="宋体" w:cs="Times New Roman"/>
                <w:color w:val="auto"/>
                <w:sz w:val="24"/>
                <w:lang w:eastAsia="zh-CN"/>
              </w:rPr>
              <w:t>、碳氢化合物污染物。根据有关资料介绍，每吨柴油燃烧排放有害气体量详见下表。</w:t>
            </w:r>
          </w:p>
          <w:p w14:paraId="1B190DB1">
            <w:pPr>
              <w:pStyle w:val="48"/>
              <w:spacing w:line="360" w:lineRule="auto"/>
              <w:ind w:firstLine="0" w:firstLineChars="0"/>
              <w:jc w:val="center"/>
              <w:textAlignment w:val="baseline"/>
              <w:rPr>
                <w:rFonts w:hint="default" w:ascii="Times New Roman" w:hAnsi="Times New Roman" w:eastAsia="宋体" w:cs="Times New Roman"/>
                <w:b/>
                <w:bCs w:val="0"/>
                <w:snapToGrid w:val="0"/>
                <w:color w:val="auto"/>
                <w:sz w:val="24"/>
                <w:szCs w:val="24"/>
                <w:lang w:eastAsia="zh-CN"/>
              </w:rPr>
            </w:pPr>
            <w:r>
              <w:rPr>
                <w:rFonts w:hint="default" w:ascii="Times New Roman" w:hAnsi="Times New Roman" w:eastAsia="宋体" w:cs="Times New Roman"/>
                <w:b/>
                <w:bCs w:val="0"/>
                <w:snapToGrid w:val="0"/>
                <w:color w:val="auto"/>
                <w:sz w:val="24"/>
                <w:szCs w:val="24"/>
                <w:lang w:eastAsia="zh-CN"/>
              </w:rPr>
              <w:t>表4-</w:t>
            </w:r>
            <w:r>
              <w:rPr>
                <w:rFonts w:hint="default" w:ascii="Times New Roman" w:hAnsi="Times New Roman" w:eastAsia="宋体" w:cs="Times New Roman"/>
                <w:b/>
                <w:bCs w:val="0"/>
                <w:snapToGrid w:val="0"/>
                <w:color w:val="auto"/>
                <w:sz w:val="24"/>
                <w:szCs w:val="24"/>
                <w:lang w:val="en-US" w:eastAsia="zh-CN"/>
              </w:rPr>
              <w:t>2</w:t>
            </w:r>
            <w:r>
              <w:rPr>
                <w:rFonts w:hint="default" w:ascii="Times New Roman" w:hAnsi="Times New Roman" w:eastAsia="宋体" w:cs="Times New Roman"/>
                <w:b/>
                <w:bCs w:val="0"/>
                <w:snapToGrid w:val="0"/>
                <w:color w:val="auto"/>
                <w:sz w:val="24"/>
                <w:szCs w:val="24"/>
                <w:lang w:eastAsia="zh-CN"/>
              </w:rPr>
              <w:t>燃烧lt柴油排放的有害物质表</w:t>
            </w:r>
          </w:p>
          <w:tbl>
            <w:tblPr>
              <w:tblStyle w:val="3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527"/>
              <w:gridCol w:w="1527"/>
              <w:gridCol w:w="1527"/>
              <w:gridCol w:w="1528"/>
            </w:tblGrid>
            <w:tr w14:paraId="0D3467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99" w:type="pct"/>
                  <w:tcBorders>
                    <w:tl2br w:val="nil"/>
                    <w:tr2bl w:val="nil"/>
                  </w:tcBorders>
                  <w:noWrap w:val="0"/>
                  <w:vAlign w:val="center"/>
                </w:tcPr>
                <w:p w14:paraId="1163A11F">
                  <w:pPr>
                    <w:pStyle w:val="27"/>
                    <w:keepNext w:val="0"/>
                    <w:keepLines w:val="0"/>
                    <w:pageBreakBefore w:val="0"/>
                    <w:widowControl w:val="0"/>
                    <w:kinsoku/>
                    <w:wordWrap/>
                    <w:overflowPunct w:val="0"/>
                    <w:topLinePunct w:val="0"/>
                    <w:autoSpaceDE/>
                    <w:autoSpaceDN/>
                    <w:bidi w:val="0"/>
                    <w:adjustRightInd/>
                    <w:snapToGrid/>
                    <w:spacing w:after="0" w:line="240" w:lineRule="auto"/>
                    <w:jc w:val="center"/>
                    <w:textAlignment w:val="auto"/>
                    <w:rPr>
                      <w:rFonts w:hint="default" w:ascii="Times New Roman" w:hAnsi="Times New Roman" w:cs="Times New Roman"/>
                      <w:b/>
                      <w:bCs/>
                      <w:color w:val="auto"/>
                      <w:vertAlign w:val="baseline"/>
                      <w:lang w:eastAsia="zh-CN"/>
                    </w:rPr>
                  </w:pPr>
                  <w:r>
                    <w:rPr>
                      <w:rFonts w:hint="default" w:ascii="Times New Roman" w:hAnsi="Times New Roman" w:cs="Times New Roman"/>
                      <w:b/>
                      <w:bCs/>
                      <w:color w:val="auto"/>
                      <w:vertAlign w:val="baseline"/>
                      <w:lang w:eastAsia="zh-CN"/>
                    </w:rPr>
                    <w:t>有害物质</w:t>
                  </w:r>
                </w:p>
              </w:tc>
              <w:tc>
                <w:tcPr>
                  <w:tcW w:w="1000" w:type="pct"/>
                  <w:tcBorders>
                    <w:tl2br w:val="nil"/>
                    <w:tr2bl w:val="nil"/>
                  </w:tcBorders>
                  <w:noWrap w:val="0"/>
                  <w:vAlign w:val="center"/>
                </w:tcPr>
                <w:p w14:paraId="11E0FC14">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SO</w:t>
                  </w:r>
                  <w:r>
                    <w:rPr>
                      <w:rFonts w:hint="default" w:ascii="Times New Roman" w:hAnsi="Times New Roman" w:cs="Times New Roman"/>
                      <w:color w:val="auto"/>
                      <w:vertAlign w:val="subscript"/>
                      <w:lang w:val="en-US" w:eastAsia="zh-CN"/>
                    </w:rPr>
                    <w:t>2</w:t>
                  </w:r>
                </w:p>
              </w:tc>
              <w:tc>
                <w:tcPr>
                  <w:tcW w:w="1000" w:type="pct"/>
                  <w:tcBorders>
                    <w:tl2br w:val="nil"/>
                    <w:tr2bl w:val="nil"/>
                  </w:tcBorders>
                  <w:noWrap w:val="0"/>
                  <w:vAlign w:val="center"/>
                </w:tcPr>
                <w:p w14:paraId="20F00972">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CO</w:t>
                  </w:r>
                </w:p>
              </w:tc>
              <w:tc>
                <w:tcPr>
                  <w:tcW w:w="1000" w:type="pct"/>
                  <w:tcBorders>
                    <w:tl2br w:val="nil"/>
                    <w:tr2bl w:val="nil"/>
                  </w:tcBorders>
                  <w:noWrap w:val="0"/>
                  <w:vAlign w:val="center"/>
                </w:tcPr>
                <w:p w14:paraId="760F6250">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NOx</w:t>
                  </w:r>
                </w:p>
              </w:tc>
              <w:tc>
                <w:tcPr>
                  <w:tcW w:w="1000" w:type="pct"/>
                  <w:tcBorders>
                    <w:tl2br w:val="nil"/>
                    <w:tr2bl w:val="nil"/>
                  </w:tcBorders>
                  <w:noWrap w:val="0"/>
                  <w:vAlign w:val="center"/>
                </w:tcPr>
                <w:p w14:paraId="3EED7D02">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碳氢化合物</w:t>
                  </w:r>
                </w:p>
              </w:tc>
            </w:tr>
            <w:tr w14:paraId="02FED0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999" w:type="pct"/>
                  <w:tcBorders>
                    <w:tl2br w:val="nil"/>
                    <w:tr2bl w:val="nil"/>
                  </w:tcBorders>
                  <w:noWrap w:val="0"/>
                  <w:vAlign w:val="center"/>
                </w:tcPr>
                <w:p w14:paraId="62977C70">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b/>
                      <w:bCs/>
                      <w:color w:val="auto"/>
                      <w:vertAlign w:val="baseline"/>
                      <w:lang w:eastAsia="zh-CN"/>
                    </w:rPr>
                  </w:pPr>
                  <w:r>
                    <w:rPr>
                      <w:rFonts w:hint="default" w:ascii="Times New Roman" w:hAnsi="Times New Roman" w:cs="Times New Roman"/>
                      <w:b/>
                      <w:bCs/>
                      <w:color w:val="auto"/>
                      <w:vertAlign w:val="baseline"/>
                      <w:lang w:eastAsia="zh-CN"/>
                    </w:rPr>
                    <w:t>排放量（kg）</w:t>
                  </w:r>
                </w:p>
              </w:tc>
              <w:tc>
                <w:tcPr>
                  <w:tcW w:w="1000" w:type="pct"/>
                  <w:tcBorders>
                    <w:tl2br w:val="nil"/>
                    <w:tr2bl w:val="nil"/>
                  </w:tcBorders>
                  <w:noWrap w:val="0"/>
                  <w:vAlign w:val="center"/>
                </w:tcPr>
                <w:p w14:paraId="009D6199">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3.522</w:t>
                  </w:r>
                </w:p>
              </w:tc>
              <w:tc>
                <w:tcPr>
                  <w:tcW w:w="1000" w:type="pct"/>
                  <w:tcBorders>
                    <w:tl2br w:val="nil"/>
                    <w:tr2bl w:val="nil"/>
                  </w:tcBorders>
                  <w:noWrap w:val="0"/>
                  <w:vAlign w:val="center"/>
                </w:tcPr>
                <w:p w14:paraId="19E01794">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29.349</w:t>
                  </w:r>
                </w:p>
              </w:tc>
              <w:tc>
                <w:tcPr>
                  <w:tcW w:w="1000" w:type="pct"/>
                  <w:tcBorders>
                    <w:tl2br w:val="nil"/>
                    <w:tr2bl w:val="nil"/>
                  </w:tcBorders>
                  <w:noWrap w:val="0"/>
                  <w:vAlign w:val="center"/>
                </w:tcPr>
                <w:p w14:paraId="7F3D663A">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48.263</w:t>
                  </w:r>
                </w:p>
              </w:tc>
              <w:tc>
                <w:tcPr>
                  <w:tcW w:w="1000" w:type="pct"/>
                  <w:tcBorders>
                    <w:tl2br w:val="nil"/>
                    <w:tr2bl w:val="nil"/>
                  </w:tcBorders>
                  <w:noWrap w:val="0"/>
                  <w:vAlign w:val="center"/>
                </w:tcPr>
                <w:p w14:paraId="550812BC">
                  <w:pPr>
                    <w:pStyle w:val="27"/>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vertAlign w:val="baseline"/>
                      <w:lang w:eastAsia="zh-CN"/>
                    </w:rPr>
                  </w:pPr>
                  <w:r>
                    <w:rPr>
                      <w:rFonts w:hint="default" w:ascii="Times New Roman" w:hAnsi="Times New Roman" w:cs="Times New Roman"/>
                      <w:color w:val="auto"/>
                      <w:vertAlign w:val="baseline"/>
                      <w:lang w:eastAsia="zh-CN"/>
                    </w:rPr>
                    <w:t>4.826</w:t>
                  </w:r>
                </w:p>
              </w:tc>
            </w:tr>
          </w:tbl>
          <w:p w14:paraId="1BE93DFC">
            <w:pPr>
              <w:pStyle w:val="27"/>
              <w:keepNext w:val="0"/>
              <w:keepLines w:val="0"/>
              <w:pageBreakBefore w:val="0"/>
              <w:widowControl w:val="0"/>
              <w:kinsoku/>
              <w:wordWrap/>
              <w:overflowPunct/>
              <w:topLinePunct w:val="0"/>
              <w:autoSpaceDE/>
              <w:autoSpaceDN/>
              <w:bidi w:val="0"/>
              <w:adjustRightInd/>
              <w:snapToGrid/>
              <w:spacing w:before="157" w:beforeLines="50" w:after="0" w:line="360" w:lineRule="auto"/>
              <w:ind w:firstLine="480" w:firstLineChars="200"/>
              <w:textAlignment w:val="auto"/>
              <w:rPr>
                <w:rFonts w:hint="default" w:ascii="Times New Roman" w:hAnsi="Times New Roman" w:cs="Times New Roman"/>
                <w:color w:val="auto"/>
                <w:sz w:val="24"/>
                <w:szCs w:val="32"/>
                <w:lang w:eastAsia="zh-CN"/>
              </w:rPr>
            </w:pPr>
            <w:r>
              <w:rPr>
                <w:rFonts w:hint="default" w:ascii="Times New Roman" w:hAnsi="Times New Roman" w:cs="Times New Roman"/>
                <w:color w:val="auto"/>
                <w:sz w:val="24"/>
                <w:szCs w:val="32"/>
                <w:lang w:eastAsia="zh-CN"/>
              </w:rPr>
              <w:t>由于此类污染源多为无组织排放，较为分散，受自然条件的影响容易扩散，空气环境本底现状优良，具有较大的环境容量，不存在短时间集中排放的情况，废气排放量较小，对周边环境影响较小。</w:t>
            </w:r>
          </w:p>
          <w:p w14:paraId="2DCEE4CC">
            <w:pPr>
              <w:keepNext w:val="0"/>
              <w:keepLines w:val="0"/>
              <w:pageBreakBefore w:val="0"/>
              <w:widowControl w:val="0"/>
              <w:kinsoku/>
              <w:wordWrap/>
              <w:overflowPunct/>
              <w:topLinePunct w:val="0"/>
              <w:bidi w:val="0"/>
              <w:adjustRightInd/>
              <w:snapToGrid/>
              <w:spacing w:line="360" w:lineRule="auto"/>
              <w:ind w:left="0" w:leftChars="0" w:right="0" w:rightChars="0" w:firstLine="480" w:firstLineChars="200"/>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w:t>
            </w:r>
            <w:r>
              <w:rPr>
                <w:rFonts w:hint="eastAsia" w:cs="Times New Roman"/>
                <w:color w:val="auto"/>
                <w:sz w:val="24"/>
                <w:lang w:val="en-US" w:eastAsia="zh-CN"/>
              </w:rPr>
              <w:t>5</w:t>
            </w:r>
            <w:r>
              <w:rPr>
                <w:rFonts w:hint="default" w:ascii="Times New Roman" w:hAnsi="Times New Roman" w:eastAsia="宋体" w:cs="Times New Roman"/>
                <w:color w:val="auto"/>
                <w:sz w:val="24"/>
                <w:lang w:eastAsia="zh-CN"/>
              </w:rPr>
              <w:t>）拌合机废气</w:t>
            </w:r>
            <w:r>
              <w:rPr>
                <w:rFonts w:hint="default" w:ascii="Times New Roman" w:hAnsi="Times New Roman" w:eastAsia="宋体" w:cs="Times New Roman"/>
                <w:color w:val="auto"/>
                <w:sz w:val="24"/>
              </w:rPr>
              <w:t>环境影响分析</w:t>
            </w:r>
          </w:p>
          <w:p w14:paraId="19B7E8F7">
            <w:pPr>
              <w:pStyle w:val="27"/>
              <w:keepNext w:val="0"/>
              <w:keepLines w:val="0"/>
              <w:pageBreakBefore w:val="0"/>
              <w:widowControl w:val="0"/>
              <w:kinsoku/>
              <w:wordWrap/>
              <w:overflowPunct/>
              <w:topLinePunct w:val="0"/>
              <w:autoSpaceDE/>
              <w:autoSpaceDN/>
              <w:bidi w:val="0"/>
              <w:adjustRightInd/>
              <w:snapToGrid/>
              <w:spacing w:before="157" w:beforeLines="50" w:after="0"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sz w:val="24"/>
                <w:szCs w:val="32"/>
                <w:lang w:val="en-US" w:eastAsia="zh-CN"/>
              </w:rPr>
              <w:t>临时生产区的砼拌合系统中的移动式拌合机上料会有少量颗粒物产生，要求移动式混凝土拌合机所用骨料仓封闭，砂石骨料定期洒水润湿，封闭水泥筒仓上料过程产生的粉尘采用仓顶自带袋式除尘器除尘后</w:t>
            </w:r>
            <w:r>
              <w:rPr>
                <w:rFonts w:hint="eastAsia" w:cs="Times New Roman"/>
                <w:color w:val="auto"/>
                <w:sz w:val="24"/>
                <w:szCs w:val="32"/>
                <w:lang w:val="en-US" w:eastAsia="zh-CN"/>
              </w:rPr>
              <w:t>有</w:t>
            </w:r>
            <w:r>
              <w:rPr>
                <w:rFonts w:hint="eastAsia" w:ascii="Times New Roman" w:hAnsi="Times New Roman" w:eastAsia="宋体" w:cs="Times New Roman"/>
                <w:color w:val="auto"/>
                <w:sz w:val="24"/>
                <w:szCs w:val="32"/>
                <w:lang w:val="en-US" w:eastAsia="zh-CN"/>
              </w:rPr>
              <w:t>组织排放，粉尘排放浓度相对较低，能达到《大气污染物综合排放标准》（GB16297-1996）中最高允许排放浓度（120mg/m</w:t>
            </w:r>
            <w:r>
              <w:rPr>
                <w:rFonts w:hint="eastAsia" w:ascii="Times New Roman" w:hAnsi="Times New Roman" w:eastAsia="宋体" w:cs="Times New Roman"/>
                <w:color w:val="auto"/>
                <w:sz w:val="24"/>
                <w:szCs w:val="32"/>
                <w:vertAlign w:val="superscript"/>
                <w:lang w:val="en-US" w:eastAsia="zh-CN"/>
              </w:rPr>
              <w:t>3</w:t>
            </w:r>
            <w:r>
              <w:rPr>
                <w:rFonts w:hint="eastAsia" w:ascii="Times New Roman" w:hAnsi="Times New Roman" w:eastAsia="宋体" w:cs="Times New Roman"/>
                <w:color w:val="auto"/>
                <w:sz w:val="24"/>
                <w:szCs w:val="32"/>
                <w:lang w:val="en-US" w:eastAsia="zh-CN"/>
              </w:rPr>
              <w:t>）要求，搅拌机区域</w:t>
            </w:r>
            <w:r>
              <w:rPr>
                <w:rFonts w:hint="eastAsia" w:cs="Times New Roman"/>
                <w:color w:val="auto"/>
                <w:sz w:val="24"/>
                <w:szCs w:val="32"/>
                <w:lang w:val="en-US" w:eastAsia="zh-CN"/>
              </w:rPr>
              <w:t>同时进行</w:t>
            </w:r>
            <w:r>
              <w:rPr>
                <w:rFonts w:hint="eastAsia" w:ascii="Times New Roman" w:hAnsi="Times New Roman" w:eastAsia="宋体" w:cs="Times New Roman"/>
                <w:color w:val="auto"/>
                <w:sz w:val="24"/>
                <w:szCs w:val="32"/>
                <w:lang w:val="en-US" w:eastAsia="zh-CN"/>
              </w:rPr>
              <w:t>洒水降尘，不会对区域环境空气质量产生大的影响。</w:t>
            </w:r>
          </w:p>
          <w:p w14:paraId="4E7C56B9">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废水影响分析</w:t>
            </w:r>
          </w:p>
          <w:p w14:paraId="4828023F">
            <w:pPr>
              <w:keepNext w:val="0"/>
              <w:keepLines w:val="0"/>
              <w:pageBreakBefore w:val="0"/>
              <w:widowControl w:val="0"/>
              <w:kinsoku/>
              <w:wordWrap/>
              <w:overflowPunct/>
              <w:topLinePunct w:val="0"/>
              <w:bidi w:val="0"/>
              <w:adjustRightInd/>
              <w:snapToGrid/>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（1）施工废水</w:t>
            </w:r>
          </w:p>
          <w:p w14:paraId="37E71F66">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项目区施工废水主要为混凝土养护废水</w:t>
            </w:r>
            <w:r>
              <w:rPr>
                <w:rFonts w:hint="eastAsia" w:cs="Times New Roman"/>
                <w:color w:val="auto"/>
                <w:sz w:val="24"/>
                <w:lang w:eastAsia="zh-CN"/>
              </w:rPr>
              <w:t>、</w:t>
            </w:r>
            <w:r>
              <w:rPr>
                <w:rFonts w:hint="eastAsia" w:cs="Times New Roman"/>
                <w:color w:val="auto"/>
                <w:sz w:val="24"/>
                <w:lang w:val="en-US" w:eastAsia="zh-CN"/>
              </w:rPr>
              <w:t>混凝土拌合废水</w:t>
            </w:r>
            <w:r>
              <w:rPr>
                <w:rFonts w:hint="default" w:ascii="Times New Roman" w:hAnsi="Times New Roman" w:eastAsia="宋体" w:cs="Times New Roman"/>
                <w:color w:val="auto"/>
                <w:sz w:val="24"/>
              </w:rPr>
              <w:t>，主要含泥沙等污染物，除SS指标较差外，基本不含有毒物质。废水产生量较小，且呈间歇性排放，施工时在场地设置</w:t>
            </w:r>
            <w:r>
              <w:rPr>
                <w:rFonts w:hint="eastAsia" w:cs="Times New Roman"/>
                <w:color w:val="auto"/>
                <w:sz w:val="24"/>
                <w:lang w:val="en-US" w:eastAsia="zh-CN"/>
              </w:rPr>
              <w:t>一座</w:t>
            </w:r>
            <w:r>
              <w:rPr>
                <w:rFonts w:hint="eastAsia" w:cs="Times New Roman"/>
                <w:color w:val="auto"/>
                <w:kern w:val="0"/>
                <w:sz w:val="24"/>
                <w:lang w:val="en-US" w:eastAsia="zh-CN" w:bidi="ar"/>
              </w:rPr>
              <w:t>4m</w:t>
            </w:r>
            <w:r>
              <w:rPr>
                <w:rFonts w:hint="eastAsia" w:cs="Times New Roman"/>
                <w:color w:val="auto"/>
                <w:kern w:val="0"/>
                <w:sz w:val="24"/>
                <w:vertAlign w:val="superscript"/>
                <w:lang w:val="en-US" w:eastAsia="zh-CN" w:bidi="ar"/>
              </w:rPr>
              <w:t>3</w:t>
            </w:r>
            <w:r>
              <w:rPr>
                <w:rFonts w:hint="default" w:ascii="Times New Roman" w:hAnsi="Times New Roman" w:cs="Times New Roman"/>
                <w:color w:val="auto"/>
                <w:kern w:val="0"/>
                <w:sz w:val="24"/>
                <w:lang w:bidi="ar"/>
              </w:rPr>
              <w:t>沉淀池</w:t>
            </w:r>
            <w:r>
              <w:rPr>
                <w:rFonts w:hint="eastAsia" w:cs="Times New Roman"/>
                <w:color w:val="auto"/>
                <w:kern w:val="0"/>
                <w:sz w:val="24"/>
                <w:lang w:eastAsia="zh-CN" w:bidi="ar"/>
              </w:rPr>
              <w:t>（</w:t>
            </w:r>
            <w:r>
              <w:rPr>
                <w:rFonts w:hint="eastAsia" w:cs="Times New Roman"/>
                <w:color w:val="auto"/>
                <w:kern w:val="0"/>
                <w:sz w:val="24"/>
                <w:lang w:val="en-US" w:eastAsia="zh-CN" w:bidi="ar"/>
              </w:rPr>
              <w:t>尺寸2×2×1</w:t>
            </w:r>
            <w:r>
              <w:rPr>
                <w:rFonts w:hint="eastAsia" w:cs="Times New Roman"/>
                <w:color w:val="auto"/>
                <w:kern w:val="0"/>
                <w:sz w:val="24"/>
                <w:lang w:eastAsia="zh-CN" w:bidi="ar"/>
              </w:rPr>
              <w:t>）</w:t>
            </w:r>
            <w:r>
              <w:rPr>
                <w:rFonts w:hint="eastAsia" w:cs="Times New Roman"/>
                <w:color w:val="auto"/>
                <w:kern w:val="0"/>
                <w:sz w:val="24"/>
                <w:lang w:val="en-US" w:eastAsia="zh-CN" w:bidi="ar"/>
              </w:rPr>
              <w:t>与6m</w:t>
            </w:r>
            <w:r>
              <w:rPr>
                <w:rFonts w:hint="eastAsia" w:cs="Times New Roman"/>
                <w:color w:val="auto"/>
                <w:kern w:val="0"/>
                <w:sz w:val="24"/>
                <w:vertAlign w:val="superscript"/>
                <w:lang w:val="en-US" w:eastAsia="zh-CN" w:bidi="ar"/>
              </w:rPr>
              <w:t>3</w:t>
            </w:r>
            <w:r>
              <w:rPr>
                <w:rFonts w:hint="eastAsia" w:cs="Times New Roman"/>
                <w:color w:val="auto"/>
                <w:kern w:val="0"/>
                <w:sz w:val="24"/>
                <w:lang w:val="en-US" w:eastAsia="zh-CN" w:bidi="ar"/>
              </w:rPr>
              <w:t>蓄水池（2×2×1.5）</w:t>
            </w:r>
            <w:r>
              <w:rPr>
                <w:rFonts w:hint="default" w:ascii="Times New Roman" w:hAnsi="Times New Roman" w:eastAsia="宋体" w:cs="Times New Roman"/>
                <w:color w:val="auto"/>
                <w:sz w:val="24"/>
              </w:rPr>
              <w:t>，经沉淀池处理后回用于施工期运输道路和施工场地抑尘洒水，废水不外排，对周围地表水体水质影响较小。</w:t>
            </w:r>
          </w:p>
          <w:p w14:paraId="110C32CC">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（2）生活污水</w:t>
            </w:r>
          </w:p>
          <w:p w14:paraId="11C95626">
            <w:pPr>
              <w:pStyle w:val="40"/>
              <w:pageBreakBefore w:val="0"/>
              <w:kinsoku/>
              <w:wordWrap/>
              <w:overflowPunct/>
              <w:bidi w:val="0"/>
              <w:spacing w:line="360" w:lineRule="auto"/>
              <w:ind w:left="0" w:leftChars="0" w:right="0" w:rightChars="0" w:firstLine="480" w:firstLineChars="200"/>
              <w:outlineLvl w:val="9"/>
              <w:rPr>
                <w:rFonts w:hint="default" w:ascii="Times New Roman" w:hAnsi="Times New Roman" w:eastAsia="宋体" w:cs="Times New Roman"/>
                <w:b w:val="0"/>
                <w:bCs w:val="0"/>
                <w:color w:val="auto"/>
                <w:sz w:val="24"/>
              </w:rPr>
            </w:pPr>
            <w:bookmarkStart w:id="20" w:name="_Hlk534899848"/>
            <w:r>
              <w:rPr>
                <w:rFonts w:hint="default" w:ascii="Times New Roman" w:hAnsi="Times New Roman" w:eastAsia="宋体" w:cs="Times New Roman"/>
                <w:b w:val="0"/>
                <w:bCs w:val="0"/>
                <w:color w:val="auto"/>
                <w:sz w:val="24"/>
              </w:rPr>
              <w:t>施工期每天人数约</w:t>
            </w:r>
            <w:r>
              <w:rPr>
                <w:rFonts w:hint="eastAsia" w:cs="Times New Roman"/>
                <w:b w:val="0"/>
                <w:bCs w:val="0"/>
                <w:color w:val="auto"/>
                <w:sz w:val="24"/>
                <w:lang w:val="en-US" w:eastAsia="zh-CN"/>
              </w:rPr>
              <w:t>40</w:t>
            </w:r>
            <w:r>
              <w:rPr>
                <w:rFonts w:hint="default" w:ascii="Times New Roman" w:hAnsi="Times New Roman" w:eastAsia="宋体" w:cs="Times New Roman"/>
                <w:b w:val="0"/>
                <w:bCs w:val="0"/>
                <w:color w:val="auto"/>
                <w:sz w:val="24"/>
              </w:rPr>
              <w:t>人，施工期</w:t>
            </w:r>
            <w:r>
              <w:rPr>
                <w:rFonts w:hint="eastAsia" w:cs="Times New Roman"/>
                <w:b w:val="0"/>
                <w:bCs w:val="0"/>
                <w:color w:val="auto"/>
                <w:sz w:val="24"/>
                <w:lang w:val="en-US" w:eastAsia="zh-CN"/>
              </w:rPr>
              <w:t>10</w:t>
            </w:r>
            <w:r>
              <w:rPr>
                <w:rFonts w:hint="default" w:ascii="Times New Roman" w:hAnsi="Times New Roman" w:eastAsia="宋体" w:cs="Times New Roman"/>
                <w:b w:val="0"/>
                <w:bCs w:val="0"/>
                <w:color w:val="auto"/>
                <w:sz w:val="24"/>
              </w:rPr>
              <w:t>个月，施工人员租用当地现有房屋，施工期项目区无生活废水排放，施工场地设置临时移动厕所，方便施工人员使用，产生的粪便污水定时</w:t>
            </w:r>
            <w:r>
              <w:rPr>
                <w:rFonts w:hint="eastAsia" w:cs="Times New Roman"/>
                <w:b w:val="0"/>
                <w:bCs w:val="0"/>
                <w:color w:val="auto"/>
                <w:sz w:val="24"/>
                <w:lang w:val="en-US" w:eastAsia="zh-CN"/>
              </w:rPr>
              <w:t>委托相关环卫部门</w:t>
            </w:r>
            <w:r>
              <w:rPr>
                <w:rFonts w:hint="default" w:ascii="Times New Roman" w:hAnsi="Times New Roman" w:eastAsia="宋体" w:cs="Times New Roman"/>
                <w:b w:val="0"/>
                <w:bCs w:val="0"/>
                <w:color w:val="auto"/>
                <w:sz w:val="24"/>
              </w:rPr>
              <w:t>处理，对项目区周围水环境产生影响程度较小。</w:t>
            </w:r>
          </w:p>
          <w:p w14:paraId="714E5E68">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噪声影响分析</w:t>
            </w:r>
          </w:p>
          <w:p w14:paraId="4118C904">
            <w:pPr>
              <w:pageBreakBefore w:val="0"/>
              <w:kinsoku/>
              <w:wordWrap/>
              <w:overflowPunct/>
              <w:bidi w:val="0"/>
              <w:spacing w:line="360" w:lineRule="auto"/>
              <w:ind w:left="0" w:leftChars="0" w:right="0" w:rightChars="0" w:firstLine="537" w:firstLineChars="224"/>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噪声源主要为施工作业机械，根据类比调查和资料分析，本项目拟采用的各类建筑施工机械产噪值如下：</w:t>
            </w:r>
          </w:p>
          <w:p w14:paraId="4F8012B2">
            <w:pPr>
              <w:pStyle w:val="48"/>
              <w:spacing w:line="360" w:lineRule="auto"/>
              <w:ind w:firstLine="0" w:firstLineChars="0"/>
              <w:jc w:val="center"/>
              <w:textAlignment w:val="baseline"/>
              <w:rPr>
                <w:rFonts w:hint="default" w:ascii="Times New Roman" w:hAnsi="Times New Roman" w:eastAsia="宋体" w:cs="Times New Roman"/>
                <w:b/>
                <w:bCs w:val="0"/>
                <w:snapToGrid w:val="0"/>
                <w:color w:val="auto"/>
                <w:sz w:val="24"/>
                <w:szCs w:val="24"/>
                <w:lang w:eastAsia="zh-CN"/>
              </w:rPr>
            </w:pPr>
            <w:r>
              <w:rPr>
                <w:rFonts w:hint="default" w:ascii="Times New Roman" w:hAnsi="Times New Roman" w:eastAsia="宋体" w:cs="Times New Roman"/>
                <w:b/>
                <w:bCs w:val="0"/>
                <w:snapToGrid w:val="0"/>
                <w:color w:val="auto"/>
                <w:sz w:val="24"/>
                <w:szCs w:val="24"/>
                <w:lang w:eastAsia="zh-CN"/>
              </w:rPr>
              <w:t>表4-</w:t>
            </w:r>
            <w:r>
              <w:rPr>
                <w:rFonts w:hint="default" w:ascii="Times New Roman" w:hAnsi="Times New Roman" w:eastAsia="宋体" w:cs="Times New Roman"/>
                <w:b/>
                <w:bCs w:val="0"/>
                <w:snapToGrid w:val="0"/>
                <w:color w:val="auto"/>
                <w:sz w:val="24"/>
                <w:szCs w:val="24"/>
                <w:lang w:val="en-US" w:eastAsia="zh-CN"/>
              </w:rPr>
              <w:t>3</w:t>
            </w:r>
            <w:r>
              <w:rPr>
                <w:rFonts w:hint="default" w:ascii="Times New Roman" w:hAnsi="Times New Roman" w:eastAsia="宋体" w:cs="Times New Roman"/>
                <w:b/>
                <w:bCs w:val="0"/>
                <w:snapToGrid w:val="0"/>
                <w:color w:val="auto"/>
                <w:sz w:val="24"/>
                <w:szCs w:val="24"/>
                <w:lang w:eastAsia="zh-CN"/>
              </w:rPr>
              <w:t>主要施工机械产噪情况</w:t>
            </w:r>
          </w:p>
          <w:tbl>
            <w:tblPr>
              <w:tblStyle w:val="3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44"/>
              <w:gridCol w:w="2544"/>
              <w:gridCol w:w="2544"/>
            </w:tblGrid>
            <w:tr w14:paraId="08CAAF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exact"/>
                <w:jc w:val="center"/>
              </w:trPr>
              <w:tc>
                <w:tcPr>
                  <w:tcW w:w="1666" w:type="pct"/>
                  <w:tcBorders>
                    <w:tl2br w:val="nil"/>
                    <w:tr2bl w:val="nil"/>
                  </w:tcBorders>
                  <w:noWrap w:val="0"/>
                  <w:vAlign w:val="center"/>
                </w:tcPr>
                <w:p w14:paraId="0EE97446">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设备名称</w:t>
                  </w:r>
                </w:p>
              </w:tc>
              <w:tc>
                <w:tcPr>
                  <w:tcW w:w="1666" w:type="pct"/>
                  <w:tcBorders>
                    <w:tl2br w:val="nil"/>
                    <w:tr2bl w:val="nil"/>
                  </w:tcBorders>
                  <w:noWrap w:val="0"/>
                  <w:vAlign w:val="center"/>
                </w:tcPr>
                <w:p w14:paraId="3DA2935B">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噪声测距（m）</w:t>
                  </w:r>
                </w:p>
              </w:tc>
              <w:tc>
                <w:tcPr>
                  <w:tcW w:w="1666" w:type="pct"/>
                  <w:tcBorders>
                    <w:tl2br w:val="nil"/>
                    <w:tr2bl w:val="nil"/>
                  </w:tcBorders>
                  <w:noWrap w:val="0"/>
                  <w:vAlign w:val="center"/>
                </w:tcPr>
                <w:p w14:paraId="6096FF3B">
                  <w:pPr>
                    <w:pageBreakBefore w:val="0"/>
                    <w:kinsoku/>
                    <w:wordWrap/>
                    <w:overflowPunct/>
                    <w:bidi w:val="0"/>
                    <w:ind w:left="0" w:leftChars="0" w:right="0" w:rightChars="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源强（dB）</w:t>
                  </w:r>
                </w:p>
              </w:tc>
            </w:tr>
            <w:tr w14:paraId="02B8EE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exact"/>
                <w:jc w:val="center"/>
              </w:trPr>
              <w:tc>
                <w:tcPr>
                  <w:tcW w:w="1666" w:type="pct"/>
                  <w:tcBorders>
                    <w:tl2br w:val="nil"/>
                    <w:tr2bl w:val="nil"/>
                  </w:tcBorders>
                  <w:noWrap w:val="0"/>
                  <w:vAlign w:val="center"/>
                </w:tcPr>
                <w:p w14:paraId="2C7E6612">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装载机</w:t>
                  </w:r>
                </w:p>
              </w:tc>
              <w:tc>
                <w:tcPr>
                  <w:tcW w:w="1666" w:type="pct"/>
                  <w:tcBorders>
                    <w:tl2br w:val="nil"/>
                    <w:tr2bl w:val="nil"/>
                  </w:tcBorders>
                  <w:noWrap w:val="0"/>
                  <w:vAlign w:val="center"/>
                </w:tcPr>
                <w:p w14:paraId="1D9A6D0C">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1</w:t>
                  </w:r>
                </w:p>
              </w:tc>
              <w:tc>
                <w:tcPr>
                  <w:tcW w:w="1666" w:type="pct"/>
                  <w:tcBorders>
                    <w:tl2br w:val="nil"/>
                    <w:tr2bl w:val="nil"/>
                  </w:tcBorders>
                  <w:noWrap w:val="0"/>
                  <w:vAlign w:val="center"/>
                </w:tcPr>
                <w:p w14:paraId="1BCED0EC">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Ansi="宋体"/>
                      <w:color w:val="auto"/>
                      <w:spacing w:val="-10"/>
                      <w:kern w:val="2"/>
                      <w:sz w:val="21"/>
                      <w:szCs w:val="21"/>
                      <w:highlight w:val="none"/>
                    </w:rPr>
                    <w:t>90</w:t>
                  </w:r>
                </w:p>
              </w:tc>
            </w:tr>
            <w:tr w14:paraId="455A84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exact"/>
                <w:jc w:val="center"/>
              </w:trPr>
              <w:tc>
                <w:tcPr>
                  <w:tcW w:w="1666" w:type="pct"/>
                  <w:tcBorders>
                    <w:tl2br w:val="nil"/>
                    <w:tr2bl w:val="nil"/>
                  </w:tcBorders>
                  <w:noWrap w:val="0"/>
                  <w:vAlign w:val="center"/>
                </w:tcPr>
                <w:p w14:paraId="1B951AD1">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平地机</w:t>
                  </w:r>
                </w:p>
              </w:tc>
              <w:tc>
                <w:tcPr>
                  <w:tcW w:w="1666" w:type="pct"/>
                  <w:tcBorders>
                    <w:tl2br w:val="nil"/>
                    <w:tr2bl w:val="nil"/>
                  </w:tcBorders>
                  <w:noWrap w:val="0"/>
                  <w:vAlign w:val="center"/>
                </w:tcPr>
                <w:p w14:paraId="7E2B8904">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1</w:t>
                  </w:r>
                </w:p>
              </w:tc>
              <w:tc>
                <w:tcPr>
                  <w:tcW w:w="1666" w:type="pct"/>
                  <w:tcBorders>
                    <w:tl2br w:val="nil"/>
                    <w:tr2bl w:val="nil"/>
                  </w:tcBorders>
                  <w:noWrap w:val="0"/>
                  <w:vAlign w:val="center"/>
                </w:tcPr>
                <w:p w14:paraId="5826F645">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Ansi="宋体"/>
                      <w:color w:val="auto"/>
                      <w:spacing w:val="-10"/>
                      <w:kern w:val="2"/>
                      <w:sz w:val="21"/>
                      <w:szCs w:val="21"/>
                      <w:highlight w:val="none"/>
                    </w:rPr>
                    <w:t>90</w:t>
                  </w:r>
                </w:p>
              </w:tc>
            </w:tr>
            <w:tr w14:paraId="471841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exact"/>
                <w:jc w:val="center"/>
              </w:trPr>
              <w:tc>
                <w:tcPr>
                  <w:tcW w:w="1666" w:type="pct"/>
                  <w:tcBorders>
                    <w:tl2br w:val="nil"/>
                    <w:tr2bl w:val="nil"/>
                  </w:tcBorders>
                  <w:noWrap w:val="0"/>
                  <w:vAlign w:val="center"/>
                </w:tcPr>
                <w:p w14:paraId="4556E788">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推土机</w:t>
                  </w:r>
                </w:p>
              </w:tc>
              <w:tc>
                <w:tcPr>
                  <w:tcW w:w="1666" w:type="pct"/>
                  <w:tcBorders>
                    <w:tl2br w:val="nil"/>
                    <w:tr2bl w:val="nil"/>
                  </w:tcBorders>
                  <w:noWrap w:val="0"/>
                  <w:vAlign w:val="center"/>
                </w:tcPr>
                <w:p w14:paraId="372A7944">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1</w:t>
                  </w:r>
                </w:p>
              </w:tc>
              <w:tc>
                <w:tcPr>
                  <w:tcW w:w="1666" w:type="pct"/>
                  <w:tcBorders>
                    <w:tl2br w:val="nil"/>
                    <w:tr2bl w:val="nil"/>
                  </w:tcBorders>
                  <w:noWrap w:val="0"/>
                  <w:vAlign w:val="center"/>
                </w:tcPr>
                <w:p w14:paraId="091C820B">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Ansi="宋体"/>
                      <w:color w:val="auto"/>
                      <w:spacing w:val="-10"/>
                      <w:kern w:val="2"/>
                      <w:sz w:val="21"/>
                      <w:szCs w:val="21"/>
                      <w:highlight w:val="none"/>
                    </w:rPr>
                    <w:t>86</w:t>
                  </w:r>
                </w:p>
              </w:tc>
            </w:tr>
            <w:tr w14:paraId="2964C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exact"/>
                <w:jc w:val="center"/>
              </w:trPr>
              <w:tc>
                <w:tcPr>
                  <w:tcW w:w="1666" w:type="pct"/>
                  <w:tcBorders>
                    <w:tl2br w:val="nil"/>
                    <w:tr2bl w:val="nil"/>
                  </w:tcBorders>
                  <w:noWrap w:val="0"/>
                  <w:vAlign w:val="center"/>
                </w:tcPr>
                <w:p w14:paraId="199E6B05">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挖掘机</w:t>
                  </w:r>
                </w:p>
              </w:tc>
              <w:tc>
                <w:tcPr>
                  <w:tcW w:w="1666" w:type="pct"/>
                  <w:tcBorders>
                    <w:tl2br w:val="nil"/>
                    <w:tr2bl w:val="nil"/>
                  </w:tcBorders>
                  <w:noWrap w:val="0"/>
                  <w:vAlign w:val="center"/>
                </w:tcPr>
                <w:p w14:paraId="024EB624">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1</w:t>
                  </w:r>
                </w:p>
              </w:tc>
              <w:tc>
                <w:tcPr>
                  <w:tcW w:w="1666" w:type="pct"/>
                  <w:tcBorders>
                    <w:tl2br w:val="nil"/>
                    <w:tr2bl w:val="nil"/>
                  </w:tcBorders>
                  <w:noWrap w:val="0"/>
                  <w:vAlign w:val="center"/>
                </w:tcPr>
                <w:p w14:paraId="0C801837">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Ansi="宋体"/>
                      <w:color w:val="auto"/>
                      <w:spacing w:val="-10"/>
                      <w:kern w:val="2"/>
                      <w:sz w:val="21"/>
                      <w:szCs w:val="21"/>
                      <w:highlight w:val="none"/>
                    </w:rPr>
                    <w:t>84</w:t>
                  </w:r>
                </w:p>
              </w:tc>
            </w:tr>
            <w:tr w14:paraId="52624A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exact"/>
                <w:jc w:val="center"/>
              </w:trPr>
              <w:tc>
                <w:tcPr>
                  <w:tcW w:w="1666" w:type="pct"/>
                  <w:tcBorders>
                    <w:tl2br w:val="nil"/>
                    <w:tr2bl w:val="nil"/>
                  </w:tcBorders>
                  <w:noWrap w:val="0"/>
                  <w:vAlign w:val="center"/>
                </w:tcPr>
                <w:p w14:paraId="2BE9D687">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柴油发电机</w:t>
                  </w:r>
                </w:p>
              </w:tc>
              <w:tc>
                <w:tcPr>
                  <w:tcW w:w="1666" w:type="pct"/>
                  <w:tcBorders>
                    <w:tl2br w:val="nil"/>
                    <w:tr2bl w:val="nil"/>
                  </w:tcBorders>
                  <w:noWrap w:val="0"/>
                  <w:vAlign w:val="center"/>
                </w:tcPr>
                <w:p w14:paraId="09A79DEE">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Cs w:val="21"/>
                    </w:rPr>
                  </w:pPr>
                  <w:r>
                    <w:rPr>
                      <w:rFonts w:hint="eastAsia" w:hAnsi="宋体"/>
                      <w:color w:val="auto"/>
                      <w:spacing w:val="-10"/>
                      <w:kern w:val="2"/>
                      <w:sz w:val="21"/>
                      <w:szCs w:val="21"/>
                      <w:highlight w:val="none"/>
                    </w:rPr>
                    <w:t>1</w:t>
                  </w:r>
                </w:p>
              </w:tc>
              <w:tc>
                <w:tcPr>
                  <w:tcW w:w="1666" w:type="pct"/>
                  <w:tcBorders>
                    <w:tl2br w:val="nil"/>
                    <w:tr2bl w:val="nil"/>
                  </w:tcBorders>
                  <w:noWrap w:val="0"/>
                  <w:vAlign w:val="center"/>
                </w:tcPr>
                <w:p w14:paraId="768A1B8E">
                  <w:pPr>
                    <w:pStyle w:val="6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rPr>
                  </w:pPr>
                  <w:r>
                    <w:rPr>
                      <w:rFonts w:hint="eastAsia" w:hAnsi="宋体"/>
                      <w:color w:val="auto"/>
                      <w:spacing w:val="-10"/>
                      <w:kern w:val="2"/>
                      <w:sz w:val="21"/>
                      <w:szCs w:val="21"/>
                      <w:highlight w:val="none"/>
                    </w:rPr>
                    <w:t>85</w:t>
                  </w:r>
                </w:p>
              </w:tc>
            </w:tr>
            <w:bookmarkEnd w:id="20"/>
          </w:tbl>
          <w:p w14:paraId="69E029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highlight w:val="none"/>
              </w:rPr>
            </w:pPr>
            <w:r>
              <w:rPr>
                <w:rFonts w:hint="eastAsia"/>
                <w:color w:val="auto"/>
                <w:sz w:val="24"/>
                <w:highlight w:val="none"/>
              </w:rPr>
              <w:t>本项目</w:t>
            </w:r>
            <w:r>
              <w:rPr>
                <w:rFonts w:hint="eastAsia"/>
                <w:color w:val="auto"/>
                <w:sz w:val="24"/>
                <w:highlight w:val="none"/>
                <w:lang w:val="en-US" w:eastAsia="zh-CN"/>
              </w:rPr>
              <w:t>临近居民区</w:t>
            </w:r>
            <w:r>
              <w:rPr>
                <w:rFonts w:hint="eastAsia"/>
                <w:color w:val="auto"/>
                <w:sz w:val="24"/>
                <w:highlight w:val="none"/>
              </w:rPr>
              <w:t>施工场界安装不低于2米围挡，围挡可以起到降噪作用，降噪效果在10dB</w:t>
            </w:r>
            <w:r>
              <w:rPr>
                <w:rFonts w:hint="eastAsia"/>
                <w:color w:val="auto"/>
                <w:sz w:val="24"/>
                <w:highlight w:val="none"/>
                <w:lang w:eastAsia="zh-CN"/>
              </w:rPr>
              <w:t>（</w:t>
            </w:r>
            <w:r>
              <w:rPr>
                <w:rFonts w:hint="eastAsia"/>
                <w:color w:val="auto"/>
                <w:sz w:val="24"/>
                <w:highlight w:val="none"/>
              </w:rPr>
              <w:t>A</w:t>
            </w:r>
            <w:r>
              <w:rPr>
                <w:rFonts w:hint="eastAsia"/>
                <w:color w:val="auto"/>
                <w:sz w:val="24"/>
                <w:highlight w:val="none"/>
                <w:lang w:eastAsia="zh-CN"/>
              </w:rPr>
              <w:t>）</w:t>
            </w:r>
            <w:r>
              <w:rPr>
                <w:rFonts w:hint="eastAsia"/>
                <w:color w:val="auto"/>
                <w:sz w:val="24"/>
                <w:highlight w:val="none"/>
              </w:rPr>
              <w:t>。施工期噪声可近似视为点声源处理，其衰减模式如下：</w:t>
            </w:r>
          </w:p>
          <w:p w14:paraId="75EC773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object>
                <v:shape id="_x0000_i1025" o:spt="75" type="#_x0000_t75" style="height:19pt;width:137pt;" o:ole="t" filled="f" o:preferrelative="t" stroked="f" coordsize="21600,21600">
                  <v:path/>
                  <v:fill on="f" focussize="0,0"/>
                  <v:stroke on="f"/>
                  <v:imagedata r:id="rId20" o:title=""/>
                  <o:lock v:ext="edit" aspectratio="t"/>
                  <w10:wrap type="none"/>
                  <w10:anchorlock/>
                </v:shape>
                <o:OLEObject Type="Embed" ProgID="Equation.KSEE3" ShapeID="_x0000_i1025" DrawAspect="Content" ObjectID="_1468075725" r:id="rId19">
                  <o:LockedField>false</o:LockedField>
                </o:OLEObject>
              </w:object>
            </w:r>
          </w:p>
          <w:p w14:paraId="57526C7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式中：Lp（r）—预测点处声压级，dB；</w:t>
            </w:r>
          </w:p>
          <w:p w14:paraId="593BE9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Lp（r0）—参考位置r0处的声压级，dB；</w:t>
            </w:r>
          </w:p>
          <w:p w14:paraId="68601F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r—预测点距离声源的距离；</w:t>
            </w:r>
          </w:p>
          <w:p w14:paraId="4F3FFF8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r0—参考位置距离声源的距离；</w:t>
            </w:r>
          </w:p>
          <w:p w14:paraId="50FC14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rPr>
              <w:t>距离施工机械不同距离处的声级详见表</w:t>
            </w:r>
            <w:r>
              <w:rPr>
                <w:rFonts w:hint="eastAsia" w:ascii="Times New Roman" w:hAnsi="Times New Roman" w:eastAsia="宋体" w:cs="Times New Roman"/>
                <w:color w:val="auto"/>
                <w:sz w:val="24"/>
                <w:highlight w:val="none"/>
                <w:lang w:val="en-US" w:eastAsia="zh-CN"/>
              </w:rPr>
              <w:t>4-4。</w:t>
            </w:r>
          </w:p>
          <w:p w14:paraId="181D47BF">
            <w:pPr>
              <w:pStyle w:val="48"/>
              <w:spacing w:line="440" w:lineRule="exact"/>
              <w:ind w:firstLine="0" w:firstLineChars="0"/>
              <w:jc w:val="center"/>
              <w:textAlignment w:val="baseline"/>
              <w:rPr>
                <w:rFonts w:hint="default" w:ascii="Times New Roman" w:hAnsi="Times New Roman" w:eastAsia="宋体" w:cs="Times New Roman"/>
                <w:b/>
                <w:bCs w:val="0"/>
                <w:snapToGrid w:val="0"/>
                <w:color w:val="auto"/>
                <w:sz w:val="24"/>
                <w:szCs w:val="24"/>
                <w:lang w:eastAsia="zh-CN"/>
              </w:rPr>
            </w:pPr>
            <w:r>
              <w:rPr>
                <w:rFonts w:hint="default" w:ascii="Times New Roman" w:hAnsi="Times New Roman" w:eastAsia="宋体" w:cs="Times New Roman"/>
                <w:b/>
                <w:bCs w:val="0"/>
                <w:snapToGrid w:val="0"/>
                <w:color w:val="auto"/>
                <w:sz w:val="24"/>
                <w:szCs w:val="24"/>
                <w:lang w:eastAsia="zh-CN"/>
              </w:rPr>
              <w:t>表4-</w:t>
            </w:r>
            <w:r>
              <w:rPr>
                <w:rFonts w:hint="default" w:ascii="Times New Roman" w:hAnsi="Times New Roman" w:eastAsia="宋体" w:cs="Times New Roman"/>
                <w:b/>
                <w:bCs w:val="0"/>
                <w:snapToGrid w:val="0"/>
                <w:color w:val="auto"/>
                <w:sz w:val="24"/>
                <w:szCs w:val="24"/>
                <w:lang w:val="en-US" w:eastAsia="zh-CN"/>
              </w:rPr>
              <w:t>4</w:t>
            </w:r>
            <w:r>
              <w:rPr>
                <w:rFonts w:hint="default" w:ascii="Times New Roman" w:hAnsi="Times New Roman" w:eastAsia="宋体" w:cs="Times New Roman"/>
                <w:b/>
                <w:bCs w:val="0"/>
                <w:snapToGrid w:val="0"/>
                <w:color w:val="auto"/>
                <w:sz w:val="24"/>
                <w:szCs w:val="24"/>
                <w:lang w:eastAsia="zh-CN"/>
              </w:rPr>
              <w:t>施工机械噪声影响范围</w:t>
            </w:r>
          </w:p>
          <w:tbl>
            <w:tblPr>
              <w:tblStyle w:val="3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1247"/>
              <w:gridCol w:w="703"/>
              <w:gridCol w:w="541"/>
              <w:gridCol w:w="761"/>
              <w:gridCol w:w="761"/>
              <w:gridCol w:w="761"/>
              <w:gridCol w:w="761"/>
              <w:gridCol w:w="788"/>
              <w:gridCol w:w="761"/>
            </w:tblGrid>
            <w:tr w14:paraId="42A320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1" w:type="pct"/>
                  <w:vMerge w:val="restart"/>
                  <w:tcBorders>
                    <w:tl2br w:val="nil"/>
                    <w:tr2bl w:val="nil"/>
                  </w:tcBorders>
                  <w:noWrap w:val="0"/>
                  <w:vAlign w:val="center"/>
                </w:tcPr>
                <w:p w14:paraId="0128983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816" w:type="pct"/>
                  <w:vMerge w:val="restart"/>
                  <w:tcBorders>
                    <w:tl2br w:val="nil"/>
                    <w:tr2bl w:val="nil"/>
                  </w:tcBorders>
                  <w:noWrap w:val="0"/>
                  <w:vAlign w:val="center"/>
                </w:tcPr>
                <w:p w14:paraId="091780A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设备</w:t>
                  </w:r>
                </w:p>
              </w:tc>
              <w:tc>
                <w:tcPr>
                  <w:tcW w:w="460" w:type="pct"/>
                  <w:vMerge w:val="restart"/>
                  <w:tcBorders>
                    <w:tl2br w:val="nil"/>
                    <w:tr2bl w:val="nil"/>
                  </w:tcBorders>
                  <w:noWrap w:val="0"/>
                  <w:vAlign w:val="center"/>
                </w:tcPr>
                <w:p w14:paraId="4C00153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声功率</w:t>
                  </w:r>
                </w:p>
              </w:tc>
              <w:tc>
                <w:tcPr>
                  <w:tcW w:w="2862" w:type="pct"/>
                  <w:gridSpan w:val="6"/>
                  <w:tcBorders>
                    <w:tl2br w:val="nil"/>
                    <w:tr2bl w:val="nil"/>
                  </w:tcBorders>
                  <w:noWrap w:val="0"/>
                  <w:vAlign w:val="center"/>
                </w:tcPr>
                <w:p w14:paraId="4B0BBBD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不同距离噪声值（m）</w:t>
                  </w:r>
                </w:p>
              </w:tc>
              <w:tc>
                <w:tcPr>
                  <w:tcW w:w="498" w:type="pct"/>
                  <w:tcBorders>
                    <w:tl2br w:val="nil"/>
                    <w:tr2bl w:val="nil"/>
                  </w:tcBorders>
                  <w:noWrap w:val="0"/>
                  <w:vAlign w:val="center"/>
                </w:tcPr>
                <w:p w14:paraId="0EA6ACF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厂界噪声</w:t>
                  </w:r>
                </w:p>
                <w:p w14:paraId="3ACEA99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限值</w:t>
                  </w:r>
                </w:p>
              </w:tc>
            </w:tr>
            <w:tr w14:paraId="2AAC05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1" w:type="pct"/>
                  <w:vMerge w:val="continue"/>
                  <w:tcBorders>
                    <w:tl2br w:val="nil"/>
                    <w:tr2bl w:val="nil"/>
                  </w:tcBorders>
                  <w:noWrap w:val="0"/>
                  <w:vAlign w:val="center"/>
                </w:tcPr>
                <w:p w14:paraId="3F2B0EB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816" w:type="pct"/>
                  <w:vMerge w:val="continue"/>
                  <w:tcBorders>
                    <w:tl2br w:val="nil"/>
                    <w:tr2bl w:val="nil"/>
                  </w:tcBorders>
                  <w:noWrap w:val="0"/>
                  <w:vAlign w:val="center"/>
                </w:tcPr>
                <w:p w14:paraId="4E3397B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460" w:type="pct"/>
                  <w:vMerge w:val="continue"/>
                  <w:tcBorders>
                    <w:tl2br w:val="nil"/>
                    <w:tr2bl w:val="nil"/>
                  </w:tcBorders>
                  <w:noWrap w:val="0"/>
                  <w:vAlign w:val="center"/>
                </w:tcPr>
                <w:p w14:paraId="2D2918A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54" w:type="pct"/>
                  <w:tcBorders>
                    <w:tl2br w:val="nil"/>
                    <w:tr2bl w:val="nil"/>
                  </w:tcBorders>
                  <w:noWrap w:val="0"/>
                  <w:vAlign w:val="center"/>
                </w:tcPr>
                <w:p w14:paraId="56CE8A4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5</w:t>
                  </w:r>
                </w:p>
              </w:tc>
              <w:tc>
                <w:tcPr>
                  <w:tcW w:w="498" w:type="pct"/>
                  <w:tcBorders>
                    <w:tl2br w:val="nil"/>
                    <w:tr2bl w:val="nil"/>
                  </w:tcBorders>
                  <w:noWrap w:val="0"/>
                  <w:vAlign w:val="center"/>
                </w:tcPr>
                <w:p w14:paraId="19C3347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10</w:t>
                  </w:r>
                </w:p>
              </w:tc>
              <w:tc>
                <w:tcPr>
                  <w:tcW w:w="498" w:type="pct"/>
                  <w:tcBorders>
                    <w:tl2br w:val="nil"/>
                    <w:tr2bl w:val="nil"/>
                  </w:tcBorders>
                  <w:noWrap w:val="0"/>
                  <w:vAlign w:val="center"/>
                </w:tcPr>
                <w:p w14:paraId="610E718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20</w:t>
                  </w:r>
                </w:p>
              </w:tc>
              <w:tc>
                <w:tcPr>
                  <w:tcW w:w="498" w:type="pct"/>
                  <w:tcBorders>
                    <w:tl2br w:val="nil"/>
                    <w:tr2bl w:val="nil"/>
                  </w:tcBorders>
                  <w:noWrap w:val="0"/>
                  <w:vAlign w:val="center"/>
                </w:tcPr>
                <w:p w14:paraId="2F89FB6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30</w:t>
                  </w:r>
                </w:p>
              </w:tc>
              <w:tc>
                <w:tcPr>
                  <w:tcW w:w="498" w:type="pct"/>
                  <w:tcBorders>
                    <w:tl2br w:val="nil"/>
                    <w:tr2bl w:val="nil"/>
                  </w:tcBorders>
                  <w:noWrap w:val="0"/>
                  <w:vAlign w:val="center"/>
                </w:tcPr>
                <w:p w14:paraId="3E4569D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40</w:t>
                  </w:r>
                </w:p>
              </w:tc>
              <w:tc>
                <w:tcPr>
                  <w:tcW w:w="514" w:type="pct"/>
                  <w:tcBorders>
                    <w:tl2br w:val="nil"/>
                    <w:tr2bl w:val="nil"/>
                  </w:tcBorders>
                  <w:noWrap w:val="0"/>
                  <w:vAlign w:val="center"/>
                </w:tcPr>
                <w:p w14:paraId="0CF3C66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50</w:t>
                  </w:r>
                </w:p>
              </w:tc>
              <w:tc>
                <w:tcPr>
                  <w:tcW w:w="498" w:type="pct"/>
                  <w:tcBorders>
                    <w:tl2br w:val="nil"/>
                    <w:tr2bl w:val="nil"/>
                  </w:tcBorders>
                  <w:noWrap w:val="0"/>
                  <w:vAlign w:val="center"/>
                </w:tcPr>
                <w:p w14:paraId="3F1A27D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昼间</w:t>
                  </w:r>
                </w:p>
              </w:tc>
            </w:tr>
            <w:tr w14:paraId="575069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1" w:type="pct"/>
                  <w:tcBorders>
                    <w:tl2br w:val="nil"/>
                    <w:tr2bl w:val="nil"/>
                  </w:tcBorders>
                  <w:noWrap w:val="0"/>
                  <w:vAlign w:val="center"/>
                </w:tcPr>
                <w:p w14:paraId="2BB4196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816" w:type="pct"/>
                  <w:tcBorders>
                    <w:tl2br w:val="nil"/>
                    <w:tr2bl w:val="nil"/>
                  </w:tcBorders>
                  <w:noWrap w:val="0"/>
                  <w:vAlign w:val="center"/>
                </w:tcPr>
                <w:p w14:paraId="41B24EA3">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装载机</w:t>
                  </w:r>
                </w:p>
              </w:tc>
              <w:tc>
                <w:tcPr>
                  <w:tcW w:w="460" w:type="pct"/>
                  <w:tcBorders>
                    <w:tl2br w:val="nil"/>
                    <w:tr2bl w:val="nil"/>
                  </w:tcBorders>
                  <w:noWrap w:val="0"/>
                  <w:vAlign w:val="center"/>
                </w:tcPr>
                <w:p w14:paraId="1DF6EB4E">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90</w:t>
                  </w:r>
                </w:p>
              </w:tc>
              <w:tc>
                <w:tcPr>
                  <w:tcW w:w="354" w:type="pct"/>
                  <w:tcBorders>
                    <w:tl2br w:val="nil"/>
                    <w:tr2bl w:val="nil"/>
                  </w:tcBorders>
                  <w:noWrap w:val="0"/>
                  <w:vAlign w:val="center"/>
                </w:tcPr>
                <w:p w14:paraId="427C0D7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76</w:t>
                  </w:r>
                </w:p>
              </w:tc>
              <w:tc>
                <w:tcPr>
                  <w:tcW w:w="498" w:type="pct"/>
                  <w:tcBorders>
                    <w:tl2br w:val="nil"/>
                    <w:tr2bl w:val="nil"/>
                  </w:tcBorders>
                  <w:noWrap w:val="0"/>
                  <w:vAlign w:val="center"/>
                </w:tcPr>
                <w:p w14:paraId="67C8734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498" w:type="pct"/>
                  <w:tcBorders>
                    <w:tl2br w:val="nil"/>
                    <w:tr2bl w:val="nil"/>
                  </w:tcBorders>
                  <w:noWrap w:val="0"/>
                  <w:vAlign w:val="center"/>
                </w:tcPr>
                <w:p w14:paraId="06FDAA4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64</w:t>
                  </w:r>
                </w:p>
              </w:tc>
              <w:tc>
                <w:tcPr>
                  <w:tcW w:w="498" w:type="pct"/>
                  <w:tcBorders>
                    <w:tl2br w:val="nil"/>
                    <w:tr2bl w:val="nil"/>
                  </w:tcBorders>
                  <w:noWrap w:val="0"/>
                  <w:vAlign w:val="center"/>
                </w:tcPr>
                <w:p w14:paraId="6BCF2F9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498" w:type="pct"/>
                  <w:tcBorders>
                    <w:tl2br w:val="nil"/>
                    <w:tr2bl w:val="nil"/>
                  </w:tcBorders>
                  <w:noWrap w:val="0"/>
                  <w:vAlign w:val="center"/>
                </w:tcPr>
                <w:p w14:paraId="2290365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58</w:t>
                  </w:r>
                </w:p>
              </w:tc>
              <w:tc>
                <w:tcPr>
                  <w:tcW w:w="514" w:type="pct"/>
                  <w:tcBorders>
                    <w:tl2br w:val="nil"/>
                    <w:tr2bl w:val="nil"/>
                  </w:tcBorders>
                  <w:noWrap w:val="0"/>
                  <w:vAlign w:val="center"/>
                </w:tcPr>
                <w:p w14:paraId="233F64E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56</w:t>
                  </w:r>
                </w:p>
              </w:tc>
              <w:tc>
                <w:tcPr>
                  <w:tcW w:w="498" w:type="pct"/>
                  <w:vMerge w:val="restart"/>
                  <w:tcBorders>
                    <w:tl2br w:val="nil"/>
                    <w:tr2bl w:val="nil"/>
                  </w:tcBorders>
                  <w:noWrap w:val="0"/>
                  <w:vAlign w:val="center"/>
                </w:tcPr>
                <w:p w14:paraId="725680C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r>
            <w:tr w14:paraId="7CA70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1" w:type="pct"/>
                  <w:tcBorders>
                    <w:tl2br w:val="nil"/>
                    <w:tr2bl w:val="nil"/>
                  </w:tcBorders>
                  <w:noWrap w:val="0"/>
                  <w:vAlign w:val="center"/>
                </w:tcPr>
                <w:p w14:paraId="651B0E3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816" w:type="pct"/>
                  <w:tcBorders>
                    <w:tl2br w:val="nil"/>
                    <w:tr2bl w:val="nil"/>
                  </w:tcBorders>
                  <w:noWrap w:val="0"/>
                  <w:vAlign w:val="center"/>
                </w:tcPr>
                <w:p w14:paraId="77DAE1AF">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平地机</w:t>
                  </w:r>
                </w:p>
              </w:tc>
              <w:tc>
                <w:tcPr>
                  <w:tcW w:w="460" w:type="pct"/>
                  <w:tcBorders>
                    <w:tl2br w:val="nil"/>
                    <w:tr2bl w:val="nil"/>
                  </w:tcBorders>
                  <w:noWrap w:val="0"/>
                  <w:vAlign w:val="center"/>
                </w:tcPr>
                <w:p w14:paraId="186B82E2">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90</w:t>
                  </w:r>
                </w:p>
              </w:tc>
              <w:tc>
                <w:tcPr>
                  <w:tcW w:w="576" w:type="dxa"/>
                  <w:tcBorders>
                    <w:tl2br w:val="nil"/>
                    <w:tr2bl w:val="nil"/>
                  </w:tcBorders>
                  <w:noWrap w:val="0"/>
                  <w:vAlign w:val="center"/>
                </w:tcPr>
                <w:p w14:paraId="6E7A2B3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76</w:t>
                  </w:r>
                </w:p>
              </w:tc>
              <w:tc>
                <w:tcPr>
                  <w:tcW w:w="811" w:type="dxa"/>
                  <w:tcBorders>
                    <w:tl2br w:val="nil"/>
                    <w:tr2bl w:val="nil"/>
                  </w:tcBorders>
                  <w:noWrap w:val="0"/>
                  <w:vAlign w:val="center"/>
                </w:tcPr>
                <w:p w14:paraId="7AE2228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70</w:t>
                  </w:r>
                </w:p>
              </w:tc>
              <w:tc>
                <w:tcPr>
                  <w:tcW w:w="811" w:type="dxa"/>
                  <w:tcBorders>
                    <w:tl2br w:val="nil"/>
                    <w:tr2bl w:val="nil"/>
                  </w:tcBorders>
                  <w:noWrap w:val="0"/>
                  <w:vAlign w:val="center"/>
                </w:tcPr>
                <w:p w14:paraId="3C91426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64</w:t>
                  </w:r>
                </w:p>
              </w:tc>
              <w:tc>
                <w:tcPr>
                  <w:tcW w:w="811" w:type="dxa"/>
                  <w:tcBorders>
                    <w:tl2br w:val="nil"/>
                    <w:tr2bl w:val="nil"/>
                  </w:tcBorders>
                  <w:noWrap w:val="0"/>
                  <w:vAlign w:val="center"/>
                </w:tcPr>
                <w:p w14:paraId="68C4CF5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60</w:t>
                  </w:r>
                </w:p>
              </w:tc>
              <w:tc>
                <w:tcPr>
                  <w:tcW w:w="811" w:type="dxa"/>
                  <w:tcBorders>
                    <w:tl2br w:val="nil"/>
                    <w:tr2bl w:val="nil"/>
                  </w:tcBorders>
                  <w:noWrap w:val="0"/>
                  <w:vAlign w:val="center"/>
                </w:tcPr>
                <w:p w14:paraId="6AAEEBC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58</w:t>
                  </w:r>
                </w:p>
              </w:tc>
              <w:tc>
                <w:tcPr>
                  <w:tcW w:w="840" w:type="dxa"/>
                  <w:tcBorders>
                    <w:tl2br w:val="nil"/>
                    <w:tr2bl w:val="nil"/>
                  </w:tcBorders>
                  <w:noWrap w:val="0"/>
                  <w:vAlign w:val="center"/>
                </w:tcPr>
                <w:p w14:paraId="7937F78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56</w:t>
                  </w:r>
                </w:p>
              </w:tc>
              <w:tc>
                <w:tcPr>
                  <w:tcW w:w="498" w:type="pct"/>
                  <w:vMerge w:val="continue"/>
                  <w:tcBorders>
                    <w:tl2br w:val="nil"/>
                    <w:tr2bl w:val="nil"/>
                  </w:tcBorders>
                  <w:noWrap w:val="0"/>
                  <w:vAlign w:val="center"/>
                </w:tcPr>
                <w:p w14:paraId="411E401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r>
            <w:tr w14:paraId="064D7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1" w:type="pct"/>
                  <w:tcBorders>
                    <w:tl2br w:val="nil"/>
                    <w:tr2bl w:val="nil"/>
                  </w:tcBorders>
                  <w:noWrap w:val="0"/>
                  <w:vAlign w:val="center"/>
                </w:tcPr>
                <w:p w14:paraId="4F44B52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816" w:type="pct"/>
                  <w:tcBorders>
                    <w:tl2br w:val="nil"/>
                    <w:tr2bl w:val="nil"/>
                  </w:tcBorders>
                  <w:noWrap w:val="0"/>
                  <w:vAlign w:val="center"/>
                </w:tcPr>
                <w:p w14:paraId="7B5255F5">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推土机</w:t>
                  </w:r>
                </w:p>
              </w:tc>
              <w:tc>
                <w:tcPr>
                  <w:tcW w:w="460" w:type="pct"/>
                  <w:tcBorders>
                    <w:tl2br w:val="nil"/>
                    <w:tr2bl w:val="nil"/>
                  </w:tcBorders>
                  <w:noWrap w:val="0"/>
                  <w:vAlign w:val="center"/>
                </w:tcPr>
                <w:p w14:paraId="4D6D2DAD">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86</w:t>
                  </w:r>
                </w:p>
              </w:tc>
              <w:tc>
                <w:tcPr>
                  <w:tcW w:w="354" w:type="pct"/>
                  <w:tcBorders>
                    <w:tl2br w:val="nil"/>
                    <w:tr2bl w:val="nil"/>
                  </w:tcBorders>
                  <w:noWrap w:val="0"/>
                  <w:vAlign w:val="center"/>
                </w:tcPr>
                <w:p w14:paraId="1F25C52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498" w:type="pct"/>
                  <w:tcBorders>
                    <w:tl2br w:val="nil"/>
                    <w:tr2bl w:val="nil"/>
                  </w:tcBorders>
                  <w:noWrap w:val="0"/>
                  <w:vAlign w:val="center"/>
                </w:tcPr>
                <w:p w14:paraId="03DF71E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66</w:t>
                  </w:r>
                </w:p>
              </w:tc>
              <w:tc>
                <w:tcPr>
                  <w:tcW w:w="498" w:type="pct"/>
                  <w:tcBorders>
                    <w:tl2br w:val="nil"/>
                    <w:tr2bl w:val="nil"/>
                  </w:tcBorders>
                  <w:noWrap w:val="0"/>
                  <w:vAlign w:val="center"/>
                </w:tcPr>
                <w:p w14:paraId="11E533A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498" w:type="pct"/>
                  <w:tcBorders>
                    <w:tl2br w:val="nil"/>
                    <w:tr2bl w:val="nil"/>
                  </w:tcBorders>
                  <w:noWrap w:val="0"/>
                  <w:vAlign w:val="center"/>
                </w:tcPr>
                <w:p w14:paraId="3D1C1F1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56</w:t>
                  </w:r>
                </w:p>
              </w:tc>
              <w:tc>
                <w:tcPr>
                  <w:tcW w:w="498" w:type="pct"/>
                  <w:tcBorders>
                    <w:tl2br w:val="nil"/>
                    <w:tr2bl w:val="nil"/>
                  </w:tcBorders>
                  <w:noWrap w:val="0"/>
                  <w:vAlign w:val="center"/>
                </w:tcPr>
                <w:p w14:paraId="7B4A004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54</w:t>
                  </w:r>
                </w:p>
              </w:tc>
              <w:tc>
                <w:tcPr>
                  <w:tcW w:w="514" w:type="pct"/>
                  <w:tcBorders>
                    <w:tl2br w:val="nil"/>
                    <w:tr2bl w:val="nil"/>
                  </w:tcBorders>
                  <w:noWrap w:val="0"/>
                  <w:vAlign w:val="center"/>
                </w:tcPr>
                <w:p w14:paraId="0A8797A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52</w:t>
                  </w:r>
                </w:p>
              </w:tc>
              <w:tc>
                <w:tcPr>
                  <w:tcW w:w="498" w:type="pct"/>
                  <w:vMerge w:val="continue"/>
                  <w:tcBorders>
                    <w:tl2br w:val="nil"/>
                    <w:tr2bl w:val="nil"/>
                  </w:tcBorders>
                  <w:noWrap w:val="0"/>
                  <w:vAlign w:val="center"/>
                </w:tcPr>
                <w:p w14:paraId="329F741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r>
            <w:tr w14:paraId="6C10B4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1" w:type="pct"/>
                  <w:tcBorders>
                    <w:tl2br w:val="nil"/>
                    <w:tr2bl w:val="nil"/>
                  </w:tcBorders>
                  <w:noWrap w:val="0"/>
                  <w:vAlign w:val="center"/>
                </w:tcPr>
                <w:p w14:paraId="2F40BE7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816" w:type="pct"/>
                  <w:tcBorders>
                    <w:tl2br w:val="nil"/>
                    <w:tr2bl w:val="nil"/>
                  </w:tcBorders>
                  <w:noWrap w:val="0"/>
                  <w:vAlign w:val="center"/>
                </w:tcPr>
                <w:p w14:paraId="37C5C774">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挖掘机</w:t>
                  </w:r>
                </w:p>
              </w:tc>
              <w:tc>
                <w:tcPr>
                  <w:tcW w:w="460" w:type="pct"/>
                  <w:tcBorders>
                    <w:tl2br w:val="nil"/>
                    <w:tr2bl w:val="nil"/>
                  </w:tcBorders>
                  <w:noWrap w:val="0"/>
                  <w:vAlign w:val="center"/>
                </w:tcPr>
                <w:p w14:paraId="5049C4B3">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84</w:t>
                  </w:r>
                </w:p>
              </w:tc>
              <w:tc>
                <w:tcPr>
                  <w:tcW w:w="354" w:type="pct"/>
                  <w:tcBorders>
                    <w:tl2br w:val="nil"/>
                    <w:tr2bl w:val="nil"/>
                  </w:tcBorders>
                  <w:noWrap w:val="0"/>
                  <w:vAlign w:val="center"/>
                </w:tcPr>
                <w:p w14:paraId="57D50CB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498" w:type="pct"/>
                  <w:tcBorders>
                    <w:tl2br w:val="nil"/>
                    <w:tr2bl w:val="nil"/>
                  </w:tcBorders>
                  <w:noWrap w:val="0"/>
                  <w:vAlign w:val="center"/>
                </w:tcPr>
                <w:p w14:paraId="06F9D0B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64</w:t>
                  </w:r>
                </w:p>
              </w:tc>
              <w:tc>
                <w:tcPr>
                  <w:tcW w:w="498" w:type="pct"/>
                  <w:tcBorders>
                    <w:tl2br w:val="nil"/>
                    <w:tr2bl w:val="nil"/>
                  </w:tcBorders>
                  <w:noWrap w:val="0"/>
                  <w:vAlign w:val="center"/>
                </w:tcPr>
                <w:p w14:paraId="008B883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58</w:t>
                  </w:r>
                </w:p>
              </w:tc>
              <w:tc>
                <w:tcPr>
                  <w:tcW w:w="498" w:type="pct"/>
                  <w:tcBorders>
                    <w:tl2br w:val="nil"/>
                    <w:tr2bl w:val="nil"/>
                  </w:tcBorders>
                  <w:noWrap w:val="0"/>
                  <w:vAlign w:val="center"/>
                </w:tcPr>
                <w:p w14:paraId="65FC5C0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55</w:t>
                  </w:r>
                </w:p>
              </w:tc>
              <w:tc>
                <w:tcPr>
                  <w:tcW w:w="498" w:type="pct"/>
                  <w:tcBorders>
                    <w:tl2br w:val="nil"/>
                    <w:tr2bl w:val="nil"/>
                  </w:tcBorders>
                  <w:noWrap w:val="0"/>
                  <w:vAlign w:val="center"/>
                </w:tcPr>
                <w:p w14:paraId="616E3E3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52</w:t>
                  </w:r>
                </w:p>
              </w:tc>
              <w:tc>
                <w:tcPr>
                  <w:tcW w:w="514" w:type="pct"/>
                  <w:tcBorders>
                    <w:tl2br w:val="nil"/>
                    <w:tr2bl w:val="nil"/>
                  </w:tcBorders>
                  <w:noWrap w:val="0"/>
                  <w:vAlign w:val="center"/>
                </w:tcPr>
                <w:p w14:paraId="2E8CB3E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c>
                <w:tcPr>
                  <w:tcW w:w="498" w:type="pct"/>
                  <w:vMerge w:val="continue"/>
                  <w:tcBorders>
                    <w:tl2br w:val="nil"/>
                    <w:tr2bl w:val="nil"/>
                  </w:tcBorders>
                  <w:noWrap w:val="0"/>
                  <w:vAlign w:val="center"/>
                </w:tcPr>
                <w:p w14:paraId="25D75C2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r>
            <w:tr w14:paraId="205AF7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1" w:type="pct"/>
                  <w:tcBorders>
                    <w:tl2br w:val="nil"/>
                    <w:tr2bl w:val="nil"/>
                  </w:tcBorders>
                  <w:noWrap w:val="0"/>
                  <w:vAlign w:val="center"/>
                </w:tcPr>
                <w:p w14:paraId="226D542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816" w:type="pct"/>
                  <w:tcBorders>
                    <w:tl2br w:val="nil"/>
                    <w:tr2bl w:val="nil"/>
                  </w:tcBorders>
                  <w:noWrap w:val="0"/>
                  <w:vAlign w:val="center"/>
                </w:tcPr>
                <w:p w14:paraId="283E0D5F">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柴油发电机</w:t>
                  </w:r>
                </w:p>
              </w:tc>
              <w:tc>
                <w:tcPr>
                  <w:tcW w:w="460" w:type="pct"/>
                  <w:tcBorders>
                    <w:tl2br w:val="nil"/>
                    <w:tr2bl w:val="nil"/>
                  </w:tcBorders>
                  <w:noWrap w:val="0"/>
                  <w:vAlign w:val="center"/>
                </w:tcPr>
                <w:p w14:paraId="2EEB3BC4">
                  <w:pPr>
                    <w:pStyle w:val="65"/>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kern w:val="2"/>
                      <w:sz w:val="21"/>
                      <w:szCs w:val="21"/>
                      <w:highlight w:val="none"/>
                    </w:rPr>
                    <w:t>85</w:t>
                  </w:r>
                </w:p>
              </w:tc>
              <w:tc>
                <w:tcPr>
                  <w:tcW w:w="354" w:type="pct"/>
                  <w:tcBorders>
                    <w:tl2br w:val="nil"/>
                    <w:tr2bl w:val="nil"/>
                  </w:tcBorders>
                  <w:noWrap w:val="0"/>
                  <w:vAlign w:val="center"/>
                </w:tcPr>
                <w:p w14:paraId="56404EA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71</w:t>
                  </w:r>
                </w:p>
              </w:tc>
              <w:tc>
                <w:tcPr>
                  <w:tcW w:w="498" w:type="pct"/>
                  <w:tcBorders>
                    <w:tl2br w:val="nil"/>
                    <w:tr2bl w:val="nil"/>
                  </w:tcBorders>
                  <w:noWrap w:val="0"/>
                  <w:vAlign w:val="center"/>
                </w:tcPr>
                <w:p w14:paraId="1A99AEB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65</w:t>
                  </w:r>
                </w:p>
              </w:tc>
              <w:tc>
                <w:tcPr>
                  <w:tcW w:w="498" w:type="pct"/>
                  <w:tcBorders>
                    <w:tl2br w:val="nil"/>
                    <w:tr2bl w:val="nil"/>
                  </w:tcBorders>
                  <w:noWrap w:val="0"/>
                  <w:vAlign w:val="center"/>
                </w:tcPr>
                <w:p w14:paraId="66C7323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59</w:t>
                  </w:r>
                </w:p>
              </w:tc>
              <w:tc>
                <w:tcPr>
                  <w:tcW w:w="498" w:type="pct"/>
                  <w:tcBorders>
                    <w:tl2br w:val="nil"/>
                    <w:tr2bl w:val="nil"/>
                  </w:tcBorders>
                  <w:noWrap w:val="0"/>
                  <w:vAlign w:val="center"/>
                </w:tcPr>
                <w:p w14:paraId="5E721AE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55</w:t>
                  </w:r>
                </w:p>
              </w:tc>
              <w:tc>
                <w:tcPr>
                  <w:tcW w:w="498" w:type="pct"/>
                  <w:tcBorders>
                    <w:tl2br w:val="nil"/>
                    <w:tr2bl w:val="nil"/>
                  </w:tcBorders>
                  <w:noWrap w:val="0"/>
                  <w:vAlign w:val="center"/>
                </w:tcPr>
                <w:p w14:paraId="56AAE94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53</w:t>
                  </w:r>
                </w:p>
              </w:tc>
              <w:tc>
                <w:tcPr>
                  <w:tcW w:w="514" w:type="pct"/>
                  <w:tcBorders>
                    <w:tl2br w:val="nil"/>
                    <w:tr2bl w:val="nil"/>
                  </w:tcBorders>
                  <w:noWrap w:val="0"/>
                  <w:vAlign w:val="center"/>
                </w:tcPr>
                <w:p w14:paraId="5BA3637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51</w:t>
                  </w:r>
                </w:p>
              </w:tc>
              <w:tc>
                <w:tcPr>
                  <w:tcW w:w="498" w:type="pct"/>
                  <w:vMerge w:val="continue"/>
                  <w:tcBorders>
                    <w:tl2br w:val="nil"/>
                    <w:tr2bl w:val="nil"/>
                  </w:tcBorders>
                  <w:noWrap w:val="0"/>
                  <w:vAlign w:val="center"/>
                </w:tcPr>
                <w:p w14:paraId="39B8F3E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r>
          </w:tbl>
          <w:p w14:paraId="4A91C45A">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2"/>
              <w:textAlignment w:val="auto"/>
              <w:rPr>
                <w:rFonts w:hint="eastAsia"/>
                <w:color w:val="auto"/>
                <w:sz w:val="24"/>
                <w:highlight w:val="none"/>
              </w:rPr>
            </w:pPr>
            <w:r>
              <w:rPr>
                <w:rFonts w:hint="eastAsia"/>
                <w:color w:val="auto"/>
                <w:sz w:val="24"/>
                <w:highlight w:val="none"/>
              </w:rPr>
              <w:t>由上表可见，在仅考虑距离衰减的情况下，至各噪声源10</w:t>
            </w:r>
            <w:r>
              <w:rPr>
                <w:rFonts w:hint="eastAsia"/>
                <w:color w:val="auto"/>
                <w:sz w:val="24"/>
                <w:highlight w:val="none"/>
                <w:lang w:val="en-US" w:eastAsia="zh-CN"/>
              </w:rPr>
              <w:t>m</w:t>
            </w:r>
            <w:r>
              <w:rPr>
                <w:rFonts w:hint="eastAsia"/>
                <w:color w:val="auto"/>
                <w:sz w:val="24"/>
                <w:highlight w:val="none"/>
              </w:rPr>
              <w:t>处，各施工阶段主要噪声源噪声影响值方能达到《</w:t>
            </w:r>
            <w:r>
              <w:rPr>
                <w:rFonts w:hint="eastAsia"/>
                <w:color w:val="auto"/>
                <w:sz w:val="24"/>
                <w:highlight w:val="none"/>
                <w:lang w:eastAsia="zh-CN"/>
              </w:rPr>
              <w:t>建筑施工噪声排放标准</w:t>
            </w:r>
            <w:r>
              <w:rPr>
                <w:rFonts w:hint="eastAsia"/>
                <w:color w:val="auto"/>
                <w:sz w:val="24"/>
                <w:highlight w:val="none"/>
              </w:rPr>
              <w:t>》（GB12523-20</w:t>
            </w:r>
            <w:r>
              <w:rPr>
                <w:rFonts w:hint="eastAsia"/>
                <w:color w:val="auto"/>
                <w:sz w:val="24"/>
                <w:highlight w:val="none"/>
                <w:lang w:val="en-US" w:eastAsia="zh-CN"/>
              </w:rPr>
              <w:t>25</w:t>
            </w:r>
            <w:r>
              <w:rPr>
                <w:rFonts w:hint="eastAsia"/>
                <w:color w:val="auto"/>
                <w:sz w:val="24"/>
                <w:highlight w:val="none"/>
              </w:rPr>
              <w:t>）昼间标准，施工阶段应合理安排施工时间，尽可能降低施工噪声，在敏感点附近和施工运输便道敏感点附近设置警示标志和限速标志，做好施工围挡，设备选型上尽量采用低噪声设备，对于高噪声设备做好减振降噪措施，文明施工。</w:t>
            </w:r>
          </w:p>
          <w:p w14:paraId="3AF67E9E">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土壤</w:t>
            </w:r>
            <w:r>
              <w:rPr>
                <w:rFonts w:hint="default" w:ascii="Times New Roman" w:hAnsi="Times New Roman" w:eastAsia="宋体" w:cs="Times New Roman"/>
                <w:b/>
                <w:bCs/>
                <w:color w:val="auto"/>
                <w:kern w:val="0"/>
                <w:sz w:val="24"/>
                <w:szCs w:val="24"/>
                <w:highlight w:val="none"/>
                <w:lang w:val="en-US" w:eastAsia="zh-CN"/>
              </w:rPr>
              <w:t>影响分析</w:t>
            </w:r>
          </w:p>
          <w:p w14:paraId="0626FF15">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2"/>
              <w:textAlignment w:val="auto"/>
              <w:rPr>
                <w:rFonts w:hint="default"/>
                <w:color w:val="auto"/>
                <w:sz w:val="24"/>
                <w:highlight w:val="none"/>
                <w:lang w:val="en-US" w:eastAsia="zh-CN"/>
              </w:rPr>
            </w:pPr>
            <w:r>
              <w:rPr>
                <w:rFonts w:hint="eastAsia"/>
                <w:color w:val="auto"/>
                <w:sz w:val="24"/>
                <w:highlight w:val="none"/>
                <w:lang w:val="en-US" w:eastAsia="zh-CN"/>
              </w:rPr>
              <w:t>本项目施工期主要对项目区评价范围内土壤进行临时占用，可能造成</w:t>
            </w:r>
            <w:r>
              <w:rPr>
                <w:rFonts w:hint="default"/>
                <w:color w:val="auto"/>
                <w:sz w:val="24"/>
                <w:highlight w:val="none"/>
                <w:lang w:val="en-US" w:eastAsia="zh-CN"/>
              </w:rPr>
              <w:t>土壤结构破坏与压实</w:t>
            </w:r>
            <w:r>
              <w:rPr>
                <w:rFonts w:hint="eastAsia"/>
                <w:color w:val="auto"/>
                <w:sz w:val="24"/>
                <w:highlight w:val="none"/>
                <w:lang w:val="en-US" w:eastAsia="zh-CN"/>
              </w:rPr>
              <w:t>，</w:t>
            </w:r>
            <w:r>
              <w:rPr>
                <w:rFonts w:hint="default"/>
                <w:color w:val="auto"/>
                <w:sz w:val="24"/>
                <w:highlight w:val="none"/>
                <w:lang w:val="en-US" w:eastAsia="zh-CN"/>
              </w:rPr>
              <w:t>渠道开挖、清基、机械碾压</w:t>
            </w:r>
            <w:r>
              <w:rPr>
                <w:rFonts w:hint="eastAsia"/>
                <w:color w:val="auto"/>
                <w:sz w:val="24"/>
                <w:highlight w:val="none"/>
                <w:lang w:val="en-US" w:eastAsia="zh-CN"/>
              </w:rPr>
              <w:t>等造成</w:t>
            </w:r>
            <w:r>
              <w:rPr>
                <w:rFonts w:hint="default"/>
                <w:color w:val="auto"/>
                <w:sz w:val="24"/>
                <w:highlight w:val="none"/>
                <w:lang w:val="en-US" w:eastAsia="zh-CN"/>
              </w:rPr>
              <w:t>土壤扰动、孔隙度降低、板结</w:t>
            </w:r>
            <w:r>
              <w:rPr>
                <w:rFonts w:hint="eastAsia"/>
                <w:color w:val="auto"/>
                <w:sz w:val="24"/>
                <w:highlight w:val="none"/>
                <w:lang w:val="en-US" w:eastAsia="zh-CN"/>
              </w:rPr>
              <w:t>、</w:t>
            </w:r>
            <w:r>
              <w:rPr>
                <w:rFonts w:hint="default"/>
                <w:color w:val="auto"/>
                <w:sz w:val="24"/>
                <w:highlight w:val="none"/>
                <w:lang w:val="en-US" w:eastAsia="zh-CN"/>
              </w:rPr>
              <w:t>有机质下降、表层植被破坏</w:t>
            </w:r>
            <w:r>
              <w:rPr>
                <w:rFonts w:hint="eastAsia"/>
                <w:color w:val="auto"/>
                <w:sz w:val="24"/>
                <w:highlight w:val="none"/>
                <w:lang w:val="en-US" w:eastAsia="zh-CN"/>
              </w:rPr>
              <w:t>、</w:t>
            </w:r>
            <w:r>
              <w:rPr>
                <w:rFonts w:hint="default"/>
                <w:color w:val="auto"/>
                <w:sz w:val="24"/>
                <w:highlight w:val="none"/>
                <w:lang w:val="en-US" w:eastAsia="zh-CN"/>
              </w:rPr>
              <w:t>表土流失与肥力下降</w:t>
            </w:r>
            <w:r>
              <w:rPr>
                <w:rFonts w:hint="eastAsia"/>
                <w:color w:val="auto"/>
                <w:sz w:val="24"/>
                <w:highlight w:val="none"/>
                <w:lang w:val="en-US" w:eastAsia="zh-CN"/>
              </w:rPr>
              <w:t>，同时</w:t>
            </w:r>
            <w:r>
              <w:rPr>
                <w:rFonts w:hint="default"/>
                <w:color w:val="auto"/>
                <w:sz w:val="24"/>
                <w:highlight w:val="none"/>
                <w:lang w:val="en-US" w:eastAsia="zh-CN"/>
              </w:rPr>
              <w:t>开挖扰动</w:t>
            </w:r>
            <w:r>
              <w:rPr>
                <w:rFonts w:hint="eastAsia"/>
                <w:color w:val="auto"/>
                <w:sz w:val="24"/>
                <w:highlight w:val="none"/>
                <w:lang w:val="en-US" w:eastAsia="zh-CN"/>
              </w:rPr>
              <w:t>可能造成</w:t>
            </w:r>
            <w:r>
              <w:rPr>
                <w:rFonts w:hint="default"/>
                <w:color w:val="auto"/>
                <w:sz w:val="24"/>
                <w:highlight w:val="none"/>
                <w:lang w:val="en-US" w:eastAsia="zh-CN"/>
              </w:rPr>
              <w:t>底层含盐土层，盐分上移、表层盐渍化加重</w:t>
            </w:r>
            <w:r>
              <w:rPr>
                <w:rFonts w:hint="eastAsia"/>
                <w:color w:val="auto"/>
                <w:sz w:val="24"/>
                <w:highlight w:val="none"/>
                <w:lang w:val="en-US" w:eastAsia="zh-CN"/>
              </w:rPr>
              <w:t>。</w:t>
            </w:r>
          </w:p>
          <w:p w14:paraId="651B6885">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2"/>
              <w:textAlignment w:val="auto"/>
              <w:rPr>
                <w:rFonts w:hint="default"/>
                <w:color w:val="auto"/>
                <w:sz w:val="24"/>
                <w:highlight w:val="none"/>
                <w:lang w:val="en-US" w:eastAsia="zh-CN"/>
              </w:rPr>
            </w:pPr>
            <w:r>
              <w:rPr>
                <w:rFonts w:hint="eastAsia"/>
                <w:color w:val="auto"/>
                <w:sz w:val="24"/>
                <w:highlight w:val="none"/>
                <w:lang w:val="en-US" w:eastAsia="zh-CN"/>
              </w:rPr>
              <w:t>项目区地处</w:t>
            </w:r>
            <w:r>
              <w:rPr>
                <w:rFonts w:hint="default"/>
                <w:color w:val="auto"/>
                <w:sz w:val="24"/>
                <w:highlight w:val="none"/>
                <w:lang w:val="en-US" w:eastAsia="zh-CN"/>
              </w:rPr>
              <w:t>干旱区</w:t>
            </w:r>
            <w:r>
              <w:rPr>
                <w:rFonts w:hint="eastAsia"/>
                <w:color w:val="auto"/>
                <w:sz w:val="24"/>
                <w:highlight w:val="none"/>
                <w:lang w:val="en-US" w:eastAsia="zh-CN"/>
              </w:rPr>
              <w:t>，</w:t>
            </w:r>
            <w:r>
              <w:rPr>
                <w:rFonts w:hint="default"/>
                <w:color w:val="auto"/>
                <w:sz w:val="24"/>
                <w:highlight w:val="none"/>
                <w:lang w:val="en-US" w:eastAsia="zh-CN"/>
              </w:rPr>
              <w:t>降雨少但短时暴雨强，裸露表土易风蚀、水蚀，</w:t>
            </w:r>
            <w:r>
              <w:rPr>
                <w:rFonts w:hint="eastAsia"/>
                <w:color w:val="auto"/>
                <w:sz w:val="24"/>
                <w:highlight w:val="none"/>
                <w:lang w:val="en-US" w:eastAsia="zh-CN"/>
              </w:rPr>
              <w:t>致使</w:t>
            </w:r>
            <w:r>
              <w:rPr>
                <w:rFonts w:hint="default"/>
                <w:color w:val="auto"/>
                <w:sz w:val="24"/>
                <w:highlight w:val="none"/>
                <w:lang w:val="en-US" w:eastAsia="zh-CN"/>
              </w:rPr>
              <w:t>养分流失、土层变薄。</w:t>
            </w:r>
          </w:p>
          <w:p w14:paraId="3ACA2743">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2"/>
              <w:textAlignment w:val="auto"/>
              <w:rPr>
                <w:rFonts w:hint="eastAsia"/>
                <w:color w:val="auto"/>
                <w:sz w:val="24"/>
                <w:highlight w:val="none"/>
                <w:lang w:val="en-US" w:eastAsia="zh-CN"/>
              </w:rPr>
            </w:pPr>
            <w:r>
              <w:rPr>
                <w:rFonts w:hint="default"/>
                <w:color w:val="auto"/>
                <w:sz w:val="24"/>
                <w:highlight w:val="none"/>
                <w:lang w:val="en-US" w:eastAsia="zh-CN"/>
              </w:rPr>
              <w:t>施工物料混凝土、砂浆、外加剂（减水剂、引气剂）散落</w:t>
            </w:r>
            <w:r>
              <w:rPr>
                <w:rFonts w:hint="eastAsia"/>
                <w:color w:val="auto"/>
                <w:sz w:val="24"/>
                <w:highlight w:val="none"/>
                <w:lang w:val="en-US" w:eastAsia="zh-CN"/>
              </w:rPr>
              <w:t>、</w:t>
            </w:r>
            <w:r>
              <w:rPr>
                <w:rFonts w:hint="default"/>
                <w:color w:val="auto"/>
                <w:sz w:val="24"/>
                <w:highlight w:val="none"/>
                <w:lang w:val="en-US" w:eastAsia="zh-CN"/>
              </w:rPr>
              <w:t>废弃建材、生活垃圾若随意堆放，</w:t>
            </w:r>
            <w:r>
              <w:rPr>
                <w:rFonts w:hint="eastAsia"/>
                <w:color w:val="auto"/>
                <w:sz w:val="24"/>
                <w:highlight w:val="none"/>
                <w:lang w:val="en-US" w:eastAsia="zh-CN"/>
              </w:rPr>
              <w:t>会局部</w:t>
            </w:r>
            <w:r>
              <w:rPr>
                <w:rFonts w:hint="default"/>
                <w:color w:val="auto"/>
                <w:sz w:val="24"/>
                <w:highlight w:val="none"/>
                <w:lang w:val="en-US" w:eastAsia="zh-CN"/>
              </w:rPr>
              <w:t>局部污染</w:t>
            </w:r>
            <w:r>
              <w:rPr>
                <w:rFonts w:hint="eastAsia"/>
                <w:color w:val="auto"/>
                <w:sz w:val="24"/>
                <w:highlight w:val="none"/>
                <w:lang w:val="en-US" w:eastAsia="zh-CN"/>
              </w:rPr>
              <w:t>土壤</w:t>
            </w:r>
            <w:r>
              <w:rPr>
                <w:rFonts w:hint="default"/>
                <w:color w:val="auto"/>
                <w:sz w:val="24"/>
                <w:highlight w:val="none"/>
                <w:lang w:val="en-US" w:eastAsia="zh-CN"/>
              </w:rPr>
              <w:t>、</w:t>
            </w:r>
            <w:r>
              <w:rPr>
                <w:rFonts w:hint="eastAsia"/>
                <w:color w:val="auto"/>
                <w:sz w:val="24"/>
                <w:highlight w:val="none"/>
                <w:lang w:val="en-US" w:eastAsia="zh-CN"/>
              </w:rPr>
              <w:t>致使</w:t>
            </w:r>
            <w:r>
              <w:rPr>
                <w:rFonts w:hint="default"/>
                <w:color w:val="auto"/>
                <w:sz w:val="24"/>
                <w:highlight w:val="none"/>
                <w:lang w:val="en-US" w:eastAsia="zh-CN"/>
              </w:rPr>
              <w:t>pH异常</w:t>
            </w:r>
            <w:r>
              <w:rPr>
                <w:rFonts w:hint="eastAsia"/>
                <w:color w:val="auto"/>
                <w:sz w:val="24"/>
                <w:highlight w:val="none"/>
                <w:lang w:val="en-US" w:eastAsia="zh-CN"/>
              </w:rPr>
              <w:t>，</w:t>
            </w:r>
            <w:r>
              <w:rPr>
                <w:rFonts w:hint="default"/>
                <w:color w:val="auto"/>
                <w:sz w:val="24"/>
                <w:highlight w:val="none"/>
                <w:lang w:val="en-US" w:eastAsia="zh-CN"/>
              </w:rPr>
              <w:t>局部</w:t>
            </w:r>
            <w:r>
              <w:rPr>
                <w:rFonts w:hint="eastAsia"/>
                <w:color w:val="auto"/>
                <w:sz w:val="24"/>
                <w:highlight w:val="none"/>
                <w:lang w:val="en-US" w:eastAsia="zh-CN"/>
              </w:rPr>
              <w:t>区域有</w:t>
            </w:r>
            <w:r>
              <w:rPr>
                <w:rFonts w:hint="default"/>
                <w:color w:val="auto"/>
                <w:sz w:val="24"/>
                <w:highlight w:val="none"/>
                <w:lang w:val="en-US" w:eastAsia="zh-CN"/>
              </w:rPr>
              <w:t>盐化风险</w:t>
            </w:r>
            <w:r>
              <w:rPr>
                <w:rFonts w:hint="eastAsia"/>
                <w:color w:val="auto"/>
                <w:sz w:val="24"/>
                <w:highlight w:val="none"/>
                <w:lang w:val="en-US" w:eastAsia="zh-CN"/>
              </w:rPr>
              <w:t>；</w:t>
            </w:r>
          </w:p>
          <w:p w14:paraId="3D16D6F4">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2"/>
              <w:textAlignment w:val="auto"/>
              <w:rPr>
                <w:rFonts w:hint="default"/>
                <w:color w:val="auto"/>
                <w:sz w:val="24"/>
                <w:highlight w:val="none"/>
                <w:lang w:val="en-US" w:eastAsia="zh-CN"/>
              </w:rPr>
            </w:pPr>
            <w:r>
              <w:rPr>
                <w:rFonts w:hint="eastAsia"/>
                <w:color w:val="auto"/>
                <w:sz w:val="24"/>
                <w:highlight w:val="none"/>
                <w:lang w:val="en-US" w:eastAsia="zh-CN"/>
              </w:rPr>
              <w:t>本项目施工期对土壤环境的影响主要在工程占地范围内，主要为土壤生态扰动，影响范围局限、时效短暂且可逆。项目区域土壤干旱较敏感，有原生轻度盐化特征。施工期不良影响集中在渠道轴线两侧及临时施工占地范围内，无大范围扩散等问题。各项环保措施后，可抵消施工不利影响，施工结束后土壤环境可逐步恢复，不会对区域土壤环境质量及农用地土壤功能造成持续不利影响。</w:t>
            </w:r>
          </w:p>
          <w:p w14:paraId="5A7DEC0E">
            <w:pPr>
              <w:keepNext w:val="0"/>
              <w:keepLines w:val="0"/>
              <w:pageBreakBefore w:val="0"/>
              <w:widowControl w:val="0"/>
              <w:numPr>
                <w:ilvl w:val="0"/>
                <w:numId w:val="12"/>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固体废弃物影响分析</w:t>
            </w:r>
          </w:p>
          <w:p w14:paraId="78F2C8BB">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施工期产生的固体废弃物来源为</w:t>
            </w:r>
            <w:r>
              <w:rPr>
                <w:rFonts w:hint="eastAsia" w:cs="Times New Roman"/>
                <w:color w:val="auto"/>
                <w:sz w:val="24"/>
                <w:highlight w:val="none"/>
                <w:lang w:val="en-US" w:eastAsia="zh-CN"/>
              </w:rPr>
              <w:t>工程</w:t>
            </w:r>
            <w:r>
              <w:rPr>
                <w:rFonts w:hint="default" w:ascii="Times New Roman" w:hAnsi="Times New Roman" w:eastAsia="宋体" w:cs="Times New Roman"/>
                <w:color w:val="auto"/>
                <w:sz w:val="24"/>
                <w:highlight w:val="none"/>
              </w:rPr>
              <w:t>垃圾、渠道建筑物拆除</w:t>
            </w:r>
            <w:r>
              <w:rPr>
                <w:rFonts w:hint="eastAsia" w:cs="Times New Roman"/>
                <w:color w:val="auto"/>
                <w:sz w:val="24"/>
                <w:highlight w:val="none"/>
                <w:lang w:val="en-US" w:eastAsia="zh-CN"/>
              </w:rPr>
              <w:t>垃圾</w:t>
            </w:r>
            <w:r>
              <w:rPr>
                <w:rFonts w:hint="default" w:ascii="Times New Roman" w:hAnsi="Times New Roman" w:eastAsia="宋体" w:cs="Times New Roman"/>
                <w:color w:val="auto"/>
                <w:sz w:val="24"/>
                <w:highlight w:val="none"/>
              </w:rPr>
              <w:t>、施工人员产生的生活垃圾。</w:t>
            </w:r>
          </w:p>
          <w:p w14:paraId="3ACFB61F">
            <w:pPr>
              <w:pageBreakBefore w:val="0"/>
              <w:kinsoku/>
              <w:wordWrap/>
              <w:overflowPunct/>
              <w:bidi w:val="0"/>
              <w:spacing w:line="360" w:lineRule="auto"/>
              <w:ind w:left="0" w:leftChars="0" w:right="0" w:rightChars="0"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施工过程中产生的</w:t>
            </w:r>
            <w:r>
              <w:rPr>
                <w:rFonts w:hint="eastAsia" w:cs="Times New Roman"/>
                <w:color w:val="auto"/>
                <w:sz w:val="24"/>
                <w:highlight w:val="none"/>
                <w:lang w:val="en-US" w:eastAsia="zh-CN"/>
              </w:rPr>
              <w:t>工程</w:t>
            </w:r>
            <w:r>
              <w:rPr>
                <w:rFonts w:hint="default" w:ascii="Times New Roman" w:hAnsi="Times New Roman" w:eastAsia="宋体" w:cs="Times New Roman"/>
                <w:color w:val="auto"/>
                <w:sz w:val="24"/>
                <w:highlight w:val="none"/>
              </w:rPr>
              <w:t>垃圾、渠道建筑物拆除</w:t>
            </w:r>
            <w:r>
              <w:rPr>
                <w:rFonts w:hint="eastAsia" w:cs="Times New Roman"/>
                <w:color w:val="auto"/>
                <w:sz w:val="24"/>
                <w:highlight w:val="none"/>
                <w:lang w:val="en-US" w:eastAsia="zh-CN"/>
              </w:rPr>
              <w:t>垃圾</w:t>
            </w:r>
            <w:r>
              <w:rPr>
                <w:rFonts w:hint="default" w:ascii="Times New Roman" w:hAnsi="Times New Roman" w:eastAsia="宋体" w:cs="Times New Roman"/>
                <w:color w:val="auto"/>
                <w:sz w:val="24"/>
                <w:highlight w:val="none"/>
              </w:rPr>
              <w:t>能回收利用的尽可能回收利用，不能回收利用的建筑垃圾和沉淀池的泥沙运往</w:t>
            </w:r>
            <w:r>
              <w:rPr>
                <w:rFonts w:hint="eastAsia" w:ascii="Times New Roman" w:hAnsi="Times New Roman" w:eastAsia="宋体" w:cs="Times New Roman"/>
                <w:color w:val="auto"/>
                <w:sz w:val="24"/>
                <w:highlight w:val="none"/>
                <w:lang w:val="en-US" w:eastAsia="zh-CN"/>
              </w:rPr>
              <w:t>奇台县</w:t>
            </w:r>
            <w:r>
              <w:rPr>
                <w:rFonts w:hint="default" w:ascii="Times New Roman" w:hAnsi="Times New Roman" w:eastAsia="宋体" w:cs="Times New Roman"/>
                <w:color w:val="auto"/>
                <w:sz w:val="24"/>
                <w:highlight w:val="none"/>
              </w:rPr>
              <w:t>建筑垃圾填埋场处置；</w:t>
            </w:r>
            <w:r>
              <w:rPr>
                <w:rFonts w:hint="eastAsia" w:cs="Times New Roman"/>
                <w:color w:val="auto"/>
                <w:sz w:val="24"/>
                <w:highlight w:val="none"/>
                <w:lang w:val="en-US" w:eastAsia="zh-CN"/>
              </w:rPr>
              <w:t>施工过程中各环节产生的建筑垃圾遵循分类收集、分区存放、密闭运输、规范处置的原则，在存放过程中进行防尘网苫盖等措施减少对周边环境的影响，在运输过程中采用环保土方车密闭运输，严格遵守《建筑垃圾污染控制技术规范》相关要求。</w:t>
            </w:r>
            <w:r>
              <w:rPr>
                <w:rFonts w:hint="default" w:ascii="Times New Roman" w:hAnsi="Times New Roman" w:eastAsia="宋体" w:cs="Times New Roman"/>
                <w:color w:val="auto"/>
                <w:sz w:val="24"/>
                <w:highlight w:val="none"/>
              </w:rPr>
              <w:t>剩余土方就近堆放在渠道两侧，施工完毕后用于项目区附近低洼处填平或者机耕道垫</w:t>
            </w:r>
            <w:r>
              <w:rPr>
                <w:rFonts w:hint="eastAsia" w:ascii="Times New Roman" w:hAnsi="Times New Roman" w:eastAsia="宋体" w:cs="Times New Roman"/>
                <w:color w:val="auto"/>
                <w:sz w:val="24"/>
                <w:highlight w:val="none"/>
                <w:lang w:val="en-US" w:eastAsia="zh-CN"/>
              </w:rPr>
              <w:t>土</w:t>
            </w:r>
            <w:r>
              <w:rPr>
                <w:rFonts w:hint="default" w:ascii="Times New Roman" w:hAnsi="Times New Roman" w:eastAsia="宋体" w:cs="Times New Roman"/>
                <w:color w:val="auto"/>
                <w:sz w:val="24"/>
                <w:highlight w:val="none"/>
              </w:rPr>
              <w:t>；生活垃圾主要为施工人员日常生活产生，工程施工期人数为</w:t>
            </w:r>
            <w:r>
              <w:rPr>
                <w:rFonts w:hint="eastAsia" w:ascii="Times New Roman" w:hAnsi="Times New Roman" w:eastAsia="宋体" w:cs="Times New Roman"/>
                <w:color w:val="auto"/>
                <w:sz w:val="24"/>
                <w:highlight w:val="none"/>
                <w:lang w:val="en-US" w:eastAsia="zh-CN"/>
              </w:rPr>
              <w:t>40</w:t>
            </w:r>
            <w:r>
              <w:rPr>
                <w:rFonts w:hint="default" w:ascii="Times New Roman" w:hAnsi="Times New Roman" w:eastAsia="宋体" w:cs="Times New Roman"/>
                <w:color w:val="auto"/>
                <w:sz w:val="24"/>
                <w:highlight w:val="none"/>
              </w:rPr>
              <w:t>人/日，按照每人每天产生0.5kg考虑，则整个施工期生活垃圾产生量为</w:t>
            </w:r>
            <w:r>
              <w:rPr>
                <w:rFonts w:hint="eastAsia"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rPr>
              <w:t>t，由各施工单位集中袋装收集后交由环卫部门清运至奇台县生活垃圾填埋场处理。</w:t>
            </w:r>
          </w:p>
          <w:p w14:paraId="6C2E1267">
            <w:pPr>
              <w:keepNext w:val="0"/>
              <w:keepLines w:val="0"/>
              <w:pageBreakBefore w:val="0"/>
              <w:widowControl w:val="0"/>
              <w:numPr>
                <w:ilvl w:val="0"/>
                <w:numId w:val="0"/>
              </w:numPr>
              <w:kinsoku/>
              <w:wordWrap/>
              <w:overflowPunct w:val="0"/>
              <w:topLinePunct w:val="0"/>
              <w:autoSpaceDE/>
              <w:autoSpaceDN/>
              <w:bidi w:val="0"/>
              <w:adjustRightInd w:val="0"/>
              <w:snapToGrid w:val="0"/>
              <w:spacing w:line="240" w:lineRule="auto"/>
              <w:ind w:left="0" w:leftChars="0" w:firstLine="0" w:firstLineChars="0"/>
              <w:jc w:val="center"/>
              <w:textAlignment w:val="auto"/>
              <w:rPr>
                <w:color w:val="auto"/>
              </w:rPr>
            </w:pPr>
            <w:r>
              <w:rPr>
                <w:rFonts w:hint="eastAsia" w:ascii="宋体" w:hAnsi="宋体" w:eastAsia="宋体" w:cs="宋体"/>
                <w:b/>
                <w:bCs/>
                <w:color w:val="auto"/>
                <w:kern w:val="2"/>
                <w:sz w:val="24"/>
                <w:szCs w:val="24"/>
                <w:lang w:val="en-US" w:eastAsia="zh-CN"/>
              </w:rPr>
              <w:t>与</w:t>
            </w:r>
            <w:r>
              <w:rPr>
                <w:rFonts w:hint="eastAsia" w:cs="Times New Roman" w:eastAsiaTheme="minorEastAsia"/>
                <w:b/>
                <w:bCs/>
                <w:color w:val="auto"/>
                <w:kern w:val="0"/>
                <w:sz w:val="24"/>
                <w:szCs w:val="24"/>
                <w:highlight w:val="none"/>
                <w:lang w:val="en-US" w:eastAsia="zh-CN"/>
              </w:rPr>
              <w:t>《</w:t>
            </w:r>
            <w:r>
              <w:rPr>
                <w:rFonts w:hint="eastAsia" w:ascii="Times New Roman" w:hAnsi="Times New Roman" w:cs="Times New Roman" w:eastAsiaTheme="minorEastAsia"/>
                <w:b/>
                <w:bCs/>
                <w:color w:val="auto"/>
                <w:kern w:val="0"/>
                <w:sz w:val="24"/>
                <w:szCs w:val="24"/>
                <w:highlight w:val="none"/>
                <w:lang w:val="en-US" w:eastAsia="zh-CN"/>
              </w:rPr>
              <w:t>建筑垃圾污染控制技术规范</w:t>
            </w:r>
            <w:r>
              <w:rPr>
                <w:rFonts w:hint="eastAsia" w:cs="Times New Roman" w:eastAsiaTheme="minorEastAsia"/>
                <w:b/>
                <w:bCs/>
                <w:color w:val="auto"/>
                <w:kern w:val="0"/>
                <w:sz w:val="24"/>
                <w:szCs w:val="24"/>
                <w:highlight w:val="none"/>
                <w:lang w:val="en-US" w:eastAsia="zh-CN"/>
              </w:rPr>
              <w:t>》（HJ1462-2026）</w:t>
            </w:r>
            <w:r>
              <w:rPr>
                <w:b/>
                <w:bCs/>
                <w:color w:val="auto"/>
                <w:spacing w:val="7"/>
                <w:sz w:val="24"/>
                <w:szCs w:val="24"/>
              </w:rPr>
              <w:t>符合性分析表</w:t>
            </w:r>
          </w:p>
          <w:tbl>
            <w:tblPr>
              <w:tblStyle w:val="32"/>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2"/>
              <w:gridCol w:w="3007"/>
              <w:gridCol w:w="1094"/>
            </w:tblGrid>
            <w:tr w14:paraId="766C41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2313" w:type="pct"/>
                  <w:tcBorders>
                    <w:tl2br w:val="nil"/>
                    <w:tr2bl w:val="nil"/>
                  </w:tcBorders>
                  <w:vAlign w:val="center"/>
                </w:tcPr>
                <w:p w14:paraId="507B374C">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pacing w:val="6"/>
                      <w:sz w:val="21"/>
                      <w:szCs w:val="21"/>
                      <w:lang w:val="en-US" w:eastAsia="zh-CN"/>
                    </w:rPr>
                    <w:t>规范要求</w:t>
                  </w:r>
                </w:p>
              </w:tc>
              <w:tc>
                <w:tcPr>
                  <w:tcW w:w="1969" w:type="pct"/>
                  <w:tcBorders>
                    <w:tl2br w:val="nil"/>
                    <w:tr2bl w:val="nil"/>
                  </w:tcBorders>
                  <w:vAlign w:val="center"/>
                </w:tcPr>
                <w:p w14:paraId="4F240E7B">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pacing w:val="6"/>
                      <w:sz w:val="21"/>
                      <w:szCs w:val="21"/>
                    </w:rPr>
                    <w:t>本项目情况</w:t>
                  </w:r>
                </w:p>
              </w:tc>
              <w:tc>
                <w:tcPr>
                  <w:tcW w:w="716" w:type="pct"/>
                  <w:tcBorders>
                    <w:tl2br w:val="nil"/>
                    <w:tr2bl w:val="nil"/>
                  </w:tcBorders>
                  <w:vAlign w:val="center"/>
                </w:tcPr>
                <w:p w14:paraId="4FCD027B">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bCs/>
                      <w:color w:val="auto"/>
                      <w:spacing w:val="5"/>
                      <w:sz w:val="21"/>
                      <w:szCs w:val="21"/>
                    </w:rPr>
                    <w:t>符合性</w:t>
                  </w:r>
                </w:p>
              </w:tc>
            </w:tr>
            <w:tr w14:paraId="404FD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2313" w:type="pct"/>
                  <w:tcBorders>
                    <w:tl2br w:val="nil"/>
                    <w:tr2bl w:val="nil"/>
                  </w:tcBorders>
                  <w:vAlign w:val="center"/>
                </w:tcPr>
                <w:p w14:paraId="5CC0B193">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b/>
                      <w:bCs/>
                      <w:color w:val="auto"/>
                      <w:spacing w:val="6"/>
                      <w:sz w:val="21"/>
                      <w:szCs w:val="21"/>
                      <w:lang w:val="en-US" w:eastAsia="zh-CN"/>
                    </w:rPr>
                  </w:pPr>
                  <w:r>
                    <w:rPr>
                      <w:rFonts w:hint="default" w:ascii="Times New Roman" w:hAnsi="Times New Roman" w:eastAsia="宋体" w:cs="Times New Roman"/>
                      <w:b w:val="0"/>
                      <w:bCs w:val="0"/>
                      <w:color w:val="auto"/>
                      <w:spacing w:val="6"/>
                      <w:sz w:val="21"/>
                      <w:szCs w:val="21"/>
                      <w:lang w:val="en-US" w:eastAsia="zh-CN"/>
                    </w:rPr>
                    <w:t>1.建筑垃圾产生单位应减少产生量，并进行源头分类，宜进行原位利用，工程施工过程采用清洁生产技术等措施减少污染物含量，提高资源化利用率。</w:t>
                  </w:r>
                </w:p>
              </w:tc>
              <w:tc>
                <w:tcPr>
                  <w:tcW w:w="1969" w:type="pct"/>
                  <w:tcBorders>
                    <w:tl2br w:val="nil"/>
                    <w:tr2bl w:val="nil"/>
                  </w:tcBorders>
                  <w:vAlign w:val="center"/>
                </w:tcPr>
                <w:p w14:paraId="6795A6F1">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default" w:ascii="Times New Roman" w:hAnsi="Times New Roman" w:eastAsia="宋体" w:cs="Times New Roman"/>
                      <w:b/>
                      <w:bCs/>
                      <w:color w:val="auto"/>
                      <w:spacing w:val="6"/>
                      <w:sz w:val="21"/>
                      <w:szCs w:val="21"/>
                      <w:lang w:val="en-US" w:eastAsia="zh-CN"/>
                    </w:rPr>
                  </w:pPr>
                  <w:r>
                    <w:rPr>
                      <w:rFonts w:hint="default" w:ascii="Times New Roman" w:hAnsi="Times New Roman" w:eastAsia="宋体" w:cs="Times New Roman"/>
                      <w:b w:val="0"/>
                      <w:bCs w:val="0"/>
                      <w:color w:val="auto"/>
                      <w:spacing w:val="6"/>
                      <w:kern w:val="0"/>
                      <w:sz w:val="21"/>
                      <w:szCs w:val="21"/>
                      <w:lang w:val="en-US" w:eastAsia="zh-CN" w:bidi="ar-SA"/>
                    </w:rPr>
                    <w:t>本项目建筑垃圾优先现场回填，提高资源化利用率。并采取先进施工工艺，减少建筑垃圾产生量。</w:t>
                  </w:r>
                </w:p>
              </w:tc>
              <w:tc>
                <w:tcPr>
                  <w:tcW w:w="716" w:type="pct"/>
                  <w:tcBorders>
                    <w:tl2br w:val="nil"/>
                    <w:tr2bl w:val="nil"/>
                  </w:tcBorders>
                  <w:vAlign w:val="center"/>
                </w:tcPr>
                <w:p w14:paraId="0F2FBA7B">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5"/>
                      <w:sz w:val="21"/>
                      <w:szCs w:val="21"/>
                      <w:lang w:val="en-US" w:eastAsia="zh-CN"/>
                    </w:rPr>
                  </w:pPr>
                  <w:r>
                    <w:rPr>
                      <w:rFonts w:hint="default" w:ascii="Times New Roman" w:hAnsi="Times New Roman" w:eastAsia="宋体" w:cs="Times New Roman"/>
                      <w:b w:val="0"/>
                      <w:bCs w:val="0"/>
                      <w:color w:val="auto"/>
                      <w:spacing w:val="5"/>
                      <w:sz w:val="21"/>
                      <w:szCs w:val="21"/>
                      <w:lang w:val="en-US" w:eastAsia="zh-CN"/>
                    </w:rPr>
                    <w:t>符合</w:t>
                  </w:r>
                </w:p>
              </w:tc>
            </w:tr>
            <w:tr w14:paraId="7B6EAD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2313" w:type="pct"/>
                  <w:tcBorders>
                    <w:tl2br w:val="nil"/>
                    <w:tr2bl w:val="nil"/>
                  </w:tcBorders>
                  <w:vAlign w:val="center"/>
                </w:tcPr>
                <w:p w14:paraId="0A1A0AC6">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b w:val="0"/>
                      <w:bCs w:val="0"/>
                      <w:color w:val="auto"/>
                      <w:spacing w:val="6"/>
                      <w:sz w:val="21"/>
                      <w:szCs w:val="21"/>
                      <w:lang w:val="en-US" w:eastAsia="zh-CN"/>
                    </w:rPr>
                  </w:pPr>
                  <w:r>
                    <w:rPr>
                      <w:rFonts w:hint="default" w:ascii="Times New Roman" w:hAnsi="Times New Roman" w:eastAsia="宋体" w:cs="Times New Roman"/>
                      <w:b w:val="0"/>
                      <w:bCs w:val="0"/>
                      <w:color w:val="auto"/>
                      <w:spacing w:val="6"/>
                      <w:sz w:val="21"/>
                      <w:szCs w:val="21"/>
                      <w:lang w:val="en-US" w:eastAsia="zh-CN"/>
                    </w:rPr>
                    <w:t>2.工程施工现场设置的建筑垃圾存放点应符合JGJ/T498要求，并根据建筑垃圾类别或成分进行分区分类存放，采取防尘、防雨等措施，减少对周边环境的影响</w:t>
                  </w:r>
                </w:p>
              </w:tc>
              <w:tc>
                <w:tcPr>
                  <w:tcW w:w="1969" w:type="pct"/>
                  <w:tcBorders>
                    <w:tl2br w:val="nil"/>
                    <w:tr2bl w:val="nil"/>
                  </w:tcBorders>
                  <w:vAlign w:val="center"/>
                </w:tcPr>
                <w:p w14:paraId="6EFE9EFA">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default" w:ascii="Times New Roman" w:hAnsi="Times New Roman" w:eastAsia="宋体" w:cs="Times New Roman"/>
                      <w:b w:val="0"/>
                      <w:bCs w:val="0"/>
                      <w:color w:val="auto"/>
                      <w:spacing w:val="6"/>
                      <w:kern w:val="0"/>
                      <w:sz w:val="21"/>
                      <w:szCs w:val="21"/>
                      <w:lang w:val="en-US" w:eastAsia="zh-CN" w:bidi="ar-SA"/>
                    </w:rPr>
                  </w:pPr>
                  <w:r>
                    <w:rPr>
                      <w:rFonts w:hint="eastAsia" w:ascii="Times New Roman" w:hAnsi="Times New Roman" w:eastAsia="宋体" w:cs="Times New Roman"/>
                      <w:b w:val="0"/>
                      <w:bCs w:val="0"/>
                      <w:color w:val="auto"/>
                      <w:spacing w:val="6"/>
                      <w:kern w:val="0"/>
                      <w:sz w:val="21"/>
                      <w:szCs w:val="21"/>
                      <w:lang w:val="en-US" w:eastAsia="zh-CN" w:bidi="ar-SA"/>
                    </w:rPr>
                    <w:t>本项目</w:t>
                  </w:r>
                  <w:r>
                    <w:rPr>
                      <w:rFonts w:hint="default" w:ascii="Times New Roman" w:hAnsi="Times New Roman" w:eastAsia="宋体" w:cs="Times New Roman"/>
                      <w:b w:val="0"/>
                      <w:bCs w:val="0"/>
                      <w:color w:val="auto"/>
                      <w:spacing w:val="6"/>
                      <w:sz w:val="21"/>
                      <w:szCs w:val="21"/>
                      <w:lang w:val="en-US" w:eastAsia="zh-CN"/>
                    </w:rPr>
                    <w:t>建筑垃圾进行分区分类存放，采取防尘</w:t>
                  </w:r>
                  <w:r>
                    <w:rPr>
                      <w:rFonts w:hint="eastAsia" w:ascii="Times New Roman" w:hAnsi="Times New Roman" w:eastAsia="宋体" w:cs="Times New Roman"/>
                      <w:b w:val="0"/>
                      <w:bCs w:val="0"/>
                      <w:color w:val="auto"/>
                      <w:spacing w:val="6"/>
                      <w:sz w:val="21"/>
                      <w:szCs w:val="21"/>
                      <w:lang w:val="en-US" w:eastAsia="zh-CN"/>
                    </w:rPr>
                    <w:t>网苫盖</w:t>
                  </w:r>
                  <w:r>
                    <w:rPr>
                      <w:rFonts w:hint="default" w:ascii="Times New Roman" w:hAnsi="Times New Roman" w:eastAsia="宋体" w:cs="Times New Roman"/>
                      <w:b w:val="0"/>
                      <w:bCs w:val="0"/>
                      <w:color w:val="auto"/>
                      <w:spacing w:val="6"/>
                      <w:sz w:val="21"/>
                      <w:szCs w:val="21"/>
                      <w:lang w:val="en-US" w:eastAsia="zh-CN"/>
                    </w:rPr>
                    <w:t>等措施，减少对周边环境的影响</w:t>
                  </w:r>
                </w:p>
              </w:tc>
              <w:tc>
                <w:tcPr>
                  <w:tcW w:w="716" w:type="pct"/>
                  <w:tcBorders>
                    <w:tl2br w:val="nil"/>
                    <w:tr2bl w:val="nil"/>
                  </w:tcBorders>
                  <w:vAlign w:val="center"/>
                </w:tcPr>
                <w:p w14:paraId="1B9DEEA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5"/>
                      <w:sz w:val="21"/>
                      <w:szCs w:val="21"/>
                    </w:rPr>
                  </w:pPr>
                  <w:r>
                    <w:rPr>
                      <w:rFonts w:hint="default" w:ascii="Times New Roman" w:hAnsi="Times New Roman" w:eastAsia="宋体" w:cs="Times New Roman"/>
                      <w:b w:val="0"/>
                      <w:bCs w:val="0"/>
                      <w:color w:val="auto"/>
                      <w:spacing w:val="5"/>
                      <w:sz w:val="21"/>
                      <w:szCs w:val="21"/>
                      <w:lang w:val="en-US" w:eastAsia="zh-CN"/>
                    </w:rPr>
                    <w:t>符合</w:t>
                  </w:r>
                </w:p>
              </w:tc>
            </w:tr>
            <w:tr w14:paraId="19DC96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313" w:type="pct"/>
                  <w:tcBorders>
                    <w:tl2br w:val="nil"/>
                    <w:tr2bl w:val="nil"/>
                  </w:tcBorders>
                  <w:vAlign w:val="center"/>
                </w:tcPr>
                <w:p w14:paraId="149BFE21">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b w:val="0"/>
                      <w:bCs w:val="0"/>
                      <w:color w:val="auto"/>
                      <w:spacing w:val="6"/>
                      <w:sz w:val="21"/>
                      <w:szCs w:val="21"/>
                      <w:lang w:val="en-US" w:eastAsia="zh-CN"/>
                    </w:rPr>
                  </w:pPr>
                  <w:r>
                    <w:rPr>
                      <w:rFonts w:hint="default" w:ascii="Times New Roman" w:hAnsi="Times New Roman" w:eastAsia="宋体" w:cs="Times New Roman"/>
                      <w:b w:val="0"/>
                      <w:bCs w:val="0"/>
                      <w:color w:val="auto"/>
                      <w:spacing w:val="6"/>
                      <w:sz w:val="21"/>
                      <w:szCs w:val="21"/>
                      <w:lang w:val="en-US" w:eastAsia="zh-CN"/>
                    </w:rPr>
                    <w:t>3.建筑垃圾在装运过程中应避免混合，运输过程中应采取必要的防扬散、防遗撒、防渗漏、防噪声措施。</w:t>
                  </w:r>
                </w:p>
              </w:tc>
              <w:tc>
                <w:tcPr>
                  <w:tcW w:w="1969" w:type="pct"/>
                  <w:tcBorders>
                    <w:tl2br w:val="nil"/>
                    <w:tr2bl w:val="nil"/>
                  </w:tcBorders>
                  <w:vAlign w:val="center"/>
                </w:tcPr>
                <w:p w14:paraId="11C664AA">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default" w:ascii="Times New Roman" w:hAnsi="Times New Roman" w:eastAsia="宋体" w:cs="Times New Roman"/>
                      <w:b w:val="0"/>
                      <w:bCs w:val="0"/>
                      <w:color w:val="auto"/>
                      <w:spacing w:val="6"/>
                      <w:kern w:val="0"/>
                      <w:sz w:val="21"/>
                      <w:szCs w:val="21"/>
                      <w:lang w:val="en-US" w:eastAsia="zh-CN" w:bidi="ar-SA"/>
                    </w:rPr>
                  </w:pPr>
                  <w:r>
                    <w:rPr>
                      <w:rFonts w:hint="default" w:ascii="Times New Roman" w:hAnsi="Times New Roman" w:eastAsia="宋体" w:cs="Times New Roman"/>
                      <w:b w:val="0"/>
                      <w:bCs w:val="0"/>
                      <w:color w:val="auto"/>
                      <w:spacing w:val="6"/>
                      <w:sz w:val="21"/>
                      <w:szCs w:val="21"/>
                      <w:lang w:val="en-US" w:eastAsia="zh-CN"/>
                    </w:rPr>
                    <w:t>建筑垃圾在装运过程中分类装运，运输过程中采取苫盖等必要的防扬散、防遗撒、防渗漏、防噪声措施。</w:t>
                  </w:r>
                </w:p>
              </w:tc>
              <w:tc>
                <w:tcPr>
                  <w:tcW w:w="716" w:type="pct"/>
                  <w:tcBorders>
                    <w:tl2br w:val="nil"/>
                    <w:tr2bl w:val="nil"/>
                  </w:tcBorders>
                  <w:vAlign w:val="center"/>
                </w:tcPr>
                <w:p w14:paraId="2B75775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5"/>
                      <w:sz w:val="21"/>
                      <w:szCs w:val="21"/>
                    </w:rPr>
                  </w:pPr>
                  <w:r>
                    <w:rPr>
                      <w:rFonts w:hint="default" w:ascii="Times New Roman" w:hAnsi="Times New Roman" w:eastAsia="宋体" w:cs="Times New Roman"/>
                      <w:b w:val="0"/>
                      <w:bCs w:val="0"/>
                      <w:color w:val="auto"/>
                      <w:spacing w:val="5"/>
                      <w:sz w:val="21"/>
                      <w:szCs w:val="21"/>
                      <w:lang w:val="en-US" w:eastAsia="zh-CN"/>
                    </w:rPr>
                    <w:t>符合</w:t>
                  </w:r>
                </w:p>
              </w:tc>
            </w:tr>
            <w:tr w14:paraId="357053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2313" w:type="pct"/>
                  <w:tcBorders>
                    <w:tl2br w:val="nil"/>
                    <w:tr2bl w:val="nil"/>
                  </w:tcBorders>
                  <w:vAlign w:val="center"/>
                </w:tcPr>
                <w:p w14:paraId="3F6E5D2B">
                  <w:pPr>
                    <w:pStyle w:val="17"/>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jc w:val="center"/>
                    <w:textAlignment w:val="auto"/>
                    <w:rPr>
                      <w:rFonts w:hint="default" w:ascii="Times New Roman" w:hAnsi="Times New Roman" w:eastAsia="宋体" w:cs="Times New Roman"/>
                      <w:b w:val="0"/>
                      <w:bCs w:val="0"/>
                      <w:color w:val="auto"/>
                      <w:spacing w:val="6"/>
                      <w:sz w:val="21"/>
                      <w:szCs w:val="21"/>
                      <w:lang w:val="en-US" w:eastAsia="zh-CN"/>
                    </w:rPr>
                  </w:pPr>
                  <w:r>
                    <w:rPr>
                      <w:rFonts w:hint="default" w:ascii="Times New Roman" w:hAnsi="Times New Roman" w:eastAsia="宋体" w:cs="Times New Roman"/>
                      <w:b w:val="0"/>
                      <w:bCs w:val="0"/>
                      <w:color w:val="auto"/>
                      <w:spacing w:val="6"/>
                      <w:sz w:val="21"/>
                      <w:szCs w:val="21"/>
                      <w:lang w:val="en-US" w:eastAsia="zh-CN"/>
                    </w:rPr>
                    <w:t>4.应根据建筑垃圾的成分和当地需求因地制宜选择资源化利用技术。</w:t>
                  </w:r>
                </w:p>
              </w:tc>
              <w:tc>
                <w:tcPr>
                  <w:tcW w:w="1969" w:type="pct"/>
                  <w:tcBorders>
                    <w:tl2br w:val="nil"/>
                    <w:tr2bl w:val="nil"/>
                  </w:tcBorders>
                  <w:vAlign w:val="center"/>
                </w:tcPr>
                <w:p w14:paraId="6C57FF70">
                  <w:pPr>
                    <w:pStyle w:val="60"/>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default" w:ascii="Times New Roman" w:hAnsi="Times New Roman" w:eastAsia="宋体" w:cs="Times New Roman"/>
                      <w:b w:val="0"/>
                      <w:bCs w:val="0"/>
                      <w:color w:val="auto"/>
                      <w:spacing w:val="6"/>
                      <w:sz w:val="21"/>
                      <w:szCs w:val="21"/>
                      <w:lang w:val="en-US" w:eastAsia="zh-CN"/>
                    </w:rPr>
                  </w:pPr>
                  <w:r>
                    <w:rPr>
                      <w:rFonts w:hint="eastAsia" w:ascii="Times New Roman" w:hAnsi="Times New Roman" w:eastAsia="宋体" w:cs="Times New Roman"/>
                      <w:b w:val="0"/>
                      <w:bCs w:val="0"/>
                      <w:color w:val="auto"/>
                      <w:spacing w:val="6"/>
                      <w:sz w:val="21"/>
                      <w:szCs w:val="21"/>
                      <w:lang w:val="en-US" w:eastAsia="zh-CN"/>
                    </w:rPr>
                    <w:t>本项目建筑垃圾主要产生途径为老旧渠道及渠系建筑物拆除，本环评提出拉至奇台县建筑垃圾填埋场，由填埋场进行统一处置。</w:t>
                  </w:r>
                </w:p>
              </w:tc>
              <w:tc>
                <w:tcPr>
                  <w:tcW w:w="716" w:type="pct"/>
                  <w:tcBorders>
                    <w:tl2br w:val="nil"/>
                    <w:tr2bl w:val="nil"/>
                  </w:tcBorders>
                  <w:vAlign w:val="center"/>
                </w:tcPr>
                <w:p w14:paraId="5975281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default" w:ascii="Times New Roman" w:hAnsi="Times New Roman" w:eastAsia="宋体" w:cs="Times New Roman"/>
                      <w:b w:val="0"/>
                      <w:bCs w:val="0"/>
                      <w:color w:val="auto"/>
                      <w:spacing w:val="5"/>
                      <w:sz w:val="21"/>
                      <w:szCs w:val="21"/>
                      <w:lang w:val="en-US" w:eastAsia="zh-CN"/>
                    </w:rPr>
                  </w:pPr>
                  <w:r>
                    <w:rPr>
                      <w:rFonts w:hint="default" w:ascii="Times New Roman" w:hAnsi="Times New Roman" w:eastAsia="宋体" w:cs="Times New Roman"/>
                      <w:b w:val="0"/>
                      <w:bCs w:val="0"/>
                      <w:color w:val="auto"/>
                      <w:spacing w:val="5"/>
                      <w:sz w:val="21"/>
                      <w:szCs w:val="21"/>
                      <w:lang w:val="en-US" w:eastAsia="zh-CN"/>
                    </w:rPr>
                    <w:t>符合</w:t>
                  </w:r>
                </w:p>
              </w:tc>
            </w:tr>
          </w:tbl>
          <w:p w14:paraId="1DA0BE2E">
            <w:pPr>
              <w:pageBreakBefore w:val="0"/>
              <w:kinsoku/>
              <w:wordWrap/>
              <w:overflowPunct/>
              <w:bidi w:val="0"/>
              <w:spacing w:line="360" w:lineRule="auto"/>
              <w:ind w:left="0" w:leftChars="0" w:right="0" w:rightChars="0" w:firstLine="480"/>
              <w:rPr>
                <w:rFonts w:hint="default" w:ascii="Times New Roman" w:hAnsi="Times New Roman" w:eastAsia="宋体" w:cs="Times New Roman"/>
                <w:bCs/>
                <w:color w:val="auto"/>
                <w:sz w:val="24"/>
              </w:rPr>
            </w:pPr>
            <w:r>
              <w:rPr>
                <w:rFonts w:hint="default" w:ascii="Times New Roman" w:hAnsi="Times New Roman" w:eastAsia="宋体" w:cs="Times New Roman"/>
                <w:color w:val="auto"/>
                <w:sz w:val="24"/>
                <w:highlight w:val="none"/>
              </w:rPr>
              <w:t>综上所述，本项目</w:t>
            </w:r>
            <w:r>
              <w:rPr>
                <w:rFonts w:hint="default" w:ascii="Times New Roman" w:hAnsi="Times New Roman" w:eastAsia="宋体" w:cs="Times New Roman"/>
                <w:color w:val="auto"/>
                <w:sz w:val="24"/>
                <w:highlight w:val="none"/>
                <w:lang w:eastAsia="zh-CN"/>
              </w:rPr>
              <w:t>固体废弃物</w:t>
            </w:r>
            <w:r>
              <w:rPr>
                <w:rFonts w:hint="default" w:ascii="Times New Roman" w:hAnsi="Times New Roman" w:eastAsia="宋体" w:cs="Times New Roman"/>
                <w:color w:val="auto"/>
                <w:sz w:val="24"/>
                <w:highlight w:val="none"/>
              </w:rPr>
              <w:t>得到合理</w:t>
            </w:r>
            <w:r>
              <w:rPr>
                <w:rFonts w:hint="default" w:ascii="Times New Roman" w:hAnsi="Times New Roman" w:eastAsia="宋体" w:cs="Times New Roman"/>
                <w:color w:val="auto"/>
                <w:sz w:val="24"/>
                <w:highlight w:val="none"/>
                <w:lang w:eastAsia="zh-CN"/>
              </w:rPr>
              <w:t>地</w:t>
            </w:r>
            <w:r>
              <w:rPr>
                <w:rFonts w:hint="default" w:ascii="Times New Roman" w:hAnsi="Times New Roman" w:eastAsia="宋体" w:cs="Times New Roman"/>
                <w:color w:val="auto"/>
                <w:sz w:val="24"/>
                <w:highlight w:val="none"/>
              </w:rPr>
              <w:t>处置，</w:t>
            </w:r>
            <w:r>
              <w:rPr>
                <w:rFonts w:hint="eastAsia" w:cs="Times New Roman"/>
                <w:color w:val="auto"/>
                <w:sz w:val="24"/>
                <w:highlight w:val="none"/>
                <w:lang w:val="en-US" w:eastAsia="zh-CN"/>
              </w:rPr>
              <w:t>建筑垃圾的处置符合《建筑垃圾污染控制技术规范》（HJ1462-2026）相关要求，</w:t>
            </w:r>
            <w:r>
              <w:rPr>
                <w:rFonts w:hint="default" w:ascii="Times New Roman" w:hAnsi="Times New Roman" w:eastAsia="宋体" w:cs="Times New Roman"/>
                <w:color w:val="auto"/>
                <w:sz w:val="24"/>
                <w:highlight w:val="none"/>
              </w:rPr>
              <w:t>不会对周围环境产生太大的影响。</w:t>
            </w:r>
          </w:p>
        </w:tc>
      </w:tr>
      <w:tr w14:paraId="1728AD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9" w:type="pct"/>
            <w:noWrap w:val="0"/>
            <w:tcMar>
              <w:left w:w="28" w:type="dxa"/>
              <w:right w:w="28" w:type="dxa"/>
            </w:tcMar>
            <w:vAlign w:val="center"/>
          </w:tcPr>
          <w:p w14:paraId="462FB30F">
            <w:pPr>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sz w:val="24"/>
                <w:szCs w:val="32"/>
                <w:lang w:val="en-US" w:eastAsia="zh-CN"/>
              </w:rPr>
              <w:t>运营期生态环境影响分析</w:t>
            </w:r>
          </w:p>
        </w:tc>
        <w:tc>
          <w:tcPr>
            <w:tcW w:w="4650" w:type="pct"/>
            <w:noWrap w:val="0"/>
            <w:vAlign w:val="top"/>
          </w:tcPr>
          <w:p w14:paraId="1B299BB5">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本项目建设内容为渠道防渗、配套建筑物建设，属生态影响型项目，运营期无废气、废水、噪声、固废排放，营运期环境影响主要为正效应。</w:t>
            </w:r>
          </w:p>
          <w:p w14:paraId="3B8ADE70">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本项目施工混凝土为抗渗混凝土，项目建设完成后，渠道顺畅，水资源浪费的问题得到解决，不会引起该地区水文情势和水质的变化，因此本项目对渠道地下水的影响较小。</w:t>
            </w:r>
          </w:p>
          <w:p w14:paraId="692CBA16">
            <w:pPr>
              <w:pageBreakBefore w:val="0"/>
              <w:kinsoku/>
              <w:wordWrap/>
              <w:overflowPunct/>
              <w:bidi w:val="0"/>
              <w:spacing w:line="360" w:lineRule="auto"/>
              <w:ind w:left="0" w:leftChars="0" w:right="0" w:rightChars="0" w:firstLine="480" w:firstLineChars="200"/>
              <w:rPr>
                <w:rFonts w:hint="default" w:ascii="Times New Roman" w:hAnsi="Times New Roman" w:cs="Times New Roman"/>
                <w:color w:val="auto"/>
                <w:lang w:val="zh-CN" w:eastAsia="zh-CN"/>
              </w:rPr>
            </w:pPr>
            <w:r>
              <w:rPr>
                <w:rFonts w:hint="eastAsia" w:ascii="Times New Roman" w:hAnsi="Times New Roman" w:eastAsia="宋体" w:cs="Times New Roman"/>
                <w:color w:val="auto"/>
                <w:sz w:val="24"/>
                <w:lang w:val="en-US" w:eastAsia="zh-CN"/>
              </w:rPr>
              <w:t>工程实施运行后，可改善项目区环境，减少沿渠水土流失，减少淤积灾害，有利于提高灌区的引水条件，提高输水效率；过水能力和抗冲能力有效提高，保障沿渠农田、道路和公共设施的安全运行；有效控制地下水位，减少下渗水量，降低土壤盐碱化程度。</w:t>
            </w:r>
          </w:p>
        </w:tc>
      </w:tr>
      <w:tr w14:paraId="7C162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70" w:hRule="atLeast"/>
          <w:jc w:val="center"/>
        </w:trPr>
        <w:tc>
          <w:tcPr>
            <w:tcW w:w="349" w:type="pct"/>
            <w:noWrap w:val="0"/>
            <w:vAlign w:val="center"/>
          </w:tcPr>
          <w:p w14:paraId="4EEA7B27">
            <w:pPr>
              <w:pageBreakBefore w:val="0"/>
              <w:widowControl/>
              <w:kinsoku/>
              <w:wordWrap/>
              <w:overflowPunct/>
              <w:bidi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bCs/>
                <w:color w:val="auto"/>
                <w:kern w:val="2"/>
                <w:sz w:val="24"/>
                <w:szCs w:val="24"/>
                <w:lang w:val="en-US" w:eastAsia="zh-CN" w:bidi="ar-SA"/>
              </w:rPr>
            </w:pPr>
            <w:r>
              <w:rPr>
                <w:rFonts w:hint="default" w:ascii="Times New Roman" w:hAnsi="Times New Roman" w:eastAsia="宋体" w:cs="Times New Roman"/>
                <w:bCs/>
                <w:color w:val="auto"/>
                <w:kern w:val="2"/>
                <w:sz w:val="24"/>
                <w:szCs w:val="24"/>
                <w:lang w:val="en-US" w:eastAsia="zh-CN" w:bidi="ar-SA"/>
              </w:rPr>
              <w:t>选址选线环境合理性分析</w:t>
            </w:r>
          </w:p>
        </w:tc>
        <w:tc>
          <w:tcPr>
            <w:tcW w:w="4650" w:type="pct"/>
            <w:noWrap w:val="0"/>
            <w:vAlign w:val="center"/>
          </w:tcPr>
          <w:p w14:paraId="34EC9529">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lang w:val="en-US" w:eastAsia="zh-CN"/>
              </w:rPr>
              <w:t>、防渗渠线选址的环境合理性分析</w:t>
            </w:r>
          </w:p>
          <w:p w14:paraId="4E4B3BBF">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本工程渠线选址唯一，均在原渠线改建。渠道布线主要占用的</w:t>
            </w:r>
            <w:r>
              <w:rPr>
                <w:rFonts w:hint="eastAsia" w:cs="Times New Roman"/>
                <w:color w:val="auto"/>
                <w:sz w:val="24"/>
                <w:lang w:val="en-US" w:eastAsia="zh-CN"/>
              </w:rPr>
              <w:t>裸土地</w:t>
            </w:r>
            <w:r>
              <w:rPr>
                <w:rFonts w:hint="eastAsia" w:ascii="Times New Roman" w:hAnsi="Times New Roman" w:eastAsia="宋体" w:cs="Times New Roman"/>
                <w:color w:val="auto"/>
                <w:sz w:val="24"/>
                <w:lang w:val="en-US" w:eastAsia="zh-CN"/>
              </w:rPr>
              <w:t>，地表植被稀少，覆盖度低，并且经过区域地势相对平坦，施工过程中土方量较小。部分渠道布线紧邻碧流河，工程河段鱼类资源数量及品种极少，多为常见物种。项目本身属于生态影响类项目，项目实施对环境的主要问题集中在项目施工阶段，不利影响持续时间短暂，并且随着施工期的结束而结束。项目选址不涉及自然保护区、风景名胜区，项目沿线无明显的环境制约因素，外环境关系简单。</w:t>
            </w:r>
          </w:p>
          <w:p w14:paraId="12AA3D3B">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因此防渗渠线路选址从工程占地、环境影响、成本控制、施工条件等方面综合考虑，是较为合理的。</w:t>
            </w:r>
          </w:p>
          <w:p w14:paraId="2E6CEC41">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val="en-US" w:eastAsia="zh-CN"/>
              </w:rPr>
              <w:t>、施工布置方案环境合理性分析</w:t>
            </w:r>
          </w:p>
          <w:p w14:paraId="50071481">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本工程总占地面积</w:t>
            </w:r>
            <w:r>
              <w:rPr>
                <w:rFonts w:hint="eastAsia" w:cs="Times New Roman"/>
                <w:color w:val="auto"/>
                <w:sz w:val="24"/>
                <w:lang w:val="en-US" w:eastAsia="zh-CN"/>
              </w:rPr>
              <w:t>27.59</w:t>
            </w:r>
            <w:r>
              <w:rPr>
                <w:rFonts w:hint="default" w:ascii="Times New Roman" w:hAnsi="Times New Roman" w:eastAsia="宋体" w:cs="Times New Roman"/>
                <w:color w:val="auto"/>
                <w:sz w:val="24"/>
                <w:lang w:val="en-US" w:eastAsia="zh-CN"/>
              </w:rPr>
              <w:t>hm</w:t>
            </w:r>
            <w:r>
              <w:rPr>
                <w:rFonts w:hint="default" w:ascii="Times New Roman" w:hAnsi="Times New Roman" w:eastAsia="宋体" w:cs="Times New Roman"/>
                <w:color w:val="auto"/>
                <w:sz w:val="24"/>
                <w:vertAlign w:val="superscript"/>
                <w:lang w:val="en-US" w:eastAsia="zh-CN"/>
              </w:rPr>
              <w:t>2</w:t>
            </w:r>
            <w:r>
              <w:rPr>
                <w:rFonts w:hint="eastAsia" w:ascii="Times New Roman" w:hAnsi="Times New Roman" w:eastAsia="宋体" w:cs="Times New Roman"/>
                <w:color w:val="auto"/>
                <w:sz w:val="24"/>
                <w:lang w:val="en-US" w:eastAsia="zh-CN"/>
              </w:rPr>
              <w:t>，其中永久占地19.77</w:t>
            </w:r>
            <w:r>
              <w:rPr>
                <w:rFonts w:hint="default" w:ascii="Times New Roman" w:hAnsi="Times New Roman" w:eastAsia="宋体" w:cs="Times New Roman"/>
                <w:color w:val="auto"/>
                <w:sz w:val="24"/>
                <w:lang w:val="en-US" w:eastAsia="zh-CN"/>
              </w:rPr>
              <w:t>hm</w:t>
            </w:r>
            <w:r>
              <w:rPr>
                <w:rFonts w:hint="default" w:ascii="Times New Roman" w:hAnsi="Times New Roman" w:eastAsia="宋体" w:cs="Times New Roman"/>
                <w:color w:val="auto"/>
                <w:sz w:val="24"/>
                <w:vertAlign w:val="superscript"/>
                <w:lang w:val="en-US" w:eastAsia="zh-CN"/>
              </w:rPr>
              <w:t>2</w:t>
            </w:r>
            <w:r>
              <w:rPr>
                <w:rFonts w:hint="eastAsia" w:ascii="Times New Roman" w:hAnsi="Times New Roman" w:eastAsia="宋体" w:cs="Times New Roman"/>
                <w:color w:val="auto"/>
                <w:sz w:val="24"/>
                <w:lang w:val="en-US" w:eastAsia="zh-CN"/>
              </w:rPr>
              <w:t>，包括渠道工程主体和渠选系建筑物，临时占地7.82</w:t>
            </w:r>
            <w:r>
              <w:rPr>
                <w:rFonts w:hint="default" w:ascii="Times New Roman" w:hAnsi="Times New Roman" w:eastAsia="宋体" w:cs="Times New Roman"/>
                <w:color w:val="auto"/>
                <w:sz w:val="24"/>
                <w:lang w:val="en-US" w:eastAsia="zh-CN"/>
              </w:rPr>
              <w:t>hm</w:t>
            </w:r>
            <w:r>
              <w:rPr>
                <w:rFonts w:hint="default" w:ascii="Times New Roman" w:hAnsi="Times New Roman" w:eastAsia="宋体" w:cs="Times New Roman"/>
                <w:color w:val="auto"/>
                <w:sz w:val="24"/>
                <w:vertAlign w:val="superscript"/>
                <w:lang w:val="en-US" w:eastAsia="zh-CN"/>
              </w:rPr>
              <w:t>2</w:t>
            </w:r>
            <w:r>
              <w:rPr>
                <w:rFonts w:hint="eastAsia" w:ascii="Times New Roman" w:hAnsi="Times New Roman" w:eastAsia="宋体" w:cs="Times New Roman"/>
                <w:color w:val="auto"/>
                <w:sz w:val="24"/>
                <w:lang w:val="en-US" w:eastAsia="zh-CN"/>
              </w:rPr>
              <w:t>，主要包括渠道工程区、渠系建筑物区施工临时占地、施工道路区占地和临时生产区占地。工程区占地类型为</w:t>
            </w:r>
            <w:r>
              <w:rPr>
                <w:rFonts w:hint="eastAsia" w:cs="Times New Roman"/>
                <w:color w:val="auto"/>
                <w:sz w:val="24"/>
                <w:lang w:val="en-US" w:eastAsia="zh-CN"/>
              </w:rPr>
              <w:t>裸土地</w:t>
            </w:r>
            <w:r>
              <w:rPr>
                <w:rFonts w:hint="eastAsia" w:ascii="Times New Roman" w:hAnsi="Times New Roman" w:eastAsia="宋体" w:cs="Times New Roman"/>
                <w:color w:val="auto"/>
                <w:sz w:val="24"/>
                <w:lang w:val="en-US" w:eastAsia="zh-CN"/>
              </w:rPr>
              <w:t>和</w:t>
            </w:r>
            <w:r>
              <w:rPr>
                <w:rFonts w:hint="eastAsia" w:cs="Times New Roman"/>
                <w:color w:val="auto"/>
                <w:sz w:val="24"/>
                <w:lang w:val="en-US" w:eastAsia="zh-CN"/>
              </w:rPr>
              <w:t>水域及水利设施用地</w:t>
            </w:r>
            <w:r>
              <w:rPr>
                <w:rFonts w:hint="eastAsia" w:ascii="Times New Roman" w:hAnsi="Times New Roman" w:eastAsia="宋体" w:cs="Times New Roman"/>
                <w:color w:val="auto"/>
                <w:sz w:val="24"/>
                <w:lang w:val="en-US" w:eastAsia="zh-CN"/>
              </w:rPr>
              <w:t>，未占用耕地及林地。项目区相对平坦开阔，周围有用于搭建临时设施、施工机械设备环境停放和材料及废弃物堆放的空地。根据项目区渠道的分布、地形、地物情况，结合环境保护要求、施工组织等因素，考虑在本项目计划布置临时生产区4处包括</w:t>
            </w:r>
            <w:r>
              <w:rPr>
                <w:rFonts w:hint="eastAsia" w:cs="Times New Roman"/>
                <w:color w:val="auto"/>
                <w:sz w:val="24"/>
                <w:lang w:val="en-US" w:eastAsia="zh-CN"/>
              </w:rPr>
              <w:t>临时</w:t>
            </w:r>
            <w:r>
              <w:rPr>
                <w:rFonts w:hint="eastAsia" w:ascii="Times New Roman" w:hAnsi="Times New Roman" w:eastAsia="宋体" w:cs="Times New Roman"/>
                <w:color w:val="auto"/>
                <w:sz w:val="24"/>
                <w:lang w:val="en-US" w:eastAsia="zh-CN"/>
              </w:rPr>
              <w:t>砼拌合系统、加工系统、施工仓库等，总占地面积0.42hm</w:t>
            </w:r>
            <w:r>
              <w:rPr>
                <w:rFonts w:hint="eastAsia" w:ascii="Times New Roman" w:hAnsi="Times New Roman" w:eastAsia="宋体" w:cs="Times New Roman"/>
                <w:color w:val="auto"/>
                <w:sz w:val="24"/>
                <w:vertAlign w:val="superscript"/>
                <w:lang w:val="en-US" w:eastAsia="zh-CN"/>
              </w:rPr>
              <w:t>2</w:t>
            </w:r>
            <w:r>
              <w:rPr>
                <w:rFonts w:hint="eastAsia" w:ascii="Times New Roman" w:hAnsi="Times New Roman" w:eastAsia="宋体" w:cs="Times New Roman"/>
                <w:color w:val="auto"/>
                <w:sz w:val="24"/>
                <w:lang w:val="en-US" w:eastAsia="zh-CN"/>
              </w:rPr>
              <w:t>。施工单位租用附近的民房居住不设置施工临时生活区。</w:t>
            </w:r>
          </w:p>
          <w:p w14:paraId="4060B7D2">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施工过程中临时产生的固废和污废水严禁进入河床，污染水环境。施工区内布设的临时房屋建筑、堆放场等严格按批准的施工红线图布设。施工期采取相应的废水、废气、固废、噪声等治理措施后，对周边环境的影响程度较小。</w:t>
            </w:r>
          </w:p>
          <w:p w14:paraId="1EF1B8D5">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从工程占地、环境影响、施工条件等方面综合考虑，施工场地布置是较为合理的。</w:t>
            </w:r>
          </w:p>
          <w:p w14:paraId="581A38C6">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w:t>
            </w:r>
            <w:r>
              <w:rPr>
                <w:rFonts w:hint="eastAsia" w:ascii="Times New Roman" w:hAnsi="Times New Roman" w:eastAsia="宋体" w:cs="Times New Roman"/>
                <w:color w:val="auto"/>
                <w:sz w:val="24"/>
                <w:lang w:val="en-US" w:eastAsia="zh-CN"/>
              </w:rPr>
              <w:t>、临时施工道路环境合理性分析</w:t>
            </w:r>
          </w:p>
          <w:p w14:paraId="2685DE3A">
            <w:pPr>
              <w:pageBreakBefore w:val="0"/>
              <w:kinsoku/>
              <w:wordWrap/>
              <w:overflowPunct/>
              <w:bidi w:val="0"/>
              <w:spacing w:line="360" w:lineRule="auto"/>
              <w:ind w:left="0" w:leftChars="0" w:right="0" w:rightChars="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根据现场施工条件和工程需要，沿渠部分地段有简易乡村道路伴行，部分地段需专门修建施工临时道路，方能满足各类机械施工。本工程需要修筑临时施工道路5.968</w:t>
            </w:r>
            <w:r>
              <w:rPr>
                <w:rFonts w:hint="default" w:ascii="Times New Roman" w:hAnsi="Times New Roman" w:eastAsia="宋体" w:cs="Times New Roman"/>
                <w:color w:val="auto"/>
                <w:sz w:val="24"/>
                <w:lang w:val="en-US" w:eastAsia="zh-CN"/>
              </w:rPr>
              <w:t>km</w:t>
            </w:r>
            <w:r>
              <w:rPr>
                <w:rFonts w:hint="eastAsia" w:ascii="Times New Roman" w:hAnsi="Times New Roman" w:eastAsia="宋体" w:cs="Times New Roman"/>
                <w:color w:val="auto"/>
                <w:sz w:val="24"/>
                <w:lang w:val="en-US" w:eastAsia="zh-CN"/>
              </w:rPr>
              <w:t>，宽度为</w:t>
            </w:r>
            <w:r>
              <w:rPr>
                <w:rFonts w:hint="default" w:ascii="Times New Roman" w:hAnsi="Times New Roman" w:eastAsia="宋体" w:cs="Times New Roman"/>
                <w:color w:val="auto"/>
                <w:sz w:val="24"/>
                <w:lang w:val="en-US" w:eastAsia="zh-CN"/>
              </w:rPr>
              <w:t>5m</w:t>
            </w:r>
            <w:r>
              <w:rPr>
                <w:rFonts w:hint="eastAsia" w:ascii="Times New Roman" w:hAnsi="Times New Roman" w:eastAsia="宋体" w:cs="Times New Roman"/>
                <w:color w:val="auto"/>
                <w:sz w:val="24"/>
                <w:lang w:val="en-US" w:eastAsia="zh-CN"/>
              </w:rPr>
              <w:t>，简易修整，占地面积2.98</w:t>
            </w:r>
            <w:r>
              <w:rPr>
                <w:rFonts w:hint="default" w:ascii="Times New Roman" w:hAnsi="Times New Roman" w:eastAsia="宋体" w:cs="Times New Roman"/>
                <w:color w:val="auto"/>
                <w:sz w:val="24"/>
                <w:lang w:val="en-US" w:eastAsia="zh-CN"/>
              </w:rPr>
              <w:t>hm</w:t>
            </w:r>
            <w:r>
              <w:rPr>
                <w:rFonts w:hint="default" w:ascii="Times New Roman" w:hAnsi="Times New Roman" w:eastAsia="宋体" w:cs="Times New Roman"/>
                <w:color w:val="auto"/>
                <w:sz w:val="24"/>
                <w:vertAlign w:val="superscript"/>
                <w:lang w:val="en-US" w:eastAsia="zh-CN"/>
              </w:rPr>
              <w:t>2</w:t>
            </w:r>
            <w:r>
              <w:rPr>
                <w:rFonts w:hint="eastAsia" w:ascii="Times New Roman" w:hAnsi="Times New Roman" w:eastAsia="宋体" w:cs="Times New Roman"/>
                <w:color w:val="auto"/>
                <w:sz w:val="24"/>
                <w:lang w:val="en-US" w:eastAsia="zh-CN"/>
              </w:rPr>
              <w:t>。施工完毕后对临时施工道路进行平整恢复。</w:t>
            </w:r>
          </w:p>
          <w:p w14:paraId="1AE6BF72">
            <w:pPr>
              <w:pageBreakBefore w:val="0"/>
              <w:kinsoku/>
              <w:wordWrap/>
              <w:overflowPunct/>
              <w:bidi w:val="0"/>
              <w:spacing w:line="360" w:lineRule="auto"/>
              <w:ind w:left="0" w:leftChars="0" w:right="0" w:rightChars="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因此，综合分析，施工道路布置对周围环境影响小。施工道路布置具有环境合理性。</w:t>
            </w:r>
          </w:p>
        </w:tc>
      </w:tr>
    </w:tbl>
    <w:p w14:paraId="0C1C9BBA">
      <w:pPr>
        <w:pStyle w:val="28"/>
        <w:jc w:val="center"/>
        <w:rPr>
          <w:rFonts w:hint="default" w:ascii="Times New Roman" w:hAnsi="Times New Roman" w:cs="Times New Roman"/>
          <w:snapToGrid w:val="0"/>
          <w:color w:val="auto"/>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73D254ED">
      <w:pPr>
        <w:pStyle w:val="28"/>
        <w:adjustRightInd w:val="0"/>
        <w:snapToGrid w:val="0"/>
        <w:spacing w:before="0" w:beforeAutospacing="0" w:after="0" w:afterAutospacing="0" w:line="14" w:lineRule="auto"/>
        <w:jc w:val="center"/>
        <w:outlineLvl w:val="9"/>
        <w:rPr>
          <w:rFonts w:hint="default" w:ascii="Times New Roman" w:hAnsi="Times New Roman" w:cs="Times New Roman"/>
          <w:snapToGrid w:val="0"/>
          <w:color w:val="auto"/>
        </w:rPr>
      </w:pPr>
    </w:p>
    <w:p w14:paraId="5F92E80F">
      <w:pPr>
        <w:pStyle w:val="28"/>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rPr>
      </w:pPr>
      <w:bookmarkStart w:id="21" w:name="_Toc17962"/>
      <w:bookmarkStart w:id="22" w:name="_Toc2685"/>
      <w:r>
        <w:rPr>
          <w:rFonts w:hint="default" w:ascii="Times New Roman" w:hAnsi="Times New Roman" w:eastAsia="黑体" w:cs="Times New Roman"/>
          <w:snapToGrid w:val="0"/>
          <w:color w:val="auto"/>
          <w:sz w:val="30"/>
          <w:szCs w:val="30"/>
        </w:rPr>
        <w:t>五、主要生态环境保护措施</w:t>
      </w:r>
      <w:bookmarkEnd w:id="21"/>
      <w:bookmarkEnd w:id="22"/>
    </w:p>
    <w:tbl>
      <w:tblPr>
        <w:tblStyle w:val="3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7746"/>
      </w:tblGrid>
      <w:tr w14:paraId="041A12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412" w:type="pct"/>
            <w:noWrap w:val="0"/>
            <w:tcMar>
              <w:left w:w="28" w:type="dxa"/>
              <w:right w:w="28" w:type="dxa"/>
            </w:tcMar>
            <w:vAlign w:val="center"/>
          </w:tcPr>
          <w:p w14:paraId="770ED31D">
            <w:pPr>
              <w:adjustRightInd w:val="0"/>
              <w:snapToGrid w:val="0"/>
              <w:jc w:val="center"/>
              <w:rPr>
                <w:rFonts w:hint="default" w:ascii="Times New Roman" w:hAnsi="Times New Roman" w:cs="Times New Roman"/>
                <w:bCs/>
                <w:color w:val="auto"/>
                <w:sz w:val="24"/>
              </w:rPr>
            </w:pPr>
            <w:r>
              <w:rPr>
                <w:rFonts w:hint="default" w:ascii="Times New Roman" w:hAnsi="Times New Roman" w:cs="Times New Roman"/>
                <w:bCs/>
                <w:color w:val="auto"/>
                <w:spacing w:val="10"/>
                <w:sz w:val="24"/>
              </w:rPr>
              <w:t>施工期生态环境保护措施</w:t>
            </w:r>
          </w:p>
        </w:tc>
        <w:tc>
          <w:tcPr>
            <w:tcW w:w="4587" w:type="pct"/>
            <w:noWrap w:val="0"/>
            <w:vAlign w:val="top"/>
          </w:tcPr>
          <w:p w14:paraId="1FA00B74">
            <w:pPr>
              <w:keepNext w:val="0"/>
              <w:keepLines w:val="0"/>
              <w:pageBreakBefore w:val="0"/>
              <w:widowControl w:val="0"/>
              <w:numPr>
                <w:ilvl w:val="0"/>
                <w:numId w:val="13"/>
              </w:numPr>
              <w:kinsoku/>
              <w:wordWrap/>
              <w:overflowPunct/>
              <w:topLinePunct w:val="0"/>
              <w:autoSpaceDE w:val="0"/>
              <w:autoSpaceDN w:val="0"/>
              <w:bidi w:val="0"/>
              <w:adjustRightInd w:val="0"/>
              <w:snapToGrid w:val="0"/>
              <w:spacing w:before="157" w:beforeLines="50"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生态保护措施</w:t>
            </w:r>
          </w:p>
          <w:p w14:paraId="65B6E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项目从避让、减缓、修复、补偿、管理方面减少施工期间对区域生态环境影响。</w:t>
            </w:r>
          </w:p>
          <w:p w14:paraId="6BCD89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设计阶段</w:t>
            </w:r>
          </w:p>
          <w:p w14:paraId="68C94A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项目位于奇台县，在设计阶段优化了方案设计，对工程占地进行了调查、分析、比较，在满足工程技术标准的条件下，充分考虑了避让及减缓等减少生态影响措施，优先选择占地少、对土地扰动少的设计方案。</w:t>
            </w:r>
          </w:p>
          <w:p w14:paraId="1340D9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施工阶段</w:t>
            </w:r>
          </w:p>
          <w:p w14:paraId="7466396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针对施工期间对施工范围内产生的生态影响，采取的具体措施如下：</w:t>
            </w:r>
          </w:p>
          <w:p w14:paraId="07041D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1）临时道路利用现有道路，施工车辆严格按规划的道路行驶，避免随意碾压，造成原生土壤的破坏而产生水土流失。加强施工人员环保意识的宣传工作。禁止施工人员破坏设计用地以外的植被，尤其注意保护周边耕地，严格控制临时用地。施工时采用洒水抑制扬尘，保证路面不起尘土。</w:t>
            </w:r>
          </w:p>
          <w:p w14:paraId="72F6A98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（2）临时堆土采取洒水、防尘网苫盖措施，待土方回填结束后，对临时堆土场进行场地平整，在平整后的土地上进行整地并恢复植被。</w:t>
            </w:r>
          </w:p>
          <w:p w14:paraId="21E3C5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3）施工生产区在施工完成后，应予以拆除，对施工过程中产生的建筑垃圾，应进行分类收集、分类管理，能够回收利用的尽量回收综合利用，以节约资源；对于不能回收利用的要进行收集并在固定地点集中暂存，施工完成后及时处理，拉运至建筑垃圾填埋场填埋处置。施工生产区在施工期间主要采取洒水、碾压等工程措施进行防护。施工结束后，进行场地平整，促进表层密实，最后将表土自然覆盖于地表，播撒草籽，完成临时占地恢复。</w:t>
            </w:r>
          </w:p>
          <w:p w14:paraId="36D9E3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4）施工过程中产生大量的土方动迁，水土保持工作重点主要在合理进行土方平衡以减少对原地貌的扰动和控制施工过程中水土流失方面。经水工、施工、水保专业对土方挖填方案进行协商比选，挖方料均利用作填方料。施工前应精细做好施工组织方案，施工过程中严格按施工组织方案安排施工工序及施工分区，尽可能避免临时堆渣和土方的二次倒运，将可能造成的水土流失量减到最小。</w:t>
            </w:r>
          </w:p>
          <w:p w14:paraId="1D0984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（6）采取优质施工机械，合理规划施工作业时间，减缓施工噪声对野生动物的惊扰。</w:t>
            </w:r>
          </w:p>
          <w:p w14:paraId="5F10F7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（7）为减缓施工期水土流失，施工单位通过采取优化施工方案、避开大风天气、雨季施工，在施工过程中应将土石方分层开挖，分层堆放，分层回填，以保持水土的稳定。</w:t>
            </w:r>
          </w:p>
          <w:p w14:paraId="54167C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（8）土方临时堆存时用防尘网苫盖，生活垃圾要定点堆放及时清运，严格控制施工过程中扬尘污染，施工结束后，做到完工，料尽、场地清。</w:t>
            </w:r>
          </w:p>
          <w:p w14:paraId="7A307F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（9）禁止设置污染水体的一切活动。</w:t>
            </w:r>
          </w:p>
          <w:p w14:paraId="0B8BFC4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（10）严禁向渠道内乱倾倒施工中产生的废物，做到定点存放，及时外运处置，避免污染。</w:t>
            </w:r>
          </w:p>
          <w:p w14:paraId="722758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（11）加强对施工人员环保意识教育，杜绝一切破坏植被、水质行为。</w:t>
            </w:r>
          </w:p>
          <w:p w14:paraId="21A682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（12）施工完毕后及时进行土地平整，进行迹地恢复。对土壤、植被的恢复，遵循破坏多少，恢复多少，优先采用原生表土及乡土物种进行恢复。</w:t>
            </w:r>
          </w:p>
          <w:p w14:paraId="241ECBD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157" w:beforeLines="50" w:line="360" w:lineRule="auto"/>
              <w:ind w:leftChars="20" w:right="42" w:rightChars="20" w:firstLine="480" w:firstLineChars="20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通过采取上述生态保护措施，可以最大程度地降低本项目建设对生态环境的影响和破坏，恢复项目区域的生态环境。</w:t>
            </w:r>
          </w:p>
          <w:p w14:paraId="712A234F">
            <w:pPr>
              <w:pStyle w:val="11"/>
              <w:spacing w:line="360" w:lineRule="auto"/>
              <w:ind w:firstLine="480"/>
              <w:rPr>
                <w:rFonts w:hint="default" w:ascii="Times New Roman" w:hAnsi="Times New Roman" w:cs="Times New Roman"/>
                <w:b/>
                <w:bCs/>
                <w:snapToGrid w:val="0"/>
                <w:color w:val="auto"/>
                <w:kern w:val="0"/>
                <w:sz w:val="24"/>
              </w:rPr>
            </w:pPr>
            <w:r>
              <w:rPr>
                <w:rFonts w:hint="eastAsia" w:cs="Times New Roman"/>
                <w:b/>
                <w:bCs/>
                <w:snapToGrid w:val="0"/>
                <w:color w:val="auto"/>
                <w:kern w:val="0"/>
                <w:sz w:val="24"/>
                <w:lang w:val="en-US" w:eastAsia="zh-CN"/>
              </w:rPr>
              <w:t>1.1水生生态保护措施</w:t>
            </w:r>
          </w:p>
          <w:p w14:paraId="78EFCE70">
            <w:pPr>
              <w:pStyle w:val="11"/>
              <w:spacing w:line="360" w:lineRule="auto"/>
              <w:ind w:firstLine="480"/>
              <w:rPr>
                <w:rFonts w:hint="eastAsia" w:ascii="Times New Roman" w:hAnsi="Times New Roman" w:eastAsia="宋体" w:cs="Times New Roman"/>
                <w:snapToGrid w:val="0"/>
                <w:color w:val="auto"/>
                <w:kern w:val="0"/>
                <w:sz w:val="24"/>
                <w:lang w:eastAsia="zh-CN"/>
              </w:rPr>
            </w:pPr>
            <w:r>
              <w:rPr>
                <w:rFonts w:hint="eastAsia" w:ascii="Times New Roman" w:hAnsi="Times New Roman" w:eastAsia="宋体" w:cs="Times New Roman"/>
                <w:snapToGrid w:val="0"/>
                <w:color w:val="auto"/>
                <w:kern w:val="0"/>
                <w:sz w:val="24"/>
                <w:lang w:eastAsia="zh-CN"/>
              </w:rPr>
              <w:t>工程施工段河道内无国家级和地方级保护鱼种和大型鱼类，施工区域及下游无鱼类三场分布。施工期扰动水体对河段</w:t>
            </w:r>
            <w:r>
              <w:rPr>
                <w:rFonts w:hint="eastAsia" w:ascii="Times New Roman" w:hAnsi="Times New Roman" w:eastAsia="宋体" w:cs="Times New Roman"/>
                <w:snapToGrid w:val="0"/>
                <w:color w:val="auto"/>
                <w:kern w:val="0"/>
                <w:sz w:val="24"/>
                <w:lang w:val="en-US" w:eastAsia="zh-CN"/>
              </w:rPr>
              <w:t>内的水生生态</w:t>
            </w:r>
            <w:r>
              <w:rPr>
                <w:rFonts w:hint="eastAsia" w:ascii="Times New Roman" w:hAnsi="Times New Roman" w:eastAsia="宋体" w:cs="Times New Roman"/>
                <w:snapToGrid w:val="0"/>
                <w:color w:val="auto"/>
                <w:kern w:val="0"/>
                <w:sz w:val="24"/>
                <w:lang w:eastAsia="zh-CN"/>
              </w:rPr>
              <w:t>形成惊扰，会迫使原栖息在此的</w:t>
            </w:r>
            <w:r>
              <w:rPr>
                <w:rFonts w:hint="eastAsia" w:ascii="Times New Roman" w:hAnsi="Times New Roman" w:eastAsia="宋体" w:cs="Times New Roman"/>
                <w:snapToGrid w:val="0"/>
                <w:color w:val="auto"/>
                <w:kern w:val="0"/>
                <w:sz w:val="24"/>
                <w:lang w:val="en-US" w:eastAsia="zh-CN"/>
              </w:rPr>
              <w:t>动物</w:t>
            </w:r>
            <w:r>
              <w:rPr>
                <w:rFonts w:hint="eastAsia" w:ascii="Times New Roman" w:hAnsi="Times New Roman" w:eastAsia="宋体" w:cs="Times New Roman"/>
                <w:snapToGrid w:val="0"/>
                <w:color w:val="auto"/>
                <w:kern w:val="0"/>
                <w:sz w:val="24"/>
                <w:lang w:eastAsia="zh-CN"/>
              </w:rPr>
              <w:t>离开工程区河段，进入其他河段栖息。但上述影响仅局限于施工期和工程区范围内，随着施工的结束，这种影响随之消失。项目施工期间无洪水下泄，由于项目施工时间较短，随着施工结束，产生的暂时性影响也随之消失。为进一步降低项目施工对水生态影响，提出以下措施：</w:t>
            </w:r>
          </w:p>
          <w:p w14:paraId="42DC7526">
            <w:pPr>
              <w:pStyle w:val="11"/>
              <w:spacing w:line="360" w:lineRule="auto"/>
              <w:ind w:firstLine="480"/>
              <w:rPr>
                <w:rFonts w:hint="default" w:ascii="Times New Roman" w:hAnsi="Times New Roman" w:eastAsia="宋体" w:cs="Times New Roman"/>
                <w:snapToGrid w:val="0"/>
                <w:color w:val="auto"/>
                <w:kern w:val="0"/>
                <w:sz w:val="24"/>
              </w:rPr>
            </w:pPr>
            <w:r>
              <w:rPr>
                <w:rFonts w:hint="eastAsia" w:ascii="Times New Roman" w:hAnsi="Times New Roman" w:eastAsia="宋体" w:cs="Times New Roman"/>
                <w:snapToGrid w:val="0"/>
                <w:color w:val="auto"/>
                <w:kern w:val="0"/>
                <w:sz w:val="24"/>
                <w:lang w:eastAsia="zh-CN"/>
              </w:rPr>
              <w:t>①</w:t>
            </w:r>
            <w:r>
              <w:rPr>
                <w:rFonts w:hint="default" w:ascii="Times New Roman" w:hAnsi="Times New Roman" w:eastAsia="宋体" w:cs="Times New Roman"/>
                <w:snapToGrid w:val="0"/>
                <w:color w:val="auto"/>
                <w:kern w:val="0"/>
                <w:sz w:val="24"/>
              </w:rPr>
              <w:t>施工期间不得利用非施工侧河道布置施工机械、设备，禁止采挖施工范围以外河床，减少项目施工对现状河道扰动。</w:t>
            </w:r>
          </w:p>
          <w:p w14:paraId="2E309B96">
            <w:pPr>
              <w:pStyle w:val="11"/>
              <w:spacing w:line="360" w:lineRule="auto"/>
              <w:ind w:firstLine="480"/>
              <w:rPr>
                <w:rFonts w:hint="default" w:ascii="Times New Roman" w:hAnsi="Times New Roman" w:eastAsia="宋体" w:cs="Times New Roman"/>
                <w:snapToGrid w:val="0"/>
                <w:color w:val="auto"/>
                <w:kern w:val="0"/>
                <w:sz w:val="24"/>
              </w:rPr>
            </w:pPr>
            <w:r>
              <w:rPr>
                <w:rFonts w:hint="eastAsia" w:ascii="Times New Roman" w:hAnsi="Times New Roman" w:eastAsia="宋体" w:cs="Times New Roman"/>
                <w:snapToGrid w:val="0"/>
                <w:color w:val="auto"/>
                <w:kern w:val="0"/>
                <w:sz w:val="24"/>
                <w:lang w:eastAsia="zh-CN"/>
              </w:rPr>
              <w:t>②</w:t>
            </w:r>
            <w:r>
              <w:rPr>
                <w:rFonts w:hint="default" w:ascii="Times New Roman" w:hAnsi="Times New Roman" w:eastAsia="宋体" w:cs="Times New Roman"/>
                <w:snapToGrid w:val="0"/>
                <w:color w:val="auto"/>
                <w:kern w:val="0"/>
                <w:sz w:val="24"/>
              </w:rPr>
              <w:t>及时恢复河床原貌，不得在河道内临时、永久堆置土方、砂石料，破坏河道，影响河道行洪。</w:t>
            </w:r>
          </w:p>
          <w:p w14:paraId="1166DF40">
            <w:pPr>
              <w:pStyle w:val="11"/>
              <w:spacing w:line="360" w:lineRule="auto"/>
              <w:ind w:firstLine="480"/>
              <w:rPr>
                <w:rFonts w:hint="default" w:ascii="Times New Roman" w:hAnsi="Times New Roman" w:eastAsia="宋体" w:cs="Times New Roman"/>
                <w:snapToGrid w:val="0"/>
                <w:color w:val="auto"/>
                <w:kern w:val="0"/>
                <w:sz w:val="24"/>
              </w:rPr>
            </w:pPr>
            <w:r>
              <w:rPr>
                <w:rFonts w:hint="eastAsia" w:ascii="Times New Roman" w:hAnsi="Times New Roman" w:eastAsia="宋体" w:cs="Times New Roman"/>
                <w:snapToGrid w:val="0"/>
                <w:color w:val="auto"/>
                <w:kern w:val="0"/>
                <w:sz w:val="24"/>
                <w:lang w:eastAsia="zh-CN"/>
              </w:rPr>
              <w:t>③</w:t>
            </w:r>
            <w:r>
              <w:rPr>
                <w:rFonts w:hint="default" w:ascii="Times New Roman" w:hAnsi="Times New Roman" w:eastAsia="宋体" w:cs="Times New Roman"/>
                <w:snapToGrid w:val="0"/>
                <w:color w:val="auto"/>
                <w:kern w:val="0"/>
                <w:sz w:val="24"/>
              </w:rPr>
              <w:t>施工期间加强施工人员教育、管理，禁止</w:t>
            </w:r>
            <w:r>
              <w:rPr>
                <w:rFonts w:hint="eastAsia" w:ascii="Times New Roman" w:hAnsi="Times New Roman" w:eastAsia="宋体" w:cs="Times New Roman"/>
                <w:snapToGrid w:val="0"/>
                <w:color w:val="auto"/>
                <w:kern w:val="0"/>
                <w:sz w:val="24"/>
                <w:lang w:val="en-US" w:eastAsia="zh-CN"/>
              </w:rPr>
              <w:t>破坏生态环境</w:t>
            </w:r>
            <w:r>
              <w:rPr>
                <w:rFonts w:hint="default" w:ascii="Times New Roman" w:hAnsi="Times New Roman" w:eastAsia="宋体" w:cs="Times New Roman"/>
                <w:snapToGrid w:val="0"/>
                <w:color w:val="auto"/>
                <w:kern w:val="0"/>
                <w:sz w:val="24"/>
              </w:rPr>
              <w:t>。</w:t>
            </w:r>
          </w:p>
          <w:p w14:paraId="27FE16FB">
            <w:pPr>
              <w:pStyle w:val="11"/>
              <w:spacing w:line="360" w:lineRule="auto"/>
              <w:ind w:firstLine="480"/>
              <w:rPr>
                <w:rFonts w:hint="default" w:ascii="Times New Roman" w:hAnsi="Times New Roman" w:eastAsia="宋体" w:cs="Times New Roman"/>
                <w:snapToGrid w:val="0"/>
                <w:color w:val="auto"/>
                <w:kern w:val="0"/>
                <w:sz w:val="24"/>
              </w:rPr>
            </w:pPr>
            <w:r>
              <w:rPr>
                <w:rFonts w:hint="eastAsia" w:ascii="Times New Roman" w:hAnsi="Times New Roman" w:eastAsia="宋体" w:cs="Times New Roman"/>
                <w:snapToGrid w:val="0"/>
                <w:color w:val="auto"/>
                <w:kern w:val="0"/>
                <w:sz w:val="24"/>
                <w:lang w:eastAsia="zh-CN"/>
              </w:rPr>
              <w:t>④</w:t>
            </w:r>
            <w:r>
              <w:rPr>
                <w:rFonts w:hint="default" w:ascii="Times New Roman" w:hAnsi="Times New Roman" w:eastAsia="宋体" w:cs="Times New Roman"/>
                <w:snapToGrid w:val="0"/>
                <w:color w:val="auto"/>
                <w:kern w:val="0"/>
                <w:sz w:val="24"/>
              </w:rPr>
              <w:t>在施工过程中禁止向河内排放污染物，常年禁止一切渔业活动。</w:t>
            </w:r>
          </w:p>
          <w:p w14:paraId="151E01CF">
            <w:pPr>
              <w:pStyle w:val="11"/>
              <w:spacing w:line="360" w:lineRule="auto"/>
              <w:ind w:firstLine="480"/>
              <w:rPr>
                <w:rFonts w:hint="default" w:ascii="Times New Roman" w:hAnsi="Times New Roman" w:eastAsia="宋体" w:cs="Times New Roman"/>
                <w:snapToGrid w:val="0"/>
                <w:color w:val="auto"/>
                <w:kern w:val="0"/>
                <w:sz w:val="24"/>
              </w:rPr>
            </w:pPr>
            <w:r>
              <w:rPr>
                <w:rFonts w:hint="eastAsia" w:ascii="Times New Roman" w:hAnsi="Times New Roman" w:eastAsia="宋体" w:cs="Times New Roman"/>
                <w:snapToGrid w:val="0"/>
                <w:color w:val="auto"/>
                <w:kern w:val="0"/>
                <w:sz w:val="24"/>
                <w:lang w:eastAsia="zh-CN"/>
              </w:rPr>
              <w:t>⑤</w:t>
            </w:r>
            <w:r>
              <w:rPr>
                <w:rFonts w:hint="default" w:ascii="Times New Roman" w:hAnsi="Times New Roman" w:eastAsia="宋体" w:cs="Times New Roman"/>
                <w:snapToGrid w:val="0"/>
                <w:color w:val="auto"/>
                <w:kern w:val="0"/>
                <w:sz w:val="24"/>
              </w:rPr>
              <w:t>加强施工管理，强调合理有序施工，优化施工组织，同一施工段实行同向逐步推进施工，相邻施工段错开施工高峰期。</w:t>
            </w:r>
          </w:p>
          <w:p w14:paraId="488FE39D">
            <w:pPr>
              <w:pStyle w:val="11"/>
              <w:spacing w:line="360" w:lineRule="auto"/>
              <w:ind w:firstLine="480"/>
              <w:rPr>
                <w:rFonts w:hint="default" w:ascii="Times New Roman" w:hAnsi="Times New Roman" w:eastAsia="宋体" w:cs="Times New Roman"/>
                <w:snapToGrid w:val="0"/>
                <w:color w:val="auto"/>
                <w:kern w:val="0"/>
                <w:sz w:val="24"/>
              </w:rPr>
            </w:pPr>
            <w:r>
              <w:rPr>
                <w:rFonts w:hint="eastAsia" w:ascii="Times New Roman" w:hAnsi="Times New Roman" w:eastAsia="宋体" w:cs="Times New Roman"/>
                <w:snapToGrid w:val="0"/>
                <w:color w:val="auto"/>
                <w:kern w:val="0"/>
                <w:sz w:val="24"/>
                <w:lang w:val="en-US" w:eastAsia="zh-CN"/>
              </w:rPr>
              <w:t>⑥本项目施工期间为枯水期，施工</w:t>
            </w:r>
            <w:r>
              <w:rPr>
                <w:rFonts w:hint="eastAsia" w:cs="Times New Roman"/>
                <w:snapToGrid w:val="0"/>
                <w:color w:val="auto"/>
                <w:kern w:val="0"/>
                <w:sz w:val="24"/>
                <w:lang w:val="en-US" w:eastAsia="zh-CN"/>
              </w:rPr>
              <w:t>仅涉及渠道</w:t>
            </w:r>
            <w:r>
              <w:rPr>
                <w:rFonts w:hint="eastAsia" w:ascii="Times New Roman" w:hAnsi="Times New Roman" w:eastAsia="宋体" w:cs="Times New Roman"/>
                <w:snapToGrid w:val="0"/>
                <w:color w:val="auto"/>
                <w:kern w:val="0"/>
                <w:sz w:val="24"/>
                <w:lang w:val="en-US" w:eastAsia="zh-CN"/>
              </w:rPr>
              <w:t>。</w:t>
            </w:r>
          </w:p>
          <w:p w14:paraId="0A57D643">
            <w:pPr>
              <w:pStyle w:val="11"/>
              <w:spacing w:line="360" w:lineRule="auto"/>
              <w:ind w:firstLine="480"/>
              <w:rPr>
                <w:rFonts w:hint="default" w:ascii="Times New Roman" w:hAnsi="Times New Roman" w:cs="Times New Roman"/>
                <w:b/>
                <w:bCs/>
                <w:snapToGrid w:val="0"/>
                <w:color w:val="auto"/>
                <w:kern w:val="0"/>
                <w:sz w:val="24"/>
              </w:rPr>
            </w:pPr>
            <w:r>
              <w:rPr>
                <w:rFonts w:hint="eastAsia" w:cs="Times New Roman"/>
                <w:b/>
                <w:bCs/>
                <w:snapToGrid w:val="0"/>
                <w:color w:val="auto"/>
                <w:kern w:val="0"/>
                <w:sz w:val="24"/>
                <w:lang w:val="en-US" w:eastAsia="zh-CN"/>
              </w:rPr>
              <w:t>1.2对水质保护措施</w:t>
            </w:r>
          </w:p>
          <w:p w14:paraId="0C6089B2">
            <w:pPr>
              <w:pStyle w:val="11"/>
              <w:spacing w:line="360" w:lineRule="auto"/>
              <w:ind w:firstLine="480"/>
              <w:rPr>
                <w:rFonts w:hint="default" w:ascii="Times New Roman" w:hAnsi="Times New Roman" w:cs="Times New Roman"/>
                <w:snapToGrid w:val="0"/>
                <w:color w:val="auto"/>
                <w:kern w:val="0"/>
                <w:sz w:val="24"/>
              </w:rPr>
            </w:pPr>
            <w:r>
              <w:rPr>
                <w:rFonts w:hint="default" w:ascii="Times New Roman" w:hAnsi="Times New Roman" w:eastAsia="宋体" w:cs="Times New Roman"/>
                <w:snapToGrid w:val="0"/>
                <w:color w:val="auto"/>
                <w:kern w:val="0"/>
                <w:sz w:val="24"/>
                <w:lang w:eastAsia="zh-CN"/>
              </w:rPr>
              <w:t>在工程施工过程中应严格控制施工范围，尽量减少对河道的扰动，做好水土保持工作。施工生产废水严禁排入河道，避免对地表水污染。</w:t>
            </w:r>
          </w:p>
          <w:p w14:paraId="4533E953">
            <w:pPr>
              <w:pStyle w:val="11"/>
              <w:spacing w:line="360" w:lineRule="auto"/>
              <w:ind w:firstLine="480"/>
              <w:rPr>
                <w:rFonts w:hint="default" w:ascii="Times New Roman" w:hAnsi="Times New Roman" w:cs="Times New Roman"/>
                <w:b/>
                <w:bCs/>
                <w:snapToGrid w:val="0"/>
                <w:color w:val="auto"/>
                <w:kern w:val="0"/>
                <w:sz w:val="24"/>
              </w:rPr>
            </w:pPr>
            <w:r>
              <w:rPr>
                <w:rFonts w:hint="eastAsia" w:cs="Times New Roman"/>
                <w:b/>
                <w:bCs/>
                <w:snapToGrid w:val="0"/>
                <w:color w:val="auto"/>
                <w:kern w:val="0"/>
                <w:sz w:val="24"/>
                <w:lang w:val="en-US" w:eastAsia="zh-CN"/>
              </w:rPr>
              <w:t>1.3工程占地及土壤的保护措施</w:t>
            </w:r>
          </w:p>
          <w:p w14:paraId="1A8920CD">
            <w:pPr>
              <w:pStyle w:val="58"/>
              <w:adjustRightInd/>
              <w:snapToGrid/>
              <w:spacing w:line="360" w:lineRule="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划定施工区域，强化施工管理，增强施工人员的环境保护意识，在保证施工顺利进行的前提下，严格控制施工人员、施工机械、临时占地范围，严禁随意扩大扰动范围；尽可能缩小施工作业面和减少扰动面积；以最大限度地控制地表土壤和植被的破坏程度和范围，减少地表扰动。在土方开挖施工时，应严格注意保护原有地表土壤层，按照原土层顺序回填及覆盖，做到分层开挖，分层堆放，分层回填，以利于植被自然恢复。</w:t>
            </w:r>
          </w:p>
          <w:p w14:paraId="24F8F606">
            <w:pPr>
              <w:pStyle w:val="30"/>
              <w:keepNext w:val="0"/>
              <w:keepLines w:val="0"/>
              <w:pageBreakBefore w:val="0"/>
              <w:widowControl w:val="0"/>
              <w:kinsoku/>
              <w:wordWrap/>
              <w:overflowPunct/>
              <w:topLinePunct w:val="0"/>
              <w:autoSpaceDE/>
              <w:autoSpaceDN/>
              <w:bidi w:val="0"/>
              <w:adjustRightInd/>
              <w:snapToGrid/>
              <w:spacing w:after="0" w:line="360" w:lineRule="auto"/>
              <w:ind w:firstLine="0"/>
              <w:textAlignment w:val="auto"/>
              <w:rPr>
                <w:rFonts w:hint="default" w:ascii="Times New Roman" w:hAnsi="Times New Roman" w:eastAsia="宋体" w:cs="Times New Roman"/>
                <w:b/>
                <w:bCs w:val="0"/>
                <w:color w:val="auto"/>
                <w:lang w:val="en-US" w:eastAsia="zh-CN"/>
              </w:rPr>
            </w:pPr>
            <w:r>
              <w:rPr>
                <w:rFonts w:hint="eastAsia" w:eastAsia="宋体" w:cs="Times New Roman"/>
                <w:b/>
                <w:bCs w:val="0"/>
                <w:color w:val="auto"/>
                <w:kern w:val="2"/>
                <w:sz w:val="24"/>
                <w:szCs w:val="24"/>
                <w:lang w:val="en-US" w:eastAsia="zh-CN" w:bidi="ar-SA"/>
              </w:rPr>
              <w:t>1.4动物保护措施</w:t>
            </w:r>
          </w:p>
          <w:p w14:paraId="33DF5A03">
            <w:pPr>
              <w:widowControl/>
              <w:kinsoku/>
              <w:autoSpaceDE w:val="0"/>
              <w:autoSpaceDN w:val="0"/>
              <w:bidi w:val="0"/>
              <w:adjustRightInd w:val="0"/>
              <w:snapToGrid w:val="0"/>
              <w:spacing w:line="360" w:lineRule="auto"/>
              <w:ind w:firstLine="480" w:firstLineChars="200"/>
              <w:jc w:val="left"/>
              <w:textAlignment w:val="baseline"/>
              <w:rPr>
                <w:rFonts w:hint="eastAsia" w:ascii="Times New Roman" w:hAnsi="Times New Roman" w:eastAsia="宋体" w:cs="Times New Roman"/>
                <w:snapToGrid w:val="0"/>
                <w:color w:val="auto"/>
                <w:kern w:val="0"/>
                <w:sz w:val="24"/>
                <w:highlight w:val="none"/>
                <w:lang w:eastAsia="en-US"/>
              </w:rPr>
            </w:pPr>
            <w:r>
              <w:rPr>
                <w:rFonts w:hint="eastAsia" w:ascii="Times New Roman" w:hAnsi="Times New Roman" w:eastAsia="宋体" w:cs="Times New Roman"/>
                <w:snapToGrid w:val="0"/>
                <w:color w:val="auto"/>
                <w:kern w:val="0"/>
                <w:sz w:val="24"/>
                <w:highlight w:val="none"/>
                <w:lang w:eastAsia="zh-CN"/>
              </w:rPr>
              <w:t>①</w:t>
            </w:r>
            <w:r>
              <w:rPr>
                <w:rFonts w:hint="eastAsia" w:ascii="Times New Roman" w:hAnsi="Times New Roman" w:eastAsia="宋体" w:cs="Times New Roman"/>
                <w:snapToGrid w:val="0"/>
                <w:color w:val="auto"/>
                <w:kern w:val="0"/>
                <w:sz w:val="24"/>
                <w:highlight w:val="none"/>
                <w:lang w:eastAsia="en-US"/>
              </w:rPr>
              <w:t>在施工期间对施工人员和附近居民加强生态保护宣传教育，以宣传册、标志牌等形式，对施工区工作生活人员特别是施工人员及时进行宣传教育，建立生态破坏惩罚制度，严禁施工人员非法猎捕当地野生动物，禁止施工人员捕食鸟类，以减轻施工对当地动物的影响。</w:t>
            </w:r>
          </w:p>
          <w:p w14:paraId="19A298B7">
            <w:pPr>
              <w:widowControl/>
              <w:kinsoku/>
              <w:autoSpaceDE w:val="0"/>
              <w:autoSpaceDN w:val="0"/>
              <w:bidi w:val="0"/>
              <w:adjustRightInd w:val="0"/>
              <w:snapToGrid w:val="0"/>
              <w:spacing w:line="360" w:lineRule="auto"/>
              <w:ind w:firstLine="480" w:firstLineChars="200"/>
              <w:jc w:val="left"/>
              <w:textAlignment w:val="baseline"/>
              <w:rPr>
                <w:rFonts w:hint="eastAsia" w:ascii="Times New Roman" w:hAnsi="Times New Roman" w:eastAsia="宋体" w:cs="Times New Roman"/>
                <w:snapToGrid w:val="0"/>
                <w:color w:val="auto"/>
                <w:kern w:val="0"/>
                <w:sz w:val="24"/>
                <w:highlight w:val="none"/>
                <w:lang w:eastAsia="en-US"/>
              </w:rPr>
            </w:pPr>
            <w:r>
              <w:rPr>
                <w:rFonts w:hint="eastAsia" w:ascii="Times New Roman" w:hAnsi="Times New Roman" w:eastAsia="宋体" w:cs="Times New Roman"/>
                <w:snapToGrid w:val="0"/>
                <w:color w:val="auto"/>
                <w:kern w:val="0"/>
                <w:sz w:val="24"/>
                <w:highlight w:val="none"/>
                <w:lang w:eastAsia="en-US"/>
              </w:rPr>
              <w:t>②根据施工总平面布置，确定施工用地范围，进行标桩划界，禁止施工人员进入非施工占地区域；非施工区严禁烟火、狩猎和垂钓等活动。禁止施工人员野外用火，把对野生动物的干扰降至最低程度。</w:t>
            </w:r>
          </w:p>
          <w:p w14:paraId="1D449ED5">
            <w:pPr>
              <w:widowControl/>
              <w:kinsoku/>
              <w:autoSpaceDE w:val="0"/>
              <w:autoSpaceDN w:val="0"/>
              <w:bidi w:val="0"/>
              <w:adjustRightInd w:val="0"/>
              <w:snapToGrid w:val="0"/>
              <w:spacing w:line="360" w:lineRule="auto"/>
              <w:ind w:firstLine="480" w:firstLineChars="200"/>
              <w:jc w:val="left"/>
              <w:textAlignment w:val="baseline"/>
              <w:rPr>
                <w:rFonts w:hint="default" w:ascii="Times New Roman" w:hAnsi="Times New Roman" w:eastAsia="宋体" w:cs="Times New Roman"/>
                <w:snapToGrid w:val="0"/>
                <w:color w:val="auto"/>
                <w:kern w:val="0"/>
                <w:sz w:val="24"/>
                <w:highlight w:val="none"/>
                <w:lang w:val="en-US" w:eastAsia="zh-CN"/>
              </w:rPr>
            </w:pPr>
            <w:r>
              <w:rPr>
                <w:rFonts w:hint="eastAsia" w:ascii="Times New Roman" w:hAnsi="Times New Roman" w:eastAsia="宋体" w:cs="Times New Roman"/>
                <w:snapToGrid w:val="0"/>
                <w:color w:val="auto"/>
                <w:kern w:val="0"/>
                <w:sz w:val="24"/>
                <w:highlight w:val="none"/>
                <w:lang w:val="en-US" w:eastAsia="zh-CN"/>
              </w:rPr>
              <w:t>③积极采取有效措施，降低噪音、废水等对野生动物的影响。在工程建设期间，推土机、挖掘机、打桩机等施工机械及各种运输车辆运行将产生一定强度噪音，应加强施工管理、采取遮挡消音等措施使施工噪音降到</w:t>
            </w:r>
            <w:r>
              <w:rPr>
                <w:rFonts w:hint="eastAsia" w:cs="Times New Roman"/>
                <w:snapToGrid w:val="0"/>
                <w:color w:val="auto"/>
                <w:kern w:val="0"/>
                <w:sz w:val="24"/>
                <w:highlight w:val="none"/>
                <w:lang w:val="en-US" w:eastAsia="zh-CN"/>
              </w:rPr>
              <w:t>最低</w:t>
            </w:r>
            <w:r>
              <w:rPr>
                <w:rFonts w:hint="eastAsia" w:ascii="Times New Roman" w:hAnsi="Times New Roman" w:eastAsia="宋体" w:cs="Times New Roman"/>
                <w:snapToGrid w:val="0"/>
                <w:color w:val="auto"/>
                <w:kern w:val="0"/>
                <w:sz w:val="24"/>
                <w:highlight w:val="none"/>
                <w:lang w:val="en-US" w:eastAsia="zh-CN"/>
              </w:rPr>
              <w:t>程度。对于施工产生的废污水，严禁随意排放。</w:t>
            </w:r>
          </w:p>
          <w:p w14:paraId="7E7C62D6">
            <w:pPr>
              <w:pStyle w:val="58"/>
              <w:adjustRightInd/>
              <w:snapToGrid/>
              <w:spacing w:line="360" w:lineRule="auto"/>
              <w:rPr>
                <w:rFonts w:hint="eastAsia" w:ascii="Times New Roman" w:hAnsi="Times New Roman" w:eastAsia="宋体" w:cs="Times New Roman"/>
                <w:b/>
                <w:bCs/>
                <w:snapToGrid w:val="0"/>
                <w:color w:val="auto"/>
                <w:kern w:val="0"/>
                <w:sz w:val="24"/>
                <w:szCs w:val="24"/>
                <w:highlight w:val="none"/>
                <w:lang w:val="en-US" w:eastAsia="en-US" w:bidi="ar-SA"/>
              </w:rPr>
            </w:pPr>
            <w:r>
              <w:rPr>
                <w:rFonts w:hint="eastAsia" w:cs="Times New Roman"/>
                <w:b/>
                <w:bCs/>
                <w:color w:val="auto"/>
                <w:lang w:val="en-US" w:eastAsia="zh-CN"/>
              </w:rPr>
              <w:t>1.5植被保护措施</w:t>
            </w:r>
          </w:p>
          <w:p w14:paraId="61704C60">
            <w:pPr>
              <w:widowControl/>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①</w:t>
            </w:r>
            <w:r>
              <w:rPr>
                <w:rFonts w:hint="default" w:ascii="Times New Roman" w:hAnsi="Times New Roman" w:eastAsia="宋体" w:cs="Times New Roman"/>
                <w:color w:val="auto"/>
                <w:kern w:val="0"/>
                <w:sz w:val="24"/>
                <w:lang w:bidi="ar"/>
              </w:rPr>
              <w:t>为减少施工队伍对植被和土壤的影响，要标明施工活动区，严令禁止到非施工区域活动，严禁烟火等措施。</w:t>
            </w:r>
          </w:p>
          <w:p w14:paraId="2CCBBB43">
            <w:pPr>
              <w:widowControl/>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②</w:t>
            </w:r>
            <w:r>
              <w:rPr>
                <w:rFonts w:hint="default" w:ascii="Times New Roman" w:hAnsi="Times New Roman" w:eastAsia="宋体" w:cs="Times New Roman"/>
                <w:color w:val="auto"/>
                <w:kern w:val="0"/>
                <w:sz w:val="24"/>
                <w:lang w:bidi="ar"/>
              </w:rPr>
              <w:t>施工单位必须对施工人员进行环境保护法和相关法规、法律的教育，增强环境保护意识，预防火灾和乱砍林木，乱采（挖）植物的事件发生。</w:t>
            </w:r>
          </w:p>
          <w:p w14:paraId="7B76633A">
            <w:pPr>
              <w:widowControl/>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③</w:t>
            </w:r>
            <w:r>
              <w:rPr>
                <w:rFonts w:hint="default" w:ascii="Times New Roman" w:hAnsi="Times New Roman" w:eastAsia="宋体" w:cs="Times New Roman"/>
                <w:color w:val="auto"/>
                <w:kern w:val="0"/>
                <w:sz w:val="24"/>
                <w:lang w:bidi="ar"/>
              </w:rPr>
              <w:t>施工过程中，严格限定施工的工作范围，采用彩条旗规范施工范围，严格行车路线，运输车辆不得随意驶离道路或施工便道。优化施工组织，尽量减少施工过程中动用的土石方数量，减少植被破坏量。</w:t>
            </w:r>
          </w:p>
          <w:p w14:paraId="491E3976">
            <w:pPr>
              <w:widowControl/>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④</w:t>
            </w:r>
            <w:r>
              <w:rPr>
                <w:rFonts w:hint="eastAsia" w:ascii="Times New Roman" w:hAnsi="Times New Roman" w:eastAsia="宋体" w:cs="Times New Roman"/>
                <w:color w:val="auto"/>
                <w:kern w:val="0"/>
                <w:sz w:val="24"/>
                <w:lang w:bidi="ar"/>
              </w:rPr>
              <w:t>施工活动应严格限定在工程设计和用地红线范围内，严禁越界使用或随意侵占林地。通过设置施工界限围栏，固定施工便道，严禁施工人员越界活动和施工机械下道行驶，尽可能减少工程施工对自然地表和植被的扰动，严格控制施工人员数量、设备和施工作业时间，避免任意扩大施工作业面。车辆、机械应在规划的道路上行驶，严禁随意行驶碾压植被，严禁破坏与项目建设无关的植被，将植被损失降至最低。业主单位制定环境管理监控的规程、措施，不定期对施工单位进行监管检查，确保生态保护成效。</w:t>
            </w:r>
          </w:p>
          <w:p w14:paraId="2F5B7AB6">
            <w:pPr>
              <w:widowControl/>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⑤</w:t>
            </w:r>
            <w:r>
              <w:rPr>
                <w:rFonts w:hint="default" w:ascii="Times New Roman" w:hAnsi="Times New Roman" w:eastAsia="宋体" w:cs="Times New Roman"/>
                <w:color w:val="auto"/>
                <w:kern w:val="0"/>
                <w:sz w:val="24"/>
                <w:lang w:bidi="ar"/>
              </w:rPr>
              <w:t>施工结束后，及时拆除、清理临时生产设施，各类施工迹地应进行清理，平整场地，地表利用集中堆存的表层土恢复，使扰动过的地表与周围的景观相协调。对使用完堆放表层土的地方，应进行清理，使其恢复至原貌。</w:t>
            </w:r>
          </w:p>
          <w:p w14:paraId="18A3D305">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⑥生态护岸采用乔灌草护坡，保留水陆生态连通性。</w:t>
            </w:r>
          </w:p>
          <w:p w14:paraId="0769C71A">
            <w:pPr>
              <w:widowControl/>
              <w:spacing w:line="360" w:lineRule="auto"/>
              <w:ind w:firstLine="480" w:firstLineChars="200"/>
              <w:rPr>
                <w:rFonts w:hint="default"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⑦禁止采摘和随意践踏林地植被。施工中要尽量把对林地地表植被的破坏降低到最低限度，特别要加强对重点保护植物的保护，严禁发生乱采、滥挖野生植物的行为，最大限度</w:t>
            </w:r>
            <w:r>
              <w:rPr>
                <w:rFonts w:hint="eastAsia" w:cs="Times New Roman"/>
                <w:color w:val="auto"/>
                <w:kern w:val="0"/>
                <w:sz w:val="24"/>
                <w:lang w:val="en-US" w:eastAsia="zh-CN" w:bidi="ar"/>
              </w:rPr>
              <w:t>减少</w:t>
            </w:r>
            <w:r>
              <w:rPr>
                <w:rFonts w:hint="eastAsia" w:ascii="Times New Roman" w:hAnsi="Times New Roman" w:eastAsia="宋体" w:cs="Times New Roman"/>
                <w:color w:val="auto"/>
                <w:kern w:val="0"/>
                <w:sz w:val="24"/>
                <w:lang w:val="en-US" w:eastAsia="zh-CN" w:bidi="ar"/>
              </w:rPr>
              <w:t>对野生植物生长环境的扰动，施工中一旦发现珍稀保护植物应就地保护或及时移植。本项目占用林地均为地方公益林地，在施工期间临时占地尽量避免占用地方公益林地，在无法避让时采用原地或异地补偿种植同类树种。</w:t>
            </w:r>
          </w:p>
          <w:p w14:paraId="4CCB782F">
            <w:pPr>
              <w:widowControl/>
              <w:spacing w:line="360" w:lineRule="auto"/>
              <w:ind w:firstLine="480" w:firstLineChars="200"/>
              <w:rPr>
                <w:rFonts w:hint="default"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⑧加强植被恢复。对工程建设占地造成的植被损失，通过原址恢复和异地植被恢复造林措施进一步加强植被恢复。</w:t>
            </w:r>
          </w:p>
          <w:p w14:paraId="395D58F7">
            <w:pPr>
              <w:widowControl/>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⑨在工程施工过程中，要按照生态保护要求制定科学合理的工程施工方案，严格执行工程施工管理制度，做好工程施工管理。要规范施工过程，严格按照施工工序进行施工，防止因为赶工期和赶进度而造成人为的生态干扰和破坏。施工过程中产生的建筑垃圾、废料、废水、施工人员生活垃圾、污水应集中处理及时清运，严禁直接倾倒排放至河道、农田中，造成污染；同时应采取减小鸣笛、洒水降尘等措施，减轻施工噪音、扬尘等对环境的影响。</w:t>
            </w:r>
          </w:p>
          <w:p w14:paraId="040C31E8">
            <w:pPr>
              <w:pStyle w:val="58"/>
              <w:adjustRightInd/>
              <w:snapToGrid/>
              <w:spacing w:line="360" w:lineRule="auto"/>
              <w:rPr>
                <w:rFonts w:hint="eastAsia" w:cs="Times New Roman"/>
                <w:b/>
                <w:bCs/>
                <w:color w:val="auto"/>
                <w:lang w:val="en-US" w:eastAsia="zh-CN"/>
              </w:rPr>
            </w:pPr>
            <w:r>
              <w:rPr>
                <w:rFonts w:hint="eastAsia" w:cs="Times New Roman"/>
                <w:b/>
                <w:bCs/>
                <w:color w:val="auto"/>
                <w:lang w:val="en-US" w:eastAsia="zh-CN"/>
              </w:rPr>
              <w:t>1.5水土保持措施</w:t>
            </w:r>
          </w:p>
          <w:p w14:paraId="3C61709D">
            <w:pPr>
              <w:pStyle w:val="58"/>
              <w:adjustRightInd/>
              <w:snapToGrid/>
              <w:spacing w:line="360" w:lineRule="auto"/>
              <w:rPr>
                <w:rFonts w:hint="eastAsia" w:cs="Times New Roman"/>
                <w:b/>
                <w:bCs/>
                <w:color w:val="auto"/>
                <w:lang w:val="en-US" w:eastAsia="zh-CN"/>
              </w:rPr>
            </w:pPr>
            <w:r>
              <w:rPr>
                <w:rFonts w:hint="eastAsia" w:ascii="Times New Roman" w:hAnsi="Times New Roman" w:cs="Times New Roman"/>
                <w:color w:val="auto"/>
                <w:sz w:val="24"/>
                <w:szCs w:val="24"/>
                <w:highlight w:val="none"/>
                <w:lang w:eastAsia="zh-CN"/>
              </w:rPr>
              <w:t>①</w:t>
            </w:r>
            <w:r>
              <w:rPr>
                <w:rFonts w:ascii="Times New Roman" w:hAnsi="Times New Roman" w:cs="Times New Roman"/>
                <w:color w:val="auto"/>
                <w:sz w:val="24"/>
                <w:szCs w:val="24"/>
                <w:highlight w:val="none"/>
              </w:rPr>
              <w:t>主体工程区水土保持措施</w:t>
            </w:r>
          </w:p>
          <w:p w14:paraId="0BF3B14F">
            <w:pPr>
              <w:pStyle w:val="58"/>
              <w:adjustRightInd/>
              <w:snapToGrid/>
              <w:spacing w:line="360" w:lineRule="auto"/>
              <w:rPr>
                <w:rFonts w:hint="eastAsia" w:cs="Times New Roman"/>
                <w:b/>
                <w:bCs/>
                <w:color w:val="auto"/>
                <w:lang w:val="en-US" w:eastAsia="en-US"/>
              </w:rPr>
            </w:pPr>
            <w:r>
              <w:rPr>
                <w:rFonts w:hint="eastAsia" w:ascii="Times New Roman" w:hAnsi="Times New Roman" w:eastAsia="宋体" w:cs="Times New Roman"/>
                <w:color w:val="auto"/>
                <w:kern w:val="0"/>
                <w:sz w:val="24"/>
                <w:lang w:val="en-US" w:eastAsia="zh-CN" w:bidi="ar"/>
              </w:rPr>
              <w:t>1</w:t>
            </w:r>
            <w:r>
              <w:rPr>
                <w:rFonts w:hint="default" w:ascii="Times New Roman" w:hAnsi="Times New Roman" w:eastAsia="宋体" w:cs="Times New Roman"/>
                <w:color w:val="auto"/>
                <w:kern w:val="0"/>
                <w:sz w:val="24"/>
                <w:lang w:bidi="ar"/>
              </w:rPr>
              <w:t>）</w:t>
            </w:r>
            <w:r>
              <w:rPr>
                <w:rFonts w:hint="eastAsia" w:ascii="Times New Roman" w:hAnsi="Times New Roman" w:eastAsia="宋体" w:cs="Times New Roman"/>
                <w:color w:val="auto"/>
                <w:kern w:val="0"/>
                <w:sz w:val="24"/>
                <w:lang w:val="en-US" w:eastAsia="zh-CN" w:bidi="ar"/>
              </w:rPr>
              <w:t>工程</w:t>
            </w:r>
            <w:r>
              <w:rPr>
                <w:rFonts w:hint="default" w:ascii="Times New Roman" w:hAnsi="Times New Roman" w:eastAsia="宋体" w:cs="Times New Roman"/>
                <w:color w:val="auto"/>
                <w:kern w:val="0"/>
                <w:sz w:val="24"/>
                <w:lang w:bidi="ar"/>
              </w:rPr>
              <w:t>措施</w:t>
            </w:r>
          </w:p>
          <w:p w14:paraId="1C1079D1">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主要是施工结束后，对主体工程区项目区扰动区域进行土地平整。</w:t>
            </w:r>
          </w:p>
          <w:p w14:paraId="4BE8D49E">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2）临时措施</w:t>
            </w:r>
          </w:p>
          <w:p w14:paraId="147BF967">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洒水：</w:t>
            </w:r>
            <w:r>
              <w:rPr>
                <w:rFonts w:hint="eastAsia" w:ascii="Times New Roman" w:hAnsi="Times New Roman" w:eastAsia="宋体" w:cs="Times New Roman"/>
                <w:color w:val="auto"/>
                <w:kern w:val="0"/>
                <w:sz w:val="24"/>
                <w:lang w:val="en-US" w:eastAsia="zh-CN" w:bidi="ar"/>
              </w:rPr>
              <w:t>施工期间</w:t>
            </w:r>
            <w:r>
              <w:rPr>
                <w:rFonts w:hint="default" w:ascii="Times New Roman" w:hAnsi="Times New Roman" w:eastAsia="宋体" w:cs="Times New Roman"/>
                <w:color w:val="auto"/>
                <w:kern w:val="0"/>
                <w:sz w:val="24"/>
                <w:lang w:bidi="ar"/>
              </w:rPr>
              <w:t>，为减少施工车辆拉运土方造成的水土流失，采取洒水措施降低施工期间的水土流失，每天洒水一次。</w:t>
            </w:r>
          </w:p>
          <w:p w14:paraId="6B4D55E4">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②道路工程区水土保持措施</w:t>
            </w:r>
          </w:p>
          <w:p w14:paraId="4348AABD">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1）工程措施</w:t>
            </w:r>
          </w:p>
          <w:p w14:paraId="2AEE661D">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土地平整：主体工程</w:t>
            </w:r>
            <w:r>
              <w:rPr>
                <w:rFonts w:hint="eastAsia" w:ascii="Times New Roman" w:hAnsi="Times New Roman" w:eastAsia="宋体" w:cs="Times New Roman"/>
                <w:color w:val="auto"/>
                <w:kern w:val="0"/>
                <w:sz w:val="24"/>
                <w:lang w:eastAsia="zh-CN" w:bidi="ar"/>
              </w:rPr>
              <w:t>完工后</w:t>
            </w:r>
            <w:r>
              <w:rPr>
                <w:rFonts w:hint="default" w:ascii="Times New Roman" w:hAnsi="Times New Roman" w:eastAsia="宋体" w:cs="Times New Roman"/>
                <w:color w:val="auto"/>
                <w:kern w:val="0"/>
                <w:sz w:val="24"/>
                <w:lang w:bidi="ar"/>
              </w:rPr>
              <w:t>，施工后期，对施工生产施工迹地区域采取土地平整。</w:t>
            </w:r>
          </w:p>
          <w:p w14:paraId="389E330A">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bidi="ar"/>
              </w:rPr>
              <w:t>2）</w:t>
            </w:r>
            <w:r>
              <w:rPr>
                <w:rFonts w:hint="eastAsia" w:ascii="Times New Roman" w:hAnsi="Times New Roman" w:eastAsia="宋体" w:cs="Times New Roman"/>
                <w:color w:val="auto"/>
                <w:kern w:val="0"/>
                <w:sz w:val="24"/>
                <w:lang w:eastAsia="zh-CN" w:bidi="ar"/>
              </w:rPr>
              <w:t>临时措施</w:t>
            </w:r>
          </w:p>
          <w:p w14:paraId="4C5729FC">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洒水：</w:t>
            </w:r>
            <w:r>
              <w:rPr>
                <w:rFonts w:hint="eastAsia" w:ascii="Times New Roman" w:hAnsi="Times New Roman" w:eastAsia="宋体" w:cs="Times New Roman"/>
                <w:color w:val="auto"/>
                <w:kern w:val="0"/>
                <w:sz w:val="24"/>
                <w:lang w:val="en-US" w:eastAsia="zh-CN" w:bidi="ar"/>
              </w:rPr>
              <w:t>施工期间</w:t>
            </w:r>
            <w:r>
              <w:rPr>
                <w:rFonts w:hint="default" w:ascii="Times New Roman" w:hAnsi="Times New Roman" w:eastAsia="宋体" w:cs="Times New Roman"/>
                <w:color w:val="auto"/>
                <w:kern w:val="0"/>
                <w:sz w:val="24"/>
                <w:lang w:eastAsia="zh-CN" w:bidi="ar"/>
              </w:rPr>
              <w:t>，为减少施工车辆拉运土方造成的水土流失，采取洒水措施降低施工期间的水土流失，每天洒水一次。</w:t>
            </w:r>
          </w:p>
          <w:p w14:paraId="4B5821B7">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限制性彩条旗：在施工期间采取彩条旗限界措施防止施工车辆的超范围扰动。</w:t>
            </w:r>
          </w:p>
          <w:p w14:paraId="025F7558">
            <w:pPr>
              <w:widowControl/>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eastAsia="zh-CN" w:bidi="ar"/>
              </w:rPr>
              <w:t>③</w:t>
            </w:r>
            <w:r>
              <w:rPr>
                <w:rFonts w:hint="eastAsia" w:ascii="Times New Roman" w:hAnsi="Times New Roman" w:eastAsia="宋体" w:cs="Times New Roman"/>
                <w:color w:val="auto"/>
                <w:kern w:val="0"/>
                <w:sz w:val="24"/>
                <w:lang w:val="en-US" w:eastAsia="zh-CN" w:bidi="ar"/>
              </w:rPr>
              <w:t>临时堆土区水土保持措施</w:t>
            </w:r>
          </w:p>
          <w:p w14:paraId="04BA80AE">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1）工程措施</w:t>
            </w:r>
          </w:p>
          <w:p w14:paraId="08D453A1">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土地平整：主体工程</w:t>
            </w:r>
            <w:r>
              <w:rPr>
                <w:rFonts w:hint="eastAsia" w:ascii="Times New Roman" w:hAnsi="Times New Roman" w:eastAsia="宋体" w:cs="Times New Roman"/>
                <w:color w:val="auto"/>
                <w:kern w:val="0"/>
                <w:sz w:val="24"/>
                <w:lang w:eastAsia="zh-CN" w:bidi="ar"/>
              </w:rPr>
              <w:t>完工后</w:t>
            </w:r>
            <w:r>
              <w:rPr>
                <w:rFonts w:hint="default" w:ascii="Times New Roman" w:hAnsi="Times New Roman" w:eastAsia="宋体" w:cs="Times New Roman"/>
                <w:color w:val="auto"/>
                <w:kern w:val="0"/>
                <w:sz w:val="24"/>
                <w:lang w:bidi="ar"/>
              </w:rPr>
              <w:t>，对施工生产施工迹地区域采取土地平整。</w:t>
            </w:r>
          </w:p>
          <w:p w14:paraId="136792CB">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bidi="ar"/>
              </w:rPr>
              <w:t>2）</w:t>
            </w:r>
            <w:r>
              <w:rPr>
                <w:rFonts w:hint="eastAsia" w:ascii="Times New Roman" w:hAnsi="Times New Roman" w:eastAsia="宋体" w:cs="Times New Roman"/>
                <w:color w:val="auto"/>
                <w:kern w:val="0"/>
                <w:sz w:val="24"/>
                <w:lang w:eastAsia="zh-CN" w:bidi="ar"/>
              </w:rPr>
              <w:t>临时措施</w:t>
            </w:r>
          </w:p>
          <w:p w14:paraId="44828B03">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bidi="ar"/>
              </w:rPr>
              <w:t>防尘网苫盖：堆土堆放期间采取防尘网苫盖措施减少水土流失。</w:t>
            </w:r>
          </w:p>
          <w:p w14:paraId="049C51BB">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限制性彩条旗：在施工期间采取彩条旗限界措施防止施工车辆的超范围扰动。</w:t>
            </w:r>
          </w:p>
          <w:p w14:paraId="3FBAF6DA">
            <w:pPr>
              <w:widowControl/>
              <w:spacing w:line="360" w:lineRule="auto"/>
              <w:ind w:firstLine="480" w:firstLineChars="200"/>
              <w:rPr>
                <w:rFonts w:hint="eastAsia"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④临时生产区水土保持措施</w:t>
            </w:r>
          </w:p>
          <w:p w14:paraId="736AFE0A">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1）工程措施</w:t>
            </w:r>
          </w:p>
          <w:p w14:paraId="11124A9C">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土地平整：主体工程</w:t>
            </w:r>
            <w:r>
              <w:rPr>
                <w:rFonts w:hint="eastAsia" w:ascii="Times New Roman" w:hAnsi="Times New Roman" w:eastAsia="宋体" w:cs="Times New Roman"/>
                <w:color w:val="auto"/>
                <w:kern w:val="0"/>
                <w:sz w:val="24"/>
                <w:lang w:eastAsia="zh-CN" w:bidi="ar"/>
              </w:rPr>
              <w:t>完工后</w:t>
            </w:r>
            <w:r>
              <w:rPr>
                <w:rFonts w:hint="default" w:ascii="Times New Roman" w:hAnsi="Times New Roman" w:eastAsia="宋体" w:cs="Times New Roman"/>
                <w:color w:val="auto"/>
                <w:kern w:val="0"/>
                <w:sz w:val="24"/>
                <w:lang w:bidi="ar"/>
              </w:rPr>
              <w:t>，施工后期，对施工生产施工迹地区域采取土地平整。</w:t>
            </w:r>
          </w:p>
          <w:p w14:paraId="50ABA389">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bidi="ar"/>
              </w:rPr>
              <w:t>2）</w:t>
            </w:r>
            <w:r>
              <w:rPr>
                <w:rFonts w:hint="eastAsia" w:ascii="Times New Roman" w:hAnsi="Times New Roman" w:eastAsia="宋体" w:cs="Times New Roman"/>
                <w:color w:val="auto"/>
                <w:kern w:val="0"/>
                <w:sz w:val="24"/>
                <w:lang w:eastAsia="zh-CN" w:bidi="ar"/>
              </w:rPr>
              <w:t>临时措施</w:t>
            </w:r>
          </w:p>
          <w:p w14:paraId="6D4BB90F">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洒水：</w:t>
            </w:r>
            <w:r>
              <w:rPr>
                <w:rFonts w:hint="eastAsia" w:ascii="Times New Roman" w:hAnsi="Times New Roman" w:eastAsia="宋体" w:cs="Times New Roman"/>
                <w:color w:val="auto"/>
                <w:kern w:val="0"/>
                <w:sz w:val="24"/>
                <w:lang w:val="en-US" w:eastAsia="zh-CN" w:bidi="ar"/>
              </w:rPr>
              <w:t>施工期间</w:t>
            </w:r>
            <w:r>
              <w:rPr>
                <w:rFonts w:hint="default" w:ascii="Times New Roman" w:hAnsi="Times New Roman" w:eastAsia="宋体" w:cs="Times New Roman"/>
                <w:color w:val="auto"/>
                <w:kern w:val="0"/>
                <w:sz w:val="24"/>
                <w:lang w:eastAsia="zh-CN" w:bidi="ar"/>
              </w:rPr>
              <w:t>，为减少</w:t>
            </w:r>
            <w:r>
              <w:rPr>
                <w:rFonts w:hint="eastAsia" w:ascii="Times New Roman" w:hAnsi="Times New Roman" w:eastAsia="宋体" w:cs="Times New Roman"/>
                <w:color w:val="auto"/>
                <w:kern w:val="0"/>
                <w:sz w:val="24"/>
                <w:lang w:val="en-US" w:eastAsia="zh-CN" w:bidi="ar"/>
              </w:rPr>
              <w:t>施工扬尘</w:t>
            </w:r>
            <w:r>
              <w:rPr>
                <w:rFonts w:hint="default" w:ascii="Times New Roman" w:hAnsi="Times New Roman" w:eastAsia="宋体" w:cs="Times New Roman"/>
                <w:color w:val="auto"/>
                <w:kern w:val="0"/>
                <w:sz w:val="24"/>
                <w:lang w:eastAsia="zh-CN" w:bidi="ar"/>
              </w:rPr>
              <w:t>，采取洒水措施降低施工期间的水土流失，每天洒水一次。</w:t>
            </w:r>
          </w:p>
          <w:p w14:paraId="0B9F3319">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限制性彩条旗：在施工期间采取彩条旗限界措施</w:t>
            </w:r>
            <w:r>
              <w:rPr>
                <w:rFonts w:hint="eastAsia" w:ascii="Times New Roman" w:hAnsi="Times New Roman" w:eastAsia="宋体" w:cs="Times New Roman"/>
                <w:color w:val="auto"/>
                <w:kern w:val="0"/>
                <w:sz w:val="24"/>
                <w:lang w:val="en-US" w:eastAsia="zh-CN" w:bidi="ar"/>
              </w:rPr>
              <w:t>限制生产区</w:t>
            </w:r>
            <w:r>
              <w:rPr>
                <w:rFonts w:hint="eastAsia" w:ascii="Times New Roman" w:hAnsi="Times New Roman" w:eastAsia="宋体" w:cs="Times New Roman"/>
                <w:color w:val="auto"/>
                <w:kern w:val="0"/>
                <w:sz w:val="24"/>
                <w:lang w:eastAsia="zh-CN" w:bidi="ar"/>
              </w:rPr>
              <w:t>范围扰动。</w:t>
            </w:r>
          </w:p>
          <w:p w14:paraId="1CF1895B">
            <w:pPr>
              <w:widowControl/>
              <w:spacing w:line="360" w:lineRule="auto"/>
              <w:ind w:firstLine="480" w:firstLineChars="200"/>
              <w:rPr>
                <w:rFonts w:hint="default"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val="en-US" w:eastAsia="zh-CN" w:bidi="ar"/>
              </w:rPr>
              <w:t>⑤管理措施</w:t>
            </w:r>
          </w:p>
          <w:p w14:paraId="771EE466">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1）施工结束后，及时拆除、清理临时生产设施等各类施工迹地，平整场地，将施工</w:t>
            </w:r>
            <w:r>
              <w:rPr>
                <w:rFonts w:hint="eastAsia" w:ascii="Times New Roman" w:hAnsi="Times New Roman" w:eastAsia="宋体" w:cs="Times New Roman"/>
                <w:color w:val="auto"/>
                <w:kern w:val="0"/>
                <w:sz w:val="24"/>
                <w:lang w:val="en-US" w:eastAsia="zh-CN" w:bidi="ar"/>
              </w:rPr>
              <w:t>产生</w:t>
            </w:r>
            <w:r>
              <w:rPr>
                <w:rFonts w:hint="default" w:ascii="Times New Roman" w:hAnsi="Times New Roman" w:eastAsia="宋体" w:cs="Times New Roman"/>
                <w:color w:val="auto"/>
                <w:kern w:val="0"/>
                <w:sz w:val="24"/>
                <w:lang w:bidi="ar"/>
              </w:rPr>
              <w:t>土方及时回填于工程区，使扰动过的地表与周围的景观相协调，使其恢复至原貌。</w:t>
            </w:r>
          </w:p>
          <w:p w14:paraId="23D7BFDB">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2）挖掘的土方合理堆放，及时回填，及时恢复挖方段的植被覆盖。</w:t>
            </w:r>
          </w:p>
          <w:p w14:paraId="5A5AF7A0">
            <w:pPr>
              <w:widowControl/>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3）为了保护项目区的生态，工程挖方、回填采取分左右岸、分段集中施工的原则，挖方段表层土壤可进行异地存放，及时</w:t>
            </w:r>
            <w:r>
              <w:rPr>
                <w:rFonts w:hint="eastAsia" w:ascii="Times New Roman" w:hAnsi="Times New Roman" w:eastAsia="宋体" w:cs="Times New Roman"/>
                <w:color w:val="auto"/>
                <w:kern w:val="0"/>
                <w:sz w:val="24"/>
                <w:lang w:val="en-US" w:eastAsia="zh-CN" w:bidi="ar"/>
              </w:rPr>
              <w:t>用于</w:t>
            </w:r>
            <w:r>
              <w:rPr>
                <w:rFonts w:hint="default" w:ascii="Times New Roman" w:hAnsi="Times New Roman" w:eastAsia="宋体" w:cs="Times New Roman"/>
                <w:color w:val="auto"/>
                <w:kern w:val="0"/>
                <w:sz w:val="24"/>
                <w:lang w:bidi="ar"/>
              </w:rPr>
              <w:t>已施工完毕的地段进行覆盖恢复，极大地保持施工段景观的自然性。</w:t>
            </w:r>
          </w:p>
          <w:p w14:paraId="1389FCA5">
            <w:pPr>
              <w:pStyle w:val="58"/>
              <w:adjustRightInd/>
              <w:snapToGrid/>
              <w:spacing w:line="360" w:lineRule="auto"/>
              <w:rPr>
                <w:rFonts w:hint="eastAsia" w:cs="Times New Roman"/>
                <w:b/>
                <w:bCs/>
                <w:color w:val="auto"/>
                <w:lang w:val="en-US" w:eastAsia="zh-CN"/>
              </w:rPr>
            </w:pPr>
            <w:r>
              <w:rPr>
                <w:rFonts w:hint="eastAsia" w:cs="Times New Roman"/>
                <w:b/>
                <w:bCs/>
                <w:color w:val="auto"/>
                <w:lang w:val="en-US" w:eastAsia="zh-CN"/>
              </w:rPr>
              <w:t>1.6防风固沙生态修复措施</w:t>
            </w:r>
          </w:p>
          <w:p w14:paraId="13A570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本次评价要求建设单位严格按照《中华人民共和国防沙治沙法》（2018）及《关于加强沙区建设项目环境影响评价工作的通知》（新环环评发〔2020〕138号）中有关规定，执行以下防沙治沙措施：</w:t>
            </w:r>
          </w:p>
          <w:p w14:paraId="50B67B8E">
            <w:pPr>
              <w:keepNext w:val="0"/>
              <w:keepLines w:val="0"/>
              <w:pageBreakBefore w:val="0"/>
              <w:widowControl w:val="0"/>
              <w:numPr>
                <w:ilvl w:val="0"/>
                <w:numId w:val="14"/>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土方堆存过程中使用防尘网苫盖，并定期洒水抑尘。</w:t>
            </w:r>
          </w:p>
          <w:p w14:paraId="62D900A3">
            <w:pPr>
              <w:keepNext w:val="0"/>
              <w:keepLines w:val="0"/>
              <w:pageBreakBefore w:val="0"/>
              <w:widowControl w:val="0"/>
              <w:numPr>
                <w:ilvl w:val="0"/>
                <w:numId w:val="14"/>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施工期间应划定施工活动范围，严格控制和管理运输车辆及重型机械的运行线路和范围，不得离开运输道路随意行驶，由专人负责，以防破坏土壤和植被，加剧土地荒漠化。</w:t>
            </w:r>
          </w:p>
          <w:p w14:paraId="3B0FBB54">
            <w:pPr>
              <w:keepNext w:val="0"/>
              <w:keepLines w:val="0"/>
              <w:pageBreakBefore w:val="0"/>
              <w:widowControl w:val="0"/>
              <w:numPr>
                <w:ilvl w:val="0"/>
                <w:numId w:val="14"/>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加强对施工现场和物料运输的管理，保持道路清洁，管控料堆和渣土堆放，防治扬尘污染。</w:t>
            </w:r>
          </w:p>
          <w:p w14:paraId="29BA971E">
            <w:pPr>
              <w:keepNext w:val="0"/>
              <w:keepLines w:val="0"/>
              <w:pageBreakBefore w:val="0"/>
              <w:widowControl w:val="0"/>
              <w:numPr>
                <w:ilvl w:val="0"/>
                <w:numId w:val="14"/>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施工后及时清理现场，尽可能恢复原状地貌，做到“工完、料尽、场清、整洁”，恢复原有生态。</w:t>
            </w:r>
          </w:p>
          <w:p w14:paraId="5ABEE315">
            <w:pPr>
              <w:keepNext w:val="0"/>
              <w:keepLines w:val="0"/>
              <w:pageBreakBefore w:val="0"/>
              <w:widowControl w:val="0"/>
              <w:numPr>
                <w:ilvl w:val="0"/>
                <w:numId w:val="14"/>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合理规划临时工程的位置，尽可能减小扰动范围；临时占地在施工结束后及时清理施工垃圾，对施工场地进行平整、压实。</w:t>
            </w:r>
          </w:p>
          <w:p w14:paraId="52A6BAF1">
            <w:pPr>
              <w:keepNext w:val="0"/>
              <w:keepLines w:val="0"/>
              <w:pageBreakBefore w:val="0"/>
              <w:widowControl w:val="0"/>
              <w:numPr>
                <w:ilvl w:val="0"/>
                <w:numId w:val="14"/>
              </w:numPr>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施工现场禁止将包装物、可燃垃圾等固体废弃物就地焚烧。</w:t>
            </w:r>
          </w:p>
          <w:p w14:paraId="17F31397">
            <w:pPr>
              <w:widowControl/>
              <w:spacing w:line="360" w:lineRule="auto"/>
              <w:ind w:firstLine="480" w:firstLineChars="200"/>
              <w:rPr>
                <w:rFonts w:hint="default" w:ascii="Times New Roman" w:hAnsi="Times New Roman" w:eastAsia="宋体" w:cs="Times New Roman"/>
                <w:color w:val="auto"/>
                <w:kern w:val="0"/>
                <w:sz w:val="24"/>
                <w:lang w:val="en-US" w:eastAsia="zh-CN" w:bidi="ar"/>
              </w:rPr>
            </w:pPr>
            <w:r>
              <w:rPr>
                <w:rFonts w:hint="eastAsia" w:ascii="Times New Roman" w:hAnsi="Times New Roman" w:cs="Times New Roman" w:eastAsiaTheme="minorEastAsia"/>
                <w:b w:val="0"/>
                <w:bCs w:val="0"/>
                <w:color w:val="auto"/>
                <w:spacing w:val="0"/>
                <w:sz w:val="24"/>
                <w:szCs w:val="24"/>
                <w:highlight w:val="none"/>
                <w:lang w:val="en-US" w:eastAsia="zh-CN"/>
              </w:rPr>
              <w:t>采取以上措施后，可防止区域土地沙化，项目建设对区域内生态环境的影响较小。</w:t>
            </w:r>
          </w:p>
          <w:p w14:paraId="2F3EC13B">
            <w:pPr>
              <w:keepNext w:val="0"/>
              <w:keepLines w:val="0"/>
              <w:pageBreakBefore w:val="0"/>
              <w:widowControl w:val="0"/>
              <w:numPr>
                <w:ilvl w:val="0"/>
                <w:numId w:val="13"/>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大气环境保护措施</w:t>
            </w:r>
          </w:p>
          <w:p w14:paraId="15860326">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（1）</w:t>
            </w:r>
            <w:r>
              <w:rPr>
                <w:rFonts w:hint="default" w:ascii="Times New Roman" w:hAnsi="Times New Roman" w:eastAsia="宋体" w:cs="Times New Roman"/>
                <w:color w:val="auto"/>
                <w:kern w:val="0"/>
                <w:sz w:val="24"/>
                <w:lang w:eastAsia="zh-CN" w:bidi="ar"/>
              </w:rPr>
              <w:t>施工扬尘</w:t>
            </w:r>
          </w:p>
          <w:p w14:paraId="49847819">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①</w:t>
            </w:r>
            <w:r>
              <w:rPr>
                <w:rFonts w:hint="eastAsia" w:ascii="Times New Roman" w:hAnsi="Times New Roman" w:eastAsia="宋体" w:cs="Times New Roman"/>
                <w:color w:val="auto"/>
                <w:kern w:val="0"/>
                <w:sz w:val="24"/>
                <w:lang w:val="en-US" w:eastAsia="zh-CN" w:bidi="ar"/>
              </w:rPr>
              <w:t xml:space="preserve"> </w:t>
            </w:r>
            <w:r>
              <w:rPr>
                <w:rFonts w:hint="eastAsia" w:ascii="Times New Roman" w:hAnsi="Times New Roman" w:eastAsia="宋体" w:cs="Times New Roman"/>
                <w:color w:val="auto"/>
                <w:kern w:val="0"/>
                <w:sz w:val="24"/>
                <w:lang w:eastAsia="zh-CN" w:bidi="ar"/>
              </w:rPr>
              <w:t>临时料场或施工出入口配备车辆清洗装置或采取其他控制措施，确保出场车辆清洁、运输不起尘。对车辆行驶比较频繁的路面以及工地上所有裸露地面应经常洒水，使其保持一定的湿度。施工现场设专人负责保洁工作，每个施工段安排1名员工对施工场地和运输车辆行驶路面进行洒水和清扫。洒水次数根据天气情况而定，原则上每天早（9:30～11:00）晚（18:30～21:00）上下班高峰期以及中（14:00～15:00）各洒水一次，当风速大于5级、夏季晴好天气每隔2个小时洒水一次。</w:t>
            </w:r>
          </w:p>
          <w:p w14:paraId="2502289B">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②</w:t>
            </w:r>
            <w:r>
              <w:rPr>
                <w:rFonts w:hint="eastAsia" w:ascii="Times New Roman" w:hAnsi="Times New Roman" w:eastAsia="宋体" w:cs="Times New Roman"/>
                <w:color w:val="auto"/>
                <w:kern w:val="0"/>
                <w:sz w:val="24"/>
                <w:lang w:val="en-US" w:eastAsia="zh-CN" w:bidi="ar"/>
              </w:rPr>
              <w:t xml:space="preserve"> </w:t>
            </w:r>
            <w:r>
              <w:rPr>
                <w:rFonts w:hint="eastAsia" w:ascii="Times New Roman" w:hAnsi="Times New Roman" w:eastAsia="宋体" w:cs="Times New Roman"/>
                <w:color w:val="auto"/>
                <w:kern w:val="0"/>
                <w:sz w:val="24"/>
                <w:lang w:eastAsia="zh-CN" w:bidi="ar"/>
              </w:rPr>
              <w:t>工地周边围挡、物料堆放覆盖、土方开挖湿法作业、施工现场地面硬化、出入车辆清洗、渣土车辆密闭运输“六个百分百”。施工工区地面进行硬化或压实处理，在工区面向敏感目标的方向设立简易隔离围挡，高度不低于2.5m的施工围挡，位于建成区、临近居民点的施工工区，应将围挡高度加高到3m以上。围挡应封闭严密，并结合周边环境加以修饰，保持整洁完整。</w:t>
            </w:r>
          </w:p>
          <w:p w14:paraId="3F8548F4">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③</w:t>
            </w:r>
            <w:r>
              <w:rPr>
                <w:rFonts w:hint="eastAsia" w:ascii="Times New Roman" w:hAnsi="Times New Roman" w:eastAsia="宋体" w:cs="Times New Roman"/>
                <w:color w:val="auto"/>
                <w:kern w:val="0"/>
                <w:sz w:val="24"/>
                <w:lang w:val="en-US" w:eastAsia="zh-CN" w:bidi="ar"/>
              </w:rPr>
              <w:t xml:space="preserve"> </w:t>
            </w:r>
            <w:r>
              <w:rPr>
                <w:rFonts w:hint="eastAsia" w:ascii="Times New Roman" w:hAnsi="Times New Roman" w:eastAsia="宋体" w:cs="Times New Roman"/>
                <w:color w:val="auto"/>
                <w:kern w:val="0"/>
                <w:sz w:val="24"/>
                <w:lang w:eastAsia="zh-CN" w:bidi="ar"/>
              </w:rPr>
              <w:t>尽量避免在大风（风速大于</w:t>
            </w:r>
            <w:r>
              <w:rPr>
                <w:rFonts w:hint="default" w:ascii="Times New Roman" w:hAnsi="Times New Roman" w:eastAsia="宋体" w:cs="Times New Roman"/>
                <w:color w:val="auto"/>
                <w:kern w:val="0"/>
                <w:sz w:val="24"/>
                <w:lang w:eastAsia="zh-CN" w:bidi="ar"/>
              </w:rPr>
              <w:t>17m/s</w:t>
            </w:r>
            <w:r>
              <w:rPr>
                <w:rFonts w:hint="eastAsia" w:ascii="Times New Roman" w:hAnsi="Times New Roman" w:eastAsia="宋体" w:cs="Times New Roman"/>
                <w:color w:val="auto"/>
                <w:kern w:val="0"/>
                <w:sz w:val="24"/>
                <w:lang w:eastAsia="zh-CN" w:bidi="ar"/>
              </w:rPr>
              <w:t>）、暴雨（</w:t>
            </w:r>
            <w:r>
              <w:rPr>
                <w:rFonts w:hint="default" w:ascii="Times New Roman" w:hAnsi="Times New Roman" w:eastAsia="宋体" w:cs="Times New Roman"/>
                <w:color w:val="auto"/>
                <w:kern w:val="0"/>
                <w:sz w:val="24"/>
                <w:lang w:eastAsia="zh-CN" w:bidi="ar"/>
              </w:rPr>
              <w:t>24h</w:t>
            </w:r>
            <w:r>
              <w:rPr>
                <w:rFonts w:hint="eastAsia" w:ascii="Times New Roman" w:hAnsi="Times New Roman" w:eastAsia="宋体" w:cs="Times New Roman"/>
                <w:color w:val="auto"/>
                <w:kern w:val="0"/>
                <w:sz w:val="24"/>
                <w:lang w:eastAsia="zh-CN" w:bidi="ar"/>
              </w:rPr>
              <w:t>雨强大于</w:t>
            </w:r>
            <w:r>
              <w:rPr>
                <w:rFonts w:hint="default" w:ascii="Times New Roman" w:hAnsi="Times New Roman" w:eastAsia="宋体" w:cs="Times New Roman"/>
                <w:color w:val="auto"/>
                <w:kern w:val="0"/>
                <w:sz w:val="24"/>
                <w:lang w:eastAsia="zh-CN" w:bidi="ar"/>
              </w:rPr>
              <w:t>20mm</w:t>
            </w:r>
            <w:r>
              <w:rPr>
                <w:rFonts w:hint="eastAsia" w:ascii="Times New Roman" w:hAnsi="Times New Roman" w:eastAsia="宋体" w:cs="Times New Roman"/>
                <w:color w:val="auto"/>
                <w:kern w:val="0"/>
                <w:sz w:val="24"/>
                <w:lang w:eastAsia="zh-CN" w:bidi="ar"/>
              </w:rPr>
              <w:t>）天气下施工。</w:t>
            </w:r>
          </w:p>
          <w:p w14:paraId="33EB885F">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④</w:t>
            </w:r>
            <w:r>
              <w:rPr>
                <w:rFonts w:hint="eastAsia" w:ascii="Times New Roman" w:hAnsi="Times New Roman" w:eastAsia="宋体" w:cs="Times New Roman"/>
                <w:color w:val="auto"/>
                <w:kern w:val="0"/>
                <w:sz w:val="24"/>
                <w:lang w:val="en-US" w:eastAsia="zh-CN" w:bidi="ar"/>
              </w:rPr>
              <w:t xml:space="preserve"> </w:t>
            </w:r>
            <w:r>
              <w:rPr>
                <w:rFonts w:hint="eastAsia" w:ascii="Times New Roman" w:hAnsi="Times New Roman" w:eastAsia="宋体" w:cs="Times New Roman"/>
                <w:color w:val="auto"/>
                <w:kern w:val="0"/>
                <w:sz w:val="24"/>
                <w:lang w:eastAsia="zh-CN" w:bidi="ar"/>
              </w:rPr>
              <w:t>土方开挖、清运清杂垃圾等作业时，应当采取洒水、喷淋等湿法作业，存放超过48</w:t>
            </w:r>
            <w:r>
              <w:rPr>
                <w:rFonts w:hint="eastAsia" w:ascii="Times New Roman" w:hAnsi="Times New Roman" w:eastAsia="宋体" w:cs="Times New Roman"/>
                <w:color w:val="auto"/>
                <w:kern w:val="0"/>
                <w:sz w:val="24"/>
                <w:lang w:val="en-US" w:eastAsia="zh-CN" w:bidi="ar"/>
              </w:rPr>
              <w:t>h</w:t>
            </w:r>
            <w:r>
              <w:rPr>
                <w:rFonts w:hint="eastAsia" w:ascii="Times New Roman" w:hAnsi="Times New Roman" w:eastAsia="宋体" w:cs="Times New Roman"/>
                <w:color w:val="auto"/>
                <w:kern w:val="0"/>
                <w:sz w:val="24"/>
                <w:lang w:eastAsia="zh-CN" w:bidi="ar"/>
              </w:rPr>
              <w:t>以上的临时存放的土方、清杂垃圾应采用防尘网覆盖。风速达到5级及以上时，应暂停土方开挖、土方回填、灰土拌合、摊铺整平、路面基层清理等。因大风、空气重污染，按照相关规定停止产生扬尘污染的施工作业后采取定时洒水、覆盖等降尘措施，并对施工现场内可能被大风损坏的围挡，覆盖等措施进行巡检，及时修复。</w:t>
            </w:r>
          </w:p>
          <w:p w14:paraId="4BE7D71A">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⑤</w:t>
            </w:r>
            <w:r>
              <w:rPr>
                <w:rFonts w:hint="eastAsia" w:ascii="Times New Roman" w:hAnsi="Times New Roman" w:eastAsia="宋体" w:cs="Times New Roman"/>
                <w:color w:val="auto"/>
                <w:kern w:val="0"/>
                <w:sz w:val="24"/>
                <w:lang w:val="en-US" w:eastAsia="zh-CN" w:bidi="ar"/>
              </w:rPr>
              <w:t xml:space="preserve"> </w:t>
            </w:r>
            <w:r>
              <w:rPr>
                <w:rFonts w:hint="eastAsia" w:ascii="Times New Roman" w:hAnsi="Times New Roman" w:eastAsia="宋体" w:cs="Times New Roman"/>
                <w:color w:val="auto"/>
                <w:kern w:val="0"/>
                <w:sz w:val="24"/>
                <w:lang w:eastAsia="zh-CN" w:bidi="ar"/>
              </w:rPr>
              <w:t>加强运输车辆管理，提升车仓封闭性施工单位应加强施工区的规划管理，建筑材料的堆场（水泥、砂石等）应定点定位，并采取适当的防尘措施；开挖土方集中堆放，缩小粉尘影响范围，及时回填或清运，减少粉尘影响时间；土方堆放时间超过48</w:t>
            </w:r>
            <w:bookmarkStart w:id="23" w:name="OLE_LINK1"/>
            <w:bookmarkStart w:id="24" w:name="OLE_LINK2"/>
            <w:r>
              <w:rPr>
                <w:rFonts w:hint="eastAsia" w:ascii="Times New Roman" w:hAnsi="Times New Roman" w:eastAsia="宋体" w:cs="Times New Roman"/>
                <w:color w:val="auto"/>
                <w:kern w:val="0"/>
                <w:sz w:val="24"/>
                <w:lang w:val="en-US" w:eastAsia="zh-CN" w:bidi="ar"/>
              </w:rPr>
              <w:t>h</w:t>
            </w:r>
            <w:bookmarkEnd w:id="23"/>
            <w:bookmarkEnd w:id="24"/>
            <w:r>
              <w:rPr>
                <w:rFonts w:hint="eastAsia" w:ascii="Times New Roman" w:hAnsi="Times New Roman" w:eastAsia="宋体" w:cs="Times New Roman"/>
                <w:color w:val="auto"/>
                <w:kern w:val="0"/>
                <w:sz w:val="24"/>
                <w:lang w:eastAsia="zh-CN" w:bidi="ar"/>
              </w:rPr>
              <w:t>或作回填土使用的，在施工</w:t>
            </w:r>
            <w:r>
              <w:rPr>
                <w:rFonts w:hint="eastAsia" w:cs="Times New Roman"/>
                <w:color w:val="auto"/>
                <w:kern w:val="0"/>
                <w:sz w:val="24"/>
                <w:lang w:eastAsia="zh-CN" w:bidi="ar"/>
              </w:rPr>
              <w:t>场地</w:t>
            </w:r>
            <w:r>
              <w:rPr>
                <w:rFonts w:hint="eastAsia" w:ascii="Times New Roman" w:hAnsi="Times New Roman" w:eastAsia="宋体" w:cs="Times New Roman"/>
                <w:color w:val="auto"/>
                <w:kern w:val="0"/>
                <w:sz w:val="24"/>
                <w:lang w:eastAsia="zh-CN" w:bidi="ar"/>
              </w:rPr>
              <w:t>内设置临时堆放场，对临时堆放场采取围挡、遮盖等防尘措施。</w:t>
            </w:r>
          </w:p>
          <w:p w14:paraId="741C03FC">
            <w:pPr>
              <w:widowControl/>
              <w:spacing w:line="360" w:lineRule="auto"/>
              <w:ind w:firstLine="480" w:firstLineChars="200"/>
              <w:rPr>
                <w:rFonts w:hint="default" w:ascii="Times New Roman" w:hAnsi="Times New Roman" w:cs="Times New Roman"/>
                <w:color w:val="auto"/>
                <w:kern w:val="0"/>
                <w:sz w:val="24"/>
                <w:lang w:eastAsia="zh-CN" w:bidi="ar"/>
              </w:rPr>
            </w:pP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kern w:val="0"/>
                <w:sz w:val="24"/>
                <w:lang w:val="en-US" w:eastAsia="zh-CN" w:bidi="ar"/>
              </w:rPr>
              <w:t>2</w:t>
            </w:r>
            <w:r>
              <w:rPr>
                <w:rFonts w:hint="default" w:ascii="Times New Roman" w:hAnsi="Times New Roman" w:cs="Times New Roman"/>
                <w:color w:val="auto"/>
                <w:kern w:val="0"/>
                <w:sz w:val="24"/>
                <w:lang w:eastAsia="zh-CN" w:bidi="ar"/>
              </w:rPr>
              <w:t>）临时</w:t>
            </w:r>
            <w:r>
              <w:rPr>
                <w:rFonts w:hint="eastAsia" w:cs="Times New Roman"/>
                <w:color w:val="auto"/>
                <w:kern w:val="0"/>
                <w:sz w:val="24"/>
                <w:lang w:eastAsia="zh-CN" w:bidi="ar"/>
              </w:rPr>
              <w:t>拌和站</w:t>
            </w:r>
            <w:r>
              <w:rPr>
                <w:rFonts w:hint="default" w:ascii="Times New Roman" w:hAnsi="Times New Roman" w:cs="Times New Roman"/>
                <w:color w:val="auto"/>
                <w:kern w:val="0"/>
                <w:sz w:val="24"/>
                <w:lang w:eastAsia="zh-CN" w:bidi="ar"/>
              </w:rPr>
              <w:t>生产废气</w:t>
            </w:r>
          </w:p>
          <w:p w14:paraId="669D893B">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sz w:val="24"/>
                <w:szCs w:val="32"/>
                <w:lang w:val="en-US" w:eastAsia="zh-CN"/>
              </w:rPr>
              <w:t>临时生产区的砼拌合系统中的移动式拌合机上料会有少量颗粒物产生，要求移动式混凝土拌合机所用骨料仓封闭，砂石骨料定期洒水润湿，封闭水泥筒仓上料过程产生的粉尘采用仓顶自带袋式除尘器除尘后</w:t>
            </w:r>
            <w:r>
              <w:rPr>
                <w:rFonts w:hint="eastAsia" w:cs="Times New Roman"/>
                <w:color w:val="auto"/>
                <w:sz w:val="24"/>
                <w:szCs w:val="32"/>
                <w:lang w:val="en-US" w:eastAsia="zh-CN"/>
              </w:rPr>
              <w:t>有</w:t>
            </w:r>
            <w:r>
              <w:rPr>
                <w:rFonts w:hint="eastAsia" w:ascii="Times New Roman" w:hAnsi="Times New Roman" w:eastAsia="宋体" w:cs="Times New Roman"/>
                <w:color w:val="auto"/>
                <w:sz w:val="24"/>
                <w:szCs w:val="32"/>
                <w:lang w:val="en-US" w:eastAsia="zh-CN"/>
              </w:rPr>
              <w:t>组织排放，粉尘排放浓度相对较低，能达到《大气污染物综合排放标准》（GB16297-1996）中最高允许排放浓度（120mg/m</w:t>
            </w:r>
            <w:r>
              <w:rPr>
                <w:rFonts w:hint="eastAsia" w:ascii="Times New Roman" w:hAnsi="Times New Roman" w:eastAsia="宋体" w:cs="Times New Roman"/>
                <w:color w:val="auto"/>
                <w:sz w:val="24"/>
                <w:szCs w:val="32"/>
                <w:vertAlign w:val="superscript"/>
                <w:lang w:val="en-US" w:eastAsia="zh-CN"/>
              </w:rPr>
              <w:t>3</w:t>
            </w:r>
            <w:r>
              <w:rPr>
                <w:rFonts w:hint="eastAsia" w:ascii="Times New Roman" w:hAnsi="Times New Roman" w:eastAsia="宋体" w:cs="Times New Roman"/>
                <w:color w:val="auto"/>
                <w:sz w:val="24"/>
                <w:szCs w:val="32"/>
                <w:lang w:val="en-US" w:eastAsia="zh-CN"/>
              </w:rPr>
              <w:t>）要求，搅拌机区域</w:t>
            </w:r>
            <w:r>
              <w:rPr>
                <w:rFonts w:hint="eastAsia" w:cs="Times New Roman"/>
                <w:color w:val="auto"/>
                <w:sz w:val="24"/>
                <w:szCs w:val="32"/>
                <w:lang w:val="en-US" w:eastAsia="zh-CN"/>
              </w:rPr>
              <w:t>同时进行</w:t>
            </w:r>
            <w:r>
              <w:rPr>
                <w:rFonts w:hint="eastAsia" w:ascii="Times New Roman" w:hAnsi="Times New Roman" w:eastAsia="宋体" w:cs="Times New Roman"/>
                <w:color w:val="auto"/>
                <w:sz w:val="24"/>
                <w:szCs w:val="32"/>
                <w:lang w:val="en-US" w:eastAsia="zh-CN"/>
              </w:rPr>
              <w:t>洒水降尘，不会对区域环境空气质量产生大的影响。</w:t>
            </w:r>
          </w:p>
          <w:p w14:paraId="78192AFB">
            <w:pPr>
              <w:widowControl/>
              <w:spacing w:line="360" w:lineRule="auto"/>
              <w:ind w:firstLine="480" w:firstLineChars="200"/>
              <w:rPr>
                <w:rFonts w:hint="default" w:ascii="Times New Roman" w:hAnsi="Times New Roman" w:eastAsia="宋体" w:cs="Times New Roman"/>
                <w:color w:val="auto"/>
                <w:kern w:val="0"/>
                <w:sz w:val="24"/>
                <w:lang w:val="en-US" w:eastAsia="zh-CN" w:bidi="ar"/>
              </w:rPr>
            </w:pPr>
            <w:r>
              <w:rPr>
                <w:rFonts w:hint="eastAsia" w:ascii="Times New Roman" w:hAnsi="Times New Roman" w:eastAsia="宋体" w:cs="Times New Roman"/>
                <w:color w:val="auto"/>
                <w:kern w:val="0"/>
                <w:sz w:val="24"/>
                <w:lang w:eastAsia="zh-CN" w:bidi="ar"/>
              </w:rPr>
              <w:t>（</w:t>
            </w:r>
            <w:r>
              <w:rPr>
                <w:rFonts w:hint="eastAsia" w:ascii="Times New Roman" w:hAnsi="Times New Roman" w:eastAsia="宋体" w:cs="Times New Roman"/>
                <w:color w:val="auto"/>
                <w:kern w:val="0"/>
                <w:sz w:val="24"/>
                <w:lang w:val="en-US" w:eastAsia="zh-CN" w:bidi="ar"/>
              </w:rPr>
              <w:t>3</w:t>
            </w:r>
            <w:r>
              <w:rPr>
                <w:rFonts w:hint="eastAsia" w:ascii="Times New Roman" w:hAnsi="Times New Roman" w:eastAsia="宋体" w:cs="Times New Roman"/>
                <w:color w:val="auto"/>
                <w:kern w:val="0"/>
                <w:sz w:val="24"/>
                <w:lang w:eastAsia="zh-CN" w:bidi="ar"/>
              </w:rPr>
              <w:t>）</w:t>
            </w:r>
            <w:r>
              <w:rPr>
                <w:rFonts w:hint="default" w:ascii="Times New Roman" w:hAnsi="Times New Roman" w:eastAsia="宋体" w:cs="Times New Roman"/>
                <w:color w:val="auto"/>
                <w:kern w:val="0"/>
                <w:sz w:val="24"/>
                <w:lang w:eastAsia="zh-CN" w:bidi="ar"/>
              </w:rPr>
              <w:t>运输车辆及作业机械尾气</w:t>
            </w:r>
          </w:p>
          <w:p w14:paraId="2BAA1EC6">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①</w:t>
            </w:r>
            <w:r>
              <w:rPr>
                <w:rFonts w:hint="default" w:ascii="Times New Roman" w:hAnsi="Times New Roman" w:eastAsia="宋体" w:cs="Times New Roman"/>
                <w:color w:val="auto"/>
                <w:kern w:val="0"/>
                <w:sz w:val="24"/>
                <w:lang w:eastAsia="zh-CN" w:bidi="ar"/>
              </w:rPr>
              <w:t>在施工机械和运输工具选择上，为控制施工废气排放对大气的污染，减少NOx污染物，施工单位应选用符合国家有关卫生标准的施工机械和运输工具，使用符合标准的油料或清洁能源，使其排放的废气能够达到国家标准。</w:t>
            </w:r>
          </w:p>
          <w:p w14:paraId="2A814EC9">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②</w:t>
            </w:r>
            <w:r>
              <w:rPr>
                <w:rFonts w:hint="default" w:ascii="Times New Roman" w:hAnsi="Times New Roman" w:eastAsia="宋体" w:cs="Times New Roman"/>
                <w:color w:val="auto"/>
                <w:kern w:val="0"/>
                <w:sz w:val="24"/>
                <w:lang w:eastAsia="zh-CN" w:bidi="ar"/>
              </w:rPr>
              <w:t>施工期间，往来车辆多为燃用柴油的大型运输车辆，尾气排放量与污染物含量均较燃用汽油车辆高，合理安排车辆运输次数与作业的时间段。</w:t>
            </w:r>
          </w:p>
          <w:p w14:paraId="73F7487E">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③加强施工机械和车辆的维护与保养。</w:t>
            </w:r>
          </w:p>
          <w:p w14:paraId="78C3B678">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④配合有关部门规划好施工期间周边道路的道路情况，避免因施工造成交通堵塞，减少交通堵塞产生的怠速尾气排放。</w:t>
            </w:r>
          </w:p>
          <w:p w14:paraId="5D172DB2">
            <w:pPr>
              <w:widowControl/>
              <w:spacing w:line="360" w:lineRule="auto"/>
              <w:ind w:firstLine="480" w:firstLineChars="200"/>
              <w:rPr>
                <w:rFonts w:hint="eastAsia"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w:t>
            </w:r>
            <w:r>
              <w:rPr>
                <w:rFonts w:hint="eastAsia" w:ascii="Times New Roman" w:hAnsi="Times New Roman" w:eastAsia="宋体" w:cs="Times New Roman"/>
                <w:color w:val="auto"/>
                <w:kern w:val="0"/>
                <w:sz w:val="24"/>
                <w:lang w:val="en-US" w:eastAsia="zh-CN" w:bidi="ar"/>
              </w:rPr>
              <w:t>4</w:t>
            </w:r>
            <w:r>
              <w:rPr>
                <w:rFonts w:hint="eastAsia" w:ascii="Times New Roman" w:hAnsi="Times New Roman" w:eastAsia="宋体" w:cs="Times New Roman"/>
                <w:color w:val="auto"/>
                <w:kern w:val="0"/>
                <w:sz w:val="24"/>
                <w:lang w:eastAsia="zh-CN" w:bidi="ar"/>
              </w:rPr>
              <w:t>）燃油废气</w:t>
            </w:r>
          </w:p>
          <w:p w14:paraId="2F8E023F">
            <w:pPr>
              <w:widowControl/>
              <w:spacing w:line="360" w:lineRule="auto"/>
              <w:ind w:firstLine="480" w:firstLineChars="200"/>
              <w:rPr>
                <w:rFonts w:hint="default" w:ascii="Times New Roman" w:hAnsi="Times New Roman" w:eastAsia="宋体" w:cs="Times New Roman"/>
                <w:color w:val="auto"/>
                <w:kern w:val="0"/>
                <w:sz w:val="24"/>
                <w:lang w:eastAsia="zh-CN" w:bidi="ar"/>
              </w:rPr>
            </w:pPr>
            <w:r>
              <w:rPr>
                <w:rFonts w:hint="default" w:ascii="Times New Roman" w:hAnsi="Times New Roman" w:eastAsia="宋体" w:cs="Times New Roman"/>
                <w:color w:val="auto"/>
                <w:kern w:val="0"/>
                <w:sz w:val="24"/>
                <w:lang w:eastAsia="zh-CN" w:bidi="ar"/>
              </w:rPr>
              <w:t>施工燃油机械</w:t>
            </w:r>
            <w:r>
              <w:rPr>
                <w:rFonts w:hint="eastAsia" w:ascii="Times New Roman" w:hAnsi="Times New Roman" w:eastAsia="宋体" w:cs="Times New Roman"/>
                <w:color w:val="auto"/>
                <w:kern w:val="0"/>
                <w:sz w:val="24"/>
                <w:lang w:val="en-US" w:eastAsia="zh-CN" w:bidi="ar"/>
              </w:rPr>
              <w:t>为</w:t>
            </w:r>
            <w:r>
              <w:rPr>
                <w:rFonts w:hint="default" w:ascii="Times New Roman" w:hAnsi="Times New Roman" w:eastAsia="宋体" w:cs="Times New Roman"/>
                <w:color w:val="auto"/>
                <w:kern w:val="0"/>
                <w:sz w:val="24"/>
                <w:lang w:eastAsia="zh-CN" w:bidi="ar"/>
              </w:rPr>
              <w:t>无组织流动性排放，废气经稀释扩散后不会对周边空气环境产生明显影响</w:t>
            </w:r>
            <w:r>
              <w:rPr>
                <w:rFonts w:hint="eastAsia" w:ascii="Times New Roman" w:hAnsi="Times New Roman" w:eastAsia="宋体" w:cs="Times New Roman"/>
                <w:color w:val="auto"/>
                <w:kern w:val="0"/>
                <w:sz w:val="24"/>
                <w:lang w:eastAsia="zh-CN" w:bidi="ar"/>
              </w:rPr>
              <w:t>，</w:t>
            </w:r>
            <w:r>
              <w:rPr>
                <w:rFonts w:hint="eastAsia" w:ascii="Times New Roman" w:hAnsi="Times New Roman" w:eastAsia="宋体" w:cs="Times New Roman"/>
                <w:color w:val="auto"/>
                <w:kern w:val="0"/>
                <w:sz w:val="24"/>
                <w:lang w:val="en-US" w:eastAsia="zh-CN" w:bidi="ar"/>
              </w:rPr>
              <w:t>建议施工单位尽量采用清洁能源的机械设备</w:t>
            </w:r>
            <w:r>
              <w:rPr>
                <w:rFonts w:hint="default" w:ascii="Times New Roman" w:hAnsi="Times New Roman" w:eastAsia="宋体" w:cs="Times New Roman"/>
                <w:color w:val="auto"/>
                <w:kern w:val="0"/>
                <w:sz w:val="24"/>
                <w:lang w:eastAsia="zh-CN" w:bidi="ar"/>
              </w:rPr>
              <w:t>。</w:t>
            </w:r>
          </w:p>
          <w:p w14:paraId="6313DCE8">
            <w:pPr>
              <w:keepNext w:val="0"/>
              <w:keepLines w:val="0"/>
              <w:pageBreakBefore w:val="0"/>
              <w:widowControl w:val="0"/>
              <w:numPr>
                <w:ilvl w:val="0"/>
                <w:numId w:val="13"/>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水环境保护措施</w:t>
            </w:r>
          </w:p>
          <w:p w14:paraId="1FCF7A21">
            <w:pPr>
              <w:widowControl/>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kern w:val="0"/>
                <w:sz w:val="24"/>
                <w:lang w:bidi="ar"/>
              </w:rPr>
              <w:t>（1）施工废水</w:t>
            </w:r>
          </w:p>
          <w:p w14:paraId="6E0B7E8A">
            <w:pPr>
              <w:widowControl/>
              <w:spacing w:line="360" w:lineRule="auto"/>
              <w:ind w:firstLine="480" w:firstLineChars="200"/>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在施工区设置</w:t>
            </w:r>
            <w:r>
              <w:rPr>
                <w:rFonts w:hint="eastAsia" w:cs="Times New Roman"/>
                <w:color w:val="auto"/>
                <w:kern w:val="0"/>
                <w:sz w:val="24"/>
                <w:lang w:val="en-US" w:eastAsia="zh-CN" w:bidi="ar"/>
              </w:rPr>
              <w:t>4m</w:t>
            </w:r>
            <w:r>
              <w:rPr>
                <w:rFonts w:hint="eastAsia" w:cs="Times New Roman"/>
                <w:color w:val="auto"/>
                <w:kern w:val="0"/>
                <w:sz w:val="24"/>
                <w:vertAlign w:val="superscript"/>
                <w:lang w:val="en-US" w:eastAsia="zh-CN" w:bidi="ar"/>
              </w:rPr>
              <w:t>3</w:t>
            </w:r>
            <w:r>
              <w:rPr>
                <w:rFonts w:hint="default" w:ascii="Times New Roman" w:hAnsi="Times New Roman" w:cs="Times New Roman"/>
                <w:color w:val="auto"/>
                <w:kern w:val="0"/>
                <w:sz w:val="24"/>
                <w:lang w:bidi="ar"/>
              </w:rPr>
              <w:t>沉淀池</w:t>
            </w:r>
            <w:r>
              <w:rPr>
                <w:rFonts w:hint="eastAsia" w:cs="Times New Roman"/>
                <w:color w:val="auto"/>
                <w:kern w:val="0"/>
                <w:sz w:val="24"/>
                <w:lang w:eastAsia="zh-CN" w:bidi="ar"/>
              </w:rPr>
              <w:t>（</w:t>
            </w:r>
            <w:r>
              <w:rPr>
                <w:rFonts w:hint="eastAsia" w:cs="Times New Roman"/>
                <w:color w:val="auto"/>
                <w:kern w:val="0"/>
                <w:sz w:val="24"/>
                <w:lang w:val="en-US" w:eastAsia="zh-CN" w:bidi="ar"/>
              </w:rPr>
              <w:t>尺寸2×2×1</w:t>
            </w:r>
            <w:r>
              <w:rPr>
                <w:rFonts w:hint="eastAsia" w:cs="Times New Roman"/>
                <w:color w:val="auto"/>
                <w:kern w:val="0"/>
                <w:sz w:val="24"/>
                <w:lang w:eastAsia="zh-CN" w:bidi="ar"/>
              </w:rPr>
              <w:t>）</w:t>
            </w:r>
            <w:r>
              <w:rPr>
                <w:rFonts w:hint="eastAsia" w:cs="Times New Roman"/>
                <w:color w:val="auto"/>
                <w:kern w:val="0"/>
                <w:sz w:val="24"/>
                <w:lang w:val="en-US" w:eastAsia="zh-CN" w:bidi="ar"/>
              </w:rPr>
              <w:t>与6m</w:t>
            </w:r>
            <w:r>
              <w:rPr>
                <w:rFonts w:hint="eastAsia" w:cs="Times New Roman"/>
                <w:color w:val="auto"/>
                <w:kern w:val="0"/>
                <w:sz w:val="24"/>
                <w:vertAlign w:val="superscript"/>
                <w:lang w:val="en-US" w:eastAsia="zh-CN" w:bidi="ar"/>
              </w:rPr>
              <w:t>3</w:t>
            </w:r>
            <w:r>
              <w:rPr>
                <w:rFonts w:hint="eastAsia" w:cs="Times New Roman"/>
                <w:color w:val="auto"/>
                <w:kern w:val="0"/>
                <w:sz w:val="24"/>
                <w:lang w:val="en-US" w:eastAsia="zh-CN" w:bidi="ar"/>
              </w:rPr>
              <w:t>蓄水池（2×2×1.5）</w:t>
            </w:r>
            <w:r>
              <w:rPr>
                <w:rFonts w:hint="default" w:ascii="Times New Roman" w:hAnsi="Times New Roman" w:cs="Times New Roman"/>
                <w:color w:val="auto"/>
                <w:kern w:val="0"/>
                <w:sz w:val="24"/>
                <w:lang w:bidi="ar"/>
              </w:rPr>
              <w:t>，工程废水排入沉淀池</w:t>
            </w:r>
            <w:r>
              <w:rPr>
                <w:rFonts w:hint="eastAsia" w:cs="Times New Roman"/>
                <w:color w:val="auto"/>
                <w:kern w:val="0"/>
                <w:sz w:val="24"/>
                <w:lang w:val="en-US" w:eastAsia="zh-CN" w:bidi="ar"/>
              </w:rPr>
              <w:t>经过沉淀后流入蓄水池</w:t>
            </w:r>
            <w:r>
              <w:rPr>
                <w:rFonts w:hint="default" w:ascii="Times New Roman" w:hAnsi="Times New Roman" w:cs="Times New Roman"/>
                <w:color w:val="auto"/>
                <w:kern w:val="0"/>
                <w:sz w:val="24"/>
                <w:lang w:bidi="ar"/>
              </w:rPr>
              <w:t>循环使用，施工期结束后及时拆除并恢复原貌。</w:t>
            </w:r>
          </w:p>
          <w:p w14:paraId="2B859CAF">
            <w:pPr>
              <w:widowControl/>
              <w:numPr>
                <w:ilvl w:val="0"/>
                <w:numId w:val="0"/>
              </w:numPr>
              <w:spacing w:line="360" w:lineRule="auto"/>
              <w:ind w:firstLine="480" w:firstLineChars="200"/>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kern w:val="0"/>
                <w:sz w:val="24"/>
                <w:lang w:val="en-US" w:eastAsia="zh-CN" w:bidi="ar"/>
              </w:rPr>
              <w:t>2</w:t>
            </w:r>
            <w:r>
              <w:rPr>
                <w:rFonts w:hint="default" w:ascii="Times New Roman" w:hAnsi="Times New Roman" w:cs="Times New Roman"/>
                <w:color w:val="auto"/>
                <w:kern w:val="0"/>
                <w:sz w:val="24"/>
                <w:lang w:eastAsia="zh-CN" w:bidi="ar"/>
              </w:rPr>
              <w:t>）</w:t>
            </w:r>
            <w:r>
              <w:rPr>
                <w:rFonts w:hint="default" w:ascii="Times New Roman" w:hAnsi="Times New Roman" w:cs="Times New Roman"/>
                <w:color w:val="auto"/>
                <w:kern w:val="0"/>
                <w:sz w:val="24"/>
                <w:lang w:bidi="ar"/>
              </w:rPr>
              <w:t>生活污水</w:t>
            </w:r>
          </w:p>
          <w:p w14:paraId="35090144">
            <w:pPr>
              <w:spacing w:line="360" w:lineRule="auto"/>
              <w:ind w:firstLine="480"/>
              <w:rPr>
                <w:rFonts w:hint="default" w:ascii="Times New Roman" w:hAnsi="Times New Roman" w:cs="Times New Roman"/>
                <w:color w:val="auto"/>
                <w:sz w:val="24"/>
              </w:rPr>
            </w:pPr>
            <w:r>
              <w:rPr>
                <w:rFonts w:hint="eastAsia" w:cs="Times New Roman"/>
                <w:color w:val="auto"/>
                <w:sz w:val="24"/>
                <w:lang w:val="en-US" w:eastAsia="zh-CN"/>
              </w:rPr>
              <w:t>施工人员租住于附近民房，生活污水依托已有市政管网处理，施工现场设置移动式</w:t>
            </w:r>
            <w:r>
              <w:rPr>
                <w:rFonts w:hint="default" w:ascii="Times New Roman" w:hAnsi="Times New Roman" w:cs="Times New Roman"/>
                <w:color w:val="auto"/>
                <w:sz w:val="24"/>
                <w:lang w:val="en-US" w:eastAsia="zh-CN"/>
              </w:rPr>
              <w:t>环保厕所，定期</w:t>
            </w:r>
            <w:r>
              <w:rPr>
                <w:rFonts w:hint="eastAsia" w:cs="Times New Roman"/>
                <w:color w:val="auto"/>
                <w:sz w:val="24"/>
                <w:lang w:val="en-US" w:eastAsia="zh-CN"/>
              </w:rPr>
              <w:t>委托相关环卫部门</w:t>
            </w:r>
            <w:r>
              <w:rPr>
                <w:rFonts w:hint="default" w:ascii="Times New Roman" w:hAnsi="Times New Roman" w:cs="Times New Roman"/>
                <w:color w:val="auto"/>
                <w:sz w:val="24"/>
                <w:lang w:val="en-US" w:eastAsia="zh-CN"/>
              </w:rPr>
              <w:t>处置，不外排。</w:t>
            </w:r>
            <w:r>
              <w:rPr>
                <w:rFonts w:hint="default" w:ascii="Times New Roman" w:hAnsi="Times New Roman" w:cs="Times New Roman"/>
                <w:color w:val="auto"/>
                <w:sz w:val="24"/>
              </w:rPr>
              <w:t>对项目区域的环境质量影响较小。</w:t>
            </w:r>
          </w:p>
          <w:p w14:paraId="6C138569">
            <w:pPr>
              <w:spacing w:line="360" w:lineRule="auto"/>
              <w:ind w:firstLine="48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为了减少施工期废水对环境的影响，应采取以下环境保护措施：</w:t>
            </w:r>
          </w:p>
          <w:p w14:paraId="1A30A520">
            <w:pPr>
              <w:spacing w:line="360" w:lineRule="auto"/>
              <w:ind w:firstLine="48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lang w:val="en-US" w:eastAsia="zh-CN"/>
              </w:rPr>
              <w:t>施工材料堆放时要采取遮蔽措施，防止降雨冲刷造成对地表水的污染</w:t>
            </w:r>
          </w:p>
          <w:p w14:paraId="37395F09">
            <w:pPr>
              <w:spacing w:line="360" w:lineRule="auto"/>
              <w:ind w:firstLine="48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en-US" w:eastAsia="zh-CN"/>
              </w:rPr>
              <w:t>加强施工期管理，加强对运输车辆、施工机械设备定期检修保养，避免燃油、机油的跑、冒、滴、漏。</w:t>
            </w:r>
          </w:p>
          <w:p w14:paraId="29F3490E">
            <w:pPr>
              <w:spacing w:line="360" w:lineRule="auto"/>
              <w:ind w:firstLine="48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lang w:val="en-US" w:eastAsia="zh-CN"/>
              </w:rPr>
              <w:t>禁止在项目管道区域内直接冲洗运输车辆和施工机械设备。</w:t>
            </w:r>
          </w:p>
          <w:p w14:paraId="7E36C4B8">
            <w:pPr>
              <w:spacing w:line="360" w:lineRule="auto"/>
              <w:ind w:firstLine="48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lang w:val="en-US" w:eastAsia="zh-CN"/>
              </w:rPr>
              <w:t>施工单位文明施工，车轮清洗废水经沉淀池处理后用于项目区洒水抑尘，严禁施工废水乱排、乱流污染施工场地，禁止施工废水直接排放，污染或进入天然水体。</w:t>
            </w:r>
          </w:p>
          <w:p w14:paraId="01E529FD">
            <w:pPr>
              <w:spacing w:line="360" w:lineRule="auto"/>
              <w:ind w:firstLine="48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val="en-US" w:eastAsia="zh-CN"/>
              </w:rPr>
              <w:t>施工区内不设置生活区，施工人员就近租住各乡镇民房，产生的生活污水依托村镇民房已建污水管道排入村镇污水处理设施处理。</w:t>
            </w:r>
          </w:p>
          <w:p w14:paraId="0798EE07">
            <w:pPr>
              <w:spacing w:line="360" w:lineRule="auto"/>
              <w:ind w:firstLine="48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综上所述，施工期废水在采取以上措施处理后，不会对外环境产生明显不利影响，措施可行。</w:t>
            </w:r>
          </w:p>
          <w:p w14:paraId="1398473A">
            <w:pPr>
              <w:keepNext w:val="0"/>
              <w:keepLines w:val="0"/>
              <w:pageBreakBefore w:val="0"/>
              <w:widowControl w:val="0"/>
              <w:numPr>
                <w:ilvl w:val="0"/>
                <w:numId w:val="13"/>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声环境保护措施</w:t>
            </w:r>
          </w:p>
          <w:p w14:paraId="4E0A5572">
            <w:pPr>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施工场地内机械设备大多属于移动声源，要准确预测施工场地各场界噪声值较为困难，且根据施工阶段不同各个机械作业时间无法确定，因此，无法对施工机械进行叠加预测。单台施工机械约在50m以外噪声值才基本能达到施工阶段场界昼间噪声限值。</w:t>
            </w:r>
          </w:p>
          <w:p w14:paraId="46C8DBCA">
            <w:pPr>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为最大限度地减少施工期噪声对环境和敏感点的影响，要求建设单位在工程施工期采取以下噪声控制措施：</w:t>
            </w:r>
          </w:p>
          <w:p w14:paraId="407D0BA9">
            <w:pPr>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（1）从源头上降低噪声源强。必须选用符合国家噪声标准的设备，尽可能选用低噪声施工机械和工艺。</w:t>
            </w:r>
          </w:p>
          <w:p w14:paraId="2FC05250">
            <w:pPr>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（2）加强设备的维护和保养，保持设备良好运转状态，降低设备运行噪声。</w:t>
            </w:r>
          </w:p>
          <w:p w14:paraId="56D5850A">
            <w:pPr>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（3）在距离施工作业点较近居民区段</w:t>
            </w:r>
            <w:r>
              <w:rPr>
                <w:rFonts w:hint="eastAsia" w:ascii="Times New Roman" w:hAnsi="Times New Roman" w:eastAsia="宋体" w:cs="Times New Roman"/>
                <w:color w:val="auto"/>
                <w:kern w:val="0"/>
                <w:sz w:val="24"/>
                <w:lang w:bidi="ar"/>
              </w:rPr>
              <w:t>等</w:t>
            </w:r>
            <w:r>
              <w:rPr>
                <w:rFonts w:hint="default" w:ascii="Times New Roman" w:hAnsi="Times New Roman" w:eastAsia="宋体" w:cs="Times New Roman"/>
                <w:color w:val="auto"/>
                <w:kern w:val="0"/>
                <w:sz w:val="24"/>
                <w:lang w:bidi="ar"/>
              </w:rPr>
              <w:t>，应设置简易挡墙或移动式围挡，隔离施工作业场地，对高噪声设备应设置隔声罩并增加阻尼金属减振器或橡胶减振垫以减少施工噪声对上述敏感点的影响。</w:t>
            </w:r>
          </w:p>
          <w:p w14:paraId="658340FE">
            <w:pPr>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（4）合理安排施工时间，禁止夜间（2</w:t>
            </w:r>
            <w:r>
              <w:rPr>
                <w:rFonts w:hint="eastAsia" w:cs="Times New Roman"/>
                <w:color w:val="auto"/>
                <w:kern w:val="0"/>
                <w:sz w:val="24"/>
                <w:lang w:val="en-US" w:eastAsia="zh-CN" w:bidi="ar"/>
              </w:rPr>
              <w:t>2</w:t>
            </w:r>
            <w:r>
              <w:rPr>
                <w:rFonts w:hint="eastAsia" w:ascii="Times New Roman" w:hAnsi="Times New Roman" w:eastAsia="宋体" w:cs="Times New Roman"/>
                <w:color w:val="auto"/>
                <w:kern w:val="0"/>
                <w:sz w:val="24"/>
                <w:lang w:bidi="ar"/>
              </w:rPr>
              <w:t>:</w:t>
            </w:r>
            <w:r>
              <w:rPr>
                <w:rFonts w:hint="default" w:ascii="Times New Roman" w:hAnsi="Times New Roman" w:eastAsia="宋体" w:cs="Times New Roman"/>
                <w:color w:val="auto"/>
                <w:kern w:val="0"/>
                <w:sz w:val="24"/>
                <w:lang w:bidi="ar"/>
              </w:rPr>
              <w:t>00</w:t>
            </w:r>
            <w:r>
              <w:rPr>
                <w:rFonts w:hint="eastAsia" w:ascii="Times New Roman" w:hAnsi="Times New Roman" w:eastAsia="宋体" w:cs="Times New Roman"/>
                <w:color w:val="auto"/>
                <w:kern w:val="0"/>
                <w:sz w:val="24"/>
                <w:lang w:bidi="ar"/>
              </w:rPr>
              <w:t>~08:</w:t>
            </w:r>
            <w:r>
              <w:rPr>
                <w:rFonts w:hint="default" w:ascii="Times New Roman" w:hAnsi="Times New Roman" w:eastAsia="宋体" w:cs="Times New Roman"/>
                <w:color w:val="auto"/>
                <w:kern w:val="0"/>
                <w:sz w:val="24"/>
                <w:lang w:bidi="ar"/>
              </w:rPr>
              <w:t>00）</w:t>
            </w:r>
            <w:r>
              <w:rPr>
                <w:rFonts w:hint="eastAsia" w:ascii="Times New Roman" w:hAnsi="Times New Roman" w:eastAsia="宋体" w:cs="Times New Roman"/>
                <w:color w:val="auto"/>
                <w:kern w:val="0"/>
                <w:sz w:val="24"/>
                <w:lang w:bidi="ar"/>
              </w:rPr>
              <w:t>和午休时间</w:t>
            </w:r>
            <w:r>
              <w:rPr>
                <w:rFonts w:hint="default" w:ascii="Times New Roman" w:hAnsi="Times New Roman" w:eastAsia="宋体" w:cs="Times New Roman"/>
                <w:color w:val="auto"/>
                <w:kern w:val="0"/>
                <w:sz w:val="24"/>
                <w:lang w:bidi="ar"/>
              </w:rPr>
              <w:t>（</w:t>
            </w:r>
            <w:r>
              <w:rPr>
                <w:rFonts w:hint="eastAsia" w:ascii="Times New Roman" w:hAnsi="Times New Roman" w:eastAsia="宋体" w:cs="Times New Roman"/>
                <w:color w:val="auto"/>
                <w:kern w:val="0"/>
                <w:sz w:val="24"/>
                <w:lang w:bidi="ar"/>
              </w:rPr>
              <w:t>14:00</w:t>
            </w:r>
            <w:r>
              <w:rPr>
                <w:rFonts w:hint="default" w:ascii="Times New Roman" w:hAnsi="Times New Roman" w:eastAsia="宋体" w:cs="Times New Roman"/>
                <w:color w:val="auto"/>
                <w:kern w:val="0"/>
                <w:sz w:val="24"/>
                <w:lang w:bidi="ar"/>
              </w:rPr>
              <w:t>~1</w:t>
            </w:r>
            <w:r>
              <w:rPr>
                <w:rFonts w:hint="eastAsia" w:ascii="Times New Roman" w:hAnsi="Times New Roman" w:eastAsia="宋体" w:cs="Times New Roman"/>
                <w:color w:val="auto"/>
                <w:kern w:val="0"/>
                <w:sz w:val="24"/>
                <w:lang w:bidi="ar"/>
              </w:rPr>
              <w:t>6:0</w:t>
            </w:r>
            <w:r>
              <w:rPr>
                <w:rFonts w:hint="default" w:ascii="Times New Roman" w:hAnsi="Times New Roman" w:eastAsia="宋体" w:cs="Times New Roman"/>
                <w:color w:val="auto"/>
                <w:kern w:val="0"/>
                <w:sz w:val="24"/>
                <w:lang w:bidi="ar"/>
              </w:rPr>
              <w:t>0）</w:t>
            </w:r>
            <w:r>
              <w:rPr>
                <w:rFonts w:hint="eastAsia" w:ascii="Times New Roman" w:hAnsi="Times New Roman" w:eastAsia="宋体" w:cs="Times New Roman"/>
                <w:color w:val="auto"/>
                <w:kern w:val="0"/>
                <w:sz w:val="24"/>
                <w:lang w:bidi="ar"/>
              </w:rPr>
              <w:t>在敏感点集中区域</w:t>
            </w:r>
            <w:r>
              <w:rPr>
                <w:rFonts w:hint="default" w:ascii="Times New Roman" w:hAnsi="Times New Roman" w:eastAsia="宋体" w:cs="Times New Roman"/>
                <w:color w:val="auto"/>
                <w:kern w:val="0"/>
                <w:sz w:val="24"/>
                <w:lang w:bidi="ar"/>
              </w:rPr>
              <w:t>进行产生环境噪声污染的建筑施工作业。</w:t>
            </w:r>
            <w:r>
              <w:rPr>
                <w:rFonts w:hint="eastAsia" w:ascii="Times New Roman" w:hAnsi="Times New Roman" w:eastAsia="宋体" w:cs="Times New Roman"/>
                <w:color w:val="auto"/>
                <w:kern w:val="0"/>
                <w:sz w:val="24"/>
                <w:lang w:bidi="ar"/>
              </w:rPr>
              <w:t>在居民区周围不得从事产生或者可能产生噪声污染的活动。</w:t>
            </w:r>
          </w:p>
          <w:p w14:paraId="340C45B0">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（5）柴油发电机降噪措施：为满足柴油发电机组运行时所需的冷却风和燃烧空气量，机房采用机械进风方式通风；进风道、排风道内安装消声器，吸收气流噪声和机械噪声；机房内设置</w:t>
            </w:r>
            <w:r>
              <w:rPr>
                <w:rFonts w:hint="eastAsia" w:cs="Times New Roman"/>
                <w:color w:val="auto"/>
                <w:kern w:val="0"/>
                <w:sz w:val="24"/>
                <w:lang w:eastAsia="zh-CN" w:bidi="ar"/>
              </w:rPr>
              <w:t>吸声材料</w:t>
            </w:r>
            <w:r>
              <w:rPr>
                <w:rFonts w:hint="eastAsia" w:ascii="Times New Roman" w:hAnsi="Times New Roman" w:eastAsia="宋体" w:cs="Times New Roman"/>
                <w:color w:val="auto"/>
                <w:kern w:val="0"/>
                <w:sz w:val="24"/>
                <w:lang w:bidi="ar"/>
              </w:rPr>
              <w:t>。</w:t>
            </w:r>
          </w:p>
          <w:p w14:paraId="2CFC58AC">
            <w:pPr>
              <w:spacing w:line="360" w:lineRule="auto"/>
              <w:ind w:firstLine="480" w:firstLineChars="200"/>
              <w:rPr>
                <w:rFonts w:hint="default" w:ascii="Times New Roman" w:hAnsi="Times New Roman" w:eastAsia="宋体" w:cs="Times New Roman"/>
                <w:color w:val="auto"/>
                <w:kern w:val="0"/>
                <w:sz w:val="24"/>
                <w:lang w:bidi="ar"/>
              </w:rPr>
            </w:pPr>
            <w:r>
              <w:rPr>
                <w:rFonts w:hint="default" w:ascii="Times New Roman" w:hAnsi="Times New Roman" w:eastAsia="宋体" w:cs="Times New Roman"/>
                <w:color w:val="auto"/>
                <w:kern w:val="0"/>
                <w:sz w:val="24"/>
                <w:lang w:bidi="ar"/>
              </w:rPr>
              <w:t>为了有效地控制施工噪声影响，除落实有关的控制措施外，还必须加强施工环境管理，由环保部门实施统一的监督管理，建设单位与施工单位在工程承包时，应将环境保护内容列入承包合同，落实各项施工噪声的控制措施和有关主管部门的要求。因此，在加强施工噪声管理之后施工噪声对周围环境影响可以接受。</w:t>
            </w:r>
          </w:p>
          <w:p w14:paraId="0E997E90">
            <w:pPr>
              <w:keepNext w:val="0"/>
              <w:keepLines w:val="0"/>
              <w:pageBreakBefore w:val="0"/>
              <w:widowControl w:val="0"/>
              <w:numPr>
                <w:ilvl w:val="0"/>
                <w:numId w:val="13"/>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rPr>
              <w:t>土壤</w:t>
            </w:r>
            <w:r>
              <w:rPr>
                <w:rFonts w:hint="default" w:ascii="Times New Roman" w:hAnsi="Times New Roman" w:eastAsia="宋体" w:cs="Times New Roman"/>
                <w:b/>
                <w:bCs/>
                <w:color w:val="auto"/>
                <w:kern w:val="0"/>
                <w:sz w:val="24"/>
                <w:szCs w:val="24"/>
                <w:highlight w:val="none"/>
                <w:lang w:val="en-US" w:eastAsia="zh-CN"/>
              </w:rPr>
              <w:t>环境保护措施</w:t>
            </w:r>
          </w:p>
          <w:p w14:paraId="0B541379">
            <w:pPr>
              <w:spacing w:line="360" w:lineRule="auto"/>
              <w:ind w:firstLine="480" w:firstLineChars="200"/>
              <w:rPr>
                <w:rFonts w:hint="eastAsia" w:eastAsia="宋体"/>
                <w:color w:val="auto"/>
                <w:lang w:eastAsia="zh-CN"/>
              </w:rPr>
            </w:pPr>
            <w:r>
              <w:rPr>
                <w:rFonts w:hint="eastAsia" w:ascii="Times New Roman" w:hAnsi="Times New Roman" w:eastAsia="宋体" w:cs="Times New Roman"/>
                <w:color w:val="auto"/>
                <w:kern w:val="0"/>
                <w:sz w:val="24"/>
                <w:lang w:eastAsia="zh-CN" w:bidi="ar"/>
              </w:rPr>
              <w:t>严控施工范围</w:t>
            </w:r>
            <w:r>
              <w:rPr>
                <w:rFonts w:hint="eastAsia" w:cs="Times New Roman"/>
                <w:color w:val="auto"/>
                <w:kern w:val="0"/>
                <w:sz w:val="24"/>
                <w:lang w:eastAsia="zh-CN" w:bidi="ar"/>
              </w:rPr>
              <w:t>，</w:t>
            </w:r>
            <w:r>
              <w:rPr>
                <w:rFonts w:hint="eastAsia" w:ascii="Times New Roman" w:hAnsi="Times New Roman" w:eastAsia="宋体" w:cs="Times New Roman"/>
                <w:color w:val="auto"/>
                <w:kern w:val="0"/>
                <w:sz w:val="24"/>
                <w:lang w:eastAsia="zh-CN" w:bidi="ar"/>
              </w:rPr>
              <w:t>按施工红线作业，严禁超范围施工和违规占地，减少土壤扰动与植被破坏。优化施工布局，规划便道、堆场等位置，避免重复扰动，减少土壤压实板结。优化施工时序，避开大风、暴雨时段，降低风蚀、水蚀风险。</w:t>
            </w:r>
          </w:p>
          <w:p w14:paraId="4B50372B">
            <w:pPr>
              <w:spacing w:line="360" w:lineRule="auto"/>
              <w:ind w:firstLine="480" w:firstLineChars="200"/>
              <w:rPr>
                <w:rFonts w:hint="eastAsia" w:eastAsia="宋体"/>
                <w:color w:val="auto"/>
                <w:lang w:eastAsia="zh-CN"/>
              </w:rPr>
            </w:pPr>
            <w:r>
              <w:rPr>
                <w:rFonts w:hint="eastAsia" w:ascii="Times New Roman" w:hAnsi="Times New Roman" w:eastAsia="宋体" w:cs="Times New Roman"/>
                <w:color w:val="auto"/>
                <w:kern w:val="0"/>
                <w:sz w:val="24"/>
                <w:lang w:eastAsia="zh-CN" w:bidi="ar"/>
              </w:rPr>
              <w:t>施工时区分表层耕作土与深部含盐土层，不将高含盐底层土铺至地表。及时清理基坑和作业区废水，防盐分富集。土方回填分层压实，减少盐分上移，严控盐化加重风险。</w:t>
            </w:r>
          </w:p>
          <w:p w14:paraId="579A3ECA">
            <w:pPr>
              <w:spacing w:line="360" w:lineRule="auto"/>
              <w:ind w:firstLine="480" w:firstLineChars="200"/>
              <w:rPr>
                <w:rFonts w:hint="eastAsia" w:eastAsia="宋体"/>
                <w:color w:val="auto"/>
                <w:lang w:eastAsia="zh-CN"/>
              </w:rPr>
            </w:pPr>
            <w:r>
              <w:rPr>
                <w:rFonts w:hint="eastAsia" w:ascii="Times New Roman" w:hAnsi="Times New Roman" w:eastAsia="宋体" w:cs="Times New Roman"/>
                <w:color w:val="auto"/>
                <w:kern w:val="0"/>
                <w:sz w:val="24"/>
                <w:lang w:eastAsia="zh-CN" w:bidi="ar"/>
              </w:rPr>
              <w:t>定期检修施工设备，规范油料加注</w:t>
            </w:r>
            <w:r>
              <w:rPr>
                <w:rFonts w:hint="eastAsia" w:cs="Times New Roman"/>
                <w:color w:val="auto"/>
                <w:kern w:val="0"/>
                <w:sz w:val="24"/>
                <w:lang w:eastAsia="zh-CN" w:bidi="ar"/>
              </w:rPr>
              <w:t>，</w:t>
            </w:r>
            <w:r>
              <w:rPr>
                <w:rFonts w:hint="eastAsia" w:cs="Times New Roman"/>
                <w:color w:val="auto"/>
                <w:kern w:val="0"/>
                <w:sz w:val="24"/>
                <w:lang w:val="en-US" w:eastAsia="zh-CN" w:bidi="ar"/>
              </w:rPr>
              <w:t>不在施工现场</w:t>
            </w:r>
            <w:r>
              <w:rPr>
                <w:rFonts w:hint="eastAsia" w:ascii="Times New Roman" w:hAnsi="Times New Roman" w:eastAsia="宋体" w:cs="Times New Roman"/>
                <w:color w:val="auto"/>
                <w:kern w:val="0"/>
                <w:sz w:val="24"/>
                <w:lang w:eastAsia="zh-CN" w:bidi="ar"/>
              </w:rPr>
              <w:t>维修作业，</w:t>
            </w:r>
            <w:r>
              <w:rPr>
                <w:rFonts w:hint="eastAsia" w:cs="Times New Roman"/>
                <w:color w:val="auto"/>
                <w:kern w:val="0"/>
                <w:sz w:val="24"/>
                <w:lang w:val="en-US" w:eastAsia="zh-CN" w:bidi="ar"/>
              </w:rPr>
              <w:t>防止</w:t>
            </w:r>
            <w:r>
              <w:rPr>
                <w:rFonts w:hint="eastAsia" w:ascii="Times New Roman" w:hAnsi="Times New Roman" w:eastAsia="宋体" w:cs="Times New Roman"/>
                <w:color w:val="auto"/>
                <w:kern w:val="0"/>
                <w:sz w:val="24"/>
                <w:lang w:eastAsia="zh-CN" w:bidi="ar"/>
              </w:rPr>
              <w:t>机油等泄漏。建材集中搅拌、规范取用，及时清理散落物料。施工垃圾等分类收集、集中存放，统一外运处置，防土壤点状污染。</w:t>
            </w:r>
          </w:p>
          <w:p w14:paraId="024DC8F2">
            <w:pPr>
              <w:spacing w:line="360" w:lineRule="auto"/>
              <w:ind w:firstLine="480" w:firstLineChars="200"/>
              <w:rPr>
                <w:rFonts w:hint="default" w:ascii="Times New Roman" w:hAnsi="Times New Roman" w:eastAsia="宋体" w:cs="Times New Roman"/>
                <w:color w:val="auto"/>
                <w:kern w:val="0"/>
                <w:sz w:val="24"/>
                <w:lang w:eastAsia="zh-CN" w:bidi="ar"/>
              </w:rPr>
            </w:pPr>
            <w:r>
              <w:rPr>
                <w:rFonts w:hint="eastAsia" w:ascii="Times New Roman" w:hAnsi="Times New Roman" w:eastAsia="宋体" w:cs="Times New Roman"/>
                <w:color w:val="auto"/>
                <w:kern w:val="0"/>
                <w:sz w:val="24"/>
                <w:lang w:eastAsia="zh-CN" w:bidi="ar"/>
              </w:rPr>
              <w:t>施工结束后，拆除临时设施，清理垃圾废弃物。对板结土壤松土改良，恢复孔隙结构。结合区域特点，选耐旱、耐盐碱乡土植被覆绿，恢复植被覆盖，修复土壤生态。</w:t>
            </w:r>
          </w:p>
          <w:p w14:paraId="4CD8B293">
            <w:pPr>
              <w:keepNext w:val="0"/>
              <w:keepLines w:val="0"/>
              <w:pageBreakBefore w:val="0"/>
              <w:widowControl w:val="0"/>
              <w:numPr>
                <w:ilvl w:val="0"/>
                <w:numId w:val="13"/>
              </w:numPr>
              <w:kinsoku/>
              <w:wordWrap/>
              <w:overflowPunct/>
              <w:topLinePunct w:val="0"/>
              <w:autoSpaceDE w:val="0"/>
              <w:autoSpaceDN w:val="0"/>
              <w:bidi w:val="0"/>
              <w:adjustRightInd w:val="0"/>
              <w:snapToGrid w:val="0"/>
              <w:spacing w:line="360" w:lineRule="auto"/>
              <w:ind w:left="42" w:leftChars="20" w:right="42" w:rightChars="20" w:firstLine="0" w:firstLineChars="0"/>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固体废弃物环境保护措施</w:t>
            </w:r>
          </w:p>
          <w:p w14:paraId="1690A298">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施工期固体废弃物主要包括：建筑垃圾、生活垃圾、土石方、沉淀池泥沙。</w:t>
            </w:r>
          </w:p>
          <w:p w14:paraId="07D83CB3">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建筑垃圾</w:t>
            </w:r>
          </w:p>
          <w:p w14:paraId="72156EF6">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本项目产生建筑垃圾主要来自施工过程中产生的废混凝土块、废钢材、废包装材料等，环评建议采取如下措施：</w:t>
            </w:r>
          </w:p>
          <w:p w14:paraId="524E6105">
            <w:pPr>
              <w:keepNext w:val="0"/>
              <w:keepLines w:val="0"/>
              <w:pageBreakBefore w:val="0"/>
              <w:widowControl w:val="0"/>
              <w:numPr>
                <w:ilvl w:val="1"/>
                <w:numId w:val="15"/>
              </w:numPr>
              <w:kinsoku/>
              <w:wordWrap/>
              <w:overflowPunct/>
              <w:topLinePunct w:val="0"/>
              <w:autoSpaceDE/>
              <w:autoSpaceDN/>
              <w:bidi w:val="0"/>
              <w:adjustRightInd/>
              <w:snapToGrid/>
              <w:spacing w:line="360" w:lineRule="auto"/>
              <w:ind w:left="0" w:leftChars="0" w:firstLine="476" w:firstLineChars="200"/>
              <w:jc w:val="both"/>
              <w:textAlignment w:val="auto"/>
              <w:rPr>
                <w:rFonts w:hint="default" w:ascii="Times New Roman" w:hAnsi="Times New Roman" w:eastAsia="宋体" w:cs="Times New Roman"/>
                <w:b w:val="0"/>
                <w:bCs w:val="0"/>
                <w:color w:val="auto"/>
                <w:spacing w:val="-1"/>
                <w:kern w:val="2"/>
                <w:sz w:val="24"/>
                <w:szCs w:val="24"/>
                <w:highlight w:val="none"/>
                <w:lang w:val="en-US" w:eastAsia="zh-CN" w:bidi="ar-SA"/>
              </w:rPr>
            </w:pPr>
            <w:r>
              <w:rPr>
                <w:rFonts w:hint="default" w:ascii="Times New Roman" w:hAnsi="Times New Roman" w:eastAsia="宋体" w:cs="Times New Roman"/>
                <w:b w:val="0"/>
                <w:bCs w:val="0"/>
                <w:color w:val="auto"/>
                <w:spacing w:val="-1"/>
                <w:kern w:val="2"/>
                <w:sz w:val="24"/>
                <w:szCs w:val="24"/>
                <w:highlight w:val="none"/>
                <w:lang w:val="en-US" w:eastAsia="zh-CN" w:bidi="ar-SA"/>
              </w:rPr>
              <w:t>分类收集：</w:t>
            </w:r>
          </w:p>
          <w:p w14:paraId="6F32A296">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在施工区出入口、材料堆放区、作业面设置四分类收集点，配备带标识的专用容器；施工班组设立专职环保员，负责监督建筑垃圾日产日清，建立《建筑垃圾产生台账》，记录种类、数量及去向；对废混凝土块等大块废料，要求现场破碎至粒径≤30cm后再转运，降低运输扬尘。</w:t>
            </w:r>
          </w:p>
          <w:p w14:paraId="3023DAE3">
            <w:pPr>
              <w:keepNext w:val="0"/>
              <w:keepLines w:val="0"/>
              <w:pageBreakBefore w:val="0"/>
              <w:widowControl w:val="0"/>
              <w:numPr>
                <w:ilvl w:val="1"/>
                <w:numId w:val="15"/>
              </w:numPr>
              <w:kinsoku/>
              <w:wordWrap/>
              <w:overflowPunct/>
              <w:topLinePunct w:val="0"/>
              <w:autoSpaceDE/>
              <w:autoSpaceDN/>
              <w:bidi w:val="0"/>
              <w:adjustRightInd/>
              <w:snapToGrid/>
              <w:spacing w:line="360" w:lineRule="auto"/>
              <w:ind w:left="0" w:leftChars="0" w:firstLine="476" w:firstLineChars="200"/>
              <w:jc w:val="both"/>
              <w:textAlignment w:val="auto"/>
              <w:rPr>
                <w:rFonts w:hint="default" w:ascii="Times New Roman" w:hAnsi="Times New Roman" w:eastAsia="宋体" w:cs="Times New Roman"/>
                <w:b w:val="0"/>
                <w:bCs w:val="0"/>
                <w:color w:val="auto"/>
                <w:spacing w:val="-1"/>
                <w:kern w:val="2"/>
                <w:sz w:val="24"/>
                <w:szCs w:val="24"/>
                <w:highlight w:val="none"/>
                <w:lang w:val="en-US" w:eastAsia="zh-CN" w:bidi="ar-SA"/>
              </w:rPr>
            </w:pPr>
            <w:r>
              <w:rPr>
                <w:rFonts w:hint="default" w:ascii="Times New Roman" w:hAnsi="Times New Roman" w:eastAsia="宋体" w:cs="Times New Roman"/>
                <w:b w:val="0"/>
                <w:bCs w:val="0"/>
                <w:color w:val="auto"/>
                <w:spacing w:val="-1"/>
                <w:kern w:val="2"/>
                <w:sz w:val="24"/>
                <w:szCs w:val="24"/>
                <w:highlight w:val="none"/>
                <w:lang w:val="en-US" w:eastAsia="zh-CN" w:bidi="ar-SA"/>
              </w:rPr>
              <w:t>临时贮存：</w:t>
            </w:r>
          </w:p>
          <w:p w14:paraId="5E8EF0DE">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场地选址避开敏感区域（距居民区≥50m，距水源地≥100m），设置在施工区下风向。不同类别垃圾分区堆放，间距≥1.5m，设置隔离挡板及分类标识牌。临时堆存时间不超过72小时，易扬尘物料覆盖阻燃防尘网，高温季节每日洒水降尘。</w:t>
            </w:r>
          </w:p>
          <w:p w14:paraId="17B7856F">
            <w:pPr>
              <w:keepNext w:val="0"/>
              <w:keepLines w:val="0"/>
              <w:pageBreakBefore w:val="0"/>
              <w:widowControl w:val="0"/>
              <w:numPr>
                <w:ilvl w:val="1"/>
                <w:numId w:val="15"/>
              </w:numPr>
              <w:kinsoku/>
              <w:wordWrap/>
              <w:overflowPunct/>
              <w:topLinePunct w:val="0"/>
              <w:autoSpaceDE/>
              <w:autoSpaceDN/>
              <w:bidi w:val="0"/>
              <w:adjustRightInd/>
              <w:snapToGrid/>
              <w:spacing w:line="360" w:lineRule="auto"/>
              <w:ind w:left="0" w:leftChars="0" w:firstLine="476" w:firstLineChars="200"/>
              <w:jc w:val="both"/>
              <w:textAlignment w:val="auto"/>
              <w:rPr>
                <w:rFonts w:hint="default" w:ascii="Times New Roman" w:hAnsi="Times New Roman" w:eastAsia="宋体" w:cs="Times New Roman"/>
                <w:b w:val="0"/>
                <w:bCs w:val="0"/>
                <w:color w:val="auto"/>
                <w:spacing w:val="-1"/>
                <w:kern w:val="2"/>
                <w:sz w:val="24"/>
                <w:szCs w:val="24"/>
                <w:highlight w:val="none"/>
                <w:lang w:val="en-US" w:eastAsia="zh-CN" w:bidi="ar-SA"/>
              </w:rPr>
            </w:pPr>
            <w:r>
              <w:rPr>
                <w:rFonts w:hint="default" w:ascii="Times New Roman" w:hAnsi="Times New Roman" w:eastAsia="宋体" w:cs="Times New Roman"/>
                <w:b w:val="0"/>
                <w:bCs w:val="0"/>
                <w:color w:val="auto"/>
                <w:spacing w:val="-1"/>
                <w:kern w:val="2"/>
                <w:sz w:val="24"/>
                <w:szCs w:val="24"/>
                <w:highlight w:val="none"/>
                <w:lang w:val="en-US" w:eastAsia="zh-CN" w:bidi="ar-SA"/>
              </w:rPr>
              <w:t>环境管理强化措施：</w:t>
            </w:r>
          </w:p>
          <w:p w14:paraId="4E66FDFC">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明确施工单位为建筑垃圾管理责任主体，缴纳环保保证金；监理单位每日巡查并填写《环保日志》，重点核查：分类合规率、贮存场地防尘措施、运输车辆密闭性。资源化利用要求废钢材、金属构件100%回收利用，破碎后的混凝土块优先用于场地硬化或路基填料。</w:t>
            </w:r>
          </w:p>
          <w:p w14:paraId="312F17EF">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车辆运输时，运输车辆必须做到装载适量，加盖篷布，出工地前做好外部清洗，沿途不漏洒、不飞扬；运输必须在规定的时段内进行，按指定路段行驶；</w:t>
            </w:r>
          </w:p>
          <w:p w14:paraId="457819BC">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实施全封闭型施工，尽可能使施工期间的污染和影响控制在施工场地范围内，尽量减少对周围环境的影响；</w:t>
            </w:r>
          </w:p>
          <w:p w14:paraId="4BE19A43">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施工车辆的物料运输应尽量避开敏感点的交通高峰期，并采取适当防护措施，减轻物料运输的交通压力和物料泄漏，以及可能导致的二次扬尘污染。</w:t>
            </w:r>
          </w:p>
          <w:p w14:paraId="1DE1BD67">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生活垃圾</w:t>
            </w:r>
          </w:p>
          <w:p w14:paraId="78174153">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项目施工场地内设置生活垃圾桶，生活垃圾袋装收集后，定期交由</w:t>
            </w:r>
            <w:r>
              <w:rPr>
                <w:rFonts w:hint="eastAsia" w:cs="Times New Roman"/>
                <w:color w:val="auto"/>
                <w:kern w:val="0"/>
                <w:sz w:val="24"/>
                <w:szCs w:val="24"/>
                <w:lang w:val="en-US" w:eastAsia="zh-CN" w:bidi="ar"/>
              </w:rPr>
              <w:t>奇台县</w:t>
            </w:r>
            <w:r>
              <w:rPr>
                <w:rFonts w:hint="default" w:ascii="Times New Roman" w:hAnsi="Times New Roman" w:eastAsia="宋体" w:cs="Times New Roman"/>
                <w:color w:val="auto"/>
                <w:kern w:val="0"/>
                <w:sz w:val="24"/>
                <w:szCs w:val="24"/>
                <w:lang w:val="en-US" w:eastAsia="zh-CN" w:bidi="ar"/>
              </w:rPr>
              <w:t>环卫部门统一清运。</w:t>
            </w:r>
          </w:p>
          <w:p w14:paraId="58C9A07C">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土石方</w:t>
            </w:r>
          </w:p>
          <w:p w14:paraId="49C40077">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本项目弃方</w:t>
            </w:r>
            <w:r>
              <w:rPr>
                <w:rFonts w:hint="default" w:ascii="Times New Roman" w:hAnsi="Times New Roman" w:eastAsia="宋体" w:cs="Times New Roman"/>
                <w:color w:val="auto"/>
                <w:kern w:val="0"/>
                <w:sz w:val="24"/>
                <w:szCs w:val="24"/>
                <w:lang w:val="en-US" w:eastAsia="zh-CN" w:bidi="ar"/>
              </w:rPr>
              <w:t>主要为原渠道及渠系建筑物拆除产生的建筑垃圾，计划拉至奇台县建筑垃圾填埋场处置，其余土方全部用于渠堤培高</w:t>
            </w:r>
            <w:r>
              <w:rPr>
                <w:rFonts w:hint="eastAsia"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拆除的可利用砼建筑部分用于渠道固堤，不可利用部分运至建筑垃圾填埋场填埋处置。</w:t>
            </w:r>
          </w:p>
          <w:p w14:paraId="377376B7">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为强化过程管控，需重点落实两项措施：一是建立动态清理机制，对施工现场土方及时转运或综合利用，严禁长期堆放产生扬尘污染；二是要求施工单位编制详细弃方运输处置方案，经监理及业主审批后实施，全过程接受监理单位对运输路线、处置流程及环保措施的监督核查。</w:t>
            </w:r>
          </w:p>
          <w:p w14:paraId="2AED299C">
            <w:pPr>
              <w:spacing w:line="360" w:lineRule="auto"/>
              <w:ind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（4）沉淀池泥沙</w:t>
            </w:r>
          </w:p>
          <w:p w14:paraId="06231300">
            <w:pPr>
              <w:spacing w:line="360" w:lineRule="auto"/>
              <w:ind w:firstLine="480" w:firstLineChars="200"/>
              <w:rPr>
                <w:rFonts w:hint="default"/>
                <w:color w:val="auto"/>
              </w:rPr>
            </w:pPr>
            <w:r>
              <w:rPr>
                <w:rFonts w:hint="default" w:ascii="Times New Roman" w:hAnsi="Times New Roman" w:eastAsia="宋体" w:cs="Times New Roman"/>
                <w:color w:val="auto"/>
                <w:kern w:val="0"/>
                <w:sz w:val="24"/>
                <w:szCs w:val="24"/>
                <w:lang w:val="en-US" w:eastAsia="zh-CN" w:bidi="ar"/>
              </w:rPr>
              <w:t>本项目沉淀池内产生的泥沙晾晒后连同建筑垃圾一同运至奇台县生活垃圾填埋场处理</w:t>
            </w:r>
            <w:r>
              <w:rPr>
                <w:rFonts w:hint="default" w:ascii="Times New Roman" w:hAnsi="Times New Roman" w:cs="Times New Roman"/>
                <w:color w:val="auto"/>
                <w:kern w:val="0"/>
                <w:sz w:val="24"/>
                <w:lang w:bidi="ar"/>
              </w:rPr>
              <w:t>。</w:t>
            </w:r>
          </w:p>
        </w:tc>
      </w:tr>
      <w:tr w14:paraId="5F4FC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6" w:hRule="atLeast"/>
          <w:jc w:val="center"/>
        </w:trPr>
        <w:tc>
          <w:tcPr>
            <w:tcW w:w="412" w:type="pct"/>
            <w:noWrap w:val="0"/>
            <w:tcMar>
              <w:left w:w="28" w:type="dxa"/>
              <w:right w:w="28" w:type="dxa"/>
            </w:tcMar>
            <w:vAlign w:val="center"/>
          </w:tcPr>
          <w:p w14:paraId="3D9466DF">
            <w:pPr>
              <w:adjustRightInd w:val="0"/>
              <w:snapToGrid w:val="0"/>
              <w:jc w:val="center"/>
              <w:rPr>
                <w:rFonts w:hint="default" w:ascii="Times New Roman" w:hAnsi="Times New Roman" w:cs="Times New Roman"/>
                <w:bCs/>
                <w:color w:val="auto"/>
                <w:spacing w:val="10"/>
                <w:sz w:val="24"/>
              </w:rPr>
            </w:pPr>
            <w:r>
              <w:rPr>
                <w:rFonts w:hint="default" w:ascii="Times New Roman" w:hAnsi="Times New Roman" w:cs="Times New Roman"/>
                <w:bCs/>
                <w:color w:val="auto"/>
                <w:spacing w:val="10"/>
                <w:sz w:val="24"/>
              </w:rPr>
              <w:t>运营期生态环境保护措施</w:t>
            </w:r>
          </w:p>
        </w:tc>
        <w:tc>
          <w:tcPr>
            <w:tcW w:w="4587" w:type="pct"/>
            <w:noWrap w:val="0"/>
            <w:vAlign w:val="top"/>
          </w:tcPr>
          <w:p w14:paraId="036E0C6E">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（1）</w:t>
            </w:r>
            <w:r>
              <w:rPr>
                <w:rFonts w:hint="default" w:ascii="Times New Roman" w:hAnsi="Times New Roman" w:eastAsia="宋体" w:cs="Times New Roman"/>
                <w:color w:val="auto"/>
                <w:kern w:val="0"/>
                <w:sz w:val="24"/>
                <w:lang w:bidi="ar"/>
              </w:rPr>
              <w:t>环境保护措施</w:t>
            </w:r>
          </w:p>
          <w:p w14:paraId="19596EFC">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①</w:t>
            </w:r>
            <w:r>
              <w:rPr>
                <w:rFonts w:hint="default" w:ascii="Times New Roman" w:hAnsi="Times New Roman" w:eastAsia="宋体" w:cs="Times New Roman"/>
                <w:color w:val="auto"/>
                <w:kern w:val="0"/>
                <w:sz w:val="24"/>
                <w:lang w:bidi="ar"/>
              </w:rPr>
              <w:t>加强宣传教育，增强居民的环境保护意识，加强项目工程管理，防火、防虫，禁止砍伐作业范围外沿线树木，禁止破坏植被。</w:t>
            </w:r>
          </w:p>
          <w:p w14:paraId="64E57999">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②</w:t>
            </w:r>
            <w:r>
              <w:rPr>
                <w:rFonts w:hint="default" w:ascii="Times New Roman" w:hAnsi="Times New Roman" w:eastAsia="宋体" w:cs="Times New Roman"/>
                <w:color w:val="auto"/>
                <w:kern w:val="0"/>
                <w:sz w:val="24"/>
                <w:lang w:bidi="ar"/>
              </w:rPr>
              <w:t>加强对周边区域生态环境实地监控，及时发现不良地质隐患点，采取防治措施以杜绝地质灾害的发生。</w:t>
            </w:r>
          </w:p>
          <w:p w14:paraId="247AAEAD">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eastAsia="zh-CN" w:bidi="ar"/>
              </w:rPr>
              <w:t>（2）</w:t>
            </w:r>
            <w:r>
              <w:rPr>
                <w:rFonts w:hint="default" w:ascii="Times New Roman" w:hAnsi="Times New Roman" w:eastAsia="宋体" w:cs="Times New Roman"/>
                <w:color w:val="auto"/>
                <w:kern w:val="0"/>
                <w:sz w:val="24"/>
                <w:lang w:bidi="ar"/>
              </w:rPr>
              <w:t>生态保护措施</w:t>
            </w:r>
          </w:p>
          <w:p w14:paraId="181D934A">
            <w:pPr>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eastAsia="宋体" w:cs="Times New Roman"/>
                <w:color w:val="auto"/>
                <w:kern w:val="0"/>
                <w:sz w:val="24"/>
                <w:lang w:bidi="ar"/>
              </w:rPr>
              <w:t>工程运行后，各项水土保持措施的实施将有效减少工程区的水土流失，增加项目区的绿地面积和植被覆盖率，工程区的生态环境将有一定的改善和提高。</w:t>
            </w:r>
          </w:p>
        </w:tc>
      </w:tr>
      <w:tr w14:paraId="52EBC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3" w:hRule="atLeast"/>
          <w:jc w:val="center"/>
        </w:trPr>
        <w:tc>
          <w:tcPr>
            <w:tcW w:w="412" w:type="pct"/>
            <w:noWrap w:val="0"/>
            <w:vAlign w:val="center"/>
          </w:tcPr>
          <w:p w14:paraId="6644028A">
            <w:pPr>
              <w:adjustRightInd w:val="0"/>
              <w:snapToGrid w:val="0"/>
              <w:jc w:val="center"/>
              <w:rPr>
                <w:rFonts w:hint="default" w:ascii="Times New Roman" w:hAnsi="Times New Roman" w:cs="Times New Roman"/>
                <w:bCs/>
                <w:color w:val="auto"/>
                <w:spacing w:val="10"/>
                <w:sz w:val="24"/>
              </w:rPr>
            </w:pPr>
            <w:r>
              <w:rPr>
                <w:rFonts w:hint="default" w:ascii="Times New Roman" w:hAnsi="Times New Roman" w:cs="Times New Roman"/>
                <w:bCs/>
                <w:color w:val="auto"/>
                <w:sz w:val="24"/>
              </w:rPr>
              <w:t>其他</w:t>
            </w:r>
          </w:p>
        </w:tc>
        <w:tc>
          <w:tcPr>
            <w:tcW w:w="4587" w:type="pct"/>
            <w:noWrap w:val="0"/>
            <w:vAlign w:val="center"/>
          </w:tcPr>
          <w:p w14:paraId="7504C749">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（1）环境管理</w:t>
            </w:r>
          </w:p>
          <w:p w14:paraId="00C90C15">
            <w:pPr>
              <w:spacing w:line="360" w:lineRule="auto"/>
              <w:ind w:firstLine="480" w:firstLineChars="200"/>
              <w:rPr>
                <w:rFonts w:hint="eastAsia"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通过制订系统的、科学的环境管理计划，使本</w:t>
            </w:r>
            <w:r>
              <w:rPr>
                <w:rFonts w:hint="eastAsia" w:cs="Times New Roman"/>
                <w:color w:val="auto"/>
                <w:kern w:val="0"/>
                <w:sz w:val="24"/>
                <w:lang w:eastAsia="zh-CN" w:bidi="ar"/>
              </w:rPr>
              <w:t>报告</w:t>
            </w:r>
            <w:r>
              <w:rPr>
                <w:rFonts w:hint="eastAsia" w:ascii="Times New Roman" w:hAnsi="Times New Roman" w:eastAsia="宋体" w:cs="Times New Roman"/>
                <w:color w:val="auto"/>
                <w:kern w:val="0"/>
                <w:sz w:val="24"/>
                <w:lang w:bidi="ar"/>
              </w:rPr>
              <w:t>针对工程建设过程中产生的负面环境影响所提出的防治或减缓措施，在该项目的设计、施工和运营中逐步得到落实，从而使得环境建设和主体工程建设符合国家同步设计、同步实施和同步投产使用的“三同时”制度要求，为环保措施的落实及监督、项目环境保护审批及环境保护竣工验收提供依据。</w:t>
            </w:r>
          </w:p>
          <w:p w14:paraId="32FD9D76">
            <w:pPr>
              <w:spacing w:line="360" w:lineRule="auto"/>
              <w:ind w:firstLine="480" w:firstLineChars="200"/>
              <w:rPr>
                <w:rFonts w:hint="eastAsia"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通过环境管理计划的实施，将本项目对沿线环境带来的不利影响减缓到相应法规和标准限值要求之内，使工程建设的经济效益和环境效益得以协调、持续和稳定发展。</w:t>
            </w:r>
          </w:p>
          <w:p w14:paraId="71BF8008">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①</w:t>
            </w:r>
            <w:r>
              <w:rPr>
                <w:rFonts w:hint="default" w:ascii="Times New Roman" w:hAnsi="Times New Roman" w:eastAsia="宋体" w:cs="Times New Roman"/>
                <w:color w:val="auto"/>
                <w:kern w:val="0"/>
                <w:sz w:val="24"/>
                <w:lang w:bidi="ar"/>
              </w:rPr>
              <w:t>建立信息沟通渠道，接受工程所在地环保主管部门的监督管理。</w:t>
            </w:r>
          </w:p>
          <w:p w14:paraId="3B5F0B7B">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②</w:t>
            </w:r>
            <w:r>
              <w:rPr>
                <w:rFonts w:hint="default" w:ascii="Times New Roman" w:hAnsi="Times New Roman" w:eastAsia="宋体" w:cs="Times New Roman"/>
                <w:color w:val="auto"/>
                <w:kern w:val="0"/>
                <w:sz w:val="24"/>
                <w:lang w:bidi="ar"/>
              </w:rPr>
              <w:t>成立工程环保管理机构，并制定相应的环境管理办法。</w:t>
            </w:r>
          </w:p>
          <w:p w14:paraId="56843A1E">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1、</w:t>
            </w:r>
            <w:r>
              <w:rPr>
                <w:rFonts w:hint="default" w:ascii="Times New Roman" w:hAnsi="Times New Roman" w:eastAsia="宋体" w:cs="Times New Roman"/>
                <w:color w:val="auto"/>
                <w:kern w:val="0"/>
                <w:sz w:val="24"/>
                <w:lang w:bidi="ar"/>
              </w:rPr>
              <w:t>成立由工程建设指挥部指挥长任组长、分管领导任副组长，指挥部相关部门负责人为成员的环境保护领导小组，对整个项目的施工期环境保护管理工作负责，办事机构环境保护领导小组办公室，设在工程部；施工单位成立以项目经理为组长、项目总工为副组长，项目部各部门负责人、各施工队队长为组员的项目部环保小组，负责本单位施工标段内的环境保护工作，办事机构环保小组办公室，设在总工办</w:t>
            </w:r>
            <w:r>
              <w:rPr>
                <w:rFonts w:hint="eastAsia" w:ascii="Times New Roman" w:hAnsi="Times New Roman" w:eastAsia="宋体" w:cs="Times New Roman"/>
                <w:color w:val="auto"/>
                <w:kern w:val="0"/>
                <w:sz w:val="24"/>
                <w:lang w:bidi="ar"/>
              </w:rPr>
              <w:t>；</w:t>
            </w:r>
          </w:p>
          <w:p w14:paraId="7929E530">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2、</w:t>
            </w:r>
            <w:r>
              <w:rPr>
                <w:rFonts w:hint="default" w:ascii="Times New Roman" w:hAnsi="Times New Roman" w:eastAsia="宋体" w:cs="Times New Roman"/>
                <w:color w:val="auto"/>
                <w:kern w:val="0"/>
                <w:sz w:val="24"/>
                <w:lang w:bidi="ar"/>
              </w:rPr>
              <w:t>根据环境影响评价成果，制定系统的、分阶段环境管理目标、方针，确定与项目建设有关单位的环境保护义务、职责和管理办法</w:t>
            </w:r>
            <w:r>
              <w:rPr>
                <w:rFonts w:hint="eastAsia" w:ascii="Times New Roman" w:hAnsi="Times New Roman" w:eastAsia="宋体" w:cs="Times New Roman"/>
                <w:color w:val="auto"/>
                <w:kern w:val="0"/>
                <w:sz w:val="24"/>
                <w:lang w:bidi="ar"/>
              </w:rPr>
              <w:t>；</w:t>
            </w:r>
          </w:p>
          <w:p w14:paraId="01AB6C07">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3、</w:t>
            </w:r>
            <w:r>
              <w:rPr>
                <w:rFonts w:hint="default" w:ascii="Times New Roman" w:hAnsi="Times New Roman" w:eastAsia="宋体" w:cs="Times New Roman"/>
                <w:color w:val="auto"/>
                <w:kern w:val="0"/>
                <w:sz w:val="24"/>
                <w:lang w:bidi="ar"/>
              </w:rPr>
              <w:t>确定环境管理措施落实情况与实施效果的监督体系，制定激励和奖惩措施</w:t>
            </w:r>
            <w:r>
              <w:rPr>
                <w:rFonts w:hint="eastAsia" w:ascii="Times New Roman" w:hAnsi="Times New Roman" w:eastAsia="宋体" w:cs="Times New Roman"/>
                <w:color w:val="auto"/>
                <w:kern w:val="0"/>
                <w:sz w:val="24"/>
                <w:lang w:bidi="ar"/>
              </w:rPr>
              <w:t>；</w:t>
            </w:r>
          </w:p>
          <w:p w14:paraId="19FC60E2">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4、</w:t>
            </w:r>
            <w:r>
              <w:rPr>
                <w:rFonts w:hint="default" w:ascii="Times New Roman" w:hAnsi="Times New Roman" w:eastAsia="宋体" w:cs="Times New Roman"/>
                <w:color w:val="auto"/>
                <w:kern w:val="0"/>
                <w:sz w:val="24"/>
                <w:lang w:bidi="ar"/>
              </w:rPr>
              <w:t>加强施工期环境保护知识普及和宣教活动</w:t>
            </w:r>
            <w:r>
              <w:rPr>
                <w:rFonts w:hint="eastAsia" w:ascii="Times New Roman" w:hAnsi="Times New Roman" w:eastAsia="宋体" w:cs="Times New Roman"/>
                <w:color w:val="auto"/>
                <w:kern w:val="0"/>
                <w:sz w:val="24"/>
                <w:lang w:bidi="ar"/>
              </w:rPr>
              <w:t>；</w:t>
            </w:r>
          </w:p>
          <w:p w14:paraId="06AB4264">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5、</w:t>
            </w:r>
            <w:r>
              <w:rPr>
                <w:rFonts w:hint="default" w:ascii="Times New Roman" w:hAnsi="Times New Roman" w:eastAsia="宋体" w:cs="Times New Roman"/>
                <w:color w:val="auto"/>
                <w:kern w:val="0"/>
                <w:sz w:val="24"/>
                <w:lang w:bidi="ar"/>
              </w:rPr>
              <w:t>监控、评价和改进施工期环境保护管理办法</w:t>
            </w:r>
            <w:r>
              <w:rPr>
                <w:rFonts w:hint="eastAsia" w:ascii="Times New Roman" w:hAnsi="Times New Roman" w:eastAsia="宋体" w:cs="Times New Roman"/>
                <w:color w:val="auto"/>
                <w:kern w:val="0"/>
                <w:sz w:val="24"/>
                <w:lang w:bidi="ar"/>
              </w:rPr>
              <w:t>；</w:t>
            </w:r>
          </w:p>
          <w:p w14:paraId="3B370B84">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③</w:t>
            </w:r>
            <w:r>
              <w:rPr>
                <w:rFonts w:hint="default" w:ascii="Times New Roman" w:hAnsi="Times New Roman" w:eastAsia="宋体" w:cs="Times New Roman"/>
                <w:color w:val="auto"/>
                <w:kern w:val="0"/>
                <w:sz w:val="24"/>
                <w:lang w:bidi="ar"/>
              </w:rPr>
              <w:t>落实施工期污染控制与生态保护措施，建立完善的监测结果报告制度</w:t>
            </w:r>
            <w:r>
              <w:rPr>
                <w:rFonts w:hint="eastAsia" w:ascii="Times New Roman" w:hAnsi="Times New Roman" w:eastAsia="宋体" w:cs="Times New Roman"/>
                <w:color w:val="auto"/>
                <w:kern w:val="0"/>
                <w:sz w:val="24"/>
                <w:lang w:bidi="ar"/>
              </w:rPr>
              <w:t>；</w:t>
            </w:r>
          </w:p>
          <w:p w14:paraId="4886CD95">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④</w:t>
            </w:r>
            <w:r>
              <w:rPr>
                <w:rFonts w:hint="default" w:ascii="Times New Roman" w:hAnsi="Times New Roman" w:eastAsia="宋体" w:cs="Times New Roman"/>
                <w:color w:val="auto"/>
                <w:kern w:val="0"/>
                <w:sz w:val="24"/>
                <w:lang w:bidi="ar"/>
              </w:rPr>
              <w:t>促使施工建设管理与环境管理的有机结合，为实现工程的环境管理目标提供充足的资源保证，包括合格的环境管理人员、管理和治理资金的到位等</w:t>
            </w:r>
            <w:r>
              <w:rPr>
                <w:rFonts w:hint="eastAsia" w:ascii="Times New Roman" w:hAnsi="Times New Roman" w:eastAsia="宋体" w:cs="Times New Roman"/>
                <w:color w:val="auto"/>
                <w:kern w:val="0"/>
                <w:sz w:val="24"/>
                <w:lang w:bidi="ar"/>
              </w:rPr>
              <w:t>；</w:t>
            </w:r>
          </w:p>
          <w:p w14:paraId="3A5AD325">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⑤</w:t>
            </w:r>
            <w:r>
              <w:rPr>
                <w:rFonts w:hint="default" w:ascii="Times New Roman" w:hAnsi="Times New Roman" w:eastAsia="宋体" w:cs="Times New Roman"/>
                <w:color w:val="auto"/>
                <w:kern w:val="0"/>
                <w:sz w:val="24"/>
                <w:lang w:bidi="ar"/>
              </w:rPr>
              <w:t>充分利用工程支付的调节手段，将工程的环境保护工作落到实处</w:t>
            </w:r>
            <w:r>
              <w:rPr>
                <w:rFonts w:hint="eastAsia" w:ascii="Times New Roman" w:hAnsi="Times New Roman" w:eastAsia="宋体" w:cs="Times New Roman"/>
                <w:color w:val="auto"/>
                <w:kern w:val="0"/>
                <w:sz w:val="24"/>
                <w:lang w:bidi="ar"/>
              </w:rPr>
              <w:t>；</w:t>
            </w:r>
          </w:p>
          <w:p w14:paraId="0CEADAA2">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⑥</w:t>
            </w:r>
            <w:r>
              <w:rPr>
                <w:rFonts w:hint="default" w:ascii="Times New Roman" w:hAnsi="Times New Roman" w:eastAsia="宋体" w:cs="Times New Roman"/>
                <w:color w:val="auto"/>
                <w:kern w:val="0"/>
                <w:sz w:val="24"/>
                <w:lang w:bidi="ar"/>
              </w:rPr>
              <w:t>做好工程施工期环境保护工作文档的归档管理工作</w:t>
            </w:r>
            <w:r>
              <w:rPr>
                <w:rFonts w:hint="eastAsia" w:ascii="Times New Roman" w:hAnsi="Times New Roman" w:eastAsia="宋体" w:cs="Times New Roman"/>
                <w:color w:val="auto"/>
                <w:kern w:val="0"/>
                <w:sz w:val="24"/>
                <w:lang w:bidi="ar"/>
              </w:rPr>
              <w:t>；</w:t>
            </w:r>
          </w:p>
          <w:p w14:paraId="6669ACF3">
            <w:pPr>
              <w:spacing w:line="360" w:lineRule="auto"/>
              <w:ind w:firstLine="480" w:firstLineChars="200"/>
              <w:rPr>
                <w:rFonts w:hint="eastAsia"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⑦</w:t>
            </w:r>
            <w:r>
              <w:rPr>
                <w:rFonts w:hint="default" w:ascii="Times New Roman" w:hAnsi="Times New Roman" w:eastAsia="宋体" w:cs="Times New Roman"/>
                <w:color w:val="auto"/>
                <w:kern w:val="0"/>
                <w:sz w:val="24"/>
                <w:lang w:bidi="ar"/>
              </w:rPr>
              <w:t>加强工程招、投标工作中的环境保护管理</w:t>
            </w:r>
            <w:r>
              <w:rPr>
                <w:rFonts w:hint="eastAsia" w:ascii="Times New Roman" w:hAnsi="Times New Roman" w:eastAsia="宋体" w:cs="Times New Roman"/>
                <w:color w:val="auto"/>
                <w:kern w:val="0"/>
                <w:sz w:val="24"/>
                <w:lang w:bidi="ar"/>
              </w:rPr>
              <w:t>。</w:t>
            </w:r>
          </w:p>
          <w:p w14:paraId="1A3C7018">
            <w:pPr>
              <w:spacing w:line="360" w:lineRule="auto"/>
              <w:ind w:firstLine="480" w:firstLineChars="200"/>
              <w:rPr>
                <w:rFonts w:hint="default" w:ascii="Times New Roman" w:hAnsi="Times New Roman" w:eastAsia="宋体" w:cs="Times New Roman"/>
                <w:color w:val="auto"/>
                <w:kern w:val="0"/>
                <w:sz w:val="24"/>
                <w:lang w:bidi="ar"/>
              </w:rPr>
            </w:pPr>
            <w:r>
              <w:rPr>
                <w:rFonts w:hint="eastAsia" w:ascii="Times New Roman" w:hAnsi="Times New Roman" w:eastAsia="宋体" w:cs="Times New Roman"/>
                <w:color w:val="auto"/>
                <w:kern w:val="0"/>
                <w:sz w:val="24"/>
                <w:lang w:bidi="ar"/>
              </w:rPr>
              <w:t>（2）监测计划</w:t>
            </w:r>
          </w:p>
          <w:p w14:paraId="1974A2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为了监督施工过程中各种环境保护措施的实施情况及运行效果，使施工环境管理更具有针对性，必须掌握施工过程中各施工时段及每一施工区域的环境质量状况及污染物排放情况，需要开展施工区环境质量监测。监测时段包括整个施工期，监测的环境因子包括水质、大气、生态监测等。监测断面和监测点的布设以及监测频次安排应能够系统地反映施工区从施工开始到工程完建各个时期的污染源变化及施工区环境质量变化情况，监测结果应准确、及时并具有较好的代表性，以便为施工区环境建设及环境监察管理提供科学依据。根据《环境影响评价技术导则生态影响》（HJ19-2022）、《环境影响评价技术导则声环境》（HJ2.4-2021）、《环境影响评价技术导则大气环境》（HJ2.2-2018）、《大气污染物综合排放标准》</w:t>
            </w:r>
            <w:r>
              <w:rPr>
                <w:rFonts w:hint="eastAsia"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GB16297-1996</w:t>
            </w:r>
            <w:r>
              <w:rPr>
                <w:rFonts w:hint="eastAsia"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、《声环境质量标准》（GB3096-2008）、《建筑施工场界环境噪声排放标准》等相关要求开展施工期环境监测。</w:t>
            </w:r>
          </w:p>
          <w:p w14:paraId="41CE63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1、</w:t>
            </w:r>
            <w:r>
              <w:rPr>
                <w:rFonts w:hint="default" w:ascii="Times New Roman" w:hAnsi="Times New Roman" w:cs="Times New Roman" w:eastAsiaTheme="minorEastAsia"/>
                <w:b w:val="0"/>
                <w:bCs w:val="0"/>
                <w:color w:val="auto"/>
                <w:spacing w:val="0"/>
                <w:sz w:val="24"/>
                <w:szCs w:val="24"/>
                <w:highlight w:val="none"/>
                <w:lang w:val="en-US" w:eastAsia="zh-CN"/>
              </w:rPr>
              <w:t>空气环境监测计划</w:t>
            </w:r>
          </w:p>
          <w:p w14:paraId="0B77B9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监测点位的布设：选取有代表性的施工生产区场界附近居民点处，拟设置大气监测点。</w:t>
            </w:r>
          </w:p>
          <w:p w14:paraId="2600290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监测项目：TSP</w:t>
            </w:r>
          </w:p>
          <w:p w14:paraId="021188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监测频率：主体工程施工期1次，高峰期1次，每次监测2天。</w:t>
            </w:r>
          </w:p>
          <w:p w14:paraId="3417BA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执行标准：施工场界执行《大气污染物综合排放标准》</w:t>
            </w:r>
            <w:r>
              <w:rPr>
                <w:rFonts w:hint="eastAsia"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GB16297-1996</w:t>
            </w:r>
            <w:r>
              <w:rPr>
                <w:rFonts w:hint="eastAsia" w:cs="Times New Roman" w:eastAsiaTheme="minorEastAsia"/>
                <w:b w:val="0"/>
                <w:bCs w:val="0"/>
                <w:color w:val="auto"/>
                <w:spacing w:val="0"/>
                <w:sz w:val="24"/>
                <w:szCs w:val="24"/>
                <w:highlight w:val="none"/>
                <w:lang w:val="en-US" w:eastAsia="zh-CN"/>
              </w:rPr>
              <w:t>）相关</w:t>
            </w:r>
            <w:r>
              <w:rPr>
                <w:rFonts w:hint="default" w:ascii="Times New Roman" w:hAnsi="Times New Roman" w:cs="Times New Roman" w:eastAsiaTheme="minorEastAsia"/>
                <w:b w:val="0"/>
                <w:bCs w:val="0"/>
                <w:color w:val="auto"/>
                <w:spacing w:val="0"/>
                <w:sz w:val="24"/>
                <w:szCs w:val="24"/>
                <w:highlight w:val="none"/>
                <w:lang w:val="en-US" w:eastAsia="zh-CN"/>
              </w:rPr>
              <w:t>浓度限值。</w:t>
            </w:r>
          </w:p>
          <w:p w14:paraId="7FABA7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2、</w:t>
            </w:r>
            <w:r>
              <w:rPr>
                <w:rFonts w:hint="default" w:ascii="Times New Roman" w:hAnsi="Times New Roman" w:cs="Times New Roman" w:eastAsiaTheme="minorEastAsia"/>
                <w:b w:val="0"/>
                <w:bCs w:val="0"/>
                <w:color w:val="auto"/>
                <w:spacing w:val="0"/>
                <w:sz w:val="24"/>
                <w:szCs w:val="24"/>
                <w:highlight w:val="none"/>
                <w:lang w:val="en-US" w:eastAsia="zh-CN"/>
              </w:rPr>
              <w:t>噪声环境监测计划</w:t>
            </w:r>
          </w:p>
          <w:p w14:paraId="369B08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监测点位选取有代表性的施工生产区临近居民区处，布设噪声监测点。</w:t>
            </w:r>
          </w:p>
          <w:p w14:paraId="28846A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监测项目：等效连续A声级；</w:t>
            </w:r>
          </w:p>
          <w:p w14:paraId="0D7D22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监测频率：主体工程施工期1次，高峰期1次，每次监测2天。</w:t>
            </w:r>
          </w:p>
          <w:p w14:paraId="77C6F3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执行标准：施工场界执行《建筑施工场界环境噪声排放标准》</w:t>
            </w:r>
            <w:r>
              <w:rPr>
                <w:rFonts w:hint="eastAsia" w:cs="Times New Roman" w:eastAsiaTheme="minorEastAsia"/>
                <w:b w:val="0"/>
                <w:bCs w:val="0"/>
                <w:color w:val="auto"/>
                <w:spacing w:val="0"/>
                <w:sz w:val="24"/>
                <w:szCs w:val="24"/>
                <w:highlight w:val="none"/>
                <w:lang w:val="en-US" w:eastAsia="zh-CN"/>
              </w:rPr>
              <w:t>（</w:t>
            </w:r>
            <w:r>
              <w:rPr>
                <w:rFonts w:hint="default" w:ascii="Times New Roman" w:hAnsi="Times New Roman" w:cs="Times New Roman" w:eastAsiaTheme="minorEastAsia"/>
                <w:b w:val="0"/>
                <w:bCs w:val="0"/>
                <w:color w:val="auto"/>
                <w:spacing w:val="0"/>
                <w:sz w:val="24"/>
                <w:szCs w:val="24"/>
                <w:highlight w:val="none"/>
                <w:lang w:val="en-US" w:eastAsia="zh-CN"/>
              </w:rPr>
              <w:t>GB12523-20</w:t>
            </w:r>
            <w:r>
              <w:rPr>
                <w:rFonts w:hint="eastAsia" w:cs="Times New Roman" w:eastAsiaTheme="minorEastAsia"/>
                <w:b w:val="0"/>
                <w:bCs w:val="0"/>
                <w:color w:val="auto"/>
                <w:spacing w:val="0"/>
                <w:sz w:val="24"/>
                <w:szCs w:val="24"/>
                <w:highlight w:val="none"/>
                <w:lang w:val="en-US" w:eastAsia="zh-CN"/>
              </w:rPr>
              <w:t>25）</w:t>
            </w:r>
            <w:r>
              <w:rPr>
                <w:rFonts w:hint="default" w:ascii="Times New Roman" w:hAnsi="Times New Roman" w:cs="Times New Roman" w:eastAsiaTheme="minorEastAsia"/>
                <w:b w:val="0"/>
                <w:bCs w:val="0"/>
                <w:color w:val="auto"/>
                <w:spacing w:val="0"/>
                <w:sz w:val="24"/>
                <w:szCs w:val="24"/>
                <w:highlight w:val="none"/>
                <w:lang w:val="en-US" w:eastAsia="zh-CN"/>
              </w:rPr>
              <w:t>。</w:t>
            </w:r>
          </w:p>
          <w:p w14:paraId="28578B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3、</w:t>
            </w:r>
            <w:r>
              <w:rPr>
                <w:rFonts w:hint="default" w:ascii="Times New Roman" w:hAnsi="Times New Roman" w:cs="Times New Roman" w:eastAsiaTheme="minorEastAsia"/>
                <w:b w:val="0"/>
                <w:bCs w:val="0"/>
                <w:color w:val="auto"/>
                <w:spacing w:val="0"/>
                <w:sz w:val="24"/>
                <w:szCs w:val="24"/>
                <w:highlight w:val="none"/>
                <w:lang w:val="en-US" w:eastAsia="zh-CN"/>
              </w:rPr>
              <w:t>陆生生态环境监测</w:t>
            </w:r>
          </w:p>
          <w:p w14:paraId="36BFB6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监测点位：每个施工区的施工范围内设置1个监测点。</w:t>
            </w:r>
          </w:p>
          <w:p w14:paraId="418646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监测项目：土壤类型及理化性质、土壤侵蚀类型及侵蚀程度等；植被类型及覆盖度、生物产量等；临时占地面积、地表扰动面积、植被损坏面积等；对野生动物的数量、种类、活动范围进行观测等。</w:t>
            </w:r>
          </w:p>
          <w:p w14:paraId="12B78A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监测频率：施工前监测一次，根据施工进度，施工高峰期监测一次。</w:t>
            </w:r>
          </w:p>
          <w:p w14:paraId="43C351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eastAsia" w:ascii="Times New Roman" w:hAnsi="Times New Roman" w:cs="Times New Roman" w:eastAsiaTheme="minorEastAsia"/>
                <w:b w:val="0"/>
                <w:bCs w:val="0"/>
                <w:color w:val="auto"/>
                <w:spacing w:val="0"/>
                <w:sz w:val="24"/>
                <w:szCs w:val="24"/>
                <w:highlight w:val="none"/>
                <w:lang w:val="en-US" w:eastAsia="zh-CN"/>
              </w:rPr>
              <w:t>4、</w:t>
            </w:r>
            <w:r>
              <w:rPr>
                <w:rFonts w:hint="default" w:ascii="Times New Roman" w:hAnsi="Times New Roman" w:cs="Times New Roman" w:eastAsiaTheme="minorEastAsia"/>
                <w:b w:val="0"/>
                <w:bCs w:val="0"/>
                <w:color w:val="auto"/>
                <w:spacing w:val="0"/>
                <w:sz w:val="24"/>
                <w:szCs w:val="24"/>
                <w:highlight w:val="none"/>
                <w:lang w:val="en-US" w:eastAsia="zh-CN"/>
              </w:rPr>
              <w:t>施工废水与生活污水监测计划</w:t>
            </w:r>
          </w:p>
          <w:p w14:paraId="1690815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监测点位布设：在施工废水、生活污水处理设施进出口设置监测点位，覆盖施工区域与生活区，全面掌握污水处理及水质情况。</w:t>
            </w:r>
          </w:p>
          <w:p w14:paraId="360059A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监测项目：</w:t>
            </w:r>
          </w:p>
          <w:p w14:paraId="3F8DC3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1.施工废水：监测pH、SS、COD、泥沙含量。</w:t>
            </w:r>
          </w:p>
          <w:p w14:paraId="306BCC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2.生活污水：监测pH、COD、BOD₅、SS、氨氮、总磷、总氮。</w:t>
            </w:r>
          </w:p>
          <w:p w14:paraId="0B3478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监测频率：</w:t>
            </w:r>
            <w:r>
              <w:rPr>
                <w:rFonts w:hint="eastAsia" w:cs="Times New Roman" w:eastAsiaTheme="minorEastAsia"/>
                <w:b w:val="0"/>
                <w:bCs w:val="0"/>
                <w:color w:val="auto"/>
                <w:spacing w:val="0"/>
                <w:sz w:val="24"/>
                <w:szCs w:val="24"/>
                <w:highlight w:val="none"/>
                <w:lang w:val="en-US" w:eastAsia="zh-CN"/>
              </w:rPr>
              <w:t>施工期由建设单位委托第三方监测机构进行一次</w:t>
            </w:r>
            <w:r>
              <w:rPr>
                <w:rFonts w:hint="default" w:ascii="Times New Roman" w:hAnsi="Times New Roman" w:cs="Times New Roman" w:eastAsiaTheme="minorEastAsia"/>
                <w:b w:val="0"/>
                <w:bCs w:val="0"/>
                <w:color w:val="auto"/>
                <w:spacing w:val="0"/>
                <w:sz w:val="24"/>
                <w:szCs w:val="24"/>
                <w:highlight w:val="none"/>
                <w:lang w:val="en-US" w:eastAsia="zh-CN"/>
              </w:rPr>
              <w:t>，</w:t>
            </w:r>
            <w:r>
              <w:rPr>
                <w:rFonts w:hint="eastAsia" w:cs="Times New Roman" w:eastAsiaTheme="minorEastAsia"/>
                <w:b w:val="0"/>
                <w:bCs w:val="0"/>
                <w:color w:val="auto"/>
                <w:spacing w:val="0"/>
                <w:sz w:val="24"/>
                <w:szCs w:val="24"/>
                <w:highlight w:val="none"/>
                <w:lang w:val="en-US" w:eastAsia="zh-CN"/>
              </w:rPr>
              <w:t>项目</w:t>
            </w:r>
            <w:r>
              <w:rPr>
                <w:rFonts w:hint="default" w:ascii="Times New Roman" w:hAnsi="Times New Roman" w:cs="Times New Roman" w:eastAsiaTheme="minorEastAsia"/>
                <w:b w:val="0"/>
                <w:bCs w:val="0"/>
                <w:color w:val="auto"/>
                <w:spacing w:val="0"/>
                <w:sz w:val="24"/>
                <w:szCs w:val="24"/>
                <w:highlight w:val="none"/>
                <w:lang w:val="en-US" w:eastAsia="zh-CN"/>
              </w:rPr>
              <w:t>突发异常随时</w:t>
            </w:r>
            <w:r>
              <w:rPr>
                <w:rFonts w:hint="eastAsia" w:cs="Times New Roman" w:eastAsiaTheme="minorEastAsia"/>
                <w:b w:val="0"/>
                <w:bCs w:val="0"/>
                <w:color w:val="auto"/>
                <w:spacing w:val="0"/>
                <w:sz w:val="24"/>
                <w:szCs w:val="24"/>
                <w:highlight w:val="none"/>
                <w:lang w:val="en-US" w:eastAsia="zh-CN"/>
              </w:rPr>
              <w:t>监测</w:t>
            </w:r>
            <w:r>
              <w:rPr>
                <w:rFonts w:hint="default" w:ascii="Times New Roman" w:hAnsi="Times New Roman" w:cs="Times New Roman" w:eastAsiaTheme="minorEastAsia"/>
                <w:b w:val="0"/>
                <w:bCs w:val="0"/>
                <w:color w:val="auto"/>
                <w:spacing w:val="0"/>
                <w:sz w:val="24"/>
                <w:szCs w:val="24"/>
                <w:highlight w:val="none"/>
                <w:lang w:val="en-US" w:eastAsia="zh-CN"/>
              </w:rPr>
              <w:t>。</w:t>
            </w:r>
          </w:p>
          <w:p w14:paraId="180C9A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eastAsiaTheme="minorEastAsia"/>
                <w:b w:val="0"/>
                <w:bCs w:val="0"/>
                <w:color w:val="auto"/>
                <w:spacing w:val="0"/>
                <w:sz w:val="24"/>
                <w:szCs w:val="24"/>
                <w:highlight w:val="none"/>
                <w:lang w:val="en-US" w:eastAsia="zh-CN"/>
              </w:rPr>
            </w:pPr>
            <w:r>
              <w:rPr>
                <w:rFonts w:hint="default" w:ascii="Times New Roman" w:hAnsi="Times New Roman" w:cs="Times New Roman" w:eastAsiaTheme="minorEastAsia"/>
                <w:b w:val="0"/>
                <w:bCs w:val="0"/>
                <w:color w:val="auto"/>
                <w:spacing w:val="0"/>
                <w:sz w:val="24"/>
                <w:szCs w:val="24"/>
                <w:highlight w:val="none"/>
                <w:lang w:val="en-US" w:eastAsia="zh-CN"/>
              </w:rPr>
              <w:t>执行标准：污水经处理后优先回用、不外排。</w:t>
            </w:r>
          </w:p>
          <w:p w14:paraId="120EE7F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val="0"/>
                <w:bCs w:val="0"/>
                <w:color w:val="auto"/>
                <w:kern w:val="0"/>
                <w:sz w:val="24"/>
                <w:szCs w:val="24"/>
                <w:highlight w:val="none"/>
                <w:lang w:val="en-US" w:eastAsia="zh-CN"/>
              </w:rPr>
            </w:pPr>
            <w:r>
              <w:rPr>
                <w:rFonts w:hint="eastAsia" w:ascii="Times New Roman" w:hAnsi="Times New Roman" w:eastAsia="宋体" w:cs="Times New Roman"/>
                <w:b w:val="0"/>
                <w:bCs w:val="0"/>
                <w:color w:val="auto"/>
                <w:kern w:val="0"/>
                <w:sz w:val="24"/>
                <w:lang w:bidi="ar"/>
              </w:rPr>
              <w:t>（</w:t>
            </w:r>
            <w:r>
              <w:rPr>
                <w:rFonts w:hint="eastAsia" w:ascii="Times New Roman" w:hAnsi="Times New Roman" w:eastAsia="宋体" w:cs="Times New Roman"/>
                <w:b w:val="0"/>
                <w:bCs w:val="0"/>
                <w:color w:val="auto"/>
                <w:kern w:val="0"/>
                <w:sz w:val="24"/>
                <w:lang w:val="en-US" w:eastAsia="zh-CN" w:bidi="ar"/>
              </w:rPr>
              <w:t>3</w:t>
            </w:r>
            <w:r>
              <w:rPr>
                <w:rFonts w:hint="eastAsia" w:ascii="Times New Roman" w:hAnsi="Times New Roman" w:eastAsia="宋体" w:cs="Times New Roman"/>
                <w:b w:val="0"/>
                <w:bCs w:val="0"/>
                <w:color w:val="auto"/>
                <w:kern w:val="0"/>
                <w:sz w:val="24"/>
                <w:lang w:bidi="ar"/>
              </w:rPr>
              <w:t>）</w:t>
            </w:r>
            <w:r>
              <w:rPr>
                <w:rFonts w:hint="default" w:ascii="Times New Roman" w:hAnsi="Times New Roman" w:eastAsia="宋体" w:cs="Times New Roman"/>
                <w:b w:val="0"/>
                <w:bCs w:val="0"/>
                <w:color w:val="auto"/>
                <w:kern w:val="0"/>
                <w:sz w:val="24"/>
                <w:szCs w:val="24"/>
                <w:highlight w:val="none"/>
                <w:lang w:val="en-US" w:eastAsia="zh-CN"/>
              </w:rPr>
              <w:t>“三同时”制度</w:t>
            </w:r>
          </w:p>
          <w:p w14:paraId="4D935B87">
            <w:pPr>
              <w:pStyle w:val="30"/>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根据《建设项目环境保护“三同时”管理办法》，工程建设过程中的污染防治措施必须与建设项目同时设计、同时施工、同时投入运行。建设项目与“三同时”污染防治措施业主必须自主验收合格后才能正式投入运行。防治污染的设施不得擅自拆除或闲置。</w:t>
            </w:r>
          </w:p>
          <w:p w14:paraId="264CC139">
            <w:pPr>
              <w:pStyle w:val="30"/>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环保“三同时”竣工验收见表</w:t>
            </w:r>
            <w:r>
              <w:rPr>
                <w:rFonts w:hint="default" w:ascii="Times New Roman" w:hAnsi="Times New Roman" w:eastAsia="宋体" w:cs="Times New Roman"/>
                <w:color w:val="auto"/>
                <w:lang w:val="en-US" w:eastAsia="zh-CN"/>
              </w:rPr>
              <w:t>5-</w:t>
            </w:r>
            <w:r>
              <w:rPr>
                <w:rFonts w:hint="eastAsia" w:eastAsia="宋体" w:cs="Times New Roman"/>
                <w:color w:val="auto"/>
                <w:lang w:val="en-US" w:eastAsia="zh-CN"/>
              </w:rPr>
              <w:t>4</w:t>
            </w:r>
            <w:r>
              <w:rPr>
                <w:rFonts w:hint="default" w:ascii="Times New Roman" w:hAnsi="Times New Roman" w:eastAsia="宋体" w:cs="Times New Roman"/>
                <w:color w:val="auto"/>
              </w:rPr>
              <w:t>。</w:t>
            </w:r>
          </w:p>
          <w:p w14:paraId="60F6FFD7">
            <w:pPr>
              <w:pStyle w:val="42"/>
              <w:keepNext w:val="0"/>
              <w:keepLines w:val="0"/>
              <w:pageBreakBefore w:val="0"/>
              <w:widowControl w:val="0"/>
              <w:kinsoku/>
              <w:wordWrap/>
              <w:overflowPunct/>
              <w:topLinePunct w:val="0"/>
              <w:autoSpaceDE/>
              <w:autoSpaceDN/>
              <w:bidi w:val="0"/>
              <w:adjustRightInd w:val="0"/>
              <w:snapToGrid/>
              <w:spacing w:before="0" w:after="0" w:line="240" w:lineRule="auto"/>
              <w:ind w:firstLine="0" w:firstLineChars="0"/>
              <w:textAlignment w:val="baseline"/>
              <w:rPr>
                <w:rFonts w:hint="default" w:ascii="Times New Roman" w:hAnsi="Times New Roman" w:eastAsia="黑体" w:cs="Times New Roman"/>
                <w:b/>
                <w:bCs w:val="0"/>
                <w:color w:val="auto"/>
                <w:spacing w:val="0"/>
                <w:kern w:val="2"/>
                <w:sz w:val="24"/>
                <w:szCs w:val="24"/>
                <w:lang w:val="en-US" w:eastAsia="zh-CN"/>
              </w:rPr>
            </w:pPr>
            <w:r>
              <w:rPr>
                <w:rFonts w:hint="default" w:ascii="Times New Roman" w:hAnsi="Times New Roman" w:eastAsia="宋体" w:cs="Times New Roman"/>
                <w:b/>
                <w:bCs w:val="0"/>
                <w:color w:val="auto"/>
                <w:spacing w:val="0"/>
                <w:kern w:val="2"/>
                <w:sz w:val="24"/>
                <w:szCs w:val="24"/>
                <w:lang w:val="en-US" w:eastAsia="zh-CN"/>
              </w:rPr>
              <w:t>表5-</w:t>
            </w:r>
            <w:r>
              <w:rPr>
                <w:rFonts w:hint="eastAsia" w:ascii="Times New Roman" w:hAnsi="Times New Roman" w:eastAsia="宋体" w:cs="Times New Roman"/>
                <w:b/>
                <w:bCs w:val="0"/>
                <w:color w:val="auto"/>
                <w:spacing w:val="0"/>
                <w:kern w:val="2"/>
                <w:sz w:val="24"/>
                <w:szCs w:val="24"/>
                <w:lang w:val="en-US" w:eastAsia="zh-CN"/>
              </w:rPr>
              <w:t>4</w:t>
            </w:r>
            <w:r>
              <w:rPr>
                <w:rFonts w:hint="default" w:ascii="Times New Roman" w:hAnsi="Times New Roman" w:eastAsia="宋体" w:cs="Times New Roman"/>
                <w:b/>
                <w:bCs w:val="0"/>
                <w:color w:val="auto"/>
                <w:spacing w:val="0"/>
                <w:kern w:val="2"/>
                <w:sz w:val="24"/>
                <w:szCs w:val="24"/>
                <w:lang w:val="en-US" w:eastAsia="zh-CN"/>
              </w:rPr>
              <w:t>“三同时”环保竣工验收内容</w:t>
            </w:r>
          </w:p>
          <w:tbl>
            <w:tblPr>
              <w:tblStyle w:val="3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1696"/>
              <w:gridCol w:w="5354"/>
            </w:tblGrid>
            <w:tr w14:paraId="6D8796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319" w:type="pct"/>
                  <w:tcBorders>
                    <w:tl2br w:val="nil"/>
                    <w:tr2bl w:val="nil"/>
                  </w:tcBorders>
                  <w:noWrap w:val="0"/>
                  <w:vAlign w:val="center"/>
                </w:tcPr>
                <w:p w14:paraId="774C5C4A">
                  <w:pPr>
                    <w:spacing w:line="240" w:lineRule="auto"/>
                    <w:jc w:val="center"/>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序号</w:t>
                  </w:r>
                </w:p>
              </w:tc>
              <w:tc>
                <w:tcPr>
                  <w:tcW w:w="1126" w:type="pct"/>
                  <w:tcBorders>
                    <w:tl2br w:val="nil"/>
                    <w:tr2bl w:val="nil"/>
                  </w:tcBorders>
                  <w:noWrap w:val="0"/>
                  <w:vAlign w:val="center"/>
                </w:tcPr>
                <w:p w14:paraId="21AC3EFC">
                  <w:pPr>
                    <w:spacing w:line="240" w:lineRule="auto"/>
                    <w:jc w:val="center"/>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验收调查项目</w:t>
                  </w:r>
                </w:p>
              </w:tc>
              <w:tc>
                <w:tcPr>
                  <w:tcW w:w="3554" w:type="pct"/>
                  <w:tcBorders>
                    <w:tl2br w:val="nil"/>
                    <w:tr2bl w:val="nil"/>
                  </w:tcBorders>
                  <w:noWrap w:val="0"/>
                  <w:vAlign w:val="center"/>
                </w:tcPr>
                <w:p w14:paraId="5C2F6F69">
                  <w:pPr>
                    <w:spacing w:line="240" w:lineRule="auto"/>
                    <w:jc w:val="center"/>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竣工环境保护验收调查内容</w:t>
                  </w:r>
                </w:p>
              </w:tc>
            </w:tr>
            <w:tr w14:paraId="0EF4EA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tcBorders>
                    <w:tl2br w:val="nil"/>
                    <w:tr2bl w:val="nil"/>
                  </w:tcBorders>
                  <w:noWrap w:val="0"/>
                  <w:vAlign w:val="center"/>
                </w:tcPr>
                <w:p w14:paraId="663ABB23">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1</w:t>
                  </w:r>
                </w:p>
              </w:tc>
              <w:tc>
                <w:tcPr>
                  <w:tcW w:w="1126" w:type="pct"/>
                  <w:tcBorders>
                    <w:tl2br w:val="nil"/>
                    <w:tr2bl w:val="nil"/>
                  </w:tcBorders>
                  <w:noWrap w:val="0"/>
                  <w:vAlign w:val="center"/>
                </w:tcPr>
                <w:p w14:paraId="7E134197">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相关批复文件</w:t>
                  </w:r>
                </w:p>
              </w:tc>
              <w:tc>
                <w:tcPr>
                  <w:tcW w:w="3554" w:type="pct"/>
                  <w:tcBorders>
                    <w:tl2br w:val="nil"/>
                    <w:tr2bl w:val="nil"/>
                  </w:tcBorders>
                  <w:noWrap w:val="0"/>
                  <w:vAlign w:val="center"/>
                </w:tcPr>
                <w:p w14:paraId="0CD40F5D">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项目是否取得核准文件，相关批复文件是否齐备，项目是否具备开工条件。</w:t>
                  </w:r>
                </w:p>
              </w:tc>
            </w:tr>
            <w:tr w14:paraId="318381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tcBorders>
                    <w:tl2br w:val="nil"/>
                    <w:tr2bl w:val="nil"/>
                  </w:tcBorders>
                  <w:noWrap w:val="0"/>
                  <w:vAlign w:val="center"/>
                </w:tcPr>
                <w:p w14:paraId="0DE75151">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2</w:t>
                  </w:r>
                </w:p>
              </w:tc>
              <w:tc>
                <w:tcPr>
                  <w:tcW w:w="1126" w:type="pct"/>
                  <w:tcBorders>
                    <w:tl2br w:val="nil"/>
                    <w:tr2bl w:val="nil"/>
                  </w:tcBorders>
                  <w:noWrap w:val="0"/>
                  <w:vAlign w:val="center"/>
                </w:tcPr>
                <w:p w14:paraId="7DD6E7EA">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工程建设与规划的相符性</w:t>
                  </w:r>
                </w:p>
              </w:tc>
              <w:tc>
                <w:tcPr>
                  <w:tcW w:w="3554" w:type="pct"/>
                  <w:tcBorders>
                    <w:tl2br w:val="nil"/>
                    <w:tr2bl w:val="nil"/>
                  </w:tcBorders>
                  <w:noWrap w:val="0"/>
                  <w:vAlign w:val="center"/>
                </w:tcPr>
                <w:p w14:paraId="4612692B">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本项目的建设是否符合相关规划要求。</w:t>
                  </w:r>
                </w:p>
              </w:tc>
            </w:tr>
            <w:tr w14:paraId="61A9F8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tcBorders>
                    <w:tl2br w:val="nil"/>
                    <w:tr2bl w:val="nil"/>
                  </w:tcBorders>
                  <w:noWrap w:val="0"/>
                  <w:vAlign w:val="center"/>
                </w:tcPr>
                <w:p w14:paraId="51E8E258">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3</w:t>
                  </w:r>
                </w:p>
              </w:tc>
              <w:tc>
                <w:tcPr>
                  <w:tcW w:w="1126" w:type="pct"/>
                  <w:tcBorders>
                    <w:tl2br w:val="nil"/>
                    <w:tr2bl w:val="nil"/>
                  </w:tcBorders>
                  <w:noWrap w:val="0"/>
                  <w:vAlign w:val="center"/>
                </w:tcPr>
                <w:p w14:paraId="64CCA899">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工程建设内容与环评的相符性</w:t>
                  </w:r>
                </w:p>
              </w:tc>
              <w:tc>
                <w:tcPr>
                  <w:tcW w:w="3554" w:type="pct"/>
                  <w:tcBorders>
                    <w:tl2br w:val="nil"/>
                    <w:tr2bl w:val="nil"/>
                  </w:tcBorders>
                  <w:noWrap w:val="0"/>
                  <w:vAlign w:val="center"/>
                </w:tcPr>
                <w:p w14:paraId="5EF29D22">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与环评报告及环评报告批复对比，若工程的场址、建设规模发生变更，应就变更情况以及变更原因进行说明。</w:t>
                  </w:r>
                </w:p>
              </w:tc>
            </w:tr>
            <w:tr w14:paraId="4FEB1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319" w:type="pct"/>
                  <w:tcBorders>
                    <w:tl2br w:val="nil"/>
                    <w:tr2bl w:val="nil"/>
                  </w:tcBorders>
                  <w:noWrap w:val="0"/>
                  <w:vAlign w:val="center"/>
                </w:tcPr>
                <w:p w14:paraId="06F52EB0">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4</w:t>
                  </w:r>
                </w:p>
              </w:tc>
              <w:tc>
                <w:tcPr>
                  <w:tcW w:w="1126" w:type="pct"/>
                  <w:tcBorders>
                    <w:tl2br w:val="nil"/>
                    <w:tr2bl w:val="nil"/>
                  </w:tcBorders>
                  <w:noWrap w:val="0"/>
                  <w:vAlign w:val="center"/>
                </w:tcPr>
                <w:p w14:paraId="7B4B1AF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敏感目标调查</w:t>
                  </w:r>
                </w:p>
              </w:tc>
              <w:tc>
                <w:tcPr>
                  <w:tcW w:w="3554" w:type="pct"/>
                  <w:tcBorders>
                    <w:tl2br w:val="nil"/>
                    <w:tr2bl w:val="nil"/>
                  </w:tcBorders>
                  <w:noWrap w:val="0"/>
                  <w:vAlign w:val="center"/>
                </w:tcPr>
                <w:p w14:paraId="08C341E8">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调查工程周围生态影响评价范围内环境敏感区的分布情况；对比环评报告，说明生态保护目标的变化情况以及原因。</w:t>
                  </w:r>
                </w:p>
              </w:tc>
            </w:tr>
            <w:tr w14:paraId="09E69F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319" w:type="pct"/>
                  <w:tcBorders>
                    <w:tl2br w:val="nil"/>
                    <w:tr2bl w:val="nil"/>
                  </w:tcBorders>
                  <w:noWrap w:val="0"/>
                  <w:vAlign w:val="center"/>
                </w:tcPr>
                <w:p w14:paraId="00C4CD0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5</w:t>
                  </w:r>
                </w:p>
              </w:tc>
              <w:tc>
                <w:tcPr>
                  <w:tcW w:w="1126" w:type="pct"/>
                  <w:tcBorders>
                    <w:tl2br w:val="nil"/>
                    <w:tr2bl w:val="nil"/>
                  </w:tcBorders>
                  <w:noWrap w:val="0"/>
                  <w:vAlign w:val="center"/>
                </w:tcPr>
                <w:p w14:paraId="147D2DF9">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施工期环保措施落实情况</w:t>
                  </w:r>
                </w:p>
              </w:tc>
              <w:tc>
                <w:tcPr>
                  <w:tcW w:w="3554" w:type="pct"/>
                  <w:tcBorders>
                    <w:tl2br w:val="nil"/>
                    <w:tr2bl w:val="nil"/>
                  </w:tcBorders>
                  <w:noWrap w:val="0"/>
                  <w:vAlign w:val="center"/>
                </w:tcPr>
                <w:p w14:paraId="501CFC20">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调查工程施工期废</w:t>
                  </w:r>
                  <w:r>
                    <w:rPr>
                      <w:rFonts w:hint="eastAsia" w:cs="Times New Roman"/>
                      <w:bCs/>
                      <w:color w:val="auto"/>
                      <w:lang w:val="en-US" w:eastAsia="zh-CN"/>
                    </w:rPr>
                    <w:t>气</w:t>
                  </w:r>
                  <w:r>
                    <w:rPr>
                      <w:rFonts w:hint="default" w:ascii="Times New Roman" w:hAnsi="Times New Roman" w:eastAsia="宋体" w:cs="Times New Roman"/>
                      <w:bCs/>
                      <w:color w:val="auto"/>
                    </w:rPr>
                    <w:t>处理措施</w:t>
                  </w:r>
                  <w:r>
                    <w:rPr>
                      <w:rFonts w:hint="eastAsia" w:cs="Times New Roman"/>
                      <w:bCs/>
                      <w:color w:val="auto"/>
                      <w:lang w:eastAsia="zh-CN"/>
                    </w:rPr>
                    <w:t>；</w:t>
                  </w:r>
                  <w:r>
                    <w:rPr>
                      <w:rFonts w:hint="default" w:ascii="Times New Roman" w:hAnsi="Times New Roman" w:eastAsia="宋体" w:cs="Times New Roman"/>
                      <w:bCs/>
                      <w:color w:val="auto"/>
                    </w:rPr>
                    <w:t>施工期废水处理措施；施工期固废处理处置方式，调查工程施工临时占地恢复情况及效果；分析采取相关措施的有效性及存在问题，针对存在问题提出整改、补救措施与建议。</w:t>
                  </w:r>
                </w:p>
              </w:tc>
            </w:tr>
            <w:tr w14:paraId="6E4BB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19" w:type="pct"/>
                  <w:tcBorders>
                    <w:tl2br w:val="nil"/>
                    <w:tr2bl w:val="nil"/>
                  </w:tcBorders>
                  <w:noWrap w:val="0"/>
                  <w:vAlign w:val="center"/>
                </w:tcPr>
                <w:p w14:paraId="451830F8">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6</w:t>
                  </w:r>
                </w:p>
              </w:tc>
              <w:tc>
                <w:tcPr>
                  <w:tcW w:w="1126" w:type="pct"/>
                  <w:tcBorders>
                    <w:tl2br w:val="nil"/>
                    <w:tr2bl w:val="nil"/>
                  </w:tcBorders>
                  <w:noWrap w:val="0"/>
                  <w:vAlign w:val="center"/>
                </w:tcPr>
                <w:p w14:paraId="6CB14D0F">
                  <w:pPr>
                    <w:spacing w:line="240" w:lineRule="auto"/>
                    <w:jc w:val="center"/>
                    <w:rPr>
                      <w:rFonts w:hint="default" w:ascii="Times New Roman" w:hAnsi="Times New Roman" w:eastAsia="宋体" w:cs="Times New Roman"/>
                      <w:bCs/>
                      <w:color w:val="auto"/>
                      <w:highlight w:val="none"/>
                    </w:rPr>
                  </w:pPr>
                  <w:r>
                    <w:rPr>
                      <w:rFonts w:hint="default" w:ascii="Times New Roman" w:hAnsi="Times New Roman" w:eastAsia="宋体" w:cs="Times New Roman"/>
                      <w:bCs/>
                      <w:color w:val="auto"/>
                      <w:highlight w:val="none"/>
                    </w:rPr>
                    <w:t>噪声</w:t>
                  </w:r>
                </w:p>
              </w:tc>
              <w:tc>
                <w:tcPr>
                  <w:tcW w:w="3554" w:type="pct"/>
                  <w:tcBorders>
                    <w:tl2br w:val="nil"/>
                    <w:tr2bl w:val="nil"/>
                  </w:tcBorders>
                  <w:noWrap w:val="0"/>
                  <w:vAlign w:val="center"/>
                </w:tcPr>
                <w:p w14:paraId="59D8A5B6">
                  <w:pPr>
                    <w:spacing w:line="240" w:lineRule="auto"/>
                    <w:jc w:val="center"/>
                    <w:rPr>
                      <w:rFonts w:hint="eastAsia" w:ascii="Times New Roman" w:hAnsi="Times New Roman" w:eastAsia="宋体" w:cs="Times New Roman"/>
                      <w:bCs/>
                      <w:color w:val="auto"/>
                      <w:highlight w:val="none"/>
                      <w:lang w:eastAsia="zh-CN"/>
                    </w:rPr>
                  </w:pPr>
                  <w:r>
                    <w:rPr>
                      <w:rFonts w:hint="eastAsia" w:cs="Times New Roman"/>
                      <w:bCs/>
                      <w:color w:val="auto"/>
                      <w:highlight w:val="none"/>
                      <w:lang w:val="en-US" w:eastAsia="zh-CN"/>
                    </w:rPr>
                    <w:t>核查</w:t>
                  </w:r>
                  <w:r>
                    <w:rPr>
                      <w:rFonts w:hint="default" w:ascii="Times New Roman" w:hAnsi="Times New Roman" w:eastAsia="宋体" w:cs="Times New Roman"/>
                      <w:bCs/>
                      <w:color w:val="auto"/>
                      <w:highlight w:val="none"/>
                    </w:rPr>
                    <w:t>噪声是否满足《</w:t>
                  </w:r>
                  <w:r>
                    <w:rPr>
                      <w:rFonts w:hint="default" w:ascii="Times New Roman" w:hAnsi="Times New Roman" w:eastAsia="宋体" w:cs="Times New Roman"/>
                      <w:bCs/>
                      <w:color w:val="auto"/>
                      <w:highlight w:val="none"/>
                      <w:lang w:eastAsia="zh-CN"/>
                    </w:rPr>
                    <w:t>工业企业厂界环境噪声排放标准</w:t>
                  </w:r>
                  <w:r>
                    <w:rPr>
                      <w:rFonts w:hint="default" w:ascii="Times New Roman" w:hAnsi="Times New Roman" w:eastAsia="宋体" w:cs="Times New Roman"/>
                      <w:bCs/>
                      <w:color w:val="auto"/>
                      <w:highlight w:val="none"/>
                    </w:rPr>
                    <w:t>》（GB12348-2008）</w:t>
                  </w:r>
                  <w:r>
                    <w:rPr>
                      <w:rFonts w:hint="eastAsia" w:cs="Times New Roman"/>
                      <w:bCs/>
                      <w:color w:val="auto"/>
                      <w:highlight w:val="none"/>
                      <w:lang w:val="en-US" w:eastAsia="zh-CN"/>
                    </w:rPr>
                    <w:t>1</w:t>
                  </w:r>
                  <w:r>
                    <w:rPr>
                      <w:rFonts w:hint="default" w:ascii="Times New Roman" w:hAnsi="Times New Roman" w:eastAsia="宋体" w:cs="Times New Roman"/>
                      <w:bCs/>
                      <w:color w:val="auto"/>
                      <w:highlight w:val="none"/>
                      <w:lang w:val="en-US" w:eastAsia="zh-CN"/>
                    </w:rPr>
                    <w:t>类声环境功能区对应的厂界噪声排放标准</w:t>
                  </w:r>
                  <w:r>
                    <w:rPr>
                      <w:rFonts w:hint="eastAsia" w:cs="Times New Roman"/>
                      <w:bCs/>
                      <w:color w:val="auto"/>
                      <w:highlight w:val="none"/>
                      <w:lang w:val="en-US" w:eastAsia="zh-CN"/>
                    </w:rPr>
                    <w:t>要求</w:t>
                  </w:r>
                  <w:r>
                    <w:rPr>
                      <w:rFonts w:hint="default" w:ascii="Times New Roman" w:hAnsi="Times New Roman" w:eastAsia="宋体" w:cs="Times New Roman"/>
                      <w:bCs/>
                      <w:color w:val="auto"/>
                      <w:highlight w:val="none"/>
                    </w:rPr>
                    <w:t>，如有超标，提出处置措施</w:t>
                  </w:r>
                  <w:r>
                    <w:rPr>
                      <w:rFonts w:hint="eastAsia" w:cs="Times New Roman"/>
                      <w:bCs/>
                      <w:color w:val="auto"/>
                      <w:highlight w:val="none"/>
                      <w:lang w:eastAsia="zh-CN"/>
                    </w:rPr>
                    <w:t>。</w:t>
                  </w:r>
                </w:p>
              </w:tc>
            </w:tr>
            <w:tr w14:paraId="31248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9" w:type="pct"/>
                  <w:tcBorders>
                    <w:tl2br w:val="nil"/>
                    <w:tr2bl w:val="nil"/>
                  </w:tcBorders>
                  <w:noWrap w:val="0"/>
                  <w:vAlign w:val="center"/>
                </w:tcPr>
                <w:p w14:paraId="51CDCA24">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7</w:t>
                  </w:r>
                </w:p>
              </w:tc>
              <w:tc>
                <w:tcPr>
                  <w:tcW w:w="1126" w:type="pct"/>
                  <w:tcBorders>
                    <w:tl2br w:val="nil"/>
                    <w:tr2bl w:val="nil"/>
                  </w:tcBorders>
                  <w:noWrap w:val="0"/>
                  <w:vAlign w:val="center"/>
                </w:tcPr>
                <w:p w14:paraId="6AD0DE64">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固体废物</w:t>
                  </w:r>
                </w:p>
              </w:tc>
              <w:tc>
                <w:tcPr>
                  <w:tcW w:w="3554" w:type="pct"/>
                  <w:tcBorders>
                    <w:tl2br w:val="nil"/>
                    <w:tr2bl w:val="nil"/>
                  </w:tcBorders>
                  <w:noWrap w:val="0"/>
                  <w:vAlign w:val="center"/>
                </w:tcPr>
                <w:p w14:paraId="6849954C">
                  <w:pPr>
                    <w:spacing w:line="240" w:lineRule="auto"/>
                    <w:jc w:val="center"/>
                    <w:rPr>
                      <w:rFonts w:hint="default" w:ascii="Times New Roman" w:hAnsi="Times New Roman" w:eastAsia="宋体" w:cs="Times New Roman"/>
                      <w:bCs/>
                      <w:color w:val="auto"/>
                    </w:rPr>
                  </w:pPr>
                  <w:r>
                    <w:rPr>
                      <w:rFonts w:hint="eastAsia" w:cs="Times New Roman"/>
                      <w:bCs/>
                      <w:color w:val="auto"/>
                      <w:lang w:val="en-US" w:eastAsia="zh-CN"/>
                    </w:rPr>
                    <w:t>项目区建筑垃圾及固废是否按照处置</w:t>
                  </w:r>
                  <w:r>
                    <w:rPr>
                      <w:rFonts w:hint="default" w:ascii="Times New Roman" w:hAnsi="Times New Roman" w:eastAsia="宋体" w:cs="Times New Roman"/>
                      <w:bCs/>
                      <w:color w:val="auto"/>
                      <w:lang w:val="en-US" w:eastAsia="zh-CN"/>
                    </w:rPr>
                    <w:t>；生活垃圾</w:t>
                  </w:r>
                  <w:r>
                    <w:rPr>
                      <w:rFonts w:hint="eastAsia" w:cs="Times New Roman"/>
                      <w:bCs/>
                      <w:color w:val="auto"/>
                      <w:lang w:val="en-US" w:eastAsia="zh-CN"/>
                    </w:rPr>
                    <w:t>是否处置。</w:t>
                  </w:r>
                </w:p>
              </w:tc>
            </w:tr>
            <w:tr w14:paraId="12C85B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319" w:type="pct"/>
                  <w:tcBorders>
                    <w:tl2br w:val="nil"/>
                    <w:tr2bl w:val="nil"/>
                  </w:tcBorders>
                  <w:noWrap w:val="0"/>
                  <w:vAlign w:val="center"/>
                </w:tcPr>
                <w:p w14:paraId="60A662B4">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8</w:t>
                  </w:r>
                </w:p>
              </w:tc>
              <w:tc>
                <w:tcPr>
                  <w:tcW w:w="1126" w:type="pct"/>
                  <w:tcBorders>
                    <w:tl2br w:val="nil"/>
                    <w:tr2bl w:val="nil"/>
                  </w:tcBorders>
                  <w:noWrap w:val="0"/>
                  <w:vAlign w:val="center"/>
                </w:tcPr>
                <w:p w14:paraId="6D46B2A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生态环境</w:t>
                  </w:r>
                </w:p>
              </w:tc>
              <w:tc>
                <w:tcPr>
                  <w:tcW w:w="3554" w:type="pct"/>
                  <w:tcBorders>
                    <w:tl2br w:val="nil"/>
                    <w:tr2bl w:val="nil"/>
                  </w:tcBorders>
                  <w:noWrap w:val="0"/>
                  <w:vAlign w:val="center"/>
                </w:tcPr>
                <w:p w14:paraId="62353D1A">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调查工程采取的生态保护措施的实施效果；列表说明工程实际占地变化情况，明确占地性质、占地位置、用途、临时占地恢复措施和恢复效果。根据上述调查结果，对存在的问题分析原因，并从保护、恢复、补偿、建设等方面提出具有操作性的补偿措施与建议。</w:t>
                  </w:r>
                </w:p>
              </w:tc>
            </w:tr>
            <w:tr w14:paraId="0FC8C5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19" w:type="pct"/>
                  <w:tcBorders>
                    <w:tl2br w:val="nil"/>
                    <w:tr2bl w:val="nil"/>
                  </w:tcBorders>
                  <w:noWrap w:val="0"/>
                  <w:vAlign w:val="center"/>
                </w:tcPr>
                <w:p w14:paraId="71EEEB08">
                  <w:pPr>
                    <w:spacing w:line="240" w:lineRule="auto"/>
                    <w:jc w:val="center"/>
                    <w:rPr>
                      <w:rFonts w:hint="default" w:ascii="Times New Roman" w:hAnsi="Times New Roman" w:eastAsia="宋体" w:cs="Times New Roman"/>
                      <w:bCs/>
                      <w:color w:val="auto"/>
                      <w:lang w:eastAsia="zh-CN"/>
                    </w:rPr>
                  </w:pPr>
                  <w:r>
                    <w:rPr>
                      <w:rFonts w:hint="default" w:ascii="Times New Roman" w:hAnsi="Times New Roman" w:eastAsia="宋体" w:cs="Times New Roman"/>
                      <w:bCs/>
                      <w:color w:val="auto"/>
                      <w:lang w:val="en-US" w:eastAsia="zh-CN"/>
                    </w:rPr>
                    <w:t>9</w:t>
                  </w:r>
                </w:p>
              </w:tc>
              <w:tc>
                <w:tcPr>
                  <w:tcW w:w="1126" w:type="pct"/>
                  <w:tcBorders>
                    <w:tl2br w:val="nil"/>
                    <w:tr2bl w:val="nil"/>
                  </w:tcBorders>
                  <w:noWrap w:val="0"/>
                  <w:vAlign w:val="center"/>
                </w:tcPr>
                <w:p w14:paraId="0BDCFAD7">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环境保护</w:t>
                  </w:r>
                </w:p>
              </w:tc>
              <w:tc>
                <w:tcPr>
                  <w:tcW w:w="3554" w:type="pct"/>
                  <w:tcBorders>
                    <w:tl2br w:val="nil"/>
                    <w:tr2bl w:val="nil"/>
                  </w:tcBorders>
                  <w:noWrap w:val="0"/>
                  <w:vAlign w:val="center"/>
                </w:tcPr>
                <w:p w14:paraId="20120CE6">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环境管理、环境监测落实情况；环保投资资金是否到位，工程所在区域各级生态环境主管部门是否收到相关环保投诉，投诉原因及处理结果。</w:t>
                  </w:r>
                </w:p>
              </w:tc>
            </w:tr>
            <w:tr w14:paraId="5516BC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19" w:type="pct"/>
                  <w:tcBorders>
                    <w:tl2br w:val="nil"/>
                    <w:tr2bl w:val="nil"/>
                  </w:tcBorders>
                  <w:noWrap w:val="0"/>
                  <w:vAlign w:val="center"/>
                </w:tcPr>
                <w:p w14:paraId="1245FBCC">
                  <w:pPr>
                    <w:spacing w:line="240" w:lineRule="auto"/>
                    <w:jc w:val="center"/>
                    <w:rPr>
                      <w:rFonts w:hint="default" w:ascii="Times New Roman" w:hAnsi="Times New Roman" w:eastAsia="宋体" w:cs="Times New Roman"/>
                      <w:bCs/>
                      <w:color w:val="auto"/>
                      <w:lang w:val="en-US" w:eastAsia="zh-CN"/>
                    </w:rPr>
                  </w:pPr>
                  <w:r>
                    <w:rPr>
                      <w:rFonts w:hint="eastAsia" w:cs="Times New Roman"/>
                      <w:bCs/>
                      <w:color w:val="auto"/>
                      <w:lang w:val="en-US" w:eastAsia="zh-CN"/>
                    </w:rPr>
                    <w:t>10</w:t>
                  </w:r>
                </w:p>
              </w:tc>
              <w:tc>
                <w:tcPr>
                  <w:tcW w:w="1126" w:type="pct"/>
                  <w:tcBorders>
                    <w:tl2br w:val="nil"/>
                    <w:tr2bl w:val="nil"/>
                  </w:tcBorders>
                  <w:noWrap w:val="0"/>
                  <w:vAlign w:val="center"/>
                </w:tcPr>
                <w:p w14:paraId="00821E81">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环保设备清单核查</w:t>
                  </w:r>
                </w:p>
              </w:tc>
              <w:tc>
                <w:tcPr>
                  <w:tcW w:w="3554" w:type="pct"/>
                  <w:tcBorders>
                    <w:tl2br w:val="nil"/>
                    <w:tr2bl w:val="nil"/>
                  </w:tcBorders>
                  <w:noWrap w:val="0"/>
                  <w:vAlign w:val="center"/>
                </w:tcPr>
                <w:p w14:paraId="537A54B6">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统计本项目噪声防控、固废收集、防渗、防护等环保设施及生产设备清单，核实设备型号、数量、安装位置、运行工况；核查环保设施是否按环评要求同步安装、同步投入使用，落实“三同时”制度。</w:t>
                  </w:r>
                </w:p>
              </w:tc>
            </w:tr>
            <w:tr w14:paraId="54A1D8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19" w:type="pct"/>
                  <w:tcBorders>
                    <w:tl2br w:val="nil"/>
                    <w:tr2bl w:val="nil"/>
                  </w:tcBorders>
                  <w:noWrap w:val="0"/>
                  <w:vAlign w:val="center"/>
                </w:tcPr>
                <w:p w14:paraId="603A4AC6">
                  <w:pPr>
                    <w:spacing w:line="240" w:lineRule="auto"/>
                    <w:jc w:val="center"/>
                    <w:rPr>
                      <w:rFonts w:hint="default" w:ascii="Times New Roman" w:hAnsi="Times New Roman" w:eastAsia="宋体" w:cs="Times New Roman"/>
                      <w:bCs/>
                      <w:color w:val="auto"/>
                      <w:lang w:val="en-US" w:eastAsia="zh-CN"/>
                    </w:rPr>
                  </w:pPr>
                  <w:r>
                    <w:rPr>
                      <w:rFonts w:hint="eastAsia" w:cs="Times New Roman"/>
                      <w:bCs/>
                      <w:color w:val="auto"/>
                      <w:lang w:val="en-US" w:eastAsia="zh-CN"/>
                    </w:rPr>
                    <w:t>11</w:t>
                  </w:r>
                </w:p>
              </w:tc>
              <w:tc>
                <w:tcPr>
                  <w:tcW w:w="1126" w:type="pct"/>
                  <w:tcBorders>
                    <w:tl2br w:val="nil"/>
                    <w:tr2bl w:val="nil"/>
                  </w:tcBorders>
                  <w:noWrap w:val="0"/>
                  <w:vAlign w:val="center"/>
                </w:tcPr>
                <w:p w14:paraId="72EB2BFC">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环保组织机构及人员配置</w:t>
                  </w:r>
                </w:p>
              </w:tc>
              <w:tc>
                <w:tcPr>
                  <w:tcW w:w="3554" w:type="pct"/>
                  <w:tcBorders>
                    <w:tl2br w:val="nil"/>
                    <w:tr2bl w:val="nil"/>
                  </w:tcBorders>
                  <w:noWrap w:val="0"/>
                  <w:vAlign w:val="center"/>
                </w:tcPr>
                <w:p w14:paraId="6AA5846E">
                  <w:pPr>
                    <w:spacing w:line="240" w:lineRule="auto"/>
                    <w:jc w:val="center"/>
                    <w:rPr>
                      <w:rFonts w:hint="default" w:ascii="Times New Roman" w:hAnsi="Times New Roman" w:eastAsia="宋体" w:cs="Times New Roman"/>
                      <w:bCs/>
                      <w:color w:val="auto"/>
                    </w:rPr>
                  </w:pPr>
                  <w:r>
                    <w:rPr>
                      <w:rFonts w:hint="default" w:ascii="Times New Roman" w:hAnsi="Times New Roman" w:eastAsia="宋体" w:cs="Times New Roman"/>
                      <w:bCs/>
                      <w:color w:val="auto"/>
                    </w:rPr>
                    <w:t>核查项目环境保护管理组织机构设置情况，明确专职或兼职环保管理人员配置数量、岗位职责；建立环保管理制度、巡检制度、危废管理制度，确保运营期环保管理工作常态化、规范化运行。</w:t>
                  </w:r>
                </w:p>
              </w:tc>
            </w:tr>
          </w:tbl>
          <w:p w14:paraId="7010FA07">
            <w:pPr>
              <w:pStyle w:val="41"/>
              <w:spacing w:before="0" w:line="240" w:lineRule="auto"/>
              <w:ind w:firstLine="0" w:firstLineChars="0"/>
              <w:jc w:val="both"/>
              <w:rPr>
                <w:rFonts w:hint="default" w:ascii="Times New Roman" w:hAnsi="Times New Roman" w:cs="Times New Roman"/>
                <w:color w:val="auto"/>
                <w:szCs w:val="24"/>
              </w:rPr>
            </w:pPr>
          </w:p>
        </w:tc>
      </w:tr>
      <w:tr w14:paraId="310AA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8" w:hRule="atLeast"/>
          <w:jc w:val="center"/>
        </w:trPr>
        <w:tc>
          <w:tcPr>
            <w:tcW w:w="412" w:type="pct"/>
            <w:noWrap w:val="0"/>
            <w:vAlign w:val="center"/>
          </w:tcPr>
          <w:p w14:paraId="19D30410">
            <w:pPr>
              <w:adjustRightInd w:val="0"/>
              <w:snapToGrid w:val="0"/>
              <w:jc w:val="center"/>
              <w:rPr>
                <w:rFonts w:hint="default" w:ascii="Times New Roman" w:hAnsi="Times New Roman" w:cs="Times New Roman"/>
                <w:bCs/>
                <w:color w:val="auto"/>
                <w:spacing w:val="10"/>
                <w:sz w:val="24"/>
              </w:rPr>
            </w:pPr>
            <w:r>
              <w:rPr>
                <w:rFonts w:hint="default" w:ascii="Times New Roman" w:hAnsi="Times New Roman" w:cs="Times New Roman"/>
                <w:bCs/>
                <w:color w:val="auto"/>
                <w:sz w:val="24"/>
              </w:rPr>
              <w:t>环保投资</w:t>
            </w:r>
          </w:p>
        </w:tc>
        <w:tc>
          <w:tcPr>
            <w:tcW w:w="4587" w:type="pct"/>
            <w:noWrap w:val="0"/>
            <w:vAlign w:val="top"/>
          </w:tcPr>
          <w:p w14:paraId="6094ABDB">
            <w:pPr>
              <w:adjustRightInd w:val="0"/>
              <w:snapToGrid w:val="0"/>
              <w:spacing w:line="480" w:lineRule="exact"/>
              <w:ind w:firstLine="480" w:firstLineChars="200"/>
              <w:rPr>
                <w:rFonts w:hint="default" w:ascii="Times New Roman" w:hAnsi="Times New Roman" w:cs="Times New Roman"/>
                <w:color w:val="auto"/>
                <w:sz w:val="24"/>
                <w:szCs w:val="32"/>
              </w:rPr>
            </w:pPr>
            <w:r>
              <w:rPr>
                <w:rFonts w:hint="default" w:ascii="Times New Roman" w:hAnsi="Times New Roman" w:cs="Times New Roman"/>
                <w:color w:val="auto"/>
                <w:sz w:val="24"/>
                <w:szCs w:val="32"/>
              </w:rPr>
              <w:t>本项目总投资为</w:t>
            </w:r>
            <w:r>
              <w:rPr>
                <w:rFonts w:hint="eastAsia" w:cs="Times New Roman"/>
                <w:color w:val="auto"/>
                <w:sz w:val="24"/>
                <w:szCs w:val="32"/>
                <w:lang w:val="en-US" w:eastAsia="zh-CN"/>
              </w:rPr>
              <w:t>11652</w:t>
            </w:r>
            <w:r>
              <w:rPr>
                <w:rFonts w:hint="default" w:ascii="Times New Roman" w:hAnsi="Times New Roman" w:cs="Times New Roman"/>
                <w:color w:val="auto"/>
                <w:sz w:val="24"/>
                <w:szCs w:val="32"/>
              </w:rPr>
              <w:t>万元，环保投资</w:t>
            </w:r>
            <w:r>
              <w:rPr>
                <w:rFonts w:hint="eastAsia" w:cs="Times New Roman"/>
                <w:color w:val="auto"/>
                <w:sz w:val="24"/>
                <w:szCs w:val="32"/>
                <w:lang w:val="en-US" w:eastAsia="zh-CN"/>
              </w:rPr>
              <w:t>174.6</w:t>
            </w:r>
            <w:r>
              <w:rPr>
                <w:rFonts w:hint="default" w:ascii="Times New Roman" w:hAnsi="Times New Roman" w:cs="Times New Roman"/>
                <w:color w:val="auto"/>
                <w:sz w:val="24"/>
                <w:szCs w:val="32"/>
              </w:rPr>
              <w:t>万元，占总投资</w:t>
            </w:r>
            <w:r>
              <w:rPr>
                <w:rFonts w:hint="eastAsia" w:cs="Times New Roman"/>
                <w:color w:val="auto"/>
                <w:sz w:val="24"/>
                <w:szCs w:val="32"/>
                <w:lang w:val="en-US" w:eastAsia="zh-CN"/>
              </w:rPr>
              <w:t>1.5</w:t>
            </w:r>
            <w:r>
              <w:rPr>
                <w:rFonts w:hint="default" w:ascii="Times New Roman" w:hAnsi="Times New Roman" w:cs="Times New Roman"/>
                <w:color w:val="auto"/>
                <w:sz w:val="24"/>
                <w:szCs w:val="32"/>
              </w:rPr>
              <w:t>%。项目环保投资详情见表5-</w:t>
            </w:r>
            <w:r>
              <w:rPr>
                <w:rFonts w:hint="eastAsia" w:cs="Times New Roman"/>
                <w:color w:val="auto"/>
                <w:sz w:val="24"/>
                <w:szCs w:val="32"/>
                <w:lang w:val="en-US" w:eastAsia="zh-CN"/>
              </w:rPr>
              <w:t>5</w:t>
            </w:r>
            <w:r>
              <w:rPr>
                <w:rFonts w:hint="default" w:ascii="Times New Roman" w:hAnsi="Times New Roman" w:cs="Times New Roman"/>
                <w:color w:val="auto"/>
                <w:sz w:val="24"/>
                <w:szCs w:val="32"/>
              </w:rPr>
              <w:t>。</w:t>
            </w:r>
          </w:p>
          <w:p w14:paraId="15DCBCC8">
            <w:pPr>
              <w:pStyle w:val="42"/>
              <w:keepNext w:val="0"/>
              <w:keepLines w:val="0"/>
              <w:pageBreakBefore w:val="0"/>
              <w:widowControl w:val="0"/>
              <w:kinsoku/>
              <w:wordWrap/>
              <w:overflowPunct/>
              <w:topLinePunct w:val="0"/>
              <w:autoSpaceDE/>
              <w:autoSpaceDN/>
              <w:bidi w:val="0"/>
              <w:adjustRightInd w:val="0"/>
              <w:snapToGrid/>
              <w:spacing w:before="0" w:after="0" w:line="360" w:lineRule="auto"/>
              <w:ind w:firstLine="0" w:firstLineChars="0"/>
              <w:textAlignment w:val="baseline"/>
              <w:rPr>
                <w:rFonts w:hint="default" w:ascii="Times New Roman" w:hAnsi="Times New Roman" w:eastAsia="宋体" w:cs="Times New Roman"/>
                <w:b/>
                <w:bCs w:val="0"/>
                <w:color w:val="auto"/>
                <w:spacing w:val="0"/>
                <w:kern w:val="2"/>
                <w:sz w:val="24"/>
                <w:szCs w:val="24"/>
                <w:lang w:val="en-US" w:eastAsia="zh-CN"/>
              </w:rPr>
            </w:pPr>
            <w:r>
              <w:rPr>
                <w:rFonts w:hint="default" w:ascii="Times New Roman" w:hAnsi="Times New Roman" w:eastAsia="宋体" w:cs="Times New Roman"/>
                <w:b/>
                <w:bCs w:val="0"/>
                <w:color w:val="auto"/>
                <w:spacing w:val="0"/>
                <w:kern w:val="2"/>
                <w:sz w:val="24"/>
                <w:szCs w:val="24"/>
                <w:lang w:val="en-US" w:eastAsia="zh-CN"/>
              </w:rPr>
              <w:t>表5-</w:t>
            </w:r>
            <w:r>
              <w:rPr>
                <w:rFonts w:hint="eastAsia" w:ascii="Times New Roman" w:hAnsi="Times New Roman" w:eastAsia="宋体" w:cs="Times New Roman"/>
                <w:b/>
                <w:bCs w:val="0"/>
                <w:color w:val="auto"/>
                <w:spacing w:val="0"/>
                <w:kern w:val="2"/>
                <w:sz w:val="24"/>
                <w:szCs w:val="24"/>
                <w:lang w:val="en-US" w:eastAsia="zh-CN"/>
              </w:rPr>
              <w:t>5</w:t>
            </w:r>
            <w:r>
              <w:rPr>
                <w:rFonts w:hint="default" w:ascii="Times New Roman" w:hAnsi="Times New Roman" w:eastAsia="宋体" w:cs="Times New Roman"/>
                <w:b/>
                <w:bCs w:val="0"/>
                <w:color w:val="auto"/>
                <w:spacing w:val="0"/>
                <w:kern w:val="2"/>
                <w:sz w:val="24"/>
                <w:szCs w:val="24"/>
                <w:lang w:val="en-US" w:eastAsia="zh-CN"/>
              </w:rPr>
              <w:t>项目环保投资一览表</w:t>
            </w:r>
          </w:p>
          <w:tbl>
            <w:tblPr>
              <w:tblStyle w:val="31"/>
              <w:tblW w:w="500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15"/>
              <w:gridCol w:w="859"/>
              <w:gridCol w:w="1009"/>
              <w:gridCol w:w="3026"/>
              <w:gridCol w:w="1464"/>
              <w:gridCol w:w="763"/>
            </w:tblGrid>
            <w:tr w14:paraId="3F7AD5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6" w:type="pct"/>
                  <w:tcBorders>
                    <w:tl2br w:val="nil"/>
                    <w:tr2bl w:val="nil"/>
                  </w:tcBorders>
                  <w:noWrap w:val="0"/>
                  <w:vAlign w:val="center"/>
                </w:tcPr>
                <w:p w14:paraId="32DBADE1">
                  <w:pPr>
                    <w:pStyle w:val="23"/>
                    <w:spacing w:line="360" w:lineRule="auto"/>
                    <w:jc w:val="center"/>
                    <w:rPr>
                      <w:rFonts w:hint="default" w:ascii="Times New Roman" w:hAnsi="Times New Roman" w:eastAsia="宋体" w:cs="Times New Roman"/>
                      <w:b/>
                      <w:bCs/>
                      <w:color w:val="auto"/>
                      <w:sz w:val="21"/>
                      <w:szCs w:val="21"/>
                      <w:lang w:val="en-US" w:eastAsia="zh-CN"/>
                    </w:rPr>
                  </w:pPr>
                  <w:bookmarkStart w:id="25" w:name="_Hlk106273803"/>
                  <w:r>
                    <w:rPr>
                      <w:rFonts w:hint="default" w:ascii="Times New Roman" w:hAnsi="Times New Roman" w:eastAsia="宋体" w:cs="Times New Roman"/>
                      <w:b/>
                      <w:bCs/>
                      <w:color w:val="auto"/>
                      <w:sz w:val="21"/>
                      <w:szCs w:val="21"/>
                      <w:lang w:val="en-US" w:eastAsia="zh-CN"/>
                    </w:rPr>
                    <w:t>类别</w:t>
                  </w:r>
                </w:p>
              </w:tc>
              <w:tc>
                <w:tcPr>
                  <w:tcW w:w="569" w:type="pct"/>
                  <w:tcBorders>
                    <w:tl2br w:val="nil"/>
                    <w:tr2bl w:val="nil"/>
                  </w:tcBorders>
                  <w:noWrap w:val="0"/>
                  <w:vAlign w:val="center"/>
                </w:tcPr>
                <w:p w14:paraId="4BDA28E5">
                  <w:pPr>
                    <w:pStyle w:val="23"/>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污染源</w:t>
                  </w:r>
                </w:p>
              </w:tc>
              <w:tc>
                <w:tcPr>
                  <w:tcW w:w="669" w:type="pct"/>
                  <w:tcBorders>
                    <w:tl2br w:val="nil"/>
                    <w:tr2bl w:val="nil"/>
                  </w:tcBorders>
                  <w:noWrap w:val="0"/>
                  <w:vAlign w:val="center"/>
                </w:tcPr>
                <w:p w14:paraId="0C3F1CFB">
                  <w:pPr>
                    <w:pStyle w:val="23"/>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污染物</w:t>
                  </w:r>
                </w:p>
              </w:tc>
              <w:tc>
                <w:tcPr>
                  <w:tcW w:w="2007" w:type="pct"/>
                  <w:tcBorders>
                    <w:tl2br w:val="nil"/>
                    <w:tr2bl w:val="nil"/>
                  </w:tcBorders>
                  <w:noWrap w:val="0"/>
                  <w:vAlign w:val="center"/>
                </w:tcPr>
                <w:p w14:paraId="3CDF16E0">
                  <w:pPr>
                    <w:pStyle w:val="23"/>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处理措施</w:t>
                  </w:r>
                </w:p>
              </w:tc>
              <w:tc>
                <w:tcPr>
                  <w:tcW w:w="971" w:type="pct"/>
                  <w:tcBorders>
                    <w:tl2br w:val="nil"/>
                    <w:tr2bl w:val="nil"/>
                  </w:tcBorders>
                  <w:noWrap w:val="0"/>
                  <w:vAlign w:val="center"/>
                </w:tcPr>
                <w:p w14:paraId="40FC6CBF">
                  <w:pPr>
                    <w:pStyle w:val="23"/>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环境效益</w:t>
                  </w:r>
                </w:p>
              </w:tc>
              <w:tc>
                <w:tcPr>
                  <w:tcW w:w="505" w:type="pct"/>
                  <w:tcBorders>
                    <w:tl2br w:val="nil"/>
                    <w:tr2bl w:val="nil"/>
                  </w:tcBorders>
                  <w:noWrap w:val="0"/>
                  <w:vAlign w:val="center"/>
                </w:tcPr>
                <w:p w14:paraId="07E4C4E3">
                  <w:pPr>
                    <w:pStyle w:val="23"/>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投资</w:t>
                  </w:r>
                </w:p>
                <w:p w14:paraId="244E0DF3">
                  <w:pPr>
                    <w:pStyle w:val="23"/>
                    <w:spacing w:line="360" w:lineRule="auto"/>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（万元）</w:t>
                  </w:r>
                </w:p>
              </w:tc>
            </w:tr>
            <w:tr w14:paraId="45F449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6" w:type="pct"/>
                  <w:vMerge w:val="restart"/>
                  <w:tcBorders>
                    <w:tl2br w:val="nil"/>
                    <w:tr2bl w:val="nil"/>
                  </w:tcBorders>
                  <w:noWrap w:val="0"/>
                  <w:vAlign w:val="center"/>
                </w:tcPr>
                <w:p w14:paraId="2A6E0BE0">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w:t>
                  </w:r>
                </w:p>
              </w:tc>
              <w:tc>
                <w:tcPr>
                  <w:tcW w:w="569" w:type="pct"/>
                  <w:tcBorders>
                    <w:tl2br w:val="nil"/>
                    <w:tr2bl w:val="nil"/>
                  </w:tcBorders>
                  <w:noWrap w:val="0"/>
                  <w:vAlign w:val="center"/>
                </w:tcPr>
                <w:p w14:paraId="4956D5CD">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施工扬尘</w:t>
                  </w:r>
                </w:p>
              </w:tc>
              <w:tc>
                <w:tcPr>
                  <w:tcW w:w="669" w:type="pct"/>
                  <w:tcBorders>
                    <w:tl2br w:val="nil"/>
                    <w:tr2bl w:val="nil"/>
                  </w:tcBorders>
                  <w:noWrap w:val="0"/>
                  <w:vAlign w:val="center"/>
                </w:tcPr>
                <w:p w14:paraId="6B678B3C">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w:t>
                  </w:r>
                </w:p>
              </w:tc>
              <w:tc>
                <w:tcPr>
                  <w:tcW w:w="2007" w:type="pct"/>
                  <w:tcBorders>
                    <w:tl2br w:val="nil"/>
                    <w:tr2bl w:val="nil"/>
                  </w:tcBorders>
                  <w:noWrap w:val="0"/>
                  <w:vAlign w:val="center"/>
                </w:tcPr>
                <w:p w14:paraId="0E1ED329">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原材料堆放区进行苫盖、围挡等，</w:t>
                  </w:r>
                </w:p>
                <w:p w14:paraId="5FE5944A">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施工区域及运输道路要做到每天用洒水车至少洒水2～3次；运输过程物料遮盖密闭。拌合机的骨料仓封闭，砂石骨料定期洒水润湿，上料过程产生的粉尘采用仓顶自带袋式除尘器</w:t>
                  </w:r>
                  <w:r>
                    <w:rPr>
                      <w:rFonts w:hint="eastAsia" w:cs="Times New Roman"/>
                      <w:color w:val="auto"/>
                      <w:sz w:val="21"/>
                      <w:szCs w:val="21"/>
                      <w:lang w:val="en-US" w:eastAsia="zh-CN"/>
                    </w:rPr>
                    <w:t>。</w:t>
                  </w:r>
                </w:p>
              </w:tc>
              <w:tc>
                <w:tcPr>
                  <w:tcW w:w="971" w:type="pct"/>
                  <w:vMerge w:val="restart"/>
                  <w:tcBorders>
                    <w:tl2br w:val="nil"/>
                    <w:tr2bl w:val="nil"/>
                  </w:tcBorders>
                  <w:noWrap w:val="0"/>
                  <w:vAlign w:val="center"/>
                </w:tcPr>
                <w:p w14:paraId="2DCD4B90">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减缓施工期扬尘对环境空气的污染</w:t>
                  </w:r>
                </w:p>
              </w:tc>
              <w:tc>
                <w:tcPr>
                  <w:tcW w:w="505" w:type="pct"/>
                  <w:vMerge w:val="restart"/>
                  <w:tcBorders>
                    <w:tl2br w:val="nil"/>
                    <w:tr2bl w:val="nil"/>
                  </w:tcBorders>
                  <w:noWrap w:val="0"/>
                  <w:vAlign w:val="center"/>
                </w:tcPr>
                <w:p w14:paraId="46A90FD8">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12.8</w:t>
                  </w:r>
                </w:p>
              </w:tc>
            </w:tr>
            <w:tr w14:paraId="1B09B6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0" w:hRule="atLeast"/>
                <w:jc w:val="center"/>
              </w:trPr>
              <w:tc>
                <w:tcPr>
                  <w:tcW w:w="276" w:type="pct"/>
                  <w:vMerge w:val="continue"/>
                  <w:tcBorders>
                    <w:tl2br w:val="nil"/>
                    <w:tr2bl w:val="nil"/>
                  </w:tcBorders>
                  <w:noWrap w:val="0"/>
                  <w:vAlign w:val="center"/>
                </w:tcPr>
                <w:p w14:paraId="10F7267C">
                  <w:pPr>
                    <w:pStyle w:val="23"/>
                    <w:spacing w:line="360" w:lineRule="auto"/>
                    <w:jc w:val="center"/>
                    <w:rPr>
                      <w:rFonts w:hint="default" w:ascii="Times New Roman" w:hAnsi="Times New Roman" w:eastAsia="宋体" w:cs="Times New Roman"/>
                      <w:color w:val="auto"/>
                      <w:sz w:val="21"/>
                      <w:szCs w:val="21"/>
                      <w:lang w:val="en-US" w:eastAsia="zh-CN"/>
                    </w:rPr>
                  </w:pPr>
                </w:p>
              </w:tc>
              <w:tc>
                <w:tcPr>
                  <w:tcW w:w="569" w:type="pct"/>
                  <w:tcBorders>
                    <w:tl2br w:val="nil"/>
                    <w:tr2bl w:val="nil"/>
                  </w:tcBorders>
                  <w:noWrap w:val="0"/>
                  <w:vAlign w:val="center"/>
                </w:tcPr>
                <w:p w14:paraId="7B0A7A53">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燃油设备及发电机燃油废气</w:t>
                  </w:r>
                </w:p>
              </w:tc>
              <w:tc>
                <w:tcPr>
                  <w:tcW w:w="669" w:type="pct"/>
                  <w:tcBorders>
                    <w:tl2br w:val="nil"/>
                    <w:tr2bl w:val="nil"/>
                  </w:tcBorders>
                  <w:noWrap w:val="0"/>
                  <w:vAlign w:val="center"/>
                </w:tcPr>
                <w:p w14:paraId="78DF5C2E">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尾气</w:t>
                  </w:r>
                </w:p>
              </w:tc>
              <w:tc>
                <w:tcPr>
                  <w:tcW w:w="2007" w:type="pct"/>
                  <w:tcBorders>
                    <w:tl2br w:val="nil"/>
                    <w:tr2bl w:val="nil"/>
                  </w:tcBorders>
                  <w:noWrap w:val="0"/>
                  <w:vAlign w:val="center"/>
                </w:tcPr>
                <w:p w14:paraId="16940B48">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选用符合排放标准的施工机械和车辆，选择合格优质、污染小的油品作为燃料，加强车辆和机械设备维护保养</w:t>
                  </w:r>
                </w:p>
              </w:tc>
              <w:tc>
                <w:tcPr>
                  <w:tcW w:w="971" w:type="pct"/>
                  <w:vMerge w:val="continue"/>
                  <w:tcBorders>
                    <w:tl2br w:val="nil"/>
                    <w:tr2bl w:val="nil"/>
                  </w:tcBorders>
                  <w:noWrap w:val="0"/>
                  <w:vAlign w:val="center"/>
                </w:tcPr>
                <w:p w14:paraId="2DFEF19C">
                  <w:pPr>
                    <w:pStyle w:val="23"/>
                    <w:spacing w:line="360" w:lineRule="auto"/>
                    <w:jc w:val="center"/>
                    <w:rPr>
                      <w:rFonts w:hint="default" w:ascii="Times New Roman" w:hAnsi="Times New Roman" w:eastAsia="宋体" w:cs="Times New Roman"/>
                      <w:color w:val="auto"/>
                      <w:sz w:val="21"/>
                      <w:szCs w:val="21"/>
                      <w:lang w:val="en-US" w:eastAsia="zh-CN"/>
                    </w:rPr>
                  </w:pPr>
                </w:p>
              </w:tc>
              <w:tc>
                <w:tcPr>
                  <w:tcW w:w="505" w:type="pct"/>
                  <w:vMerge w:val="continue"/>
                  <w:tcBorders>
                    <w:tl2br w:val="nil"/>
                    <w:tr2bl w:val="nil"/>
                  </w:tcBorders>
                  <w:noWrap w:val="0"/>
                  <w:vAlign w:val="center"/>
                </w:tcPr>
                <w:p w14:paraId="4E8D5FD6">
                  <w:pPr>
                    <w:pStyle w:val="23"/>
                    <w:spacing w:line="360" w:lineRule="auto"/>
                    <w:jc w:val="center"/>
                    <w:rPr>
                      <w:rFonts w:hint="default" w:ascii="Times New Roman" w:hAnsi="Times New Roman" w:eastAsia="宋体" w:cs="Times New Roman"/>
                      <w:color w:val="auto"/>
                      <w:sz w:val="21"/>
                      <w:szCs w:val="21"/>
                      <w:lang w:val="en-US" w:eastAsia="zh-CN"/>
                    </w:rPr>
                  </w:pPr>
                </w:p>
              </w:tc>
            </w:tr>
            <w:tr w14:paraId="099415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6" w:type="pct"/>
                  <w:vMerge w:val="restart"/>
                  <w:tcBorders>
                    <w:tl2br w:val="nil"/>
                    <w:tr2bl w:val="nil"/>
                  </w:tcBorders>
                  <w:noWrap w:val="0"/>
                  <w:vAlign w:val="center"/>
                </w:tcPr>
                <w:p w14:paraId="28CCC7A5">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废水</w:t>
                  </w:r>
                </w:p>
              </w:tc>
              <w:tc>
                <w:tcPr>
                  <w:tcW w:w="569" w:type="pct"/>
                  <w:tcBorders>
                    <w:tl2br w:val="nil"/>
                    <w:tr2bl w:val="nil"/>
                  </w:tcBorders>
                  <w:noWrap w:val="0"/>
                  <w:vAlign w:val="center"/>
                </w:tcPr>
                <w:p w14:paraId="1F1AF80D">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生活污水</w:t>
                  </w:r>
                </w:p>
              </w:tc>
              <w:tc>
                <w:tcPr>
                  <w:tcW w:w="669" w:type="pct"/>
                  <w:tcBorders>
                    <w:tl2br w:val="nil"/>
                    <w:tr2bl w:val="nil"/>
                  </w:tcBorders>
                  <w:noWrap w:val="0"/>
                  <w:vAlign w:val="center"/>
                </w:tcPr>
                <w:p w14:paraId="2DE2C953">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COD、SS、NH3-N</w:t>
                  </w:r>
                </w:p>
              </w:tc>
              <w:tc>
                <w:tcPr>
                  <w:tcW w:w="2007" w:type="pct"/>
                  <w:tcBorders>
                    <w:tl2br w:val="nil"/>
                    <w:tr2bl w:val="nil"/>
                  </w:tcBorders>
                  <w:noWrap w:val="0"/>
                  <w:vAlign w:val="center"/>
                </w:tcPr>
                <w:p w14:paraId="4E4B54A2">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依托附近村庄现有设施</w:t>
                  </w:r>
                </w:p>
              </w:tc>
              <w:tc>
                <w:tcPr>
                  <w:tcW w:w="971" w:type="pct"/>
                  <w:vMerge w:val="restart"/>
                  <w:tcBorders>
                    <w:tl2br w:val="nil"/>
                    <w:tr2bl w:val="nil"/>
                  </w:tcBorders>
                  <w:noWrap w:val="0"/>
                  <w:vAlign w:val="center"/>
                </w:tcPr>
                <w:p w14:paraId="0BC1B577">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不外排，避免水体污染</w:t>
                  </w:r>
                </w:p>
              </w:tc>
              <w:tc>
                <w:tcPr>
                  <w:tcW w:w="505" w:type="pct"/>
                  <w:vMerge w:val="restart"/>
                  <w:tcBorders>
                    <w:tl2br w:val="nil"/>
                    <w:tr2bl w:val="nil"/>
                  </w:tcBorders>
                  <w:noWrap w:val="0"/>
                  <w:vAlign w:val="center"/>
                </w:tcPr>
                <w:p w14:paraId="553A99B4">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w:t>
                  </w:r>
                </w:p>
              </w:tc>
            </w:tr>
            <w:tr w14:paraId="03B2B0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6" w:type="pct"/>
                  <w:vMerge w:val="continue"/>
                  <w:tcBorders>
                    <w:tl2br w:val="nil"/>
                    <w:tr2bl w:val="nil"/>
                  </w:tcBorders>
                  <w:noWrap w:val="0"/>
                  <w:vAlign w:val="center"/>
                </w:tcPr>
                <w:p w14:paraId="790C5A1C">
                  <w:pPr>
                    <w:pStyle w:val="23"/>
                    <w:spacing w:line="360" w:lineRule="auto"/>
                    <w:jc w:val="center"/>
                    <w:rPr>
                      <w:rFonts w:hint="default" w:ascii="Times New Roman" w:hAnsi="Times New Roman" w:eastAsia="宋体" w:cs="Times New Roman"/>
                      <w:color w:val="auto"/>
                      <w:sz w:val="21"/>
                      <w:szCs w:val="21"/>
                      <w:lang w:val="en-US" w:eastAsia="zh-CN"/>
                    </w:rPr>
                  </w:pPr>
                </w:p>
              </w:tc>
              <w:tc>
                <w:tcPr>
                  <w:tcW w:w="569" w:type="pct"/>
                  <w:tcBorders>
                    <w:tl2br w:val="nil"/>
                    <w:tr2bl w:val="nil"/>
                  </w:tcBorders>
                  <w:noWrap w:val="0"/>
                  <w:vAlign w:val="center"/>
                </w:tcPr>
                <w:p w14:paraId="1D59BE3D">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设备（车辆）冲洗废水</w:t>
                  </w:r>
                </w:p>
              </w:tc>
              <w:tc>
                <w:tcPr>
                  <w:tcW w:w="669" w:type="pct"/>
                  <w:tcBorders>
                    <w:tl2br w:val="nil"/>
                    <w:tr2bl w:val="nil"/>
                  </w:tcBorders>
                  <w:noWrap w:val="0"/>
                  <w:vAlign w:val="center"/>
                </w:tcPr>
                <w:p w14:paraId="2C2D4714">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SS</w:t>
                  </w:r>
                </w:p>
              </w:tc>
              <w:tc>
                <w:tcPr>
                  <w:tcW w:w="2007" w:type="pct"/>
                  <w:tcBorders>
                    <w:tl2br w:val="nil"/>
                    <w:tr2bl w:val="nil"/>
                  </w:tcBorders>
                  <w:noWrap w:val="0"/>
                  <w:vAlign w:val="center"/>
                </w:tcPr>
                <w:p w14:paraId="704C34B9">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经沉淀池沉淀后用于施工道路泼洒抑尘</w:t>
                  </w:r>
                </w:p>
              </w:tc>
              <w:tc>
                <w:tcPr>
                  <w:tcW w:w="971" w:type="pct"/>
                  <w:vMerge w:val="continue"/>
                  <w:tcBorders>
                    <w:tl2br w:val="nil"/>
                    <w:tr2bl w:val="nil"/>
                  </w:tcBorders>
                  <w:noWrap w:val="0"/>
                  <w:vAlign w:val="center"/>
                </w:tcPr>
                <w:p w14:paraId="299EB2B1">
                  <w:pPr>
                    <w:pStyle w:val="23"/>
                    <w:spacing w:line="360" w:lineRule="auto"/>
                    <w:jc w:val="center"/>
                    <w:rPr>
                      <w:rFonts w:hint="default" w:ascii="Times New Roman" w:hAnsi="Times New Roman" w:eastAsia="宋体" w:cs="Times New Roman"/>
                      <w:color w:val="auto"/>
                      <w:sz w:val="21"/>
                      <w:szCs w:val="21"/>
                      <w:lang w:val="en-US" w:eastAsia="zh-CN"/>
                    </w:rPr>
                  </w:pPr>
                </w:p>
              </w:tc>
              <w:tc>
                <w:tcPr>
                  <w:tcW w:w="505" w:type="pct"/>
                  <w:vMerge w:val="continue"/>
                  <w:tcBorders>
                    <w:tl2br w:val="nil"/>
                    <w:tr2bl w:val="nil"/>
                  </w:tcBorders>
                  <w:noWrap w:val="0"/>
                  <w:vAlign w:val="center"/>
                </w:tcPr>
                <w:p w14:paraId="2D64D65F">
                  <w:pPr>
                    <w:pStyle w:val="23"/>
                    <w:spacing w:line="360" w:lineRule="auto"/>
                    <w:jc w:val="center"/>
                    <w:rPr>
                      <w:rFonts w:hint="default" w:ascii="Times New Roman" w:hAnsi="Times New Roman" w:eastAsia="宋体" w:cs="Times New Roman"/>
                      <w:color w:val="auto"/>
                      <w:sz w:val="21"/>
                      <w:szCs w:val="21"/>
                      <w:lang w:val="en-US" w:eastAsia="zh-CN"/>
                    </w:rPr>
                  </w:pPr>
                </w:p>
              </w:tc>
            </w:tr>
            <w:tr w14:paraId="1E270F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6" w:type="pct"/>
                  <w:vMerge w:val="continue"/>
                  <w:tcBorders>
                    <w:tl2br w:val="nil"/>
                    <w:tr2bl w:val="nil"/>
                  </w:tcBorders>
                  <w:noWrap w:val="0"/>
                  <w:vAlign w:val="center"/>
                </w:tcPr>
                <w:p w14:paraId="00DA6130">
                  <w:pPr>
                    <w:pStyle w:val="23"/>
                    <w:spacing w:line="360" w:lineRule="auto"/>
                    <w:jc w:val="center"/>
                    <w:rPr>
                      <w:rFonts w:hint="default" w:ascii="Times New Roman" w:hAnsi="Times New Roman" w:eastAsia="宋体" w:cs="Times New Roman"/>
                      <w:color w:val="auto"/>
                      <w:sz w:val="21"/>
                      <w:szCs w:val="21"/>
                      <w:lang w:val="en-US" w:eastAsia="zh-CN"/>
                    </w:rPr>
                  </w:pPr>
                </w:p>
              </w:tc>
              <w:tc>
                <w:tcPr>
                  <w:tcW w:w="569" w:type="pct"/>
                  <w:tcBorders>
                    <w:tl2br w:val="nil"/>
                    <w:tr2bl w:val="nil"/>
                  </w:tcBorders>
                  <w:noWrap w:val="0"/>
                  <w:vAlign w:val="center"/>
                </w:tcPr>
                <w:p w14:paraId="5D522512">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混凝土养护废水</w:t>
                  </w:r>
                </w:p>
              </w:tc>
              <w:tc>
                <w:tcPr>
                  <w:tcW w:w="669" w:type="pct"/>
                  <w:tcBorders>
                    <w:tl2br w:val="nil"/>
                    <w:tr2bl w:val="nil"/>
                  </w:tcBorders>
                  <w:noWrap w:val="0"/>
                  <w:vAlign w:val="center"/>
                </w:tcPr>
                <w:p w14:paraId="5D1B0A84">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SS</w:t>
                  </w:r>
                </w:p>
              </w:tc>
              <w:tc>
                <w:tcPr>
                  <w:tcW w:w="2007" w:type="pct"/>
                  <w:tcBorders>
                    <w:tl2br w:val="nil"/>
                    <w:tr2bl w:val="nil"/>
                  </w:tcBorders>
                  <w:noWrap w:val="0"/>
                  <w:vAlign w:val="center"/>
                </w:tcPr>
                <w:p w14:paraId="2DC156F0">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自然蒸发</w:t>
                  </w:r>
                </w:p>
              </w:tc>
              <w:tc>
                <w:tcPr>
                  <w:tcW w:w="971" w:type="pct"/>
                  <w:vMerge w:val="continue"/>
                  <w:tcBorders>
                    <w:tl2br w:val="nil"/>
                    <w:tr2bl w:val="nil"/>
                  </w:tcBorders>
                  <w:noWrap w:val="0"/>
                  <w:vAlign w:val="center"/>
                </w:tcPr>
                <w:p w14:paraId="244F5D6B">
                  <w:pPr>
                    <w:pStyle w:val="23"/>
                    <w:spacing w:line="360" w:lineRule="auto"/>
                    <w:jc w:val="center"/>
                    <w:rPr>
                      <w:rFonts w:hint="default" w:ascii="Times New Roman" w:hAnsi="Times New Roman" w:eastAsia="宋体" w:cs="Times New Roman"/>
                      <w:color w:val="auto"/>
                      <w:sz w:val="21"/>
                      <w:szCs w:val="21"/>
                      <w:lang w:val="en-US" w:eastAsia="zh-CN"/>
                    </w:rPr>
                  </w:pPr>
                </w:p>
              </w:tc>
              <w:tc>
                <w:tcPr>
                  <w:tcW w:w="505" w:type="pct"/>
                  <w:vMerge w:val="continue"/>
                  <w:tcBorders>
                    <w:tl2br w:val="nil"/>
                    <w:tr2bl w:val="nil"/>
                  </w:tcBorders>
                  <w:noWrap w:val="0"/>
                  <w:vAlign w:val="center"/>
                </w:tcPr>
                <w:p w14:paraId="018555B5">
                  <w:pPr>
                    <w:pStyle w:val="23"/>
                    <w:spacing w:line="360" w:lineRule="auto"/>
                    <w:jc w:val="center"/>
                    <w:rPr>
                      <w:rFonts w:hint="default" w:ascii="Times New Roman" w:hAnsi="Times New Roman" w:eastAsia="宋体" w:cs="Times New Roman"/>
                      <w:color w:val="auto"/>
                      <w:sz w:val="21"/>
                      <w:szCs w:val="21"/>
                      <w:lang w:val="en-US" w:eastAsia="zh-CN"/>
                    </w:rPr>
                  </w:pPr>
                </w:p>
              </w:tc>
            </w:tr>
            <w:tr w14:paraId="39DB96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76" w:type="pct"/>
                  <w:tcBorders>
                    <w:tl2br w:val="nil"/>
                    <w:tr2bl w:val="nil"/>
                  </w:tcBorders>
                  <w:noWrap w:val="0"/>
                  <w:vAlign w:val="center"/>
                </w:tcPr>
                <w:p w14:paraId="7893545D">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噪声</w:t>
                  </w:r>
                </w:p>
              </w:tc>
              <w:tc>
                <w:tcPr>
                  <w:tcW w:w="569" w:type="pct"/>
                  <w:tcBorders>
                    <w:tl2br w:val="nil"/>
                    <w:tr2bl w:val="nil"/>
                  </w:tcBorders>
                  <w:noWrap w:val="0"/>
                  <w:vAlign w:val="center"/>
                </w:tcPr>
                <w:p w14:paraId="4B897AD1">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施工期</w:t>
                  </w:r>
                </w:p>
              </w:tc>
              <w:tc>
                <w:tcPr>
                  <w:tcW w:w="669" w:type="pct"/>
                  <w:tcBorders>
                    <w:tl2br w:val="nil"/>
                    <w:tr2bl w:val="nil"/>
                  </w:tcBorders>
                  <w:noWrap w:val="0"/>
                  <w:vAlign w:val="center"/>
                </w:tcPr>
                <w:p w14:paraId="3571ABC6">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噪声</w:t>
                  </w:r>
                </w:p>
              </w:tc>
              <w:tc>
                <w:tcPr>
                  <w:tcW w:w="2007" w:type="pct"/>
                  <w:tcBorders>
                    <w:tl2br w:val="nil"/>
                    <w:tr2bl w:val="nil"/>
                  </w:tcBorders>
                  <w:noWrap w:val="0"/>
                  <w:vAlign w:val="center"/>
                </w:tcPr>
                <w:p w14:paraId="2FB246B6">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加强管理，安装减震装置，选择低噪声施工设备；合理安排施工时间</w:t>
                  </w:r>
                </w:p>
              </w:tc>
              <w:tc>
                <w:tcPr>
                  <w:tcW w:w="971" w:type="pct"/>
                  <w:tcBorders>
                    <w:tl2br w:val="nil"/>
                    <w:tr2bl w:val="nil"/>
                  </w:tcBorders>
                  <w:noWrap w:val="0"/>
                  <w:vAlign w:val="center"/>
                </w:tcPr>
                <w:p w14:paraId="09ED49DC">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减缓对沿线声环境敏感点影响</w:t>
                  </w:r>
                </w:p>
              </w:tc>
              <w:tc>
                <w:tcPr>
                  <w:tcW w:w="505" w:type="pct"/>
                  <w:tcBorders>
                    <w:tl2br w:val="nil"/>
                    <w:tr2bl w:val="nil"/>
                  </w:tcBorders>
                  <w:noWrap w:val="0"/>
                  <w:vAlign w:val="center"/>
                </w:tcPr>
                <w:p w14:paraId="475782EB">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w:t>
                  </w:r>
                </w:p>
              </w:tc>
            </w:tr>
            <w:tr w14:paraId="275D7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6" w:type="pct"/>
                  <w:gridSpan w:val="2"/>
                  <w:vMerge w:val="restart"/>
                  <w:tcBorders>
                    <w:tl2br w:val="nil"/>
                    <w:tr2bl w:val="nil"/>
                  </w:tcBorders>
                  <w:noWrap w:val="0"/>
                  <w:vAlign w:val="center"/>
                </w:tcPr>
                <w:p w14:paraId="5736F70F">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固体废物</w:t>
                  </w:r>
                </w:p>
              </w:tc>
              <w:tc>
                <w:tcPr>
                  <w:tcW w:w="669" w:type="pct"/>
                  <w:tcBorders>
                    <w:tl2br w:val="nil"/>
                    <w:tr2bl w:val="nil"/>
                  </w:tcBorders>
                  <w:noWrap w:val="0"/>
                  <w:vAlign w:val="center"/>
                </w:tcPr>
                <w:p w14:paraId="092D0717">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生活垃圾</w:t>
                  </w:r>
                </w:p>
              </w:tc>
              <w:tc>
                <w:tcPr>
                  <w:tcW w:w="2007" w:type="pct"/>
                  <w:tcBorders>
                    <w:tl2br w:val="nil"/>
                    <w:tr2bl w:val="nil"/>
                  </w:tcBorders>
                  <w:noWrap w:val="0"/>
                  <w:vAlign w:val="center"/>
                </w:tcPr>
                <w:p w14:paraId="7C572429">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工区设置生活垃圾箱用于集中收集生活垃圾，由当地环卫处统一定期运至所在城市垃圾填埋场进行安全填埋。</w:t>
                  </w:r>
                </w:p>
              </w:tc>
              <w:tc>
                <w:tcPr>
                  <w:tcW w:w="971" w:type="pct"/>
                  <w:vMerge w:val="restart"/>
                  <w:tcBorders>
                    <w:tl2br w:val="nil"/>
                    <w:tr2bl w:val="nil"/>
                  </w:tcBorders>
                  <w:noWrap w:val="0"/>
                  <w:vAlign w:val="center"/>
                </w:tcPr>
                <w:p w14:paraId="033FEFA9">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减缓固体废物对环境污染</w:t>
                  </w:r>
                </w:p>
              </w:tc>
              <w:tc>
                <w:tcPr>
                  <w:tcW w:w="505" w:type="pct"/>
                  <w:vMerge w:val="restart"/>
                  <w:tcBorders>
                    <w:tl2br w:val="nil"/>
                    <w:tr2bl w:val="nil"/>
                  </w:tcBorders>
                  <w:noWrap w:val="0"/>
                  <w:vAlign w:val="center"/>
                </w:tcPr>
                <w:p w14:paraId="1BC8A429">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w:t>
                  </w:r>
                </w:p>
              </w:tc>
            </w:tr>
            <w:tr w14:paraId="49E8D7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23" w:hRule="atLeast"/>
                <w:jc w:val="center"/>
              </w:trPr>
              <w:tc>
                <w:tcPr>
                  <w:tcW w:w="846" w:type="pct"/>
                  <w:gridSpan w:val="2"/>
                  <w:vMerge w:val="continue"/>
                  <w:tcBorders>
                    <w:tl2br w:val="nil"/>
                    <w:tr2bl w:val="nil"/>
                  </w:tcBorders>
                  <w:noWrap w:val="0"/>
                  <w:vAlign w:val="center"/>
                </w:tcPr>
                <w:p w14:paraId="7D3E2988">
                  <w:pPr>
                    <w:pStyle w:val="23"/>
                    <w:spacing w:line="360" w:lineRule="auto"/>
                    <w:jc w:val="center"/>
                    <w:rPr>
                      <w:rFonts w:hint="default" w:ascii="Times New Roman" w:hAnsi="Times New Roman" w:eastAsia="宋体" w:cs="Times New Roman"/>
                      <w:color w:val="auto"/>
                      <w:sz w:val="21"/>
                      <w:szCs w:val="21"/>
                      <w:lang w:val="en-US" w:eastAsia="zh-CN"/>
                    </w:rPr>
                  </w:pPr>
                </w:p>
              </w:tc>
              <w:tc>
                <w:tcPr>
                  <w:tcW w:w="669" w:type="pct"/>
                  <w:tcBorders>
                    <w:tl2br w:val="nil"/>
                    <w:tr2bl w:val="nil"/>
                  </w:tcBorders>
                  <w:noWrap w:val="0"/>
                  <w:vAlign w:val="center"/>
                </w:tcPr>
                <w:p w14:paraId="19B09D43">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建筑垃圾</w:t>
                  </w:r>
                </w:p>
              </w:tc>
              <w:tc>
                <w:tcPr>
                  <w:tcW w:w="2007" w:type="pct"/>
                  <w:tcBorders>
                    <w:tl2br w:val="nil"/>
                    <w:tr2bl w:val="nil"/>
                  </w:tcBorders>
                  <w:noWrap w:val="0"/>
                  <w:vAlign w:val="center"/>
                </w:tcPr>
                <w:p w14:paraId="3E69D321">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施工过程中和施工结束后应由施工方将不可利用施工垃圾运送至当地环保部门指定的建筑垃圾填埋场。</w:t>
                  </w:r>
                </w:p>
              </w:tc>
              <w:tc>
                <w:tcPr>
                  <w:tcW w:w="971" w:type="pct"/>
                  <w:vMerge w:val="continue"/>
                  <w:tcBorders>
                    <w:tl2br w:val="nil"/>
                    <w:tr2bl w:val="nil"/>
                  </w:tcBorders>
                  <w:noWrap w:val="0"/>
                  <w:vAlign w:val="center"/>
                </w:tcPr>
                <w:p w14:paraId="02A192F9">
                  <w:pPr>
                    <w:pStyle w:val="23"/>
                    <w:spacing w:line="360" w:lineRule="auto"/>
                    <w:jc w:val="center"/>
                    <w:rPr>
                      <w:rFonts w:hint="default" w:ascii="Times New Roman" w:hAnsi="Times New Roman" w:eastAsia="宋体" w:cs="Times New Roman"/>
                      <w:color w:val="auto"/>
                      <w:sz w:val="21"/>
                      <w:szCs w:val="21"/>
                      <w:lang w:val="en-US" w:eastAsia="zh-CN"/>
                    </w:rPr>
                  </w:pPr>
                </w:p>
              </w:tc>
              <w:tc>
                <w:tcPr>
                  <w:tcW w:w="505" w:type="pct"/>
                  <w:vMerge w:val="continue"/>
                  <w:tcBorders>
                    <w:tl2br w:val="nil"/>
                    <w:tr2bl w:val="nil"/>
                  </w:tcBorders>
                  <w:noWrap w:val="0"/>
                  <w:vAlign w:val="center"/>
                </w:tcPr>
                <w:p w14:paraId="6BDE1D8C">
                  <w:pPr>
                    <w:pStyle w:val="23"/>
                    <w:spacing w:line="360" w:lineRule="auto"/>
                    <w:jc w:val="center"/>
                    <w:rPr>
                      <w:rFonts w:hint="default" w:ascii="Times New Roman" w:hAnsi="Times New Roman" w:eastAsia="宋体" w:cs="Times New Roman"/>
                      <w:color w:val="auto"/>
                      <w:sz w:val="21"/>
                      <w:szCs w:val="21"/>
                      <w:lang w:val="en-US" w:eastAsia="zh-CN"/>
                    </w:rPr>
                  </w:pPr>
                </w:p>
              </w:tc>
            </w:tr>
            <w:tr w14:paraId="30560C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46" w:type="pct"/>
                  <w:gridSpan w:val="2"/>
                  <w:tcBorders>
                    <w:tl2br w:val="nil"/>
                    <w:tr2bl w:val="nil"/>
                  </w:tcBorders>
                  <w:noWrap w:val="0"/>
                  <w:vAlign w:val="center"/>
                </w:tcPr>
                <w:p w14:paraId="3ACF47A4">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生态环境</w:t>
                  </w:r>
                </w:p>
              </w:tc>
              <w:tc>
                <w:tcPr>
                  <w:tcW w:w="669" w:type="pct"/>
                  <w:tcBorders>
                    <w:tl2br w:val="nil"/>
                    <w:tr2bl w:val="nil"/>
                  </w:tcBorders>
                  <w:noWrap w:val="0"/>
                  <w:vAlign w:val="center"/>
                </w:tcPr>
                <w:p w14:paraId="71E9337D">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植被恢复</w:t>
                  </w:r>
                </w:p>
              </w:tc>
              <w:tc>
                <w:tcPr>
                  <w:tcW w:w="2007" w:type="pct"/>
                  <w:tcBorders>
                    <w:tl2br w:val="nil"/>
                    <w:tr2bl w:val="nil"/>
                  </w:tcBorders>
                  <w:noWrap w:val="0"/>
                  <w:vAlign w:val="center"/>
                </w:tcPr>
                <w:p w14:paraId="748B5470">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对临时设施拆除，临时占地进行土地平整后用原表土覆盖，并进行植被恢复，采用播撒草种和自然恢复结合的方式，避免水土流失和风蚀沙化</w:t>
                  </w:r>
                </w:p>
              </w:tc>
              <w:tc>
                <w:tcPr>
                  <w:tcW w:w="971" w:type="pct"/>
                  <w:tcBorders>
                    <w:tl2br w:val="nil"/>
                    <w:tr2bl w:val="nil"/>
                  </w:tcBorders>
                  <w:noWrap w:val="0"/>
                  <w:vAlign w:val="center"/>
                </w:tcPr>
                <w:p w14:paraId="5674CE94">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工程占地得到恢复、减轻生态影响</w:t>
                  </w:r>
                </w:p>
              </w:tc>
              <w:tc>
                <w:tcPr>
                  <w:tcW w:w="505" w:type="pct"/>
                  <w:tcBorders>
                    <w:tl2br w:val="nil"/>
                    <w:tr2bl w:val="nil"/>
                  </w:tcBorders>
                  <w:noWrap w:val="0"/>
                  <w:vAlign w:val="center"/>
                </w:tcPr>
                <w:p w14:paraId="0798B3E5">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101.8</w:t>
                  </w:r>
                </w:p>
              </w:tc>
            </w:tr>
            <w:tr w14:paraId="5DE227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15" w:type="pct"/>
                  <w:gridSpan w:val="3"/>
                  <w:tcBorders>
                    <w:tl2br w:val="nil"/>
                    <w:tr2bl w:val="nil"/>
                  </w:tcBorders>
                  <w:noWrap w:val="0"/>
                  <w:vAlign w:val="center"/>
                </w:tcPr>
                <w:p w14:paraId="02B66CCC">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其他</w:t>
                  </w:r>
                </w:p>
              </w:tc>
              <w:tc>
                <w:tcPr>
                  <w:tcW w:w="2007" w:type="pct"/>
                  <w:tcBorders>
                    <w:tl2br w:val="nil"/>
                    <w:tr2bl w:val="nil"/>
                  </w:tcBorders>
                  <w:noWrap w:val="0"/>
                  <w:vAlign w:val="center"/>
                </w:tcPr>
                <w:p w14:paraId="099985A4">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综合整治、场地平整并恢复原地貌，水土保持、生态恢复、竣工验收环境管理、环境监测等。</w:t>
                  </w:r>
                </w:p>
              </w:tc>
              <w:tc>
                <w:tcPr>
                  <w:tcW w:w="971" w:type="pct"/>
                  <w:tcBorders>
                    <w:tl2br w:val="nil"/>
                    <w:tr2bl w:val="nil"/>
                  </w:tcBorders>
                  <w:noWrap w:val="0"/>
                  <w:vAlign w:val="center"/>
                </w:tcPr>
                <w:p w14:paraId="68167C32">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减轻工程对环境的影响</w:t>
                  </w:r>
                </w:p>
              </w:tc>
              <w:tc>
                <w:tcPr>
                  <w:tcW w:w="505" w:type="pct"/>
                  <w:tcBorders>
                    <w:tl2br w:val="nil"/>
                    <w:tr2bl w:val="nil"/>
                  </w:tcBorders>
                  <w:noWrap w:val="0"/>
                  <w:vAlign w:val="center"/>
                </w:tcPr>
                <w:p w14:paraId="3AC899E3">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w:t>
                  </w:r>
                </w:p>
              </w:tc>
            </w:tr>
            <w:tr w14:paraId="48E01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15" w:type="pct"/>
                  <w:gridSpan w:val="3"/>
                  <w:tcBorders>
                    <w:tl2br w:val="nil"/>
                    <w:tr2bl w:val="nil"/>
                  </w:tcBorders>
                  <w:noWrap w:val="0"/>
                  <w:vAlign w:val="center"/>
                </w:tcPr>
                <w:p w14:paraId="32D15D95">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合计</w:t>
                  </w:r>
                </w:p>
              </w:tc>
              <w:tc>
                <w:tcPr>
                  <w:tcW w:w="3484" w:type="pct"/>
                  <w:gridSpan w:val="3"/>
                  <w:tcBorders>
                    <w:tl2br w:val="nil"/>
                    <w:tr2bl w:val="nil"/>
                  </w:tcBorders>
                  <w:noWrap w:val="0"/>
                  <w:vAlign w:val="center"/>
                </w:tcPr>
                <w:p w14:paraId="07121EA1">
                  <w:pPr>
                    <w:pStyle w:val="23"/>
                    <w:spacing w:line="36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174.6</w:t>
                  </w:r>
                </w:p>
              </w:tc>
            </w:tr>
            <w:bookmarkEnd w:id="25"/>
          </w:tbl>
          <w:p w14:paraId="2C8A9947">
            <w:pPr>
              <w:pStyle w:val="27"/>
              <w:rPr>
                <w:rFonts w:hint="default" w:ascii="Times New Roman" w:hAnsi="Times New Roman" w:cs="Times New Roman"/>
                <w:bCs/>
                <w:color w:val="auto"/>
                <w:spacing w:val="10"/>
                <w:sz w:val="24"/>
              </w:rPr>
            </w:pPr>
          </w:p>
        </w:tc>
      </w:tr>
    </w:tbl>
    <w:p w14:paraId="2EAE47DD">
      <w:pPr>
        <w:pStyle w:val="17"/>
        <w:rPr>
          <w:rFonts w:hint="default" w:ascii="Times New Roman" w:hAnsi="Times New Roman" w:cs="Times New Roman"/>
          <w:color w:val="auto"/>
        </w:rPr>
        <w:sectPr>
          <w:pgSz w:w="11907" w:h="16840"/>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6274D2C6">
      <w:pPr>
        <w:pStyle w:val="28"/>
        <w:jc w:val="center"/>
        <w:outlineLvl w:val="0"/>
        <w:rPr>
          <w:rFonts w:hint="default" w:ascii="Times New Roman" w:hAnsi="Times New Roman" w:eastAsia="黑体" w:cs="Times New Roman"/>
          <w:snapToGrid w:val="0"/>
          <w:color w:val="auto"/>
          <w:sz w:val="30"/>
          <w:szCs w:val="30"/>
        </w:rPr>
      </w:pPr>
      <w:bookmarkStart w:id="26" w:name="_Toc30688"/>
      <w:bookmarkStart w:id="27" w:name="_Toc16768"/>
      <w:r>
        <w:rPr>
          <w:rFonts w:hint="default" w:ascii="Times New Roman" w:hAnsi="Times New Roman" w:eastAsia="黑体" w:cs="Times New Roman"/>
          <w:snapToGrid w:val="0"/>
          <w:color w:val="auto"/>
          <w:sz w:val="30"/>
          <w:szCs w:val="30"/>
        </w:rPr>
        <w:t>六、生态环境保护措施监督检查清单</w:t>
      </w:r>
      <w:bookmarkEnd w:id="26"/>
      <w:bookmarkEnd w:id="27"/>
    </w:p>
    <w:tbl>
      <w:tblPr>
        <w:tblStyle w:val="31"/>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3250"/>
        <w:gridCol w:w="1790"/>
        <w:gridCol w:w="1230"/>
        <w:gridCol w:w="1106"/>
      </w:tblGrid>
      <w:tr w14:paraId="21E0D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vMerge w:val="restart"/>
            <w:tcBorders>
              <w:tl2br w:val="single" w:color="auto" w:sz="4" w:space="0"/>
            </w:tcBorders>
            <w:noWrap w:val="0"/>
            <w:vAlign w:val="top"/>
          </w:tcPr>
          <w:p w14:paraId="109921AD">
            <w:pPr>
              <w:pStyle w:val="28"/>
              <w:adjustRightInd w:val="0"/>
              <w:snapToGrid w:val="0"/>
              <w:spacing w:before="72" w:beforeLines="30" w:beforeAutospacing="0" w:after="0" w:afterAutospacing="0"/>
              <w:jc w:val="center"/>
              <w:outlineLvl w:val="0"/>
              <w:rPr>
                <w:rFonts w:ascii="黑体" w:hAnsi="黑体" w:eastAsia="黑体" w:cs="宋体"/>
                <w:color w:val="auto"/>
                <w:kern w:val="2"/>
                <w:sz w:val="21"/>
                <w:szCs w:val="21"/>
                <w:highlight w:val="none"/>
              </w:rPr>
            </w:pPr>
            <w:bookmarkStart w:id="28" w:name="_Toc10332"/>
            <w:r>
              <w:rPr>
                <w:rFonts w:hint="eastAsia" w:ascii="黑体" w:hAnsi="黑体" w:eastAsia="黑体" w:cs="宋体"/>
                <w:color w:val="auto"/>
                <w:kern w:val="2"/>
                <w:sz w:val="21"/>
                <w:szCs w:val="21"/>
                <w:highlight w:val="none"/>
              </w:rPr>
              <w:t>内容</w:t>
            </w:r>
            <w:bookmarkEnd w:id="28"/>
          </w:p>
          <w:p w14:paraId="66552570">
            <w:pPr>
              <w:pStyle w:val="28"/>
              <w:adjustRightInd w:val="0"/>
              <w:snapToGrid w:val="0"/>
              <w:spacing w:before="0" w:beforeAutospacing="0" w:after="0" w:afterAutospacing="0" w:line="14" w:lineRule="auto"/>
              <w:outlineLvl w:val="0"/>
              <w:rPr>
                <w:rFonts w:hint="eastAsia"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 xml:space="preserve">  </w:t>
            </w:r>
          </w:p>
          <w:p w14:paraId="7FEB4143">
            <w:pPr>
              <w:pStyle w:val="28"/>
              <w:adjustRightInd w:val="0"/>
              <w:snapToGrid w:val="0"/>
              <w:spacing w:before="0" w:beforeAutospacing="0" w:after="0" w:afterAutospacing="0"/>
              <w:outlineLvl w:val="0"/>
              <w:rPr>
                <w:rFonts w:hint="eastAsia" w:ascii="黑体" w:hAnsi="黑体" w:eastAsia="黑体" w:cs="宋体"/>
                <w:color w:val="auto"/>
                <w:kern w:val="2"/>
                <w:sz w:val="21"/>
                <w:szCs w:val="21"/>
                <w:highlight w:val="none"/>
              </w:rPr>
            </w:pPr>
            <w:bookmarkStart w:id="29" w:name="_Toc2629"/>
            <w:r>
              <w:rPr>
                <w:rFonts w:hint="eastAsia" w:ascii="黑体" w:hAnsi="黑体" w:eastAsia="黑体" w:cs="宋体"/>
                <w:color w:val="auto"/>
                <w:kern w:val="2"/>
                <w:sz w:val="21"/>
                <w:szCs w:val="21"/>
                <w:highlight w:val="none"/>
              </w:rPr>
              <w:t>要素</w:t>
            </w:r>
            <w:bookmarkEnd w:id="29"/>
          </w:p>
        </w:tc>
        <w:tc>
          <w:tcPr>
            <w:tcW w:w="2957" w:type="pct"/>
            <w:gridSpan w:val="2"/>
            <w:noWrap w:val="0"/>
            <w:vAlign w:val="center"/>
          </w:tcPr>
          <w:p w14:paraId="1B556AB0">
            <w:pPr>
              <w:pStyle w:val="28"/>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bookmarkStart w:id="30" w:name="_Toc23984"/>
            <w:r>
              <w:rPr>
                <w:rFonts w:hint="eastAsia" w:ascii="黑体" w:hAnsi="黑体" w:eastAsia="黑体" w:cs="宋体"/>
                <w:color w:val="auto"/>
                <w:kern w:val="2"/>
                <w:sz w:val="21"/>
                <w:szCs w:val="21"/>
                <w:highlight w:val="none"/>
              </w:rPr>
              <w:t>施工期</w:t>
            </w:r>
            <w:bookmarkEnd w:id="30"/>
          </w:p>
        </w:tc>
        <w:tc>
          <w:tcPr>
            <w:tcW w:w="1370" w:type="pct"/>
            <w:gridSpan w:val="2"/>
            <w:noWrap w:val="0"/>
            <w:vAlign w:val="center"/>
          </w:tcPr>
          <w:p w14:paraId="58C3273E">
            <w:pPr>
              <w:pStyle w:val="28"/>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bookmarkStart w:id="31" w:name="_Toc17453"/>
            <w:r>
              <w:rPr>
                <w:rFonts w:hint="eastAsia" w:ascii="黑体" w:hAnsi="黑体" w:eastAsia="黑体" w:cs="宋体"/>
                <w:color w:val="auto"/>
                <w:kern w:val="2"/>
                <w:sz w:val="21"/>
                <w:szCs w:val="21"/>
                <w:highlight w:val="none"/>
              </w:rPr>
              <w:t>运营期</w:t>
            </w:r>
            <w:bookmarkEnd w:id="31"/>
          </w:p>
        </w:tc>
      </w:tr>
      <w:tr w14:paraId="770AF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vMerge w:val="continue"/>
            <w:noWrap w:val="0"/>
            <w:vAlign w:val="top"/>
          </w:tcPr>
          <w:p w14:paraId="0FBE48A4">
            <w:pPr>
              <w:pStyle w:val="28"/>
              <w:adjustRightInd w:val="0"/>
              <w:snapToGrid w:val="0"/>
              <w:spacing w:before="0" w:beforeAutospacing="0" w:after="0" w:afterAutospacing="0"/>
              <w:ind w:firstLine="840"/>
              <w:jc w:val="center"/>
              <w:outlineLvl w:val="0"/>
              <w:rPr>
                <w:rFonts w:ascii="黑体" w:hAnsi="黑体" w:eastAsia="黑体" w:cs="宋体"/>
                <w:color w:val="auto"/>
                <w:kern w:val="2"/>
                <w:sz w:val="21"/>
                <w:szCs w:val="21"/>
                <w:highlight w:val="none"/>
              </w:rPr>
            </w:pPr>
          </w:p>
        </w:tc>
        <w:tc>
          <w:tcPr>
            <w:tcW w:w="1906" w:type="pct"/>
            <w:noWrap w:val="0"/>
            <w:vAlign w:val="center"/>
          </w:tcPr>
          <w:p w14:paraId="428C6C4D">
            <w:pPr>
              <w:pStyle w:val="28"/>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bookmarkStart w:id="32" w:name="_Toc18917"/>
            <w:r>
              <w:rPr>
                <w:rFonts w:hint="eastAsia" w:ascii="黑体" w:hAnsi="黑体" w:eastAsia="黑体" w:cs="宋体"/>
                <w:color w:val="auto"/>
                <w:kern w:val="2"/>
                <w:sz w:val="21"/>
                <w:szCs w:val="21"/>
                <w:highlight w:val="none"/>
              </w:rPr>
              <w:t>环境保护措施</w:t>
            </w:r>
            <w:bookmarkEnd w:id="32"/>
          </w:p>
        </w:tc>
        <w:tc>
          <w:tcPr>
            <w:tcW w:w="1050" w:type="pct"/>
            <w:noWrap w:val="0"/>
            <w:vAlign w:val="center"/>
          </w:tcPr>
          <w:p w14:paraId="109AA24B">
            <w:pPr>
              <w:pStyle w:val="28"/>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bookmarkStart w:id="33" w:name="_Toc15071"/>
            <w:r>
              <w:rPr>
                <w:rFonts w:hint="eastAsia" w:ascii="黑体" w:hAnsi="黑体" w:eastAsia="黑体" w:cs="宋体"/>
                <w:color w:val="auto"/>
                <w:kern w:val="2"/>
                <w:sz w:val="21"/>
                <w:szCs w:val="21"/>
                <w:highlight w:val="none"/>
              </w:rPr>
              <w:t>验收要求</w:t>
            </w:r>
            <w:bookmarkEnd w:id="33"/>
          </w:p>
        </w:tc>
        <w:tc>
          <w:tcPr>
            <w:tcW w:w="721" w:type="pct"/>
            <w:noWrap w:val="0"/>
            <w:vAlign w:val="center"/>
          </w:tcPr>
          <w:p w14:paraId="533632F1">
            <w:pPr>
              <w:pStyle w:val="28"/>
              <w:adjustRightInd w:val="0"/>
              <w:snapToGrid w:val="0"/>
              <w:spacing w:before="0" w:beforeAutospacing="0" w:after="0" w:afterAutospacing="0"/>
              <w:ind w:left="-105" w:leftChars="-50" w:right="-105" w:rightChars="-50"/>
              <w:jc w:val="center"/>
              <w:outlineLvl w:val="0"/>
              <w:rPr>
                <w:rFonts w:hint="eastAsia" w:ascii="黑体" w:hAnsi="黑体" w:eastAsia="黑体" w:cs="宋体"/>
                <w:color w:val="auto"/>
                <w:kern w:val="2"/>
                <w:sz w:val="21"/>
                <w:szCs w:val="21"/>
                <w:highlight w:val="none"/>
              </w:rPr>
            </w:pPr>
            <w:bookmarkStart w:id="34" w:name="_Toc6271"/>
            <w:r>
              <w:rPr>
                <w:rFonts w:hint="eastAsia" w:ascii="黑体" w:hAnsi="黑体" w:eastAsia="黑体" w:cs="宋体"/>
                <w:color w:val="auto"/>
                <w:kern w:val="2"/>
                <w:sz w:val="21"/>
                <w:szCs w:val="21"/>
                <w:highlight w:val="none"/>
              </w:rPr>
              <w:t>环境保护</w:t>
            </w:r>
          </w:p>
          <w:p w14:paraId="0C2021CE">
            <w:pPr>
              <w:pStyle w:val="28"/>
              <w:adjustRightInd w:val="0"/>
              <w:snapToGrid w:val="0"/>
              <w:spacing w:before="0" w:beforeAutospacing="0" w:after="0" w:afterAutospacing="0"/>
              <w:ind w:left="-105" w:leftChars="-50" w:right="-105" w:rightChars="-5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措施</w:t>
            </w:r>
            <w:bookmarkEnd w:id="34"/>
          </w:p>
        </w:tc>
        <w:tc>
          <w:tcPr>
            <w:tcW w:w="648" w:type="pct"/>
            <w:noWrap w:val="0"/>
            <w:vAlign w:val="center"/>
          </w:tcPr>
          <w:p w14:paraId="03D819E1">
            <w:pPr>
              <w:pStyle w:val="28"/>
              <w:adjustRightInd w:val="0"/>
              <w:snapToGrid w:val="0"/>
              <w:spacing w:before="0" w:beforeAutospacing="0" w:after="0" w:afterAutospacing="0"/>
              <w:ind w:left="-105" w:leftChars="-50" w:right="-105" w:rightChars="-50"/>
              <w:jc w:val="center"/>
              <w:outlineLvl w:val="0"/>
              <w:rPr>
                <w:rFonts w:ascii="黑体" w:hAnsi="黑体" w:eastAsia="黑体" w:cs="宋体"/>
                <w:color w:val="auto"/>
                <w:kern w:val="2"/>
                <w:sz w:val="21"/>
                <w:szCs w:val="21"/>
                <w:highlight w:val="none"/>
              </w:rPr>
            </w:pPr>
            <w:bookmarkStart w:id="35" w:name="_Toc2344"/>
            <w:r>
              <w:rPr>
                <w:rFonts w:hint="eastAsia" w:ascii="黑体" w:hAnsi="黑体" w:eastAsia="黑体" w:cs="宋体"/>
                <w:color w:val="auto"/>
                <w:kern w:val="2"/>
                <w:sz w:val="21"/>
                <w:szCs w:val="21"/>
                <w:highlight w:val="none"/>
              </w:rPr>
              <w:t>验收要求</w:t>
            </w:r>
            <w:bookmarkEnd w:id="35"/>
          </w:p>
        </w:tc>
      </w:tr>
      <w:tr w14:paraId="694ED1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3F923C6B">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陆生生态</w:t>
            </w:r>
          </w:p>
        </w:tc>
        <w:tc>
          <w:tcPr>
            <w:tcW w:w="1906" w:type="pct"/>
            <w:noWrap w:val="0"/>
            <w:vAlign w:val="center"/>
          </w:tcPr>
          <w:p w14:paraId="19B776CF">
            <w:pPr>
              <w:adjustRightInd w:val="0"/>
              <w:snapToGrid w:val="0"/>
              <w:jc w:val="center"/>
              <w:rPr>
                <w:color w:val="auto"/>
                <w:sz w:val="21"/>
                <w:szCs w:val="21"/>
                <w:highlight w:val="none"/>
              </w:rPr>
            </w:pPr>
            <w:r>
              <w:rPr>
                <w:rFonts w:hint="eastAsia"/>
                <w:color w:val="auto"/>
                <w:sz w:val="21"/>
                <w:szCs w:val="21"/>
                <w:highlight w:val="none"/>
              </w:rPr>
              <w:t>严格控制施工面积、规划行驶路线、减少植被破坏、场地平整、施工结束后拆除建构筑物、植被恢复；合理计划施工期、施工时间</w:t>
            </w:r>
          </w:p>
        </w:tc>
        <w:tc>
          <w:tcPr>
            <w:tcW w:w="1050" w:type="pct"/>
            <w:noWrap w:val="0"/>
            <w:vAlign w:val="center"/>
          </w:tcPr>
          <w:p w14:paraId="4E53B3BE">
            <w:pPr>
              <w:pStyle w:val="60"/>
              <w:spacing w:before="78" w:line="220" w:lineRule="auto"/>
              <w:ind w:left="114"/>
              <w:rPr>
                <w:rFonts w:hint="eastAsia"/>
                <w:color w:val="auto"/>
                <w:sz w:val="21"/>
                <w:szCs w:val="21"/>
                <w:highlight w:val="none"/>
                <w:lang w:eastAsia="zh-CN"/>
              </w:rPr>
            </w:pPr>
            <w:r>
              <w:rPr>
                <w:rFonts w:hint="eastAsia"/>
                <w:color w:val="auto"/>
                <w:sz w:val="21"/>
                <w:szCs w:val="21"/>
                <w:highlight w:val="none"/>
                <w:lang w:eastAsia="zh-CN"/>
              </w:rPr>
              <w:t>控制施工占地、场地平整、施工结束后拆除建构筑物、植被恢复；合理计划施工期、施工时间</w:t>
            </w:r>
          </w:p>
        </w:tc>
        <w:tc>
          <w:tcPr>
            <w:tcW w:w="721" w:type="pct"/>
            <w:noWrap w:val="0"/>
            <w:vAlign w:val="center"/>
          </w:tcPr>
          <w:p w14:paraId="3C5D8ABA">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40C24DFA">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r>
      <w:tr w14:paraId="1A844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3E14373F">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水生生态</w:t>
            </w:r>
          </w:p>
        </w:tc>
        <w:tc>
          <w:tcPr>
            <w:tcW w:w="1906" w:type="pct"/>
            <w:noWrap w:val="0"/>
            <w:vAlign w:val="center"/>
          </w:tcPr>
          <w:p w14:paraId="1DA35657">
            <w:pPr>
              <w:pStyle w:val="60"/>
              <w:spacing w:line="233" w:lineRule="auto"/>
              <w:jc w:val="center"/>
              <w:rPr>
                <w:rFonts w:hint="eastAsia"/>
                <w:color w:val="auto"/>
                <w:sz w:val="21"/>
                <w:szCs w:val="21"/>
                <w:highlight w:val="none"/>
                <w:lang w:eastAsia="zh-CN"/>
              </w:rPr>
            </w:pPr>
            <w:r>
              <w:rPr>
                <w:rFonts w:ascii="Times New Roman" w:hAnsi="Times New Roman" w:cs="Times New Roman"/>
                <w:color w:val="auto"/>
                <w:spacing w:val="-2"/>
                <w:sz w:val="21"/>
                <w:szCs w:val="21"/>
                <w:highlight w:val="none"/>
              </w:rPr>
              <w:t>不得利用非施工侧河道布置施工机械、设备，禁</w:t>
            </w:r>
            <w:r>
              <w:rPr>
                <w:rFonts w:ascii="Times New Roman" w:hAnsi="Times New Roman" w:cs="Times New Roman"/>
                <w:color w:val="auto"/>
                <w:spacing w:val="-1"/>
                <w:sz w:val="21"/>
                <w:szCs w:val="21"/>
                <w:highlight w:val="none"/>
              </w:rPr>
              <w:t>止采挖施工范围以外河床</w:t>
            </w:r>
            <w:r>
              <w:rPr>
                <w:rFonts w:hint="eastAsia" w:ascii="Times New Roman" w:hAnsi="Times New Roman" w:cs="Times New Roman"/>
                <w:color w:val="auto"/>
                <w:spacing w:val="-1"/>
                <w:sz w:val="21"/>
                <w:szCs w:val="21"/>
                <w:highlight w:val="none"/>
                <w:lang w:eastAsia="zh-CN"/>
              </w:rPr>
              <w:t>；</w:t>
            </w:r>
            <w:r>
              <w:rPr>
                <w:rFonts w:ascii="Times New Roman" w:hAnsi="Times New Roman" w:cs="Times New Roman"/>
                <w:color w:val="auto"/>
                <w:spacing w:val="-2"/>
                <w:sz w:val="21"/>
                <w:szCs w:val="21"/>
                <w:highlight w:val="none"/>
              </w:rPr>
              <w:t>及时恢复河床原貌</w:t>
            </w:r>
            <w:r>
              <w:rPr>
                <w:rFonts w:hint="eastAsia" w:ascii="Times New Roman" w:hAnsi="Times New Roman" w:cs="Times New Roman"/>
                <w:color w:val="auto"/>
                <w:spacing w:val="-2"/>
                <w:sz w:val="21"/>
                <w:szCs w:val="21"/>
                <w:highlight w:val="none"/>
                <w:lang w:eastAsia="zh-CN"/>
              </w:rPr>
              <w:t>；</w:t>
            </w:r>
            <w:r>
              <w:rPr>
                <w:rFonts w:ascii="Times New Roman" w:hAnsi="Times New Roman" w:cs="Times New Roman"/>
                <w:color w:val="auto"/>
                <w:spacing w:val="-1"/>
                <w:sz w:val="21"/>
                <w:szCs w:val="21"/>
                <w:highlight w:val="none"/>
              </w:rPr>
              <w:t>禁止捕捞</w:t>
            </w:r>
            <w:r>
              <w:rPr>
                <w:rFonts w:hint="eastAsia" w:ascii="Times New Roman" w:hAnsi="Times New Roman" w:cs="Times New Roman"/>
                <w:color w:val="auto"/>
                <w:spacing w:val="-1"/>
                <w:sz w:val="21"/>
                <w:szCs w:val="21"/>
                <w:highlight w:val="none"/>
                <w:lang w:eastAsia="zh-CN"/>
              </w:rPr>
              <w:t>；</w:t>
            </w:r>
            <w:r>
              <w:rPr>
                <w:rFonts w:ascii="Times New Roman" w:hAnsi="Times New Roman" w:cs="Times New Roman"/>
                <w:color w:val="auto"/>
                <w:spacing w:val="-2"/>
                <w:sz w:val="21"/>
                <w:szCs w:val="21"/>
                <w:highlight w:val="none"/>
              </w:rPr>
              <w:t>禁止向河内排放污染物</w:t>
            </w:r>
          </w:p>
        </w:tc>
        <w:tc>
          <w:tcPr>
            <w:tcW w:w="1050" w:type="pct"/>
            <w:noWrap w:val="0"/>
            <w:vAlign w:val="center"/>
          </w:tcPr>
          <w:p w14:paraId="3337757E">
            <w:pPr>
              <w:pStyle w:val="60"/>
              <w:jc w:val="center"/>
              <w:rPr>
                <w:color w:val="auto"/>
                <w:sz w:val="21"/>
                <w:szCs w:val="21"/>
                <w:highlight w:val="none"/>
                <w:lang w:eastAsia="zh-CN"/>
              </w:rPr>
            </w:pPr>
            <w:r>
              <w:rPr>
                <w:color w:val="auto"/>
                <w:spacing w:val="-2"/>
                <w:sz w:val="21"/>
                <w:szCs w:val="21"/>
                <w:highlight w:val="none"/>
              </w:rPr>
              <w:t>河流水生生态环境</w:t>
            </w:r>
            <w:r>
              <w:rPr>
                <w:color w:val="auto"/>
                <w:spacing w:val="-3"/>
                <w:sz w:val="21"/>
                <w:szCs w:val="21"/>
                <w:highlight w:val="none"/>
              </w:rPr>
              <w:t>得到恢复</w:t>
            </w:r>
          </w:p>
        </w:tc>
        <w:tc>
          <w:tcPr>
            <w:tcW w:w="721" w:type="pct"/>
            <w:noWrap w:val="0"/>
            <w:vAlign w:val="center"/>
          </w:tcPr>
          <w:p w14:paraId="278A6929">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7A1FC32E">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r>
      <w:tr w14:paraId="766549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590493EF">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地表水环境</w:t>
            </w:r>
          </w:p>
        </w:tc>
        <w:tc>
          <w:tcPr>
            <w:tcW w:w="1906" w:type="pct"/>
            <w:noWrap w:val="0"/>
            <w:vAlign w:val="center"/>
          </w:tcPr>
          <w:p w14:paraId="4C19D138">
            <w:pPr>
              <w:adjustRightInd w:val="0"/>
              <w:snapToGrid w:val="0"/>
              <w:jc w:val="center"/>
              <w:rPr>
                <w:color w:val="auto"/>
                <w:sz w:val="21"/>
                <w:szCs w:val="21"/>
                <w:highlight w:val="none"/>
              </w:rPr>
            </w:pPr>
            <w:r>
              <w:rPr>
                <w:rFonts w:hint="default" w:ascii="Times New Roman" w:hAnsi="Times New Roman" w:eastAsia="宋体" w:cs="Times New Roman"/>
                <w:color w:val="auto"/>
                <w:sz w:val="21"/>
                <w:szCs w:val="21"/>
                <w:highlight w:val="none"/>
                <w:lang w:val="en-US" w:eastAsia="zh-CN"/>
              </w:rPr>
              <w:t>本项目生活区租用民房，排水依托民房现有</w:t>
            </w:r>
            <w:r>
              <w:rPr>
                <w:rFonts w:hint="eastAsia" w:ascii="Times New Roman" w:hAnsi="Times New Roman" w:eastAsia="宋体" w:cs="Times New Roman"/>
                <w:color w:val="auto"/>
                <w:sz w:val="21"/>
                <w:szCs w:val="21"/>
                <w:highlight w:val="none"/>
                <w:lang w:val="en-US" w:eastAsia="zh-CN"/>
              </w:rPr>
              <w:t>排水</w:t>
            </w:r>
            <w:r>
              <w:rPr>
                <w:rFonts w:hint="default" w:ascii="Times New Roman" w:hAnsi="Times New Roman" w:eastAsia="宋体" w:cs="Times New Roman"/>
                <w:color w:val="auto"/>
                <w:sz w:val="21"/>
                <w:szCs w:val="21"/>
                <w:highlight w:val="none"/>
                <w:lang w:val="en-US" w:eastAsia="zh-CN"/>
              </w:rPr>
              <w:t>设施，故本项目不在施工现场设置生活区</w:t>
            </w:r>
            <w:r>
              <w:rPr>
                <w:rFonts w:hint="eastAsia" w:ascii="宋体" w:hAnsi="宋体" w:cs="宋体"/>
                <w:color w:val="auto"/>
                <w:sz w:val="21"/>
                <w:szCs w:val="21"/>
                <w:highlight w:val="none"/>
              </w:rPr>
              <w:t>；混凝土搅拌系统废水及车辆冲洗废水经沉淀池处理后，用于</w:t>
            </w:r>
            <w:r>
              <w:rPr>
                <w:rFonts w:hint="eastAsia" w:ascii="宋体" w:hAnsi="宋体" w:cs="宋体"/>
                <w:color w:val="auto"/>
                <w:sz w:val="21"/>
                <w:szCs w:val="21"/>
                <w:highlight w:val="none"/>
                <w:lang w:eastAsia="zh-CN"/>
              </w:rPr>
              <w:t>施工生产和洒水抑尘</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施工现场设置移动环保卫生间，定期委托相关环卫部门收集处置，不外排</w:t>
            </w:r>
            <w:r>
              <w:rPr>
                <w:rFonts w:hint="eastAsia" w:ascii="宋体" w:hAnsi="宋体" w:cs="宋体"/>
                <w:color w:val="auto"/>
                <w:sz w:val="21"/>
                <w:szCs w:val="21"/>
                <w:highlight w:val="none"/>
              </w:rPr>
              <w:t>。</w:t>
            </w:r>
          </w:p>
        </w:tc>
        <w:tc>
          <w:tcPr>
            <w:tcW w:w="1050" w:type="pct"/>
            <w:noWrap w:val="0"/>
            <w:vAlign w:val="center"/>
          </w:tcPr>
          <w:p w14:paraId="38E48C97">
            <w:pPr>
              <w:adjustRightInd w:val="0"/>
              <w:snapToGrid w:val="0"/>
              <w:jc w:val="center"/>
              <w:rPr>
                <w:color w:val="auto"/>
                <w:sz w:val="21"/>
                <w:szCs w:val="21"/>
                <w:highlight w:val="none"/>
              </w:rPr>
            </w:pPr>
            <w:r>
              <w:rPr>
                <w:rFonts w:ascii="宋体" w:hAnsi="宋体" w:cs="宋体"/>
                <w:color w:val="auto"/>
                <w:sz w:val="21"/>
                <w:szCs w:val="21"/>
                <w:highlight w:val="none"/>
              </w:rPr>
              <w:t>落实相关措施，废水无乱排现象。</w:t>
            </w:r>
          </w:p>
        </w:tc>
        <w:tc>
          <w:tcPr>
            <w:tcW w:w="721" w:type="pct"/>
            <w:noWrap w:val="0"/>
            <w:vAlign w:val="center"/>
          </w:tcPr>
          <w:p w14:paraId="255F0B1F">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2D86B13F">
            <w:pPr>
              <w:adjustRightInd w:val="0"/>
              <w:snapToGrid w:val="0"/>
              <w:jc w:val="center"/>
              <w:rPr>
                <w:rFonts w:hint="eastAsia"/>
                <w:color w:val="auto"/>
                <w:sz w:val="21"/>
                <w:szCs w:val="21"/>
                <w:highlight w:val="none"/>
              </w:rPr>
            </w:pPr>
            <w:r>
              <w:rPr>
                <w:rFonts w:hint="eastAsia" w:ascii="宋体" w:hAnsi="宋体" w:cs="宋体"/>
                <w:color w:val="auto"/>
                <w:sz w:val="21"/>
                <w:szCs w:val="21"/>
                <w:highlight w:val="none"/>
              </w:rPr>
              <w:t>/</w:t>
            </w:r>
          </w:p>
        </w:tc>
      </w:tr>
      <w:tr w14:paraId="14C25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3FA80DB9">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地下水及土壤环境</w:t>
            </w:r>
          </w:p>
        </w:tc>
        <w:tc>
          <w:tcPr>
            <w:tcW w:w="1906" w:type="pct"/>
            <w:noWrap w:val="0"/>
            <w:vAlign w:val="center"/>
          </w:tcPr>
          <w:p w14:paraId="006CC9FF">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1050" w:type="pct"/>
            <w:noWrap w:val="0"/>
            <w:vAlign w:val="center"/>
          </w:tcPr>
          <w:p w14:paraId="00F67FBA">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721" w:type="pct"/>
            <w:noWrap w:val="0"/>
            <w:vAlign w:val="center"/>
          </w:tcPr>
          <w:p w14:paraId="5F63C46E">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34149251">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r>
      <w:tr w14:paraId="4FDDD8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4A385AB8">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声环境</w:t>
            </w:r>
          </w:p>
        </w:tc>
        <w:tc>
          <w:tcPr>
            <w:tcW w:w="1906" w:type="pct"/>
            <w:noWrap w:val="0"/>
            <w:vAlign w:val="center"/>
          </w:tcPr>
          <w:p w14:paraId="74C9A9B5">
            <w:pPr>
              <w:adjustRightInd w:val="0"/>
              <w:snapToGrid w:val="0"/>
              <w:jc w:val="center"/>
              <w:rPr>
                <w:color w:val="auto"/>
                <w:sz w:val="21"/>
                <w:szCs w:val="21"/>
                <w:highlight w:val="none"/>
              </w:rPr>
            </w:pPr>
            <w:r>
              <w:rPr>
                <w:rFonts w:ascii="宋体" w:hAnsi="宋体" w:cs="宋体"/>
                <w:color w:val="auto"/>
                <w:sz w:val="21"/>
                <w:szCs w:val="21"/>
                <w:highlight w:val="none"/>
              </w:rPr>
              <w:t>选用低噪声设备，加强设备维护与管理，合理布置施工场地，文明施工</w:t>
            </w:r>
            <w:r>
              <w:rPr>
                <w:rFonts w:hint="eastAsia" w:ascii="宋体" w:hAnsi="宋体" w:cs="宋体"/>
                <w:color w:val="auto"/>
                <w:sz w:val="21"/>
                <w:szCs w:val="21"/>
                <w:highlight w:val="none"/>
              </w:rPr>
              <w:t>；村庄</w:t>
            </w:r>
            <w:r>
              <w:rPr>
                <w:rFonts w:hint="eastAsia"/>
                <w:color w:val="auto"/>
                <w:sz w:val="21"/>
                <w:szCs w:val="21"/>
                <w:highlight w:val="none"/>
              </w:rPr>
              <w:t>段施工设置简易挡墙或移动式围挡</w:t>
            </w:r>
            <w:r>
              <w:rPr>
                <w:rFonts w:ascii="宋体" w:hAnsi="宋体" w:cs="宋体"/>
                <w:color w:val="auto"/>
                <w:sz w:val="21"/>
                <w:szCs w:val="21"/>
                <w:highlight w:val="none"/>
              </w:rPr>
              <w:t>。</w:t>
            </w:r>
          </w:p>
        </w:tc>
        <w:tc>
          <w:tcPr>
            <w:tcW w:w="1050" w:type="pct"/>
            <w:noWrap w:val="0"/>
            <w:vAlign w:val="center"/>
          </w:tcPr>
          <w:p w14:paraId="4741BBEE">
            <w:pPr>
              <w:adjustRightInd w:val="0"/>
              <w:snapToGrid w:val="0"/>
              <w:jc w:val="center"/>
              <w:rPr>
                <w:color w:val="auto"/>
                <w:sz w:val="21"/>
                <w:szCs w:val="21"/>
                <w:highlight w:val="none"/>
              </w:rPr>
            </w:pPr>
            <w:r>
              <w:rPr>
                <w:color w:val="auto"/>
                <w:sz w:val="21"/>
                <w:szCs w:val="21"/>
                <w:highlight w:val="none"/>
              </w:rPr>
              <w:t>满足《</w:t>
            </w:r>
            <w:r>
              <w:rPr>
                <w:rFonts w:hint="eastAsia"/>
                <w:color w:val="auto"/>
                <w:sz w:val="21"/>
                <w:szCs w:val="21"/>
                <w:highlight w:val="none"/>
                <w:lang w:eastAsia="zh-CN"/>
              </w:rPr>
              <w:t>建筑施工噪声排放标准</w:t>
            </w:r>
            <w:r>
              <w:rPr>
                <w:color w:val="auto"/>
                <w:sz w:val="21"/>
                <w:szCs w:val="21"/>
                <w:highlight w:val="none"/>
              </w:rPr>
              <w:t>》（GB12523-20</w:t>
            </w:r>
            <w:r>
              <w:rPr>
                <w:rFonts w:hint="eastAsia"/>
                <w:color w:val="auto"/>
                <w:sz w:val="21"/>
                <w:szCs w:val="21"/>
                <w:highlight w:val="none"/>
                <w:lang w:val="en-US" w:eastAsia="zh-CN"/>
              </w:rPr>
              <w:t>25</w:t>
            </w:r>
            <w:r>
              <w:rPr>
                <w:color w:val="auto"/>
                <w:sz w:val="21"/>
                <w:szCs w:val="21"/>
                <w:highlight w:val="none"/>
              </w:rPr>
              <w:t>）要求，无扰民现象。</w:t>
            </w:r>
          </w:p>
        </w:tc>
        <w:tc>
          <w:tcPr>
            <w:tcW w:w="721" w:type="pct"/>
            <w:noWrap w:val="0"/>
            <w:vAlign w:val="center"/>
          </w:tcPr>
          <w:p w14:paraId="03F7566D">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4E03C8F0">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r>
      <w:tr w14:paraId="16B34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4C41A1DD">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振动</w:t>
            </w:r>
          </w:p>
        </w:tc>
        <w:tc>
          <w:tcPr>
            <w:tcW w:w="1906" w:type="pct"/>
            <w:noWrap w:val="0"/>
            <w:vAlign w:val="center"/>
          </w:tcPr>
          <w:p w14:paraId="683F96E7">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1050" w:type="pct"/>
            <w:noWrap w:val="0"/>
            <w:vAlign w:val="center"/>
          </w:tcPr>
          <w:p w14:paraId="5EA54284">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721" w:type="pct"/>
            <w:noWrap w:val="0"/>
            <w:vAlign w:val="center"/>
          </w:tcPr>
          <w:p w14:paraId="48465A93">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5BC7A2DA">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r>
      <w:tr w14:paraId="67234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191A5213">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大气环境</w:t>
            </w:r>
          </w:p>
        </w:tc>
        <w:tc>
          <w:tcPr>
            <w:tcW w:w="1906" w:type="pct"/>
            <w:noWrap w:val="0"/>
            <w:vAlign w:val="center"/>
          </w:tcPr>
          <w:p w14:paraId="1965EADB">
            <w:pPr>
              <w:adjustRightInd w:val="0"/>
              <w:snapToGrid w:val="0"/>
              <w:jc w:val="center"/>
              <w:rPr>
                <w:color w:val="auto"/>
                <w:sz w:val="21"/>
                <w:szCs w:val="21"/>
                <w:highlight w:val="none"/>
              </w:rPr>
            </w:pPr>
            <w:r>
              <w:rPr>
                <w:rFonts w:ascii="宋体" w:hAnsi="宋体" w:cs="宋体"/>
                <w:color w:val="auto"/>
                <w:sz w:val="21"/>
                <w:szCs w:val="21"/>
                <w:highlight w:val="none"/>
              </w:rPr>
              <w:t>洒水降尘，土石方临时堆放覆盖防尘网，避免大风天气施工，加盖篷布、控制车速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设置围挡</w:t>
            </w:r>
            <w:r>
              <w:rPr>
                <w:rFonts w:ascii="宋体" w:hAnsi="宋体" w:cs="宋体"/>
                <w:color w:val="auto"/>
                <w:sz w:val="21"/>
                <w:szCs w:val="21"/>
                <w:highlight w:val="none"/>
              </w:rPr>
              <w:t>。</w:t>
            </w:r>
          </w:p>
        </w:tc>
        <w:tc>
          <w:tcPr>
            <w:tcW w:w="1050" w:type="pct"/>
            <w:noWrap w:val="0"/>
            <w:vAlign w:val="center"/>
          </w:tcPr>
          <w:p w14:paraId="283A0787">
            <w:pPr>
              <w:adjustRightInd w:val="0"/>
              <w:snapToGrid w:val="0"/>
              <w:jc w:val="center"/>
              <w:rPr>
                <w:rFonts w:hint="eastAsia"/>
                <w:color w:val="auto"/>
                <w:sz w:val="21"/>
                <w:szCs w:val="21"/>
                <w:highlight w:val="none"/>
              </w:rPr>
            </w:pPr>
            <w:r>
              <w:rPr>
                <w:rFonts w:ascii="宋体" w:hAnsi="宋体" w:cs="宋体"/>
                <w:color w:val="auto"/>
                <w:sz w:val="21"/>
                <w:szCs w:val="21"/>
                <w:highlight w:val="none"/>
              </w:rPr>
              <w:t>洒水降尘、覆盖等措施落实到位，无投诉现象。</w:t>
            </w:r>
          </w:p>
        </w:tc>
        <w:tc>
          <w:tcPr>
            <w:tcW w:w="721" w:type="pct"/>
            <w:noWrap w:val="0"/>
            <w:vAlign w:val="center"/>
          </w:tcPr>
          <w:p w14:paraId="7462F151">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36A7844F">
            <w:pPr>
              <w:adjustRightInd w:val="0"/>
              <w:snapToGrid w:val="0"/>
              <w:jc w:val="center"/>
              <w:rPr>
                <w:rFonts w:hint="eastAsia"/>
                <w:color w:val="auto"/>
                <w:sz w:val="21"/>
                <w:szCs w:val="21"/>
                <w:highlight w:val="none"/>
              </w:rPr>
            </w:pPr>
            <w:r>
              <w:rPr>
                <w:rFonts w:hint="eastAsia" w:ascii="宋体" w:hAnsi="宋体" w:cs="宋体"/>
                <w:color w:val="auto"/>
                <w:sz w:val="21"/>
                <w:szCs w:val="21"/>
                <w:highlight w:val="none"/>
              </w:rPr>
              <w:t>/</w:t>
            </w:r>
          </w:p>
        </w:tc>
      </w:tr>
      <w:tr w14:paraId="6E4A5D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6E0E576C">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固体废物</w:t>
            </w:r>
          </w:p>
        </w:tc>
        <w:tc>
          <w:tcPr>
            <w:tcW w:w="1906" w:type="pct"/>
            <w:noWrap w:val="0"/>
            <w:vAlign w:val="center"/>
          </w:tcPr>
          <w:p w14:paraId="39005BD4">
            <w:pPr>
              <w:adjustRightInd w:val="0"/>
              <w:snapToGrid w:val="0"/>
              <w:jc w:val="center"/>
              <w:rPr>
                <w:rFonts w:hint="default" w:eastAsia="宋体"/>
                <w:color w:val="auto"/>
                <w:sz w:val="21"/>
                <w:szCs w:val="21"/>
                <w:highlight w:val="none"/>
                <w:lang w:val="en-US" w:eastAsia="zh-CN"/>
              </w:rPr>
            </w:pPr>
            <w:r>
              <w:rPr>
                <w:rFonts w:hint="eastAsia" w:ascii="宋体" w:hAnsi="宋体" w:cs="宋体"/>
                <w:color w:val="auto"/>
                <w:sz w:val="21"/>
                <w:szCs w:val="21"/>
                <w:highlight w:val="none"/>
                <w:lang w:val="en-US" w:eastAsia="zh-CN"/>
              </w:rPr>
              <w:t>本项目无弃土；</w:t>
            </w:r>
            <w:r>
              <w:rPr>
                <w:rFonts w:hint="eastAsia" w:ascii="宋体" w:hAnsi="宋体" w:cs="宋体"/>
                <w:color w:val="auto"/>
                <w:sz w:val="21"/>
                <w:szCs w:val="21"/>
                <w:highlight w:val="none"/>
              </w:rPr>
              <w:t>建筑垃圾</w:t>
            </w:r>
            <w:r>
              <w:rPr>
                <w:color w:val="auto"/>
                <w:sz w:val="21"/>
                <w:szCs w:val="21"/>
                <w:highlight w:val="none"/>
              </w:rPr>
              <w:t>应进行分类收集、分类管理，能够回收利用的尽量回收综合利用；对于不能回收利用的</w:t>
            </w:r>
            <w:r>
              <w:rPr>
                <w:rFonts w:hint="eastAsia" w:ascii="宋体" w:hAnsi="宋体" w:cs="宋体"/>
                <w:color w:val="auto"/>
                <w:sz w:val="21"/>
                <w:szCs w:val="21"/>
                <w:highlight w:val="none"/>
              </w:rPr>
              <w:t>收集后送县建筑垃圾填埋场填埋处置；</w:t>
            </w:r>
            <w:r>
              <w:rPr>
                <w:rFonts w:hint="eastAsia" w:ascii="宋体" w:hAnsi="宋体" w:cs="宋体"/>
                <w:color w:val="auto"/>
                <w:sz w:val="21"/>
                <w:szCs w:val="21"/>
                <w:highlight w:val="none"/>
                <w:lang w:eastAsia="zh-CN"/>
              </w:rPr>
              <w:t>本项目生活垃圾收集后运至</w:t>
            </w:r>
            <w:r>
              <w:rPr>
                <w:rFonts w:hint="eastAsia" w:ascii="宋体" w:hAnsi="宋体" w:cs="宋体"/>
                <w:color w:val="auto"/>
                <w:sz w:val="21"/>
                <w:szCs w:val="21"/>
                <w:highlight w:val="none"/>
                <w:lang w:val="en-US" w:eastAsia="zh-CN"/>
              </w:rPr>
              <w:t>县生活垃圾填埋场。</w:t>
            </w:r>
          </w:p>
        </w:tc>
        <w:tc>
          <w:tcPr>
            <w:tcW w:w="1050" w:type="pct"/>
            <w:noWrap w:val="0"/>
            <w:vAlign w:val="center"/>
          </w:tcPr>
          <w:p w14:paraId="7A1C9452">
            <w:pPr>
              <w:adjustRightInd w:val="0"/>
              <w:snapToGrid w:val="0"/>
              <w:jc w:val="center"/>
              <w:rPr>
                <w:color w:val="auto"/>
                <w:sz w:val="21"/>
                <w:szCs w:val="21"/>
                <w:highlight w:val="none"/>
              </w:rPr>
            </w:pPr>
            <w:bookmarkStart w:id="38" w:name="_GoBack"/>
            <w:r>
              <w:rPr>
                <w:rFonts w:hint="eastAsia" w:ascii="宋体" w:hAnsi="宋体" w:cs="宋体"/>
                <w:color w:val="auto"/>
                <w:sz w:val="21"/>
                <w:szCs w:val="21"/>
                <w:highlight w:val="none"/>
              </w:rPr>
              <w:t>建筑垃圾</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弃土以及生活垃圾</w:t>
            </w:r>
            <w:r>
              <w:rPr>
                <w:rFonts w:ascii="宋体" w:hAnsi="宋体" w:cs="宋体"/>
                <w:color w:val="auto"/>
                <w:sz w:val="21"/>
                <w:szCs w:val="21"/>
                <w:highlight w:val="none"/>
              </w:rPr>
              <w:t>，无乱堆、乱丢、乱弃现象。</w:t>
            </w:r>
            <w:bookmarkEnd w:id="38"/>
          </w:p>
        </w:tc>
        <w:tc>
          <w:tcPr>
            <w:tcW w:w="721" w:type="pct"/>
            <w:noWrap w:val="0"/>
            <w:vAlign w:val="center"/>
          </w:tcPr>
          <w:p w14:paraId="3030EFE0">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c>
          <w:tcPr>
            <w:tcW w:w="648" w:type="pct"/>
            <w:noWrap w:val="0"/>
            <w:vAlign w:val="center"/>
          </w:tcPr>
          <w:p w14:paraId="5401A8DB">
            <w:pPr>
              <w:adjustRightInd w:val="0"/>
              <w:snapToGrid w:val="0"/>
              <w:jc w:val="center"/>
              <w:rPr>
                <w:color w:val="auto"/>
                <w:sz w:val="21"/>
                <w:szCs w:val="21"/>
                <w:highlight w:val="none"/>
              </w:rPr>
            </w:pPr>
            <w:r>
              <w:rPr>
                <w:rFonts w:hint="eastAsia" w:ascii="宋体" w:hAnsi="宋体" w:cs="宋体"/>
                <w:color w:val="auto"/>
                <w:sz w:val="21"/>
                <w:szCs w:val="21"/>
                <w:highlight w:val="none"/>
              </w:rPr>
              <w:t>/</w:t>
            </w:r>
          </w:p>
        </w:tc>
      </w:tr>
      <w:tr w14:paraId="225DC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349A9139">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电磁环境</w:t>
            </w:r>
          </w:p>
        </w:tc>
        <w:tc>
          <w:tcPr>
            <w:tcW w:w="1906" w:type="pct"/>
            <w:noWrap w:val="0"/>
            <w:vAlign w:val="center"/>
          </w:tcPr>
          <w:p w14:paraId="085223BA">
            <w:pPr>
              <w:jc w:val="center"/>
              <w:rPr>
                <w:color w:val="auto"/>
                <w:sz w:val="21"/>
                <w:szCs w:val="21"/>
                <w:highlight w:val="none"/>
              </w:rPr>
            </w:pPr>
            <w:r>
              <w:rPr>
                <w:color w:val="auto"/>
                <w:sz w:val="21"/>
                <w:szCs w:val="21"/>
                <w:highlight w:val="none"/>
              </w:rPr>
              <w:t>/</w:t>
            </w:r>
          </w:p>
        </w:tc>
        <w:tc>
          <w:tcPr>
            <w:tcW w:w="1050" w:type="pct"/>
            <w:noWrap w:val="0"/>
            <w:vAlign w:val="center"/>
          </w:tcPr>
          <w:p w14:paraId="18411C05">
            <w:pPr>
              <w:jc w:val="center"/>
              <w:rPr>
                <w:color w:val="auto"/>
                <w:sz w:val="21"/>
                <w:szCs w:val="21"/>
                <w:highlight w:val="none"/>
              </w:rPr>
            </w:pPr>
            <w:r>
              <w:rPr>
                <w:color w:val="auto"/>
                <w:sz w:val="21"/>
                <w:szCs w:val="21"/>
                <w:highlight w:val="none"/>
              </w:rPr>
              <w:t>/</w:t>
            </w:r>
          </w:p>
        </w:tc>
        <w:tc>
          <w:tcPr>
            <w:tcW w:w="721" w:type="pct"/>
            <w:noWrap w:val="0"/>
            <w:vAlign w:val="center"/>
          </w:tcPr>
          <w:p w14:paraId="2A51C478">
            <w:pPr>
              <w:adjustRightInd w:val="0"/>
              <w:snapToGrid w:val="0"/>
              <w:jc w:val="center"/>
              <w:rPr>
                <w:color w:val="auto"/>
                <w:sz w:val="21"/>
                <w:szCs w:val="21"/>
                <w:highlight w:val="none"/>
              </w:rPr>
            </w:pPr>
            <w:r>
              <w:rPr>
                <w:color w:val="auto"/>
                <w:sz w:val="21"/>
                <w:szCs w:val="21"/>
                <w:highlight w:val="none"/>
              </w:rPr>
              <w:t>/</w:t>
            </w:r>
          </w:p>
        </w:tc>
        <w:tc>
          <w:tcPr>
            <w:tcW w:w="648" w:type="pct"/>
            <w:noWrap w:val="0"/>
            <w:vAlign w:val="center"/>
          </w:tcPr>
          <w:p w14:paraId="1B53A151">
            <w:pPr>
              <w:adjustRightInd w:val="0"/>
              <w:snapToGrid w:val="0"/>
              <w:jc w:val="center"/>
              <w:rPr>
                <w:color w:val="auto"/>
                <w:sz w:val="21"/>
                <w:szCs w:val="21"/>
                <w:highlight w:val="none"/>
              </w:rPr>
            </w:pPr>
            <w:r>
              <w:rPr>
                <w:color w:val="auto"/>
                <w:sz w:val="21"/>
                <w:szCs w:val="21"/>
                <w:highlight w:val="none"/>
              </w:rPr>
              <w:t>/</w:t>
            </w:r>
          </w:p>
        </w:tc>
      </w:tr>
      <w:tr w14:paraId="328EA8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noWrap w:val="0"/>
            <w:vAlign w:val="center"/>
          </w:tcPr>
          <w:p w14:paraId="6D9A7A70">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环境风险</w:t>
            </w:r>
          </w:p>
        </w:tc>
        <w:tc>
          <w:tcPr>
            <w:tcW w:w="1906" w:type="pct"/>
            <w:noWrap w:val="0"/>
            <w:vAlign w:val="center"/>
          </w:tcPr>
          <w:p w14:paraId="7023B4C5">
            <w:pPr>
              <w:jc w:val="center"/>
              <w:rPr>
                <w:color w:val="auto"/>
                <w:sz w:val="21"/>
                <w:szCs w:val="21"/>
                <w:highlight w:val="none"/>
              </w:rPr>
            </w:pPr>
            <w:r>
              <w:rPr>
                <w:color w:val="auto"/>
                <w:sz w:val="21"/>
                <w:szCs w:val="21"/>
                <w:highlight w:val="none"/>
              </w:rPr>
              <w:t>/</w:t>
            </w:r>
          </w:p>
        </w:tc>
        <w:tc>
          <w:tcPr>
            <w:tcW w:w="1050" w:type="pct"/>
            <w:noWrap w:val="0"/>
            <w:vAlign w:val="center"/>
          </w:tcPr>
          <w:p w14:paraId="7D8E885F">
            <w:pPr>
              <w:jc w:val="center"/>
              <w:rPr>
                <w:color w:val="auto"/>
                <w:sz w:val="21"/>
                <w:szCs w:val="21"/>
                <w:highlight w:val="none"/>
              </w:rPr>
            </w:pPr>
            <w:r>
              <w:rPr>
                <w:color w:val="auto"/>
                <w:sz w:val="21"/>
                <w:szCs w:val="21"/>
                <w:highlight w:val="none"/>
              </w:rPr>
              <w:t>/</w:t>
            </w:r>
          </w:p>
        </w:tc>
        <w:tc>
          <w:tcPr>
            <w:tcW w:w="721" w:type="pct"/>
            <w:noWrap w:val="0"/>
            <w:vAlign w:val="center"/>
          </w:tcPr>
          <w:p w14:paraId="65527F80">
            <w:pPr>
              <w:adjustRightInd w:val="0"/>
              <w:snapToGrid w:val="0"/>
              <w:jc w:val="center"/>
              <w:rPr>
                <w:color w:val="auto"/>
                <w:sz w:val="21"/>
                <w:szCs w:val="21"/>
                <w:highlight w:val="none"/>
              </w:rPr>
            </w:pPr>
            <w:r>
              <w:rPr>
                <w:color w:val="auto"/>
                <w:sz w:val="21"/>
                <w:szCs w:val="21"/>
                <w:highlight w:val="none"/>
              </w:rPr>
              <w:t>/</w:t>
            </w:r>
          </w:p>
        </w:tc>
        <w:tc>
          <w:tcPr>
            <w:tcW w:w="648" w:type="pct"/>
            <w:noWrap w:val="0"/>
            <w:vAlign w:val="center"/>
          </w:tcPr>
          <w:p w14:paraId="32F823E6">
            <w:pPr>
              <w:adjustRightInd w:val="0"/>
              <w:snapToGrid w:val="0"/>
              <w:jc w:val="center"/>
              <w:rPr>
                <w:color w:val="auto"/>
                <w:sz w:val="21"/>
                <w:szCs w:val="21"/>
                <w:highlight w:val="none"/>
              </w:rPr>
            </w:pPr>
            <w:r>
              <w:rPr>
                <w:color w:val="auto"/>
                <w:sz w:val="21"/>
                <w:szCs w:val="21"/>
                <w:highlight w:val="none"/>
              </w:rPr>
              <w:t>/</w:t>
            </w:r>
          </w:p>
        </w:tc>
      </w:tr>
      <w:tr w14:paraId="4650C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vMerge w:val="restart"/>
            <w:noWrap w:val="0"/>
            <w:vAlign w:val="center"/>
          </w:tcPr>
          <w:p w14:paraId="01D737DE">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环境监测</w:t>
            </w:r>
          </w:p>
        </w:tc>
        <w:tc>
          <w:tcPr>
            <w:tcW w:w="1906" w:type="pct"/>
            <w:noWrap w:val="0"/>
            <w:vAlign w:val="center"/>
          </w:tcPr>
          <w:p w14:paraId="382EA2D9">
            <w:pPr>
              <w:pStyle w:val="60"/>
              <w:ind w:left="-105" w:leftChars="-50" w:right="-105" w:rightChars="-50"/>
              <w:jc w:val="center"/>
              <w:rPr>
                <w:color w:val="auto"/>
                <w:sz w:val="21"/>
                <w:szCs w:val="21"/>
                <w:highlight w:val="none"/>
                <w:lang w:eastAsia="zh-CN"/>
              </w:rPr>
            </w:pPr>
            <w:r>
              <w:rPr>
                <w:rFonts w:ascii="Times New Roman" w:hAnsi="Times New Roman" w:eastAsia="Times New Roman" w:cs="Times New Roman"/>
                <w:color w:val="auto"/>
                <w:spacing w:val="-4"/>
                <w:sz w:val="21"/>
                <w:szCs w:val="21"/>
                <w:highlight w:val="none"/>
              </w:rPr>
              <w:t>TSP</w:t>
            </w:r>
            <w:r>
              <w:rPr>
                <w:rFonts w:hint="eastAsia"/>
                <w:color w:val="auto"/>
                <w:spacing w:val="-4"/>
                <w:sz w:val="21"/>
                <w:szCs w:val="21"/>
                <w:highlight w:val="none"/>
              </w:rPr>
              <w:t>、</w:t>
            </w:r>
            <w:r>
              <w:rPr>
                <w:rFonts w:ascii="Times New Roman" w:hAnsi="Times New Roman" w:eastAsia="Times New Roman" w:cs="Times New Roman"/>
                <w:color w:val="auto"/>
                <w:spacing w:val="-4"/>
                <w:sz w:val="21"/>
                <w:szCs w:val="21"/>
                <w:highlight w:val="none"/>
              </w:rPr>
              <w:t>PM</w:t>
            </w:r>
            <w:r>
              <w:rPr>
                <w:rFonts w:ascii="Times New Roman" w:hAnsi="Times New Roman" w:eastAsia="Times New Roman" w:cs="Times New Roman"/>
                <w:color w:val="auto"/>
                <w:spacing w:val="-4"/>
                <w:position w:val="-1"/>
                <w:sz w:val="21"/>
                <w:szCs w:val="21"/>
                <w:highlight w:val="none"/>
                <w:vertAlign w:val="subscript"/>
              </w:rPr>
              <w:t>10</w:t>
            </w:r>
            <w:r>
              <w:rPr>
                <w:rFonts w:hint="eastAsia"/>
                <w:color w:val="auto"/>
                <w:spacing w:val="-4"/>
                <w:sz w:val="21"/>
                <w:szCs w:val="21"/>
                <w:highlight w:val="none"/>
              </w:rPr>
              <w:t>监测</w:t>
            </w:r>
          </w:p>
        </w:tc>
        <w:tc>
          <w:tcPr>
            <w:tcW w:w="1050" w:type="pct"/>
            <w:noWrap w:val="0"/>
            <w:vAlign w:val="center"/>
          </w:tcPr>
          <w:p w14:paraId="3B424E88">
            <w:pPr>
              <w:pStyle w:val="60"/>
              <w:ind w:left="-105" w:leftChars="-50" w:right="-105" w:rightChars="-50"/>
              <w:jc w:val="center"/>
              <w:rPr>
                <w:rFonts w:hint="eastAsia"/>
                <w:color w:val="auto"/>
                <w:sz w:val="21"/>
                <w:szCs w:val="21"/>
                <w:highlight w:val="none"/>
              </w:rPr>
            </w:pPr>
            <w:r>
              <w:rPr>
                <w:rFonts w:hint="eastAsia"/>
                <w:color w:val="auto"/>
                <w:spacing w:val="-2"/>
                <w:sz w:val="21"/>
                <w:szCs w:val="21"/>
                <w:highlight w:val="none"/>
              </w:rPr>
              <w:t>《大气污染物综合</w:t>
            </w:r>
          </w:p>
          <w:p w14:paraId="2658C5B9">
            <w:pPr>
              <w:pStyle w:val="60"/>
              <w:ind w:left="-105" w:leftChars="-50" w:right="-105" w:rightChars="-50"/>
              <w:jc w:val="center"/>
              <w:rPr>
                <w:rFonts w:hint="eastAsia"/>
                <w:color w:val="auto"/>
                <w:sz w:val="21"/>
                <w:szCs w:val="21"/>
                <w:highlight w:val="none"/>
              </w:rPr>
            </w:pPr>
            <w:r>
              <w:rPr>
                <w:rFonts w:hint="eastAsia"/>
                <w:color w:val="auto"/>
                <w:spacing w:val="-2"/>
                <w:sz w:val="21"/>
                <w:szCs w:val="21"/>
                <w:highlight w:val="none"/>
              </w:rPr>
              <w:t>排放标准》</w:t>
            </w:r>
          </w:p>
          <w:p w14:paraId="0B50BF3B">
            <w:pPr>
              <w:ind w:left="-105" w:leftChars="-50" w:right="-105" w:rightChars="-50"/>
              <w:jc w:val="center"/>
              <w:rPr>
                <w:color w:val="auto"/>
                <w:sz w:val="21"/>
                <w:szCs w:val="21"/>
                <w:highlight w:val="none"/>
              </w:rPr>
            </w:pPr>
            <w:r>
              <w:rPr>
                <w:rFonts w:eastAsia="Times New Roman"/>
                <w:color w:val="auto"/>
                <w:spacing w:val="-1"/>
                <w:sz w:val="21"/>
                <w:szCs w:val="21"/>
                <w:highlight w:val="none"/>
              </w:rPr>
              <w:t>GB16297-1996</w:t>
            </w:r>
          </w:p>
        </w:tc>
        <w:tc>
          <w:tcPr>
            <w:tcW w:w="721" w:type="pct"/>
            <w:noWrap w:val="0"/>
            <w:vAlign w:val="center"/>
          </w:tcPr>
          <w:p w14:paraId="3365B97D">
            <w:pPr>
              <w:adjustRightInd w:val="0"/>
              <w:snapToGrid w:val="0"/>
              <w:jc w:val="center"/>
              <w:rPr>
                <w:color w:val="auto"/>
                <w:sz w:val="21"/>
                <w:szCs w:val="21"/>
                <w:highlight w:val="none"/>
              </w:rPr>
            </w:pPr>
            <w:r>
              <w:rPr>
                <w:color w:val="auto"/>
                <w:sz w:val="21"/>
                <w:szCs w:val="21"/>
                <w:highlight w:val="none"/>
              </w:rPr>
              <w:t>/</w:t>
            </w:r>
          </w:p>
        </w:tc>
        <w:tc>
          <w:tcPr>
            <w:tcW w:w="648" w:type="pct"/>
            <w:noWrap w:val="0"/>
            <w:vAlign w:val="center"/>
          </w:tcPr>
          <w:p w14:paraId="0FAE6B87">
            <w:pPr>
              <w:adjustRightInd w:val="0"/>
              <w:snapToGrid w:val="0"/>
              <w:jc w:val="center"/>
              <w:rPr>
                <w:color w:val="auto"/>
                <w:sz w:val="21"/>
                <w:szCs w:val="21"/>
                <w:highlight w:val="none"/>
              </w:rPr>
            </w:pPr>
            <w:r>
              <w:rPr>
                <w:color w:val="auto"/>
                <w:sz w:val="21"/>
                <w:szCs w:val="21"/>
                <w:highlight w:val="none"/>
              </w:rPr>
              <w:t>/</w:t>
            </w:r>
          </w:p>
        </w:tc>
      </w:tr>
      <w:tr w14:paraId="5C350F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vMerge w:val="continue"/>
            <w:noWrap w:val="0"/>
            <w:vAlign w:val="center"/>
          </w:tcPr>
          <w:p w14:paraId="3CD64420">
            <w:pPr>
              <w:adjustRightInd w:val="0"/>
              <w:snapToGrid w:val="0"/>
              <w:jc w:val="center"/>
              <w:rPr>
                <w:rFonts w:hint="eastAsia" w:ascii="宋体" w:hAnsi="宋体" w:cs="宋体"/>
                <w:color w:val="auto"/>
                <w:sz w:val="21"/>
                <w:szCs w:val="21"/>
                <w:highlight w:val="none"/>
              </w:rPr>
            </w:pPr>
          </w:p>
        </w:tc>
        <w:tc>
          <w:tcPr>
            <w:tcW w:w="1906" w:type="pct"/>
            <w:noWrap w:val="0"/>
            <w:vAlign w:val="center"/>
          </w:tcPr>
          <w:p w14:paraId="696D6C81">
            <w:pPr>
              <w:pStyle w:val="60"/>
              <w:ind w:left="-105" w:leftChars="-50" w:right="-105" w:rightChars="-50"/>
              <w:jc w:val="center"/>
              <w:rPr>
                <w:rFonts w:ascii="Times New Roman" w:hAnsi="Times New Roman" w:cs="Times New Roman"/>
                <w:color w:val="auto"/>
                <w:sz w:val="21"/>
                <w:szCs w:val="21"/>
                <w:highlight w:val="none"/>
                <w:lang w:eastAsia="zh-CN"/>
              </w:rPr>
            </w:pPr>
            <w:r>
              <w:rPr>
                <w:rFonts w:hint="eastAsia"/>
                <w:color w:val="auto"/>
                <w:spacing w:val="-6"/>
                <w:sz w:val="21"/>
                <w:szCs w:val="21"/>
                <w:highlight w:val="none"/>
              </w:rPr>
              <w:t>噪声监测</w:t>
            </w:r>
          </w:p>
        </w:tc>
        <w:tc>
          <w:tcPr>
            <w:tcW w:w="1050" w:type="pct"/>
            <w:noWrap w:val="0"/>
            <w:vAlign w:val="center"/>
          </w:tcPr>
          <w:p w14:paraId="37B8B919">
            <w:pPr>
              <w:pStyle w:val="60"/>
              <w:ind w:left="-105" w:leftChars="-50" w:right="-105" w:rightChars="-50" w:firstLine="92"/>
              <w:jc w:val="center"/>
              <w:rPr>
                <w:rFonts w:ascii="Times New Roman" w:hAnsi="Times New Roman" w:cs="Times New Roman"/>
                <w:color w:val="auto"/>
                <w:sz w:val="21"/>
                <w:szCs w:val="21"/>
                <w:highlight w:val="none"/>
                <w:lang w:eastAsia="zh-CN"/>
              </w:rPr>
            </w:pPr>
            <w:r>
              <w:rPr>
                <w:rFonts w:hint="eastAsia"/>
                <w:color w:val="auto"/>
                <w:spacing w:val="-2"/>
                <w:sz w:val="21"/>
                <w:szCs w:val="21"/>
                <w:highlight w:val="none"/>
              </w:rPr>
              <w:t>《</w:t>
            </w:r>
            <w:r>
              <w:rPr>
                <w:rFonts w:hint="eastAsia" w:eastAsia="宋体"/>
                <w:color w:val="auto"/>
                <w:spacing w:val="-2"/>
                <w:sz w:val="21"/>
                <w:szCs w:val="21"/>
                <w:highlight w:val="none"/>
                <w:lang w:eastAsia="zh-CN"/>
              </w:rPr>
              <w:t>建筑施工噪声排放标准</w:t>
            </w:r>
            <w:r>
              <w:rPr>
                <w:rFonts w:hint="eastAsia"/>
                <w:color w:val="auto"/>
                <w:spacing w:val="8"/>
                <w:sz w:val="21"/>
                <w:szCs w:val="21"/>
                <w:highlight w:val="none"/>
              </w:rPr>
              <w:t>》</w:t>
            </w:r>
            <w:r>
              <w:rPr>
                <w:rFonts w:hint="eastAsia"/>
                <w:color w:val="auto"/>
                <w:spacing w:val="-4"/>
                <w:sz w:val="21"/>
                <w:szCs w:val="21"/>
                <w:highlight w:val="none"/>
              </w:rPr>
              <w:t>（</w:t>
            </w:r>
            <w:r>
              <w:rPr>
                <w:rFonts w:ascii="Times New Roman" w:hAnsi="Times New Roman" w:eastAsia="Times New Roman" w:cs="Times New Roman"/>
                <w:color w:val="auto"/>
                <w:spacing w:val="-4"/>
                <w:sz w:val="21"/>
                <w:szCs w:val="21"/>
                <w:highlight w:val="none"/>
              </w:rPr>
              <w:t>GB12523</w:t>
            </w:r>
            <w:r>
              <w:rPr>
                <w:rFonts w:hint="eastAsia" w:ascii="Times New Roman" w:hAnsi="Times New Roman" w:cs="Times New Roman"/>
                <w:color w:val="auto"/>
                <w:spacing w:val="-4"/>
                <w:sz w:val="21"/>
                <w:szCs w:val="21"/>
                <w:highlight w:val="none"/>
                <w:lang w:eastAsia="zh-CN"/>
              </w:rPr>
              <w:t>-</w:t>
            </w:r>
            <w:r>
              <w:rPr>
                <w:rFonts w:ascii="Times New Roman" w:hAnsi="Times New Roman" w:eastAsia="Times New Roman" w:cs="Times New Roman"/>
                <w:color w:val="auto"/>
                <w:spacing w:val="-4"/>
                <w:sz w:val="21"/>
                <w:szCs w:val="21"/>
                <w:highlight w:val="none"/>
              </w:rPr>
              <w:t>20</w:t>
            </w:r>
            <w:r>
              <w:rPr>
                <w:rFonts w:hint="eastAsia" w:eastAsia="宋体" w:cs="Times New Roman"/>
                <w:color w:val="auto"/>
                <w:spacing w:val="-4"/>
                <w:sz w:val="21"/>
                <w:szCs w:val="21"/>
                <w:highlight w:val="none"/>
                <w:lang w:val="en-US" w:eastAsia="zh-CN"/>
              </w:rPr>
              <w:t>25</w:t>
            </w:r>
            <w:r>
              <w:rPr>
                <w:rFonts w:hint="eastAsia"/>
                <w:color w:val="auto"/>
                <w:spacing w:val="-4"/>
                <w:sz w:val="21"/>
                <w:szCs w:val="21"/>
                <w:highlight w:val="none"/>
              </w:rPr>
              <w:t>）</w:t>
            </w:r>
          </w:p>
        </w:tc>
        <w:tc>
          <w:tcPr>
            <w:tcW w:w="721" w:type="pct"/>
            <w:noWrap w:val="0"/>
            <w:vAlign w:val="center"/>
          </w:tcPr>
          <w:p w14:paraId="1A4E06AA">
            <w:pPr>
              <w:adjustRightInd w:val="0"/>
              <w:snapToGrid w:val="0"/>
              <w:jc w:val="center"/>
              <w:rPr>
                <w:color w:val="auto"/>
                <w:sz w:val="21"/>
                <w:szCs w:val="21"/>
                <w:highlight w:val="none"/>
              </w:rPr>
            </w:pPr>
          </w:p>
        </w:tc>
        <w:tc>
          <w:tcPr>
            <w:tcW w:w="648" w:type="pct"/>
            <w:noWrap w:val="0"/>
            <w:vAlign w:val="center"/>
          </w:tcPr>
          <w:p w14:paraId="79D47376">
            <w:pPr>
              <w:adjustRightInd w:val="0"/>
              <w:snapToGrid w:val="0"/>
              <w:jc w:val="center"/>
              <w:rPr>
                <w:color w:val="auto"/>
                <w:sz w:val="21"/>
                <w:szCs w:val="21"/>
                <w:highlight w:val="none"/>
              </w:rPr>
            </w:pPr>
          </w:p>
        </w:tc>
      </w:tr>
      <w:tr w14:paraId="09CF0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2" w:type="pct"/>
            <w:vMerge w:val="continue"/>
            <w:noWrap w:val="0"/>
            <w:vAlign w:val="center"/>
          </w:tcPr>
          <w:p w14:paraId="50084611">
            <w:pPr>
              <w:adjustRightInd w:val="0"/>
              <w:snapToGrid w:val="0"/>
              <w:jc w:val="center"/>
              <w:rPr>
                <w:rFonts w:hint="eastAsia" w:ascii="宋体" w:hAnsi="宋体" w:cs="宋体"/>
                <w:color w:val="auto"/>
                <w:sz w:val="21"/>
                <w:szCs w:val="21"/>
                <w:highlight w:val="none"/>
              </w:rPr>
            </w:pPr>
          </w:p>
        </w:tc>
        <w:tc>
          <w:tcPr>
            <w:tcW w:w="1906" w:type="pct"/>
            <w:noWrap w:val="0"/>
            <w:vAlign w:val="center"/>
          </w:tcPr>
          <w:p w14:paraId="22F2D4F6">
            <w:pPr>
              <w:pStyle w:val="60"/>
              <w:ind w:left="-105" w:leftChars="-50" w:right="-105" w:rightChars="-50"/>
              <w:jc w:val="center"/>
              <w:rPr>
                <w:rFonts w:hint="default" w:eastAsia="宋体"/>
                <w:color w:val="auto"/>
                <w:spacing w:val="-6"/>
                <w:sz w:val="21"/>
                <w:szCs w:val="21"/>
                <w:highlight w:val="none"/>
                <w:lang w:val="en-US" w:eastAsia="zh-CN"/>
              </w:rPr>
            </w:pPr>
            <w:r>
              <w:rPr>
                <w:rFonts w:hint="eastAsia"/>
                <w:color w:val="auto"/>
                <w:spacing w:val="-6"/>
                <w:sz w:val="21"/>
                <w:szCs w:val="21"/>
                <w:highlight w:val="none"/>
                <w:lang w:val="en-US" w:eastAsia="zh-CN"/>
              </w:rPr>
              <w:t>生态环境监测</w:t>
            </w:r>
          </w:p>
        </w:tc>
        <w:tc>
          <w:tcPr>
            <w:tcW w:w="1050" w:type="pct"/>
            <w:noWrap w:val="0"/>
            <w:vAlign w:val="center"/>
          </w:tcPr>
          <w:p w14:paraId="409BB2FE">
            <w:pPr>
              <w:bidi w:val="0"/>
              <w:jc w:val="center"/>
              <w:rPr>
                <w:rFonts w:hint="default"/>
                <w:color w:val="auto"/>
                <w:sz w:val="21"/>
                <w:szCs w:val="21"/>
                <w:highlight w:val="none"/>
                <w:lang w:val="en-US"/>
              </w:rPr>
            </w:pPr>
            <w:r>
              <w:rPr>
                <w:rFonts w:hint="eastAsia" w:ascii="Times New Roman" w:hAnsi="Times New Roman" w:eastAsia="宋体" w:cs="Times New Roman"/>
                <w:b w:val="0"/>
                <w:bCs/>
                <w:color w:val="auto"/>
                <w:kern w:val="2"/>
                <w:sz w:val="21"/>
                <w:szCs w:val="21"/>
                <w:highlight w:val="none"/>
                <w:vertAlign w:val="baseline"/>
                <w:lang w:val="en-US" w:eastAsia="zh-CN" w:bidi="ar"/>
              </w:rPr>
              <w:t>场地恢复及植被恢复情况较好</w:t>
            </w:r>
          </w:p>
        </w:tc>
        <w:tc>
          <w:tcPr>
            <w:tcW w:w="721" w:type="pct"/>
            <w:noWrap w:val="0"/>
            <w:vAlign w:val="center"/>
          </w:tcPr>
          <w:p w14:paraId="4FC646DC">
            <w:pPr>
              <w:adjustRightInd w:val="0"/>
              <w:snapToGrid w:val="0"/>
              <w:jc w:val="center"/>
              <w:rPr>
                <w:color w:val="auto"/>
                <w:sz w:val="21"/>
                <w:szCs w:val="21"/>
                <w:highlight w:val="none"/>
              </w:rPr>
            </w:pPr>
          </w:p>
        </w:tc>
        <w:tc>
          <w:tcPr>
            <w:tcW w:w="648" w:type="pct"/>
            <w:noWrap w:val="0"/>
            <w:vAlign w:val="center"/>
          </w:tcPr>
          <w:p w14:paraId="5AB008AE">
            <w:pPr>
              <w:adjustRightInd w:val="0"/>
              <w:snapToGrid w:val="0"/>
              <w:jc w:val="center"/>
              <w:rPr>
                <w:color w:val="auto"/>
                <w:sz w:val="21"/>
                <w:szCs w:val="21"/>
                <w:highlight w:val="none"/>
              </w:rPr>
            </w:pPr>
          </w:p>
        </w:tc>
      </w:tr>
      <w:tr w14:paraId="71F497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72" w:type="pct"/>
            <w:noWrap w:val="0"/>
            <w:vAlign w:val="center"/>
          </w:tcPr>
          <w:p w14:paraId="60F98673">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其他</w:t>
            </w:r>
          </w:p>
        </w:tc>
        <w:tc>
          <w:tcPr>
            <w:tcW w:w="1906" w:type="pct"/>
            <w:noWrap w:val="0"/>
            <w:vAlign w:val="center"/>
          </w:tcPr>
          <w:p w14:paraId="6F279846">
            <w:pPr>
              <w:jc w:val="center"/>
              <w:rPr>
                <w:color w:val="auto"/>
                <w:sz w:val="21"/>
                <w:szCs w:val="21"/>
                <w:highlight w:val="none"/>
              </w:rPr>
            </w:pPr>
            <w:r>
              <w:rPr>
                <w:color w:val="auto"/>
                <w:sz w:val="21"/>
                <w:szCs w:val="21"/>
                <w:highlight w:val="none"/>
              </w:rPr>
              <w:t>/</w:t>
            </w:r>
          </w:p>
        </w:tc>
        <w:tc>
          <w:tcPr>
            <w:tcW w:w="1050" w:type="pct"/>
            <w:noWrap w:val="0"/>
            <w:vAlign w:val="center"/>
          </w:tcPr>
          <w:p w14:paraId="063D8E71">
            <w:pPr>
              <w:jc w:val="center"/>
              <w:rPr>
                <w:color w:val="auto"/>
                <w:sz w:val="21"/>
                <w:szCs w:val="21"/>
                <w:highlight w:val="none"/>
              </w:rPr>
            </w:pPr>
            <w:r>
              <w:rPr>
                <w:color w:val="auto"/>
                <w:sz w:val="21"/>
                <w:szCs w:val="21"/>
                <w:highlight w:val="none"/>
              </w:rPr>
              <w:t>/</w:t>
            </w:r>
          </w:p>
        </w:tc>
        <w:tc>
          <w:tcPr>
            <w:tcW w:w="721" w:type="pct"/>
            <w:noWrap w:val="0"/>
            <w:vAlign w:val="center"/>
          </w:tcPr>
          <w:p w14:paraId="56F7D727">
            <w:pPr>
              <w:adjustRightInd w:val="0"/>
              <w:snapToGrid w:val="0"/>
              <w:jc w:val="center"/>
              <w:rPr>
                <w:color w:val="auto"/>
                <w:sz w:val="21"/>
                <w:szCs w:val="21"/>
                <w:highlight w:val="none"/>
              </w:rPr>
            </w:pPr>
            <w:r>
              <w:rPr>
                <w:color w:val="auto"/>
                <w:sz w:val="21"/>
                <w:szCs w:val="21"/>
                <w:highlight w:val="none"/>
              </w:rPr>
              <w:t>/</w:t>
            </w:r>
          </w:p>
        </w:tc>
        <w:tc>
          <w:tcPr>
            <w:tcW w:w="648" w:type="pct"/>
            <w:noWrap w:val="0"/>
            <w:vAlign w:val="center"/>
          </w:tcPr>
          <w:p w14:paraId="714CA8CB">
            <w:pPr>
              <w:adjustRightInd w:val="0"/>
              <w:snapToGrid w:val="0"/>
              <w:jc w:val="center"/>
              <w:rPr>
                <w:rFonts w:hint="eastAsia"/>
                <w:color w:val="auto"/>
                <w:sz w:val="21"/>
                <w:szCs w:val="21"/>
                <w:highlight w:val="none"/>
              </w:rPr>
            </w:pPr>
            <w:r>
              <w:rPr>
                <w:color w:val="auto"/>
                <w:sz w:val="21"/>
                <w:szCs w:val="21"/>
                <w:highlight w:val="none"/>
              </w:rPr>
              <w:t>/</w:t>
            </w:r>
          </w:p>
        </w:tc>
      </w:tr>
    </w:tbl>
    <w:p w14:paraId="477B9540">
      <w:pPr>
        <w:pStyle w:val="28"/>
        <w:spacing w:before="0" w:beforeAutospacing="0" w:line="14" w:lineRule="auto"/>
        <w:jc w:val="center"/>
        <w:outlineLvl w:val="9"/>
        <w:rPr>
          <w:rFonts w:hint="default" w:ascii="Times New Roman" w:hAnsi="Times New Roman" w:cs="Times New Roman"/>
          <w:snapToGrid w:val="0"/>
          <w:color w:val="auto"/>
        </w:rPr>
      </w:pPr>
      <w:r>
        <w:rPr>
          <w:rFonts w:hint="default" w:ascii="Times New Roman" w:hAnsi="Times New Roman" w:cs="Times New Roman"/>
          <w:snapToGrid w:val="0"/>
          <w:color w:val="auto"/>
        </w:rPr>
        <w:br w:type="page"/>
      </w:r>
    </w:p>
    <w:p w14:paraId="3BDC4E1C">
      <w:pPr>
        <w:pStyle w:val="28"/>
        <w:spacing w:before="192" w:beforeLines="80" w:beforeAutospacing="0"/>
        <w:jc w:val="center"/>
        <w:outlineLvl w:val="0"/>
        <w:rPr>
          <w:rFonts w:hint="default" w:ascii="Times New Roman" w:hAnsi="Times New Roman" w:cs="Times New Roman"/>
          <w:b/>
          <w:bCs/>
          <w:snapToGrid w:val="0"/>
          <w:color w:val="auto"/>
          <w:sz w:val="30"/>
          <w:szCs w:val="30"/>
        </w:rPr>
      </w:pPr>
      <w:bookmarkStart w:id="36" w:name="_Toc29925"/>
      <w:bookmarkStart w:id="37" w:name="_Toc5988"/>
      <w:r>
        <w:rPr>
          <w:rFonts w:hint="default" w:ascii="Times New Roman" w:hAnsi="Times New Roman" w:cs="Times New Roman"/>
          <w:b/>
          <w:bCs/>
          <w:snapToGrid w:val="0"/>
          <w:color w:val="auto"/>
          <w:sz w:val="30"/>
          <w:szCs w:val="30"/>
        </w:rPr>
        <w:t>七、结论</w:t>
      </w:r>
      <w:bookmarkEnd w:id="36"/>
      <w:bookmarkEnd w:id="37"/>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9B062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8" w:hRule="atLeast"/>
          <w:jc w:val="center"/>
        </w:trPr>
        <w:tc>
          <w:tcPr>
            <w:tcW w:w="5000" w:type="pct"/>
            <w:noWrap w:val="0"/>
            <w:vAlign w:val="top"/>
          </w:tcPr>
          <w:p w14:paraId="42D8E5DC">
            <w:pPr>
              <w:adjustRightInd w:val="0"/>
              <w:snapToGrid w:val="0"/>
              <w:spacing w:before="120" w:beforeLines="50" w:line="360" w:lineRule="auto"/>
              <w:ind w:firstLine="480" w:firstLineChars="200"/>
              <w:jc w:val="both"/>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项目符合国家产业政策、“三线一单”、生态保护红线及相关规划要求；施工期环境影响短期、可控，落实各项环保措施后可满足排放标准；运营期无污染物排放，且具有节水、减蚀、控盐、保土等生态正效益，从环保角度来看，本项目的建设是可行的。</w:t>
            </w:r>
          </w:p>
          <w:p w14:paraId="722444FF">
            <w:pPr>
              <w:adjustRightInd w:val="0"/>
              <w:snapToGrid w:val="0"/>
              <w:spacing w:line="360" w:lineRule="auto"/>
              <w:ind w:firstLine="315"/>
              <w:jc w:val="both"/>
              <w:rPr>
                <w:rFonts w:hint="default" w:ascii="Times New Roman" w:hAnsi="Times New Roman" w:cs="Times New Roman"/>
                <w:color w:val="auto"/>
                <w:sz w:val="24"/>
              </w:rPr>
            </w:pPr>
          </w:p>
        </w:tc>
      </w:tr>
    </w:tbl>
    <w:p w14:paraId="39604B87">
      <w:pPr>
        <w:rPr>
          <w:rFonts w:hint="default" w:ascii="Times New Roman" w:hAnsi="Times New Roman" w:cs="Times New Roman"/>
          <w:color w:val="auto"/>
          <w:lang w:eastAsia="zh-CN"/>
        </w:rPr>
      </w:pPr>
    </w:p>
    <w:sectPr>
      <w:footerReference r:id="rId7"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57D9">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3CE18">
    <w:pPr>
      <w:pStyle w:val="20"/>
      <w:framePr w:wrap="around" w:vAnchor="text" w:hAnchor="margin" w:xAlign="outside" w:y="1"/>
      <w:rPr>
        <w:rStyle w:val="35"/>
      </w:rPr>
    </w:pPr>
    <w:r>
      <w:fldChar w:fldCharType="begin"/>
    </w:r>
    <w:r>
      <w:rPr>
        <w:rStyle w:val="35"/>
      </w:rPr>
      <w:instrText xml:space="preserve">PAGE  </w:instrText>
    </w:r>
    <w:r>
      <w:fldChar w:fldCharType="end"/>
    </w:r>
  </w:p>
  <w:p w14:paraId="77BFC5F5">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533BB">
    <w:pPr>
      <w:pStyle w:val="2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BF7C8">
    <w:pPr>
      <w:pStyle w:val="20"/>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E1FD2">
                          <w:pPr>
                            <w:pStyle w:val="20"/>
                          </w:pPr>
                          <w:r>
                            <w:t>第</w:t>
                          </w:r>
                          <w:r>
                            <w:fldChar w:fldCharType="begin"/>
                          </w:r>
                          <w:r>
                            <w:instrText xml:space="preserve"> PAGE  \* MERGEFORMAT </w:instrText>
                          </w:r>
                          <w:r>
                            <w:fldChar w:fldCharType="separate"/>
                          </w:r>
                          <w:r>
                            <w:t>1</w:t>
                          </w:r>
                          <w:r>
                            <w:fldChar w:fldCharType="end"/>
                          </w:r>
                          <w:r>
                            <w:t>页共</w:t>
                          </w:r>
                          <w:r>
                            <w:rPr>
                              <w:rFonts w:hint="eastAsia"/>
                              <w:lang w:val="en-US" w:eastAsia="zh-CN"/>
                            </w:rPr>
                            <w:t>77</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508E1FD2">
                    <w:pPr>
                      <w:pStyle w:val="20"/>
                    </w:pPr>
                    <w:r>
                      <w:t>第</w:t>
                    </w:r>
                    <w:r>
                      <w:fldChar w:fldCharType="begin"/>
                    </w:r>
                    <w:r>
                      <w:instrText xml:space="preserve"> PAGE  \* MERGEFORMAT </w:instrText>
                    </w:r>
                    <w:r>
                      <w:fldChar w:fldCharType="separate"/>
                    </w:r>
                    <w:r>
                      <w:t>1</w:t>
                    </w:r>
                    <w:r>
                      <w:fldChar w:fldCharType="end"/>
                    </w:r>
                    <w:r>
                      <w:t>页共</w:t>
                    </w:r>
                    <w:r>
                      <w:rPr>
                        <w:rFonts w:hint="eastAsia"/>
                        <w:lang w:val="en-US" w:eastAsia="zh-CN"/>
                      </w:rPr>
                      <w:t>77</w:t>
                    </w:r>
                    <w:r>
                      <w:t>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C2886">
    <w:pPr>
      <w:pStyle w:val="20"/>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9BDF3">
                          <w:pPr>
                            <w:pStyle w:val="20"/>
                          </w:pPr>
                          <w:r>
                            <w:t>第</w:t>
                          </w:r>
                          <w:r>
                            <w:fldChar w:fldCharType="begin"/>
                          </w:r>
                          <w:r>
                            <w:instrText xml:space="preserve"> PAGE  \* MERGEFORMAT </w:instrText>
                          </w:r>
                          <w:r>
                            <w:fldChar w:fldCharType="separate"/>
                          </w:r>
                          <w:r>
                            <w:t>57</w:t>
                          </w:r>
                          <w:r>
                            <w:fldChar w:fldCharType="end"/>
                          </w:r>
                          <w:r>
                            <w:t>页共</w:t>
                          </w:r>
                          <w:r>
                            <w:rPr>
                              <w:rFonts w:hint="eastAsia"/>
                              <w:lang w:val="en-US" w:eastAsia="zh-CN"/>
                            </w:rPr>
                            <w:t>77</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A79BDF3">
                    <w:pPr>
                      <w:pStyle w:val="20"/>
                    </w:pPr>
                    <w:r>
                      <w:t>第</w:t>
                    </w:r>
                    <w:r>
                      <w:fldChar w:fldCharType="begin"/>
                    </w:r>
                    <w:r>
                      <w:instrText xml:space="preserve"> PAGE  \* MERGEFORMAT </w:instrText>
                    </w:r>
                    <w:r>
                      <w:fldChar w:fldCharType="separate"/>
                    </w:r>
                    <w:r>
                      <w:t>57</w:t>
                    </w:r>
                    <w:r>
                      <w:fldChar w:fldCharType="end"/>
                    </w:r>
                    <w:r>
                      <w:t>页共</w:t>
                    </w:r>
                    <w:r>
                      <w:rPr>
                        <w:rFonts w:hint="eastAsia"/>
                        <w:lang w:val="en-US" w:eastAsia="zh-CN"/>
                      </w:rPr>
                      <w:t>77</w:t>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C4097"/>
    <w:multiLevelType w:val="singleLevel"/>
    <w:tmpl w:val="9E3C4097"/>
    <w:lvl w:ilvl="0" w:tentative="0">
      <w:start w:val="1"/>
      <w:numFmt w:val="decimal"/>
      <w:suff w:val="nothing"/>
      <w:lvlText w:val="（%1）"/>
      <w:lvlJc w:val="left"/>
    </w:lvl>
  </w:abstractNum>
  <w:abstractNum w:abstractNumId="1">
    <w:nsid w:val="A5F77387"/>
    <w:multiLevelType w:val="singleLevel"/>
    <w:tmpl w:val="A5F77387"/>
    <w:lvl w:ilvl="0" w:tentative="0">
      <w:start w:val="1"/>
      <w:numFmt w:val="decimal"/>
      <w:suff w:val="nothing"/>
      <w:lvlText w:val="%1）"/>
      <w:lvlJc w:val="left"/>
    </w:lvl>
  </w:abstractNum>
  <w:abstractNum w:abstractNumId="2">
    <w:nsid w:val="DC194C91"/>
    <w:multiLevelType w:val="singleLevel"/>
    <w:tmpl w:val="DC194C91"/>
    <w:lvl w:ilvl="0" w:tentative="0">
      <w:start w:val="1"/>
      <w:numFmt w:val="decimal"/>
      <w:suff w:val="nothing"/>
      <w:lvlText w:val="%1．"/>
      <w:lvlJc w:val="left"/>
      <w:pPr>
        <w:ind w:left="0" w:firstLine="400"/>
      </w:pPr>
      <w:rPr>
        <w:rFonts w:hint="default"/>
        <w:b/>
        <w:bCs/>
        <w:sz w:val="24"/>
        <w:szCs w:val="24"/>
      </w:rPr>
    </w:lvl>
  </w:abstractNum>
  <w:abstractNum w:abstractNumId="3">
    <w:nsid w:val="09DEBCD9"/>
    <w:multiLevelType w:val="singleLevel"/>
    <w:tmpl w:val="09DEBCD9"/>
    <w:lvl w:ilvl="0" w:tentative="0">
      <w:start w:val="1"/>
      <w:numFmt w:val="decimal"/>
      <w:suff w:val="nothing"/>
      <w:lvlText w:val="（%1）"/>
      <w:lvlJc w:val="left"/>
    </w:lvl>
  </w:abstractNum>
  <w:abstractNum w:abstractNumId="4">
    <w:nsid w:val="14C8134E"/>
    <w:multiLevelType w:val="singleLevel"/>
    <w:tmpl w:val="14C8134E"/>
    <w:lvl w:ilvl="0" w:tentative="0">
      <w:start w:val="1"/>
      <w:numFmt w:val="decimal"/>
      <w:suff w:val="nothing"/>
      <w:lvlText w:val="%1．"/>
      <w:lvlJc w:val="left"/>
      <w:pPr>
        <w:ind w:left="0" w:firstLine="400"/>
      </w:pPr>
      <w:rPr>
        <w:rFonts w:hint="default"/>
        <w:b/>
        <w:bCs/>
        <w:sz w:val="24"/>
        <w:szCs w:val="24"/>
      </w:rPr>
    </w:lvl>
  </w:abstractNum>
  <w:abstractNum w:abstractNumId="5">
    <w:nsid w:val="232D41B7"/>
    <w:multiLevelType w:val="singleLevel"/>
    <w:tmpl w:val="232D41B7"/>
    <w:lvl w:ilvl="0" w:tentative="0">
      <w:start w:val="1"/>
      <w:numFmt w:val="decimal"/>
      <w:suff w:val="nothing"/>
      <w:lvlText w:val="%1．"/>
      <w:lvlJc w:val="left"/>
      <w:pPr>
        <w:ind w:left="0" w:firstLine="400"/>
      </w:pPr>
      <w:rPr>
        <w:rFonts w:hint="default"/>
        <w:b/>
        <w:bCs/>
        <w:sz w:val="24"/>
        <w:szCs w:val="24"/>
      </w:rPr>
    </w:lvl>
  </w:abstractNum>
  <w:abstractNum w:abstractNumId="6">
    <w:nsid w:val="2693AA9E"/>
    <w:multiLevelType w:val="singleLevel"/>
    <w:tmpl w:val="2693AA9E"/>
    <w:lvl w:ilvl="0" w:tentative="0">
      <w:start w:val="1"/>
      <w:numFmt w:val="decimal"/>
      <w:suff w:val="nothing"/>
      <w:lvlText w:val="%1．"/>
      <w:lvlJc w:val="left"/>
      <w:pPr>
        <w:ind w:left="0" w:firstLine="400"/>
      </w:pPr>
      <w:rPr>
        <w:rFonts w:hint="default"/>
        <w:b/>
        <w:bCs/>
        <w:sz w:val="24"/>
        <w:szCs w:val="24"/>
      </w:rPr>
    </w:lvl>
  </w:abstractNum>
  <w:abstractNum w:abstractNumId="7">
    <w:nsid w:val="3514137F"/>
    <w:multiLevelType w:val="singleLevel"/>
    <w:tmpl w:val="3514137F"/>
    <w:lvl w:ilvl="0" w:tentative="0">
      <w:start w:val="1"/>
      <w:numFmt w:val="decimal"/>
      <w:suff w:val="nothing"/>
      <w:lvlText w:val="%1．"/>
      <w:lvlJc w:val="left"/>
      <w:pPr>
        <w:ind w:left="0" w:firstLine="400"/>
      </w:pPr>
      <w:rPr>
        <w:rFonts w:hint="default"/>
        <w:b/>
        <w:bCs/>
        <w:sz w:val="24"/>
        <w:szCs w:val="24"/>
      </w:rPr>
    </w:lvl>
  </w:abstractNum>
  <w:abstractNum w:abstractNumId="8">
    <w:nsid w:val="3F5106C1"/>
    <w:multiLevelType w:val="singleLevel"/>
    <w:tmpl w:val="3F5106C1"/>
    <w:lvl w:ilvl="0" w:tentative="0">
      <w:start w:val="1"/>
      <w:numFmt w:val="decimal"/>
      <w:suff w:val="nothing"/>
      <w:lvlText w:val="%1．"/>
      <w:lvlJc w:val="left"/>
      <w:pPr>
        <w:ind w:left="0" w:firstLine="400"/>
      </w:pPr>
      <w:rPr>
        <w:rFonts w:hint="default"/>
        <w:b/>
        <w:bCs/>
        <w:sz w:val="24"/>
        <w:szCs w:val="24"/>
      </w:rPr>
    </w:lvl>
  </w:abstractNum>
  <w:abstractNum w:abstractNumId="9">
    <w:nsid w:val="417DEFE5"/>
    <w:multiLevelType w:val="multilevel"/>
    <w:tmpl w:val="417DEFE5"/>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0">
    <w:nsid w:val="448FB365"/>
    <w:multiLevelType w:val="multilevel"/>
    <w:tmpl w:val="448FB365"/>
    <w:lvl w:ilvl="0" w:tentative="0">
      <w:start w:val="1"/>
      <w:numFmt w:val="decimal"/>
      <w:suff w:val="nothing"/>
      <w:lvlText w:val="（%1）"/>
      <w:lvlJc w:val="left"/>
      <w:pPr>
        <w:ind w:left="0" w:firstLine="420"/>
      </w:pPr>
      <w:rPr>
        <w:rFonts w:hint="default"/>
      </w:rPr>
    </w:lvl>
    <w:lvl w:ilvl="1" w:tentative="0">
      <w:start w:val="1"/>
      <w:numFmt w:val="decimalEnclosedCircleChinese"/>
      <w:lvlText w:val="%2"/>
      <w:lvlJc w:val="left"/>
      <w:pPr>
        <w:tabs>
          <w:tab w:val="left" w:pos="840"/>
        </w:tabs>
        <w:ind w:left="1260" w:hanging="420"/>
      </w:pPr>
      <w:rPr>
        <w:rFonts w:hint="default"/>
      </w:rPr>
    </w:lvl>
    <w:lvl w:ilvl="2" w:tentative="0">
      <w:start w:val="1"/>
      <w:numFmt w:val="decimal"/>
      <w:lvlText w:val="%3)"/>
      <w:lvlJc w:val="left"/>
      <w:pPr>
        <w:tabs>
          <w:tab w:val="left" w:pos="1260"/>
        </w:tabs>
        <w:ind w:left="1680" w:hanging="420"/>
      </w:pPr>
      <w:rPr>
        <w:rFonts w:hint="default"/>
      </w:rPr>
    </w:lvl>
    <w:lvl w:ilvl="3" w:tentative="0">
      <w:start w:val="1"/>
      <w:numFmt w:val="lowerLetter"/>
      <w:lvlText w:val="%4."/>
      <w:lvlJc w:val="left"/>
      <w:pPr>
        <w:tabs>
          <w:tab w:val="left" w:pos="1680"/>
        </w:tabs>
        <w:ind w:left="2100" w:hanging="420"/>
      </w:pPr>
      <w:rPr>
        <w:rFonts w:hint="default"/>
      </w:rPr>
    </w:lvl>
    <w:lvl w:ilvl="4" w:tentative="0">
      <w:start w:val="1"/>
      <w:numFmt w:val="lowerLetter"/>
      <w:lvlText w:val="%5)"/>
      <w:lvlJc w:val="left"/>
      <w:pPr>
        <w:tabs>
          <w:tab w:val="left" w:pos="2100"/>
        </w:tabs>
        <w:ind w:left="2520" w:hanging="420"/>
      </w:pPr>
      <w:rPr>
        <w:rFonts w:hint="default"/>
      </w:rPr>
    </w:lvl>
    <w:lvl w:ilvl="5" w:tentative="0">
      <w:start w:val="1"/>
      <w:numFmt w:val="lowerRoman"/>
      <w:lvlText w:val="%6."/>
      <w:lvlJc w:val="left"/>
      <w:pPr>
        <w:tabs>
          <w:tab w:val="left" w:pos="2520"/>
        </w:tabs>
        <w:ind w:left="2940" w:hanging="420"/>
      </w:pPr>
      <w:rPr>
        <w:rFonts w:hint="default"/>
      </w:rPr>
    </w:lvl>
    <w:lvl w:ilvl="6" w:tentative="0">
      <w:start w:val="1"/>
      <w:numFmt w:val="lowerRoman"/>
      <w:lvlText w:val="%7)"/>
      <w:lvlJc w:val="left"/>
      <w:pPr>
        <w:tabs>
          <w:tab w:val="left" w:pos="2940"/>
        </w:tabs>
        <w:ind w:left="3360" w:hanging="420"/>
      </w:pPr>
      <w:rPr>
        <w:rFonts w:hint="default"/>
      </w:rPr>
    </w:lvl>
    <w:lvl w:ilvl="7" w:tentative="0">
      <w:start w:val="1"/>
      <w:numFmt w:val="lowerLetter"/>
      <w:lvlText w:val="%8."/>
      <w:lvlJc w:val="left"/>
      <w:pPr>
        <w:tabs>
          <w:tab w:val="left" w:pos="3360"/>
        </w:tabs>
        <w:ind w:left="3780" w:hanging="420"/>
      </w:pPr>
      <w:rPr>
        <w:rFonts w:hint="default"/>
      </w:rPr>
    </w:lvl>
    <w:lvl w:ilvl="8" w:tentative="0">
      <w:start w:val="1"/>
      <w:numFmt w:val="lowerLetter"/>
      <w:lvlText w:val="%9)"/>
      <w:lvlJc w:val="left"/>
      <w:pPr>
        <w:tabs>
          <w:tab w:val="left" w:pos="3780"/>
        </w:tabs>
        <w:ind w:left="4200" w:hanging="420"/>
      </w:pPr>
      <w:rPr>
        <w:rFonts w:hint="default"/>
      </w:rPr>
    </w:lvl>
  </w:abstractNum>
  <w:abstractNum w:abstractNumId="11">
    <w:nsid w:val="47ED5DA0"/>
    <w:multiLevelType w:val="singleLevel"/>
    <w:tmpl w:val="47ED5DA0"/>
    <w:lvl w:ilvl="0" w:tentative="0">
      <w:start w:val="1"/>
      <w:numFmt w:val="decimal"/>
      <w:suff w:val="nothing"/>
      <w:lvlText w:val="（%1）"/>
      <w:lvlJc w:val="left"/>
      <w:rPr>
        <w:rFonts w:hint="default" w:ascii="Times New Roman" w:hAnsi="Times New Roman" w:cs="Times New Roman"/>
        <w:sz w:val="24"/>
        <w:szCs w:val="24"/>
      </w:rPr>
    </w:lvl>
  </w:abstractNum>
  <w:abstractNum w:abstractNumId="12">
    <w:nsid w:val="4F3B1C1D"/>
    <w:multiLevelType w:val="singleLevel"/>
    <w:tmpl w:val="4F3B1C1D"/>
    <w:lvl w:ilvl="0" w:tentative="0">
      <w:start w:val="1"/>
      <w:numFmt w:val="decimal"/>
      <w:suff w:val="nothing"/>
      <w:lvlText w:val="%1）"/>
      <w:lvlJc w:val="left"/>
    </w:lvl>
  </w:abstractNum>
  <w:abstractNum w:abstractNumId="13">
    <w:nsid w:val="76A28979"/>
    <w:multiLevelType w:val="singleLevel"/>
    <w:tmpl w:val="76A28979"/>
    <w:lvl w:ilvl="0" w:tentative="0">
      <w:start w:val="1"/>
      <w:numFmt w:val="decimal"/>
      <w:suff w:val="nothing"/>
      <w:lvlText w:val="%1．"/>
      <w:lvlJc w:val="left"/>
      <w:pPr>
        <w:ind w:left="0" w:firstLine="400"/>
      </w:pPr>
      <w:rPr>
        <w:rFonts w:hint="default"/>
        <w:b/>
        <w:bCs/>
        <w:sz w:val="24"/>
        <w:szCs w:val="24"/>
      </w:rPr>
    </w:lvl>
  </w:abstractNum>
  <w:abstractNum w:abstractNumId="14">
    <w:nsid w:val="7DCA30B8"/>
    <w:multiLevelType w:val="multilevel"/>
    <w:tmpl w:val="7DCA30B8"/>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9"/>
  </w:num>
  <w:num w:numId="2">
    <w:abstractNumId w:val="5"/>
  </w:num>
  <w:num w:numId="3">
    <w:abstractNumId w:val="6"/>
  </w:num>
  <w:num w:numId="4">
    <w:abstractNumId w:val="3"/>
  </w:num>
  <w:num w:numId="5">
    <w:abstractNumId w:val="1"/>
  </w:num>
  <w:num w:numId="6">
    <w:abstractNumId w:val="12"/>
  </w:num>
  <w:num w:numId="7">
    <w:abstractNumId w:val="14"/>
  </w:num>
  <w:num w:numId="8">
    <w:abstractNumId w:val="2"/>
  </w:num>
  <w:num w:numId="9">
    <w:abstractNumId w:val="8"/>
  </w:num>
  <w:num w:numId="10">
    <w:abstractNumId w:val="7"/>
  </w:num>
  <w:num w:numId="11">
    <w:abstractNumId w:val="11"/>
  </w:num>
  <w:num w:numId="12">
    <w:abstractNumId w:val="13"/>
  </w:num>
  <w:num w:numId="13">
    <w:abstractNumId w:val="4"/>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0C3FC9"/>
    <w:rsid w:val="000F3528"/>
    <w:rsid w:val="00116973"/>
    <w:rsid w:val="001E2F52"/>
    <w:rsid w:val="002C61F7"/>
    <w:rsid w:val="0035198B"/>
    <w:rsid w:val="005A0FB6"/>
    <w:rsid w:val="006B4F71"/>
    <w:rsid w:val="00D5063D"/>
    <w:rsid w:val="00DD6189"/>
    <w:rsid w:val="00E13486"/>
    <w:rsid w:val="01001B5E"/>
    <w:rsid w:val="01084E7C"/>
    <w:rsid w:val="01252608"/>
    <w:rsid w:val="01305281"/>
    <w:rsid w:val="0147778C"/>
    <w:rsid w:val="014D1D6F"/>
    <w:rsid w:val="01A050EF"/>
    <w:rsid w:val="01A87AFF"/>
    <w:rsid w:val="01AA6604"/>
    <w:rsid w:val="01B464A4"/>
    <w:rsid w:val="01C71AFB"/>
    <w:rsid w:val="01C7267B"/>
    <w:rsid w:val="01CA3F1A"/>
    <w:rsid w:val="01EC3E90"/>
    <w:rsid w:val="0203056D"/>
    <w:rsid w:val="020967F0"/>
    <w:rsid w:val="020E6AD8"/>
    <w:rsid w:val="024506A0"/>
    <w:rsid w:val="025F0B06"/>
    <w:rsid w:val="02775E4F"/>
    <w:rsid w:val="0297204E"/>
    <w:rsid w:val="02A953FA"/>
    <w:rsid w:val="02BA3F8E"/>
    <w:rsid w:val="02C10E79"/>
    <w:rsid w:val="02CB5403"/>
    <w:rsid w:val="02FA25DD"/>
    <w:rsid w:val="02FC76B4"/>
    <w:rsid w:val="030F76AC"/>
    <w:rsid w:val="03196F07"/>
    <w:rsid w:val="033E696D"/>
    <w:rsid w:val="03500781"/>
    <w:rsid w:val="03632E30"/>
    <w:rsid w:val="037C40F0"/>
    <w:rsid w:val="03841893"/>
    <w:rsid w:val="038D2B62"/>
    <w:rsid w:val="038F0F77"/>
    <w:rsid w:val="03925EFB"/>
    <w:rsid w:val="03A26EFC"/>
    <w:rsid w:val="03C52BEB"/>
    <w:rsid w:val="03F80913"/>
    <w:rsid w:val="040504DD"/>
    <w:rsid w:val="04405814"/>
    <w:rsid w:val="04501303"/>
    <w:rsid w:val="04561A95"/>
    <w:rsid w:val="046D6604"/>
    <w:rsid w:val="047A1C27"/>
    <w:rsid w:val="049820AD"/>
    <w:rsid w:val="04AC7907"/>
    <w:rsid w:val="04AE774F"/>
    <w:rsid w:val="04CA439E"/>
    <w:rsid w:val="05114EDC"/>
    <w:rsid w:val="0521288B"/>
    <w:rsid w:val="05230F0A"/>
    <w:rsid w:val="05280493"/>
    <w:rsid w:val="053171B4"/>
    <w:rsid w:val="053578FC"/>
    <w:rsid w:val="053D7FEC"/>
    <w:rsid w:val="057F6DC9"/>
    <w:rsid w:val="0599432F"/>
    <w:rsid w:val="05E05ABA"/>
    <w:rsid w:val="06112117"/>
    <w:rsid w:val="063876A4"/>
    <w:rsid w:val="067E2CDC"/>
    <w:rsid w:val="06965E6A"/>
    <w:rsid w:val="069E3612"/>
    <w:rsid w:val="06F21D26"/>
    <w:rsid w:val="06F7755F"/>
    <w:rsid w:val="07060306"/>
    <w:rsid w:val="074327A4"/>
    <w:rsid w:val="07465DF0"/>
    <w:rsid w:val="074B3407"/>
    <w:rsid w:val="07576E4D"/>
    <w:rsid w:val="07691ADF"/>
    <w:rsid w:val="07917CD9"/>
    <w:rsid w:val="07A01A45"/>
    <w:rsid w:val="07AB36D5"/>
    <w:rsid w:val="07F86FD0"/>
    <w:rsid w:val="081B102B"/>
    <w:rsid w:val="084367D4"/>
    <w:rsid w:val="0854453D"/>
    <w:rsid w:val="086724C2"/>
    <w:rsid w:val="089018A1"/>
    <w:rsid w:val="08964B56"/>
    <w:rsid w:val="08A060F3"/>
    <w:rsid w:val="08AC6F2B"/>
    <w:rsid w:val="08B1373D"/>
    <w:rsid w:val="08BB636A"/>
    <w:rsid w:val="08C37623"/>
    <w:rsid w:val="08C56C55"/>
    <w:rsid w:val="08FA50E4"/>
    <w:rsid w:val="09092720"/>
    <w:rsid w:val="090E0B90"/>
    <w:rsid w:val="09526CCE"/>
    <w:rsid w:val="096E3588"/>
    <w:rsid w:val="09A3577C"/>
    <w:rsid w:val="09B64076"/>
    <w:rsid w:val="09CC417C"/>
    <w:rsid w:val="09D26061"/>
    <w:rsid w:val="0A0C3321"/>
    <w:rsid w:val="0A124DEA"/>
    <w:rsid w:val="0A300E42"/>
    <w:rsid w:val="0A3474B2"/>
    <w:rsid w:val="0A924546"/>
    <w:rsid w:val="0AB44ED8"/>
    <w:rsid w:val="0ADD5EF2"/>
    <w:rsid w:val="0AFA5E99"/>
    <w:rsid w:val="0AFB246A"/>
    <w:rsid w:val="0B107EDF"/>
    <w:rsid w:val="0B1565AB"/>
    <w:rsid w:val="0B21104E"/>
    <w:rsid w:val="0B363111"/>
    <w:rsid w:val="0B512FB6"/>
    <w:rsid w:val="0BAD4690"/>
    <w:rsid w:val="0BB02AC6"/>
    <w:rsid w:val="0BD2782B"/>
    <w:rsid w:val="0BD40DA4"/>
    <w:rsid w:val="0BED7182"/>
    <w:rsid w:val="0C087B18"/>
    <w:rsid w:val="0C2506CA"/>
    <w:rsid w:val="0C497D73"/>
    <w:rsid w:val="0C686809"/>
    <w:rsid w:val="0C943AA2"/>
    <w:rsid w:val="0CAD19F6"/>
    <w:rsid w:val="0CB952B6"/>
    <w:rsid w:val="0CCF0636"/>
    <w:rsid w:val="0CD66DD1"/>
    <w:rsid w:val="0CEA0937"/>
    <w:rsid w:val="0CFB767D"/>
    <w:rsid w:val="0D126C01"/>
    <w:rsid w:val="0D132C19"/>
    <w:rsid w:val="0D1F7A00"/>
    <w:rsid w:val="0D38442D"/>
    <w:rsid w:val="0D4C612B"/>
    <w:rsid w:val="0D5D20E6"/>
    <w:rsid w:val="0D710CA8"/>
    <w:rsid w:val="0D86163D"/>
    <w:rsid w:val="0D8D616E"/>
    <w:rsid w:val="0DE77E71"/>
    <w:rsid w:val="0E002722"/>
    <w:rsid w:val="0E06277D"/>
    <w:rsid w:val="0E317079"/>
    <w:rsid w:val="0E4B0190"/>
    <w:rsid w:val="0E540C3E"/>
    <w:rsid w:val="0E5B4877"/>
    <w:rsid w:val="0E782F04"/>
    <w:rsid w:val="0E7E7133"/>
    <w:rsid w:val="0E811F50"/>
    <w:rsid w:val="0E8B4A92"/>
    <w:rsid w:val="0EAD0BA0"/>
    <w:rsid w:val="0EB83A78"/>
    <w:rsid w:val="0ECA4B4C"/>
    <w:rsid w:val="0ED308B1"/>
    <w:rsid w:val="0EE62F86"/>
    <w:rsid w:val="0F1F58A5"/>
    <w:rsid w:val="0F302F5C"/>
    <w:rsid w:val="0F3A17D8"/>
    <w:rsid w:val="0F3A448D"/>
    <w:rsid w:val="0F4B48EC"/>
    <w:rsid w:val="0F5A5680"/>
    <w:rsid w:val="0F601A19"/>
    <w:rsid w:val="0F670FFA"/>
    <w:rsid w:val="0F690D4A"/>
    <w:rsid w:val="0FBF2FB7"/>
    <w:rsid w:val="0FCD5301"/>
    <w:rsid w:val="0FD3668F"/>
    <w:rsid w:val="0FD91EF8"/>
    <w:rsid w:val="0FFC0270"/>
    <w:rsid w:val="100030EB"/>
    <w:rsid w:val="1018371F"/>
    <w:rsid w:val="10376C1E"/>
    <w:rsid w:val="103D7805"/>
    <w:rsid w:val="105B0B5E"/>
    <w:rsid w:val="10765998"/>
    <w:rsid w:val="108160EB"/>
    <w:rsid w:val="10BF7A6B"/>
    <w:rsid w:val="10C55FD8"/>
    <w:rsid w:val="10E4370F"/>
    <w:rsid w:val="10EF12A7"/>
    <w:rsid w:val="11017C87"/>
    <w:rsid w:val="11095D21"/>
    <w:rsid w:val="111759B3"/>
    <w:rsid w:val="11743932"/>
    <w:rsid w:val="11BC7F56"/>
    <w:rsid w:val="11BD7880"/>
    <w:rsid w:val="11CB1987"/>
    <w:rsid w:val="11EC2E97"/>
    <w:rsid w:val="11FA6155"/>
    <w:rsid w:val="1209283C"/>
    <w:rsid w:val="121D1E44"/>
    <w:rsid w:val="122356AC"/>
    <w:rsid w:val="12372F05"/>
    <w:rsid w:val="125A6BF4"/>
    <w:rsid w:val="12641821"/>
    <w:rsid w:val="12C00E0F"/>
    <w:rsid w:val="12E806A4"/>
    <w:rsid w:val="12EA441C"/>
    <w:rsid w:val="12EC1C84"/>
    <w:rsid w:val="12EC6328"/>
    <w:rsid w:val="12FB03D7"/>
    <w:rsid w:val="13001549"/>
    <w:rsid w:val="1303728B"/>
    <w:rsid w:val="13313DF9"/>
    <w:rsid w:val="139775C4"/>
    <w:rsid w:val="13A66595"/>
    <w:rsid w:val="13BA0895"/>
    <w:rsid w:val="13C379DA"/>
    <w:rsid w:val="13CF471A"/>
    <w:rsid w:val="141A663B"/>
    <w:rsid w:val="14215C1B"/>
    <w:rsid w:val="142851FC"/>
    <w:rsid w:val="142C244C"/>
    <w:rsid w:val="143F42F3"/>
    <w:rsid w:val="144C1BDA"/>
    <w:rsid w:val="14515DD5"/>
    <w:rsid w:val="14531E2D"/>
    <w:rsid w:val="145C4FD4"/>
    <w:rsid w:val="14880CF3"/>
    <w:rsid w:val="14AB2494"/>
    <w:rsid w:val="14E82BDD"/>
    <w:rsid w:val="14F74019"/>
    <w:rsid w:val="14FA380C"/>
    <w:rsid w:val="1508751E"/>
    <w:rsid w:val="15190FE8"/>
    <w:rsid w:val="152864CC"/>
    <w:rsid w:val="154308F5"/>
    <w:rsid w:val="154A73F4"/>
    <w:rsid w:val="15B4486D"/>
    <w:rsid w:val="15BB5BFB"/>
    <w:rsid w:val="15BE749A"/>
    <w:rsid w:val="160E21CF"/>
    <w:rsid w:val="16290DB7"/>
    <w:rsid w:val="166149F5"/>
    <w:rsid w:val="16656AFC"/>
    <w:rsid w:val="16684628"/>
    <w:rsid w:val="166D15EC"/>
    <w:rsid w:val="16726C02"/>
    <w:rsid w:val="16EA04FD"/>
    <w:rsid w:val="170D2487"/>
    <w:rsid w:val="17325312"/>
    <w:rsid w:val="1767603B"/>
    <w:rsid w:val="176822AF"/>
    <w:rsid w:val="17985750"/>
    <w:rsid w:val="17A728DB"/>
    <w:rsid w:val="17B15508"/>
    <w:rsid w:val="17B51E7E"/>
    <w:rsid w:val="17D50129"/>
    <w:rsid w:val="17EF371C"/>
    <w:rsid w:val="18196615"/>
    <w:rsid w:val="182D2B46"/>
    <w:rsid w:val="18416158"/>
    <w:rsid w:val="184B4C79"/>
    <w:rsid w:val="189D00F6"/>
    <w:rsid w:val="18B30A11"/>
    <w:rsid w:val="18B96776"/>
    <w:rsid w:val="18C11390"/>
    <w:rsid w:val="18EB2C9C"/>
    <w:rsid w:val="18F040F9"/>
    <w:rsid w:val="18F405DA"/>
    <w:rsid w:val="193463F1"/>
    <w:rsid w:val="197C38F4"/>
    <w:rsid w:val="19836A30"/>
    <w:rsid w:val="19C7485E"/>
    <w:rsid w:val="19D51DED"/>
    <w:rsid w:val="19E31364"/>
    <w:rsid w:val="19FB6F0E"/>
    <w:rsid w:val="1A155F40"/>
    <w:rsid w:val="1A323A0D"/>
    <w:rsid w:val="1A466C29"/>
    <w:rsid w:val="1A7867B1"/>
    <w:rsid w:val="1A8213DE"/>
    <w:rsid w:val="1A8962C8"/>
    <w:rsid w:val="1A903AFB"/>
    <w:rsid w:val="1AE856E5"/>
    <w:rsid w:val="1AF20311"/>
    <w:rsid w:val="1AF35961"/>
    <w:rsid w:val="1AF44089"/>
    <w:rsid w:val="1B03607B"/>
    <w:rsid w:val="1B1E55A1"/>
    <w:rsid w:val="1B2A2D62"/>
    <w:rsid w:val="1B434A71"/>
    <w:rsid w:val="1B6D1746"/>
    <w:rsid w:val="1B6D1F0E"/>
    <w:rsid w:val="1B79633D"/>
    <w:rsid w:val="1B920E49"/>
    <w:rsid w:val="1BBD091F"/>
    <w:rsid w:val="1BEA4DEF"/>
    <w:rsid w:val="1BF80966"/>
    <w:rsid w:val="1BFF73B7"/>
    <w:rsid w:val="1C01619F"/>
    <w:rsid w:val="1C095610"/>
    <w:rsid w:val="1C197E29"/>
    <w:rsid w:val="1C200EAE"/>
    <w:rsid w:val="1C2F10F1"/>
    <w:rsid w:val="1C473F2F"/>
    <w:rsid w:val="1C6B4699"/>
    <w:rsid w:val="1C705992"/>
    <w:rsid w:val="1C821221"/>
    <w:rsid w:val="1CA4563B"/>
    <w:rsid w:val="1CB97944"/>
    <w:rsid w:val="1CBA1931"/>
    <w:rsid w:val="1CC3154D"/>
    <w:rsid w:val="1CD22DC8"/>
    <w:rsid w:val="1CDD0B4D"/>
    <w:rsid w:val="1CFD2F9D"/>
    <w:rsid w:val="1D077978"/>
    <w:rsid w:val="1D1A3B4F"/>
    <w:rsid w:val="1D2030BF"/>
    <w:rsid w:val="1D8A14F0"/>
    <w:rsid w:val="1D976F4E"/>
    <w:rsid w:val="1DA46C53"/>
    <w:rsid w:val="1DB34A30"/>
    <w:rsid w:val="1DC323E3"/>
    <w:rsid w:val="1DCA2E80"/>
    <w:rsid w:val="1DF56253"/>
    <w:rsid w:val="1E033DED"/>
    <w:rsid w:val="1E430E84"/>
    <w:rsid w:val="1E5B1377"/>
    <w:rsid w:val="1E635082"/>
    <w:rsid w:val="1E857F22"/>
    <w:rsid w:val="1E877D62"/>
    <w:rsid w:val="1F144534"/>
    <w:rsid w:val="1F187AED"/>
    <w:rsid w:val="1F264A2D"/>
    <w:rsid w:val="1F890B18"/>
    <w:rsid w:val="1F9951FF"/>
    <w:rsid w:val="1F9C3F83"/>
    <w:rsid w:val="1FBB33C8"/>
    <w:rsid w:val="1FC6467C"/>
    <w:rsid w:val="1FD75D28"/>
    <w:rsid w:val="1FE56F16"/>
    <w:rsid w:val="1FE83A91"/>
    <w:rsid w:val="1FEE64E2"/>
    <w:rsid w:val="200C3EF7"/>
    <w:rsid w:val="20120B0E"/>
    <w:rsid w:val="202D3B9A"/>
    <w:rsid w:val="206A26F8"/>
    <w:rsid w:val="20F87891"/>
    <w:rsid w:val="210D7225"/>
    <w:rsid w:val="211D776A"/>
    <w:rsid w:val="214C004F"/>
    <w:rsid w:val="216058A9"/>
    <w:rsid w:val="21793170"/>
    <w:rsid w:val="2190618E"/>
    <w:rsid w:val="21967B55"/>
    <w:rsid w:val="219F36A8"/>
    <w:rsid w:val="21B3155B"/>
    <w:rsid w:val="21C910B4"/>
    <w:rsid w:val="21D50045"/>
    <w:rsid w:val="21F032CF"/>
    <w:rsid w:val="221E19EC"/>
    <w:rsid w:val="221E7C3E"/>
    <w:rsid w:val="22396C74"/>
    <w:rsid w:val="227930C6"/>
    <w:rsid w:val="22813D29"/>
    <w:rsid w:val="228B1B14"/>
    <w:rsid w:val="229C4BB4"/>
    <w:rsid w:val="22B8169F"/>
    <w:rsid w:val="22D35427"/>
    <w:rsid w:val="22DA1DB7"/>
    <w:rsid w:val="22FE46DD"/>
    <w:rsid w:val="232A43C0"/>
    <w:rsid w:val="233D257C"/>
    <w:rsid w:val="2364787B"/>
    <w:rsid w:val="2374694C"/>
    <w:rsid w:val="23A418A2"/>
    <w:rsid w:val="23B91729"/>
    <w:rsid w:val="23BD17E3"/>
    <w:rsid w:val="23C9261C"/>
    <w:rsid w:val="23F32A04"/>
    <w:rsid w:val="24653902"/>
    <w:rsid w:val="248B01F1"/>
    <w:rsid w:val="24B85758"/>
    <w:rsid w:val="24C148B0"/>
    <w:rsid w:val="24CF6FCD"/>
    <w:rsid w:val="24E74595"/>
    <w:rsid w:val="251315B0"/>
    <w:rsid w:val="251C461B"/>
    <w:rsid w:val="251C78A5"/>
    <w:rsid w:val="251E409E"/>
    <w:rsid w:val="25292B82"/>
    <w:rsid w:val="25501C64"/>
    <w:rsid w:val="25507CB0"/>
    <w:rsid w:val="25744E30"/>
    <w:rsid w:val="257A20DC"/>
    <w:rsid w:val="257A33DD"/>
    <w:rsid w:val="25A52A6B"/>
    <w:rsid w:val="25D56865"/>
    <w:rsid w:val="263F5D82"/>
    <w:rsid w:val="265359DC"/>
    <w:rsid w:val="26663961"/>
    <w:rsid w:val="2666570F"/>
    <w:rsid w:val="26DA3F62"/>
    <w:rsid w:val="26F62F37"/>
    <w:rsid w:val="27400656"/>
    <w:rsid w:val="276F1A45"/>
    <w:rsid w:val="27B626C7"/>
    <w:rsid w:val="27C834FC"/>
    <w:rsid w:val="280C3FC9"/>
    <w:rsid w:val="282D51B1"/>
    <w:rsid w:val="28757E8C"/>
    <w:rsid w:val="288B6294"/>
    <w:rsid w:val="28A36CB5"/>
    <w:rsid w:val="28A6273B"/>
    <w:rsid w:val="28BF3E24"/>
    <w:rsid w:val="29077E9F"/>
    <w:rsid w:val="290A2CCA"/>
    <w:rsid w:val="292B0388"/>
    <w:rsid w:val="293D309F"/>
    <w:rsid w:val="29415831"/>
    <w:rsid w:val="295B3526"/>
    <w:rsid w:val="29602BB5"/>
    <w:rsid w:val="298B3FCA"/>
    <w:rsid w:val="2996630C"/>
    <w:rsid w:val="29995DFC"/>
    <w:rsid w:val="29AE2317"/>
    <w:rsid w:val="29CA2D09"/>
    <w:rsid w:val="29F8727E"/>
    <w:rsid w:val="2A043BBD"/>
    <w:rsid w:val="2A0E5798"/>
    <w:rsid w:val="2AB454E8"/>
    <w:rsid w:val="2ABF13A7"/>
    <w:rsid w:val="2AE80DE9"/>
    <w:rsid w:val="2B3D5DB9"/>
    <w:rsid w:val="2B4D6E9E"/>
    <w:rsid w:val="2B595843"/>
    <w:rsid w:val="2B6366C1"/>
    <w:rsid w:val="2B7B1C0B"/>
    <w:rsid w:val="2B7B1F76"/>
    <w:rsid w:val="2B960845"/>
    <w:rsid w:val="2C0D087E"/>
    <w:rsid w:val="2C1661C4"/>
    <w:rsid w:val="2C183950"/>
    <w:rsid w:val="2C5C1A8E"/>
    <w:rsid w:val="2C752B50"/>
    <w:rsid w:val="2CEA52EC"/>
    <w:rsid w:val="2D0637A8"/>
    <w:rsid w:val="2D5704A8"/>
    <w:rsid w:val="2D595FCE"/>
    <w:rsid w:val="2D6B7AAF"/>
    <w:rsid w:val="2D83129D"/>
    <w:rsid w:val="2D894942"/>
    <w:rsid w:val="2DF06932"/>
    <w:rsid w:val="2E402CEA"/>
    <w:rsid w:val="2E570CC9"/>
    <w:rsid w:val="2E5A3DBC"/>
    <w:rsid w:val="2E6D7F83"/>
    <w:rsid w:val="2E6F330A"/>
    <w:rsid w:val="2E922BF6"/>
    <w:rsid w:val="2EEB70FA"/>
    <w:rsid w:val="2EFA733D"/>
    <w:rsid w:val="2F1C04D2"/>
    <w:rsid w:val="2F5A7DDB"/>
    <w:rsid w:val="2F8B1F7E"/>
    <w:rsid w:val="2F9D630E"/>
    <w:rsid w:val="2FC66097"/>
    <w:rsid w:val="2FE36A1D"/>
    <w:rsid w:val="2FE77451"/>
    <w:rsid w:val="30393E95"/>
    <w:rsid w:val="3046275B"/>
    <w:rsid w:val="305667F5"/>
    <w:rsid w:val="306A50B1"/>
    <w:rsid w:val="309C1A0D"/>
    <w:rsid w:val="30B575EE"/>
    <w:rsid w:val="30C916BD"/>
    <w:rsid w:val="30D50061"/>
    <w:rsid w:val="30D862EC"/>
    <w:rsid w:val="30E57CC3"/>
    <w:rsid w:val="31230DCD"/>
    <w:rsid w:val="31322DBE"/>
    <w:rsid w:val="313668AB"/>
    <w:rsid w:val="314761A3"/>
    <w:rsid w:val="31530A22"/>
    <w:rsid w:val="315E0057"/>
    <w:rsid w:val="31662A68"/>
    <w:rsid w:val="3166515D"/>
    <w:rsid w:val="3168491E"/>
    <w:rsid w:val="31772EC7"/>
    <w:rsid w:val="318B0720"/>
    <w:rsid w:val="31D71BB7"/>
    <w:rsid w:val="31E85B72"/>
    <w:rsid w:val="32220A03"/>
    <w:rsid w:val="322F72FD"/>
    <w:rsid w:val="324234D5"/>
    <w:rsid w:val="326F125E"/>
    <w:rsid w:val="32861A63"/>
    <w:rsid w:val="32892EB1"/>
    <w:rsid w:val="328C6723"/>
    <w:rsid w:val="329D378B"/>
    <w:rsid w:val="32BE0726"/>
    <w:rsid w:val="32CB5278"/>
    <w:rsid w:val="32DA195F"/>
    <w:rsid w:val="32E7407C"/>
    <w:rsid w:val="32FC5B42"/>
    <w:rsid w:val="32FD564D"/>
    <w:rsid w:val="331949C8"/>
    <w:rsid w:val="332364E3"/>
    <w:rsid w:val="335F2223"/>
    <w:rsid w:val="339D76A0"/>
    <w:rsid w:val="33AA52CB"/>
    <w:rsid w:val="33B61BE4"/>
    <w:rsid w:val="33C4712A"/>
    <w:rsid w:val="33CD5020"/>
    <w:rsid w:val="33D4063A"/>
    <w:rsid w:val="33D52499"/>
    <w:rsid w:val="33E10ACB"/>
    <w:rsid w:val="34303C0B"/>
    <w:rsid w:val="34313F39"/>
    <w:rsid w:val="3453266A"/>
    <w:rsid w:val="34563267"/>
    <w:rsid w:val="347D6A46"/>
    <w:rsid w:val="34814E5E"/>
    <w:rsid w:val="348469BF"/>
    <w:rsid w:val="34AF2977"/>
    <w:rsid w:val="34FA3BF3"/>
    <w:rsid w:val="3514751A"/>
    <w:rsid w:val="351A6043"/>
    <w:rsid w:val="353F37D3"/>
    <w:rsid w:val="35414F6E"/>
    <w:rsid w:val="35702107"/>
    <w:rsid w:val="35DE4BD9"/>
    <w:rsid w:val="35F72828"/>
    <w:rsid w:val="3632560E"/>
    <w:rsid w:val="36370DB2"/>
    <w:rsid w:val="363B2715"/>
    <w:rsid w:val="36820BD0"/>
    <w:rsid w:val="36BB3856"/>
    <w:rsid w:val="36E061C9"/>
    <w:rsid w:val="3720190B"/>
    <w:rsid w:val="375A7528"/>
    <w:rsid w:val="37682226"/>
    <w:rsid w:val="377C4D93"/>
    <w:rsid w:val="378B4569"/>
    <w:rsid w:val="378C4F44"/>
    <w:rsid w:val="37A20571"/>
    <w:rsid w:val="37BE14C0"/>
    <w:rsid w:val="37C624B2"/>
    <w:rsid w:val="37CA6B96"/>
    <w:rsid w:val="37CB7AC8"/>
    <w:rsid w:val="37FA0F09"/>
    <w:rsid w:val="38042FDA"/>
    <w:rsid w:val="38141050"/>
    <w:rsid w:val="384564E0"/>
    <w:rsid w:val="38613F89"/>
    <w:rsid w:val="38897ECE"/>
    <w:rsid w:val="38BB4203"/>
    <w:rsid w:val="38D73514"/>
    <w:rsid w:val="38F32C46"/>
    <w:rsid w:val="38F42E11"/>
    <w:rsid w:val="39027461"/>
    <w:rsid w:val="39294E48"/>
    <w:rsid w:val="39673821"/>
    <w:rsid w:val="398375FF"/>
    <w:rsid w:val="39975BA6"/>
    <w:rsid w:val="39CB39E5"/>
    <w:rsid w:val="39D4755C"/>
    <w:rsid w:val="39D569DC"/>
    <w:rsid w:val="39DA2245"/>
    <w:rsid w:val="39DB5415"/>
    <w:rsid w:val="39E3559D"/>
    <w:rsid w:val="3A3F1455"/>
    <w:rsid w:val="3A5B3385"/>
    <w:rsid w:val="3A71268C"/>
    <w:rsid w:val="3A881DEF"/>
    <w:rsid w:val="3A8E0B3B"/>
    <w:rsid w:val="3A9746CD"/>
    <w:rsid w:val="3A983149"/>
    <w:rsid w:val="3AA21D55"/>
    <w:rsid w:val="3AB31FC8"/>
    <w:rsid w:val="3AB57F4E"/>
    <w:rsid w:val="3B0B7552"/>
    <w:rsid w:val="3B1B329B"/>
    <w:rsid w:val="3B253993"/>
    <w:rsid w:val="3B384E25"/>
    <w:rsid w:val="3B5D44F4"/>
    <w:rsid w:val="3B6C3370"/>
    <w:rsid w:val="3BF05D4F"/>
    <w:rsid w:val="3C045356"/>
    <w:rsid w:val="3C1732DC"/>
    <w:rsid w:val="3C335C3C"/>
    <w:rsid w:val="3C532924"/>
    <w:rsid w:val="3C552516"/>
    <w:rsid w:val="3C616C4D"/>
    <w:rsid w:val="3C814BF9"/>
    <w:rsid w:val="3C9F7ACB"/>
    <w:rsid w:val="3CE732AA"/>
    <w:rsid w:val="3CE75344"/>
    <w:rsid w:val="3D2A5291"/>
    <w:rsid w:val="3D4225DB"/>
    <w:rsid w:val="3D4A6972"/>
    <w:rsid w:val="3D85696B"/>
    <w:rsid w:val="3DA60DBB"/>
    <w:rsid w:val="3DAE1A1E"/>
    <w:rsid w:val="3DF8713D"/>
    <w:rsid w:val="3E2148E6"/>
    <w:rsid w:val="3E573E64"/>
    <w:rsid w:val="3E772758"/>
    <w:rsid w:val="3E843743"/>
    <w:rsid w:val="3E951CD3"/>
    <w:rsid w:val="3EA01CAF"/>
    <w:rsid w:val="3ED437FA"/>
    <w:rsid w:val="3EE9440D"/>
    <w:rsid w:val="3F0B413C"/>
    <w:rsid w:val="3F1461F9"/>
    <w:rsid w:val="3F2F3423"/>
    <w:rsid w:val="3F3D66CD"/>
    <w:rsid w:val="3F4B7F0F"/>
    <w:rsid w:val="3F703557"/>
    <w:rsid w:val="3F746C97"/>
    <w:rsid w:val="3F786788"/>
    <w:rsid w:val="3F8205BE"/>
    <w:rsid w:val="3F9D7F9C"/>
    <w:rsid w:val="3FAA4467"/>
    <w:rsid w:val="3FC512A1"/>
    <w:rsid w:val="3FC76DC7"/>
    <w:rsid w:val="3FCF3ECE"/>
    <w:rsid w:val="400A145A"/>
    <w:rsid w:val="404550EB"/>
    <w:rsid w:val="404B3C32"/>
    <w:rsid w:val="40662A84"/>
    <w:rsid w:val="40707320"/>
    <w:rsid w:val="407A237F"/>
    <w:rsid w:val="408D1DBF"/>
    <w:rsid w:val="408E0724"/>
    <w:rsid w:val="409B4DCD"/>
    <w:rsid w:val="40A84E4B"/>
    <w:rsid w:val="40B717D3"/>
    <w:rsid w:val="40B732E0"/>
    <w:rsid w:val="40BC08F6"/>
    <w:rsid w:val="40C33A32"/>
    <w:rsid w:val="40D164FB"/>
    <w:rsid w:val="40DA0D7C"/>
    <w:rsid w:val="40E243D7"/>
    <w:rsid w:val="40E63BC5"/>
    <w:rsid w:val="40FB5855"/>
    <w:rsid w:val="41036525"/>
    <w:rsid w:val="41150C03"/>
    <w:rsid w:val="41222415"/>
    <w:rsid w:val="414C5861"/>
    <w:rsid w:val="41DE664A"/>
    <w:rsid w:val="41FA176A"/>
    <w:rsid w:val="420662CD"/>
    <w:rsid w:val="423435B8"/>
    <w:rsid w:val="4258464E"/>
    <w:rsid w:val="425D7EB7"/>
    <w:rsid w:val="427E2307"/>
    <w:rsid w:val="428471F1"/>
    <w:rsid w:val="42B42080"/>
    <w:rsid w:val="42B60D1B"/>
    <w:rsid w:val="42D263AC"/>
    <w:rsid w:val="42F779C3"/>
    <w:rsid w:val="43002ED1"/>
    <w:rsid w:val="43041134"/>
    <w:rsid w:val="430D78DE"/>
    <w:rsid w:val="431E13F4"/>
    <w:rsid w:val="43275224"/>
    <w:rsid w:val="433429C6"/>
    <w:rsid w:val="43486471"/>
    <w:rsid w:val="434972B8"/>
    <w:rsid w:val="43616E7D"/>
    <w:rsid w:val="436634C5"/>
    <w:rsid w:val="43A044FF"/>
    <w:rsid w:val="43A318F9"/>
    <w:rsid w:val="43A86F10"/>
    <w:rsid w:val="43C875B2"/>
    <w:rsid w:val="43D16466"/>
    <w:rsid w:val="43DA644B"/>
    <w:rsid w:val="43E819D5"/>
    <w:rsid w:val="43F77E57"/>
    <w:rsid w:val="44146FF6"/>
    <w:rsid w:val="44231DF0"/>
    <w:rsid w:val="44307631"/>
    <w:rsid w:val="44442C83"/>
    <w:rsid w:val="445B539D"/>
    <w:rsid w:val="445F1CC4"/>
    <w:rsid w:val="447E681D"/>
    <w:rsid w:val="44942A12"/>
    <w:rsid w:val="44AC4FC7"/>
    <w:rsid w:val="44BD4C3D"/>
    <w:rsid w:val="4504286C"/>
    <w:rsid w:val="45246E6C"/>
    <w:rsid w:val="452B429C"/>
    <w:rsid w:val="45350C77"/>
    <w:rsid w:val="455A06DD"/>
    <w:rsid w:val="456F5F37"/>
    <w:rsid w:val="45790B64"/>
    <w:rsid w:val="458A2D71"/>
    <w:rsid w:val="459534C4"/>
    <w:rsid w:val="45EA6E49"/>
    <w:rsid w:val="460A190A"/>
    <w:rsid w:val="46270A22"/>
    <w:rsid w:val="46A21160"/>
    <w:rsid w:val="46B06807"/>
    <w:rsid w:val="46BF588E"/>
    <w:rsid w:val="46C71DA3"/>
    <w:rsid w:val="46FA0D88"/>
    <w:rsid w:val="47022DDB"/>
    <w:rsid w:val="47213261"/>
    <w:rsid w:val="473531B0"/>
    <w:rsid w:val="47431429"/>
    <w:rsid w:val="47544DFE"/>
    <w:rsid w:val="477912EF"/>
    <w:rsid w:val="477D340C"/>
    <w:rsid w:val="47B57E4D"/>
    <w:rsid w:val="47BE6D02"/>
    <w:rsid w:val="47C84024"/>
    <w:rsid w:val="47D772EC"/>
    <w:rsid w:val="47EA7AF7"/>
    <w:rsid w:val="48021647"/>
    <w:rsid w:val="48082673"/>
    <w:rsid w:val="482F53D6"/>
    <w:rsid w:val="48393FC4"/>
    <w:rsid w:val="485B6C46"/>
    <w:rsid w:val="486A50DB"/>
    <w:rsid w:val="486F26F2"/>
    <w:rsid w:val="48712F45"/>
    <w:rsid w:val="48912668"/>
    <w:rsid w:val="48914416"/>
    <w:rsid w:val="48A51C70"/>
    <w:rsid w:val="48AD2F65"/>
    <w:rsid w:val="48BD345D"/>
    <w:rsid w:val="48DB1EBA"/>
    <w:rsid w:val="48DD53FB"/>
    <w:rsid w:val="48E64762"/>
    <w:rsid w:val="48EA42C6"/>
    <w:rsid w:val="48FE28A6"/>
    <w:rsid w:val="492359B6"/>
    <w:rsid w:val="49311755"/>
    <w:rsid w:val="495D77D3"/>
    <w:rsid w:val="49867716"/>
    <w:rsid w:val="4989333F"/>
    <w:rsid w:val="49A33E79"/>
    <w:rsid w:val="49C76AE6"/>
    <w:rsid w:val="49D56585"/>
    <w:rsid w:val="49FC7FB5"/>
    <w:rsid w:val="4A0D148A"/>
    <w:rsid w:val="4A1264D9"/>
    <w:rsid w:val="4A3036E1"/>
    <w:rsid w:val="4A3F2F5D"/>
    <w:rsid w:val="4A410842"/>
    <w:rsid w:val="4A4A0D21"/>
    <w:rsid w:val="4A653674"/>
    <w:rsid w:val="4A673681"/>
    <w:rsid w:val="4A6E581C"/>
    <w:rsid w:val="4A7F68A7"/>
    <w:rsid w:val="4A834233"/>
    <w:rsid w:val="4A9401EE"/>
    <w:rsid w:val="4AE051E1"/>
    <w:rsid w:val="4AFD2237"/>
    <w:rsid w:val="4B3D2633"/>
    <w:rsid w:val="4B524331"/>
    <w:rsid w:val="4B5A7CCA"/>
    <w:rsid w:val="4B922D11"/>
    <w:rsid w:val="4B9506C1"/>
    <w:rsid w:val="4B9F28EF"/>
    <w:rsid w:val="4BAB1C93"/>
    <w:rsid w:val="4BB17792"/>
    <w:rsid w:val="4BBC29B0"/>
    <w:rsid w:val="4BC56FCC"/>
    <w:rsid w:val="4BF40E3E"/>
    <w:rsid w:val="4C237A7B"/>
    <w:rsid w:val="4C43011D"/>
    <w:rsid w:val="4C4D3F50"/>
    <w:rsid w:val="4C520360"/>
    <w:rsid w:val="4C612351"/>
    <w:rsid w:val="4C6B00A8"/>
    <w:rsid w:val="4C72630D"/>
    <w:rsid w:val="4C7C0669"/>
    <w:rsid w:val="4C9D15DC"/>
    <w:rsid w:val="4CAF57B3"/>
    <w:rsid w:val="4CC528E0"/>
    <w:rsid w:val="4CF84A64"/>
    <w:rsid w:val="4CFA3536"/>
    <w:rsid w:val="4D184DB9"/>
    <w:rsid w:val="4D395E7C"/>
    <w:rsid w:val="4D3A1520"/>
    <w:rsid w:val="4D40640B"/>
    <w:rsid w:val="4D61529C"/>
    <w:rsid w:val="4D785BA5"/>
    <w:rsid w:val="4D807B2F"/>
    <w:rsid w:val="4DAF7E7C"/>
    <w:rsid w:val="4DBE5CAD"/>
    <w:rsid w:val="4DDA72CC"/>
    <w:rsid w:val="4DDE00FE"/>
    <w:rsid w:val="4DE962E2"/>
    <w:rsid w:val="4DED20EF"/>
    <w:rsid w:val="4DFF1C65"/>
    <w:rsid w:val="4E0452F6"/>
    <w:rsid w:val="4E264AC2"/>
    <w:rsid w:val="4E2D4BE1"/>
    <w:rsid w:val="4E2F2707"/>
    <w:rsid w:val="4E5403C0"/>
    <w:rsid w:val="4E577323"/>
    <w:rsid w:val="4E772300"/>
    <w:rsid w:val="4E883785"/>
    <w:rsid w:val="4EA07BA7"/>
    <w:rsid w:val="4EA2737D"/>
    <w:rsid w:val="4EC2494C"/>
    <w:rsid w:val="4ECA2430"/>
    <w:rsid w:val="4EE0713C"/>
    <w:rsid w:val="4EE564A3"/>
    <w:rsid w:val="4F1B0EDE"/>
    <w:rsid w:val="4F207928"/>
    <w:rsid w:val="4F5E3B4E"/>
    <w:rsid w:val="4F6E725F"/>
    <w:rsid w:val="4F740500"/>
    <w:rsid w:val="4F960564"/>
    <w:rsid w:val="4FB8672C"/>
    <w:rsid w:val="4FC43323"/>
    <w:rsid w:val="4FC74BC1"/>
    <w:rsid w:val="4FD54158"/>
    <w:rsid w:val="4FE30917"/>
    <w:rsid w:val="4FFE1BE2"/>
    <w:rsid w:val="500D4CCA"/>
    <w:rsid w:val="501F435C"/>
    <w:rsid w:val="5027330E"/>
    <w:rsid w:val="503C1837"/>
    <w:rsid w:val="504723BC"/>
    <w:rsid w:val="5075328B"/>
    <w:rsid w:val="509251CF"/>
    <w:rsid w:val="50AF7B2F"/>
    <w:rsid w:val="50C64E79"/>
    <w:rsid w:val="50CA6717"/>
    <w:rsid w:val="50D91050"/>
    <w:rsid w:val="50DC2766"/>
    <w:rsid w:val="50ED0658"/>
    <w:rsid w:val="510B7F1B"/>
    <w:rsid w:val="51334917"/>
    <w:rsid w:val="5139564B"/>
    <w:rsid w:val="51452242"/>
    <w:rsid w:val="51473C5A"/>
    <w:rsid w:val="516F13BA"/>
    <w:rsid w:val="51915487"/>
    <w:rsid w:val="51A258E6"/>
    <w:rsid w:val="51BA0C5F"/>
    <w:rsid w:val="51BD44CE"/>
    <w:rsid w:val="51C07B1A"/>
    <w:rsid w:val="52151C14"/>
    <w:rsid w:val="5217598C"/>
    <w:rsid w:val="521B7081"/>
    <w:rsid w:val="52235AA1"/>
    <w:rsid w:val="52291B63"/>
    <w:rsid w:val="523A289F"/>
    <w:rsid w:val="525C7843"/>
    <w:rsid w:val="528079D5"/>
    <w:rsid w:val="52BD6B2D"/>
    <w:rsid w:val="52C118CB"/>
    <w:rsid w:val="52C74B5B"/>
    <w:rsid w:val="52E64B7D"/>
    <w:rsid w:val="52E75AB2"/>
    <w:rsid w:val="52E80913"/>
    <w:rsid w:val="530435E9"/>
    <w:rsid w:val="536D782E"/>
    <w:rsid w:val="537D1A12"/>
    <w:rsid w:val="53890B0C"/>
    <w:rsid w:val="53923E52"/>
    <w:rsid w:val="53A44F5A"/>
    <w:rsid w:val="53C953AC"/>
    <w:rsid w:val="53CF0730"/>
    <w:rsid w:val="53EB70D0"/>
    <w:rsid w:val="53F006E8"/>
    <w:rsid w:val="540229FA"/>
    <w:rsid w:val="54161C73"/>
    <w:rsid w:val="543C0AB5"/>
    <w:rsid w:val="5474356A"/>
    <w:rsid w:val="54DA2D1D"/>
    <w:rsid w:val="54DC110F"/>
    <w:rsid w:val="55144405"/>
    <w:rsid w:val="55200FFC"/>
    <w:rsid w:val="55350158"/>
    <w:rsid w:val="553D42F4"/>
    <w:rsid w:val="554A7FBB"/>
    <w:rsid w:val="555A181E"/>
    <w:rsid w:val="556A70BB"/>
    <w:rsid w:val="55911EF9"/>
    <w:rsid w:val="55B17114"/>
    <w:rsid w:val="55C220B3"/>
    <w:rsid w:val="55CD79BC"/>
    <w:rsid w:val="55D3017F"/>
    <w:rsid w:val="55E53FF3"/>
    <w:rsid w:val="55EB160A"/>
    <w:rsid w:val="55F0088B"/>
    <w:rsid w:val="55F36710"/>
    <w:rsid w:val="55FC1EE9"/>
    <w:rsid w:val="56234114"/>
    <w:rsid w:val="562C4BF8"/>
    <w:rsid w:val="563F3E20"/>
    <w:rsid w:val="566969D2"/>
    <w:rsid w:val="566F250E"/>
    <w:rsid w:val="568455BA"/>
    <w:rsid w:val="568C7EF3"/>
    <w:rsid w:val="569E48CE"/>
    <w:rsid w:val="56A67499"/>
    <w:rsid w:val="56C45044"/>
    <w:rsid w:val="56D54068"/>
    <w:rsid w:val="56E11498"/>
    <w:rsid w:val="56FB5FC3"/>
    <w:rsid w:val="570D0312"/>
    <w:rsid w:val="5716766C"/>
    <w:rsid w:val="572A4F61"/>
    <w:rsid w:val="57521214"/>
    <w:rsid w:val="5774562F"/>
    <w:rsid w:val="578E4942"/>
    <w:rsid w:val="57A02449"/>
    <w:rsid w:val="57A74D3D"/>
    <w:rsid w:val="57BC3869"/>
    <w:rsid w:val="57CE11E3"/>
    <w:rsid w:val="57DE6F4C"/>
    <w:rsid w:val="57E7388C"/>
    <w:rsid w:val="57EA769F"/>
    <w:rsid w:val="58070251"/>
    <w:rsid w:val="580C6D7B"/>
    <w:rsid w:val="58231F06"/>
    <w:rsid w:val="58306D10"/>
    <w:rsid w:val="58615BB3"/>
    <w:rsid w:val="588C15CC"/>
    <w:rsid w:val="588C7383"/>
    <w:rsid w:val="58AA1192"/>
    <w:rsid w:val="58BC54DF"/>
    <w:rsid w:val="58F307D5"/>
    <w:rsid w:val="58FE255D"/>
    <w:rsid w:val="59013595"/>
    <w:rsid w:val="590429E2"/>
    <w:rsid w:val="591E0A5B"/>
    <w:rsid w:val="591F15CA"/>
    <w:rsid w:val="593B4656"/>
    <w:rsid w:val="59464DA9"/>
    <w:rsid w:val="594A4899"/>
    <w:rsid w:val="59561B9F"/>
    <w:rsid w:val="597C07CB"/>
    <w:rsid w:val="59A73A9A"/>
    <w:rsid w:val="59B461B6"/>
    <w:rsid w:val="59BA3FF2"/>
    <w:rsid w:val="59C30A7F"/>
    <w:rsid w:val="59D423B5"/>
    <w:rsid w:val="59E074F3"/>
    <w:rsid w:val="59FA62BF"/>
    <w:rsid w:val="5A373014"/>
    <w:rsid w:val="5A3B2434"/>
    <w:rsid w:val="5A606760"/>
    <w:rsid w:val="5AA21B93"/>
    <w:rsid w:val="5AA33012"/>
    <w:rsid w:val="5AD43EEF"/>
    <w:rsid w:val="5AD7215D"/>
    <w:rsid w:val="5AE20B01"/>
    <w:rsid w:val="5AEE394A"/>
    <w:rsid w:val="5AF51E05"/>
    <w:rsid w:val="5B1645F9"/>
    <w:rsid w:val="5B1C4013"/>
    <w:rsid w:val="5B215ACE"/>
    <w:rsid w:val="5B261F28"/>
    <w:rsid w:val="5B2D4472"/>
    <w:rsid w:val="5B34049B"/>
    <w:rsid w:val="5B3C70FF"/>
    <w:rsid w:val="5B3E21DC"/>
    <w:rsid w:val="5B6339F0"/>
    <w:rsid w:val="5B667984"/>
    <w:rsid w:val="5B920779"/>
    <w:rsid w:val="5BA23FE5"/>
    <w:rsid w:val="5BA67B8C"/>
    <w:rsid w:val="5BCE7A03"/>
    <w:rsid w:val="5BE75443"/>
    <w:rsid w:val="5C1473E0"/>
    <w:rsid w:val="5C207B33"/>
    <w:rsid w:val="5C361105"/>
    <w:rsid w:val="5C381321"/>
    <w:rsid w:val="5C56756F"/>
    <w:rsid w:val="5C5C3190"/>
    <w:rsid w:val="5C6E4D42"/>
    <w:rsid w:val="5CD728E8"/>
    <w:rsid w:val="5CE13802"/>
    <w:rsid w:val="5CE47462"/>
    <w:rsid w:val="5CEB4A45"/>
    <w:rsid w:val="5CFE60C6"/>
    <w:rsid w:val="5D0668AC"/>
    <w:rsid w:val="5D3A4C25"/>
    <w:rsid w:val="5D4A1E7A"/>
    <w:rsid w:val="5D7A3273"/>
    <w:rsid w:val="5D916F3A"/>
    <w:rsid w:val="5D9724E6"/>
    <w:rsid w:val="5DCC7F73"/>
    <w:rsid w:val="5DD5494D"/>
    <w:rsid w:val="5DD62B9F"/>
    <w:rsid w:val="5DE05969"/>
    <w:rsid w:val="5DEA664B"/>
    <w:rsid w:val="5DFB763C"/>
    <w:rsid w:val="5E086AD1"/>
    <w:rsid w:val="5E622685"/>
    <w:rsid w:val="5E824AD5"/>
    <w:rsid w:val="5E83629B"/>
    <w:rsid w:val="5E8F2D4E"/>
    <w:rsid w:val="5E9B5A83"/>
    <w:rsid w:val="5EBB200E"/>
    <w:rsid w:val="5EBC105D"/>
    <w:rsid w:val="5EC724E8"/>
    <w:rsid w:val="5ED846F5"/>
    <w:rsid w:val="5EE017FC"/>
    <w:rsid w:val="5F021772"/>
    <w:rsid w:val="5F0E0117"/>
    <w:rsid w:val="5F4467D8"/>
    <w:rsid w:val="5F571ABE"/>
    <w:rsid w:val="5F5930E0"/>
    <w:rsid w:val="5F700DD2"/>
    <w:rsid w:val="5F740E47"/>
    <w:rsid w:val="5F8108E9"/>
    <w:rsid w:val="5FB0773B"/>
    <w:rsid w:val="5FBA204D"/>
    <w:rsid w:val="5FCE450D"/>
    <w:rsid w:val="5FCE4D99"/>
    <w:rsid w:val="5FD75E47"/>
    <w:rsid w:val="5FE04939"/>
    <w:rsid w:val="5FE12603"/>
    <w:rsid w:val="6008100A"/>
    <w:rsid w:val="60163727"/>
    <w:rsid w:val="60234553"/>
    <w:rsid w:val="60363DC9"/>
    <w:rsid w:val="603F29C1"/>
    <w:rsid w:val="60443CFE"/>
    <w:rsid w:val="605D58D7"/>
    <w:rsid w:val="605E6E7C"/>
    <w:rsid w:val="606E6ABD"/>
    <w:rsid w:val="60771CEC"/>
    <w:rsid w:val="607B5C80"/>
    <w:rsid w:val="607C1252"/>
    <w:rsid w:val="60A8771C"/>
    <w:rsid w:val="60AB42A2"/>
    <w:rsid w:val="60B90BF4"/>
    <w:rsid w:val="60BB7E2A"/>
    <w:rsid w:val="610C6665"/>
    <w:rsid w:val="6118702B"/>
    <w:rsid w:val="611C2337"/>
    <w:rsid w:val="61293DF3"/>
    <w:rsid w:val="6133294F"/>
    <w:rsid w:val="614610F4"/>
    <w:rsid w:val="61742A83"/>
    <w:rsid w:val="61796CB2"/>
    <w:rsid w:val="61AB4343"/>
    <w:rsid w:val="61C35BF9"/>
    <w:rsid w:val="61DF3FED"/>
    <w:rsid w:val="61DF6CF6"/>
    <w:rsid w:val="61E814E9"/>
    <w:rsid w:val="61ED6709"/>
    <w:rsid w:val="620B6285"/>
    <w:rsid w:val="6210426E"/>
    <w:rsid w:val="621A6DD3"/>
    <w:rsid w:val="62326812"/>
    <w:rsid w:val="62377985"/>
    <w:rsid w:val="62422518"/>
    <w:rsid w:val="62612C54"/>
    <w:rsid w:val="626F711E"/>
    <w:rsid w:val="62710E5F"/>
    <w:rsid w:val="627533AB"/>
    <w:rsid w:val="62860415"/>
    <w:rsid w:val="628C1A7E"/>
    <w:rsid w:val="629578F8"/>
    <w:rsid w:val="62A3501A"/>
    <w:rsid w:val="62C01E93"/>
    <w:rsid w:val="62ED4E82"/>
    <w:rsid w:val="630C2BBF"/>
    <w:rsid w:val="631C2DE5"/>
    <w:rsid w:val="63273E9D"/>
    <w:rsid w:val="634B514E"/>
    <w:rsid w:val="634E7C3F"/>
    <w:rsid w:val="63770981"/>
    <w:rsid w:val="638C790B"/>
    <w:rsid w:val="639840F5"/>
    <w:rsid w:val="639C0744"/>
    <w:rsid w:val="63CB65D6"/>
    <w:rsid w:val="63D52998"/>
    <w:rsid w:val="64012005"/>
    <w:rsid w:val="64287ECD"/>
    <w:rsid w:val="643C6CB2"/>
    <w:rsid w:val="64680AA0"/>
    <w:rsid w:val="646903C9"/>
    <w:rsid w:val="646A4CD8"/>
    <w:rsid w:val="648469BC"/>
    <w:rsid w:val="648C220A"/>
    <w:rsid w:val="64970BAF"/>
    <w:rsid w:val="64A043B8"/>
    <w:rsid w:val="64A55079"/>
    <w:rsid w:val="64B251B8"/>
    <w:rsid w:val="64B74DAD"/>
    <w:rsid w:val="64CA6E23"/>
    <w:rsid w:val="64CD21AB"/>
    <w:rsid w:val="64D25036"/>
    <w:rsid w:val="64E20C5E"/>
    <w:rsid w:val="64FF0C2E"/>
    <w:rsid w:val="650520CD"/>
    <w:rsid w:val="65053D6A"/>
    <w:rsid w:val="65395466"/>
    <w:rsid w:val="656D3445"/>
    <w:rsid w:val="6578453C"/>
    <w:rsid w:val="659155FE"/>
    <w:rsid w:val="659F5F6D"/>
    <w:rsid w:val="65BA6903"/>
    <w:rsid w:val="65D33518"/>
    <w:rsid w:val="65D42C8C"/>
    <w:rsid w:val="65DF0E05"/>
    <w:rsid w:val="65FA69A9"/>
    <w:rsid w:val="65FF1D4D"/>
    <w:rsid w:val="66024CEF"/>
    <w:rsid w:val="660E4009"/>
    <w:rsid w:val="66202B8F"/>
    <w:rsid w:val="662A132F"/>
    <w:rsid w:val="663F3E8A"/>
    <w:rsid w:val="66660838"/>
    <w:rsid w:val="66794A10"/>
    <w:rsid w:val="668266BC"/>
    <w:rsid w:val="66952ECC"/>
    <w:rsid w:val="66B71094"/>
    <w:rsid w:val="66BB0B84"/>
    <w:rsid w:val="66D366D7"/>
    <w:rsid w:val="66D3685A"/>
    <w:rsid w:val="66D82907"/>
    <w:rsid w:val="670C7632"/>
    <w:rsid w:val="67220C03"/>
    <w:rsid w:val="67226E55"/>
    <w:rsid w:val="677F6056"/>
    <w:rsid w:val="6788081E"/>
    <w:rsid w:val="67A27F96"/>
    <w:rsid w:val="67DF722C"/>
    <w:rsid w:val="67F179E5"/>
    <w:rsid w:val="68092C9C"/>
    <w:rsid w:val="683E1F97"/>
    <w:rsid w:val="68430AED"/>
    <w:rsid w:val="6861575B"/>
    <w:rsid w:val="6864524C"/>
    <w:rsid w:val="68664B20"/>
    <w:rsid w:val="68822802"/>
    <w:rsid w:val="68C652EE"/>
    <w:rsid w:val="68F42334"/>
    <w:rsid w:val="69056D5A"/>
    <w:rsid w:val="690F6F65"/>
    <w:rsid w:val="69126AEA"/>
    <w:rsid w:val="691F21A2"/>
    <w:rsid w:val="692C3FBB"/>
    <w:rsid w:val="69652C31"/>
    <w:rsid w:val="69670B4F"/>
    <w:rsid w:val="698414AB"/>
    <w:rsid w:val="69BD4C13"/>
    <w:rsid w:val="69CA7330"/>
    <w:rsid w:val="69DA7573"/>
    <w:rsid w:val="69EA32AA"/>
    <w:rsid w:val="69ED4FB2"/>
    <w:rsid w:val="6A276D16"/>
    <w:rsid w:val="6A450888"/>
    <w:rsid w:val="6A7177BA"/>
    <w:rsid w:val="6A8E511F"/>
    <w:rsid w:val="6A8F4802"/>
    <w:rsid w:val="6A975464"/>
    <w:rsid w:val="6AA61D8A"/>
    <w:rsid w:val="6AF01018"/>
    <w:rsid w:val="6B030D4C"/>
    <w:rsid w:val="6B054A88"/>
    <w:rsid w:val="6B20545A"/>
    <w:rsid w:val="6B655563"/>
    <w:rsid w:val="6B6A0DCB"/>
    <w:rsid w:val="6BBD0EFB"/>
    <w:rsid w:val="6BD2397F"/>
    <w:rsid w:val="6BE44084"/>
    <w:rsid w:val="6C0C3C30"/>
    <w:rsid w:val="6C1D5E3D"/>
    <w:rsid w:val="6C220D8D"/>
    <w:rsid w:val="6C465394"/>
    <w:rsid w:val="6C4C227F"/>
    <w:rsid w:val="6C870A40"/>
    <w:rsid w:val="6C8A1A57"/>
    <w:rsid w:val="6CAD71C1"/>
    <w:rsid w:val="6CFA7F2C"/>
    <w:rsid w:val="6D0019E7"/>
    <w:rsid w:val="6D15087C"/>
    <w:rsid w:val="6D1E3C1B"/>
    <w:rsid w:val="6D5D0BE7"/>
    <w:rsid w:val="6D8D6F9D"/>
    <w:rsid w:val="6D940381"/>
    <w:rsid w:val="6D9A2F35"/>
    <w:rsid w:val="6DAE53F9"/>
    <w:rsid w:val="6DAF2A8F"/>
    <w:rsid w:val="6DF332FA"/>
    <w:rsid w:val="6E0077C5"/>
    <w:rsid w:val="6E63315E"/>
    <w:rsid w:val="6E697118"/>
    <w:rsid w:val="6E6C605B"/>
    <w:rsid w:val="6E9D5D62"/>
    <w:rsid w:val="6EA168B2"/>
    <w:rsid w:val="6EBC7B8F"/>
    <w:rsid w:val="6ED84CA2"/>
    <w:rsid w:val="6EFC4430"/>
    <w:rsid w:val="6F473DBE"/>
    <w:rsid w:val="6F8C57B4"/>
    <w:rsid w:val="6F926156"/>
    <w:rsid w:val="6F96218E"/>
    <w:rsid w:val="6F983F70"/>
    <w:rsid w:val="6F9B77A5"/>
    <w:rsid w:val="6FC41D71"/>
    <w:rsid w:val="6FD607DD"/>
    <w:rsid w:val="6FEC03DF"/>
    <w:rsid w:val="70457711"/>
    <w:rsid w:val="70480FAF"/>
    <w:rsid w:val="704F058F"/>
    <w:rsid w:val="7055204A"/>
    <w:rsid w:val="707A1AB0"/>
    <w:rsid w:val="7084648B"/>
    <w:rsid w:val="70AD70EB"/>
    <w:rsid w:val="70C81FB9"/>
    <w:rsid w:val="70C94DEE"/>
    <w:rsid w:val="70E4065F"/>
    <w:rsid w:val="711368CE"/>
    <w:rsid w:val="71562C1B"/>
    <w:rsid w:val="716B13F9"/>
    <w:rsid w:val="718D75C1"/>
    <w:rsid w:val="71C922DD"/>
    <w:rsid w:val="71CB0748"/>
    <w:rsid w:val="71D23226"/>
    <w:rsid w:val="71D60F68"/>
    <w:rsid w:val="71D92806"/>
    <w:rsid w:val="71E323B9"/>
    <w:rsid w:val="71E64695"/>
    <w:rsid w:val="71ED286D"/>
    <w:rsid w:val="71F65166"/>
    <w:rsid w:val="71F72544"/>
    <w:rsid w:val="71FC3D99"/>
    <w:rsid w:val="720A713E"/>
    <w:rsid w:val="72323CC5"/>
    <w:rsid w:val="72493B56"/>
    <w:rsid w:val="726E2F4F"/>
    <w:rsid w:val="72715DBD"/>
    <w:rsid w:val="727442DD"/>
    <w:rsid w:val="728C4565"/>
    <w:rsid w:val="72AB74A5"/>
    <w:rsid w:val="72BF1FCE"/>
    <w:rsid w:val="72C139C6"/>
    <w:rsid w:val="72C62D8B"/>
    <w:rsid w:val="72C74980"/>
    <w:rsid w:val="72C963D7"/>
    <w:rsid w:val="72D60AF4"/>
    <w:rsid w:val="72E60F84"/>
    <w:rsid w:val="730D6C0C"/>
    <w:rsid w:val="73164BEE"/>
    <w:rsid w:val="73353469"/>
    <w:rsid w:val="73361B49"/>
    <w:rsid w:val="7355410F"/>
    <w:rsid w:val="73A40BF2"/>
    <w:rsid w:val="73BC6D60"/>
    <w:rsid w:val="73E159A2"/>
    <w:rsid w:val="74077AAC"/>
    <w:rsid w:val="74143DE2"/>
    <w:rsid w:val="74192A57"/>
    <w:rsid w:val="742F4960"/>
    <w:rsid w:val="74664226"/>
    <w:rsid w:val="748A603A"/>
    <w:rsid w:val="749B1FF5"/>
    <w:rsid w:val="74D11E81"/>
    <w:rsid w:val="75065B7F"/>
    <w:rsid w:val="752D3F1E"/>
    <w:rsid w:val="753326F4"/>
    <w:rsid w:val="754602FA"/>
    <w:rsid w:val="755A763E"/>
    <w:rsid w:val="75647671"/>
    <w:rsid w:val="759A405B"/>
    <w:rsid w:val="75D9146A"/>
    <w:rsid w:val="75EA6D90"/>
    <w:rsid w:val="75F145C2"/>
    <w:rsid w:val="75F9331B"/>
    <w:rsid w:val="7610529E"/>
    <w:rsid w:val="762A586E"/>
    <w:rsid w:val="762F092F"/>
    <w:rsid w:val="763149BF"/>
    <w:rsid w:val="763D5EC9"/>
    <w:rsid w:val="764A0321"/>
    <w:rsid w:val="764B35A7"/>
    <w:rsid w:val="764C17F9"/>
    <w:rsid w:val="764C5480"/>
    <w:rsid w:val="766D176F"/>
    <w:rsid w:val="76875CBA"/>
    <w:rsid w:val="76B33626"/>
    <w:rsid w:val="76BB7FA4"/>
    <w:rsid w:val="76DD54BE"/>
    <w:rsid w:val="77026A79"/>
    <w:rsid w:val="770943E5"/>
    <w:rsid w:val="772207AC"/>
    <w:rsid w:val="77304C77"/>
    <w:rsid w:val="77343F30"/>
    <w:rsid w:val="773B361B"/>
    <w:rsid w:val="77534E09"/>
    <w:rsid w:val="77713434"/>
    <w:rsid w:val="77A00454"/>
    <w:rsid w:val="77A15B74"/>
    <w:rsid w:val="77BE0BAA"/>
    <w:rsid w:val="77CE5884"/>
    <w:rsid w:val="78324A1E"/>
    <w:rsid w:val="78646412"/>
    <w:rsid w:val="786A065C"/>
    <w:rsid w:val="78A3591C"/>
    <w:rsid w:val="78DB6E64"/>
    <w:rsid w:val="78EC72C3"/>
    <w:rsid w:val="78FB12B4"/>
    <w:rsid w:val="790E3DD2"/>
    <w:rsid w:val="790F6B0E"/>
    <w:rsid w:val="79187CFE"/>
    <w:rsid w:val="791F31F5"/>
    <w:rsid w:val="79336CA0"/>
    <w:rsid w:val="79415ED0"/>
    <w:rsid w:val="795A5158"/>
    <w:rsid w:val="79757554"/>
    <w:rsid w:val="79A851F6"/>
    <w:rsid w:val="79AB4A88"/>
    <w:rsid w:val="79D378EE"/>
    <w:rsid w:val="79E93803"/>
    <w:rsid w:val="79EA1A55"/>
    <w:rsid w:val="7A066163"/>
    <w:rsid w:val="7A1B7E60"/>
    <w:rsid w:val="7A3C1B84"/>
    <w:rsid w:val="7A70182E"/>
    <w:rsid w:val="7A8157E9"/>
    <w:rsid w:val="7A897A50"/>
    <w:rsid w:val="7A8B0BA1"/>
    <w:rsid w:val="7A992B33"/>
    <w:rsid w:val="7A9D09C9"/>
    <w:rsid w:val="7AA664FD"/>
    <w:rsid w:val="7AB0282F"/>
    <w:rsid w:val="7AD26961"/>
    <w:rsid w:val="7AF03942"/>
    <w:rsid w:val="7B1249F7"/>
    <w:rsid w:val="7B4A02D1"/>
    <w:rsid w:val="7B5315B8"/>
    <w:rsid w:val="7B615D46"/>
    <w:rsid w:val="7B7610C6"/>
    <w:rsid w:val="7B87251F"/>
    <w:rsid w:val="7B8726D4"/>
    <w:rsid w:val="7BA30286"/>
    <w:rsid w:val="7BC04D1F"/>
    <w:rsid w:val="7BC93671"/>
    <w:rsid w:val="7BD31CA7"/>
    <w:rsid w:val="7BDF0A19"/>
    <w:rsid w:val="7BE86FD9"/>
    <w:rsid w:val="7BED557B"/>
    <w:rsid w:val="7BF32349"/>
    <w:rsid w:val="7C047433"/>
    <w:rsid w:val="7C2823C0"/>
    <w:rsid w:val="7C510EF8"/>
    <w:rsid w:val="7C7E289D"/>
    <w:rsid w:val="7C7E6484"/>
    <w:rsid w:val="7C7F3FAA"/>
    <w:rsid w:val="7CC90BBB"/>
    <w:rsid w:val="7CD824D6"/>
    <w:rsid w:val="7CF577D7"/>
    <w:rsid w:val="7D0270B5"/>
    <w:rsid w:val="7D0821F2"/>
    <w:rsid w:val="7D0F1A31"/>
    <w:rsid w:val="7D152EC3"/>
    <w:rsid w:val="7D170ECC"/>
    <w:rsid w:val="7D1E3EA3"/>
    <w:rsid w:val="7D2C6397"/>
    <w:rsid w:val="7D3354C1"/>
    <w:rsid w:val="7D48697A"/>
    <w:rsid w:val="7D74675F"/>
    <w:rsid w:val="7D7718E6"/>
    <w:rsid w:val="7D923919"/>
    <w:rsid w:val="7DA834E4"/>
    <w:rsid w:val="7DD470F5"/>
    <w:rsid w:val="7DDB3462"/>
    <w:rsid w:val="7DDC6A1D"/>
    <w:rsid w:val="7DE40569"/>
    <w:rsid w:val="7E015288"/>
    <w:rsid w:val="7E2272E3"/>
    <w:rsid w:val="7E83478B"/>
    <w:rsid w:val="7E97390A"/>
    <w:rsid w:val="7E9A5A22"/>
    <w:rsid w:val="7E9F26E2"/>
    <w:rsid w:val="7EB75C7D"/>
    <w:rsid w:val="7ED00AED"/>
    <w:rsid w:val="7EE36A72"/>
    <w:rsid w:val="7EE97F06"/>
    <w:rsid w:val="7F14777D"/>
    <w:rsid w:val="7F1C6D34"/>
    <w:rsid w:val="7F21759B"/>
    <w:rsid w:val="7F2257ED"/>
    <w:rsid w:val="7F2A644F"/>
    <w:rsid w:val="7F38184C"/>
    <w:rsid w:val="7F442685"/>
    <w:rsid w:val="7F4734A5"/>
    <w:rsid w:val="7F565496"/>
    <w:rsid w:val="7F6404F2"/>
    <w:rsid w:val="7F6A2CF0"/>
    <w:rsid w:val="7F7818B1"/>
    <w:rsid w:val="7F8E2E82"/>
    <w:rsid w:val="7FA06711"/>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360" w:lineRule="auto"/>
      <w:ind w:left="432" w:hanging="432" w:firstLineChars="0"/>
      <w:jc w:val="left"/>
      <w:outlineLvl w:val="0"/>
    </w:pPr>
    <w:rPr>
      <w:rFonts w:ascii="Times New Roman" w:hAnsi="Times New Roman" w:eastAsia="宋体" w:cs="Times New Roman"/>
      <w:b/>
      <w:kern w:val="44"/>
      <w:sz w:val="30"/>
      <w:szCs w:val="28"/>
      <w:vertAlign w:val="baseline"/>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4">
    <w:name w:val="heading 3"/>
    <w:basedOn w:val="1"/>
    <w:next w:val="1"/>
    <w:semiHidden/>
    <w:unhideWhenUsed/>
    <w:qFormat/>
    <w:uiPriority w:val="0"/>
    <w:pPr>
      <w:keepNext/>
      <w:keepLines/>
      <w:numPr>
        <w:ilvl w:val="2"/>
        <w:numId w:val="1"/>
      </w:numPr>
      <w:spacing w:before="260" w:beforeLines="0" w:beforeAutospacing="0" w:afterLines="0" w:afterAutospacing="0" w:line="360" w:lineRule="auto"/>
      <w:ind w:left="0" w:firstLine="0" w:firstLineChars="0"/>
      <w:outlineLvl w:val="2"/>
    </w:pPr>
    <w:rPr>
      <w:rFonts w:ascii="Times New Roman" w:hAnsi="Times New Roman" w:eastAsia="宋体" w:cs="Times New Roman"/>
      <w:b/>
      <w:sz w:val="28"/>
      <w:szCs w:val="28"/>
      <w:vertAlign w:val="superscript"/>
    </w:rPr>
  </w:style>
  <w:style w:type="paragraph" w:styleId="5">
    <w:name w:val="heading 4"/>
    <w:basedOn w:val="1"/>
    <w:next w:val="1"/>
    <w:link w:val="36"/>
    <w:semiHidden/>
    <w:unhideWhenUsed/>
    <w:qFormat/>
    <w:uiPriority w:val="0"/>
    <w:pPr>
      <w:keepNext/>
      <w:keepLines/>
      <w:numPr>
        <w:ilvl w:val="3"/>
        <w:numId w:val="1"/>
      </w:numPr>
      <w:tabs>
        <w:tab w:val="left" w:pos="0"/>
      </w:tabs>
      <w:adjustRightInd w:val="0"/>
      <w:spacing w:line="240" w:lineRule="auto"/>
      <w:ind w:left="864" w:hanging="864"/>
      <w:textAlignment w:val="baseline"/>
      <w:outlineLvl w:val="3"/>
    </w:pPr>
    <w:rPr>
      <w:rFonts w:ascii="Times New Roman" w:hAnsi="Times New Roman" w:eastAsia="宋体" w:cs="Times New Roman"/>
      <w:b/>
      <w:kern w:val="0"/>
      <w:sz w:val="24"/>
      <w:szCs w:val="24"/>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styleId="11">
    <w:name w:val="Normal Indent"/>
    <w:basedOn w:val="1"/>
    <w:next w:val="1"/>
    <w:qFormat/>
    <w:uiPriority w:val="0"/>
    <w:pPr>
      <w:ind w:firstLine="420" w:firstLineChars="200"/>
    </w:pPr>
    <w:rPr>
      <w:rFonts w:eastAsia="宋体"/>
      <w:kern w:val="2"/>
      <w:sz w:val="21"/>
      <w:szCs w:val="24"/>
      <w:lang w:val="en-US" w:eastAsia="zh-CN" w:bidi="ar-SA"/>
    </w:rPr>
  </w:style>
  <w:style w:type="paragraph" w:styleId="12">
    <w:name w:val="caption"/>
    <w:basedOn w:val="1"/>
    <w:next w:val="1"/>
    <w:unhideWhenUsed/>
    <w:qFormat/>
    <w:uiPriority w:val="0"/>
    <w:pPr>
      <w:spacing w:line="240" w:lineRule="auto"/>
      <w:ind w:firstLine="0" w:firstLineChars="0"/>
      <w:jc w:val="center"/>
    </w:pPr>
    <w:rPr>
      <w:rFonts w:ascii="Times New Roman" w:hAnsi="Times New Roman" w:eastAsia="宋体"/>
      <w:b/>
      <w:sz w:val="21"/>
      <w:szCs w:val="21"/>
    </w:rPr>
  </w:style>
  <w:style w:type="paragraph" w:styleId="13">
    <w:name w:val="annotation text"/>
    <w:basedOn w:val="1"/>
    <w:next w:val="14"/>
    <w:semiHidden/>
    <w:qFormat/>
    <w:uiPriority w:val="0"/>
    <w:pPr>
      <w:jc w:val="left"/>
    </w:pPr>
    <w:rPr>
      <w:kern w:val="0"/>
      <w:sz w:val="20"/>
    </w:rPr>
  </w:style>
  <w:style w:type="paragraph" w:styleId="14">
    <w:name w:val="toc 3"/>
    <w:basedOn w:val="1"/>
    <w:next w:val="1"/>
    <w:qFormat/>
    <w:uiPriority w:val="0"/>
    <w:pPr>
      <w:spacing w:line="240" w:lineRule="auto"/>
      <w:ind w:left="1040" w:firstLine="5320"/>
    </w:pPr>
  </w:style>
  <w:style w:type="paragraph" w:styleId="15">
    <w:name w:val="Body Text"/>
    <w:basedOn w:val="1"/>
    <w:next w:val="16"/>
    <w:qFormat/>
    <w:uiPriority w:val="0"/>
    <w:pPr>
      <w:widowControl/>
      <w:snapToGrid w:val="0"/>
      <w:spacing w:before="60" w:after="160" w:line="259" w:lineRule="auto"/>
      <w:ind w:right="113"/>
    </w:pPr>
    <w:rPr>
      <w:kern w:val="0"/>
      <w:sz w:val="18"/>
      <w:szCs w:val="18"/>
    </w:rPr>
  </w:style>
  <w:style w:type="paragraph" w:styleId="16">
    <w:name w:val="Body Text First Indent"/>
    <w:basedOn w:val="15"/>
    <w:next w:val="1"/>
    <w:qFormat/>
    <w:uiPriority w:val="0"/>
    <w:pPr>
      <w:spacing w:after="120"/>
      <w:ind w:firstLine="420" w:firstLineChars="100"/>
    </w:pPr>
    <w:rPr>
      <w:sz w:val="21"/>
    </w:rPr>
  </w:style>
  <w:style w:type="paragraph" w:styleId="17">
    <w:name w:val="Body Text Indent"/>
    <w:basedOn w:val="1"/>
    <w:next w:val="18"/>
    <w:semiHidden/>
    <w:qFormat/>
    <w:uiPriority w:val="0"/>
    <w:pPr>
      <w:spacing w:after="120"/>
      <w:ind w:left="420" w:leftChars="200"/>
    </w:pPr>
  </w:style>
  <w:style w:type="paragraph" w:styleId="18">
    <w:name w:val="Balloon Text"/>
    <w:basedOn w:val="1"/>
    <w:semiHidden/>
    <w:qFormat/>
    <w:uiPriority w:val="0"/>
    <w:rPr>
      <w:sz w:val="18"/>
      <w:szCs w:val="18"/>
    </w:rPr>
  </w:style>
  <w:style w:type="paragraph" w:styleId="19">
    <w:name w:val="Block Text"/>
    <w:basedOn w:val="1"/>
    <w:unhideWhenUsed/>
    <w:qFormat/>
    <w:uiPriority w:val="99"/>
    <w:pPr>
      <w:spacing w:after="120"/>
      <w:ind w:left="1440" w:leftChars="700" w:right="1440" w:rightChars="700"/>
    </w:p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toc 1"/>
    <w:basedOn w:val="1"/>
    <w:next w:val="1"/>
    <w:qFormat/>
    <w:uiPriority w:val="39"/>
    <w:pPr>
      <w:tabs>
        <w:tab w:val="left" w:pos="420"/>
        <w:tab w:val="right" w:leader="dot" w:pos="8303"/>
      </w:tabs>
    </w:pPr>
    <w:rPr>
      <w:rFonts w:ascii="仿宋_GB2312" w:hAnsi="Arial Black" w:eastAsia="仿宋_GB2312"/>
      <w:sz w:val="28"/>
      <w:szCs w:val="20"/>
    </w:rPr>
  </w:style>
  <w:style w:type="paragraph" w:styleId="23">
    <w:name w:val="index heading"/>
    <w:basedOn w:val="1"/>
    <w:next w:val="24"/>
    <w:qFormat/>
    <w:uiPriority w:val="0"/>
  </w:style>
  <w:style w:type="paragraph" w:styleId="24">
    <w:name w:val="index 1"/>
    <w:basedOn w:val="1"/>
    <w:next w:val="1"/>
    <w:qFormat/>
    <w:uiPriority w:val="0"/>
  </w:style>
  <w:style w:type="paragraph" w:styleId="25">
    <w:name w:val="List"/>
    <w:basedOn w:val="1"/>
    <w:next w:val="1"/>
    <w:qFormat/>
    <w:uiPriority w:val="99"/>
    <w:pPr>
      <w:autoSpaceDE w:val="0"/>
      <w:autoSpaceDN w:val="0"/>
      <w:adjustRightInd w:val="0"/>
      <w:ind w:left="420" w:hanging="420"/>
      <w:jc w:val="left"/>
      <w:textAlignment w:val="baseline"/>
    </w:pPr>
    <w:rPr>
      <w:rFonts w:ascii="宋体"/>
      <w:sz w:val="34"/>
    </w:rPr>
  </w:style>
  <w:style w:type="paragraph" w:styleId="26">
    <w:name w:val="Body Text Indent 3"/>
    <w:basedOn w:val="1"/>
    <w:qFormat/>
    <w:uiPriority w:val="0"/>
    <w:pPr>
      <w:spacing w:line="300" w:lineRule="auto"/>
      <w:ind w:firstLine="616"/>
    </w:pPr>
  </w:style>
  <w:style w:type="paragraph" w:styleId="27">
    <w:name w:val="Body Text 2"/>
    <w:basedOn w:val="1"/>
    <w:qFormat/>
    <w:uiPriority w:val="0"/>
    <w:pPr>
      <w:spacing w:after="120" w:line="480" w:lineRule="auto"/>
    </w:pPr>
  </w:style>
  <w:style w:type="paragraph" w:styleId="28">
    <w:name w:val="Normal (Web)"/>
    <w:basedOn w:val="1"/>
    <w:next w:val="29"/>
    <w:qFormat/>
    <w:uiPriority w:val="0"/>
    <w:pPr>
      <w:widowControl/>
      <w:spacing w:before="100" w:beforeAutospacing="1" w:after="100" w:afterAutospacing="1"/>
      <w:jc w:val="left"/>
    </w:pPr>
    <w:rPr>
      <w:rFonts w:ascii="宋体" w:hAnsi="宋体"/>
      <w:kern w:val="0"/>
      <w:sz w:val="24"/>
    </w:rPr>
  </w:style>
  <w:style w:type="paragraph" w:customStyle="1" w:styleId="29">
    <w:name w:val="Char Char Char Char Char Char Char Char Char Char Char Char Char"/>
    <w:basedOn w:val="1"/>
    <w:next w:val="13"/>
    <w:qFormat/>
    <w:uiPriority w:val="0"/>
    <w:pPr>
      <w:autoSpaceDE w:val="0"/>
      <w:autoSpaceDN w:val="0"/>
      <w:spacing w:before="50" w:after="50"/>
      <w:ind w:left="560" w:firstLine="3632"/>
    </w:pPr>
  </w:style>
  <w:style w:type="paragraph" w:styleId="30">
    <w:name w:val="Body Text First Indent 2"/>
    <w:basedOn w:val="17"/>
    <w:next w:val="15"/>
    <w:qFormat/>
    <w:uiPriority w:val="0"/>
    <w:pPr>
      <w:ind w:firstLine="420"/>
    </w:pPr>
    <w:rPr>
      <w:rFonts w:eastAsia="华文中宋"/>
      <w:sz w:val="24"/>
    </w:rPr>
  </w:style>
  <w:style w:type="table" w:styleId="32">
    <w:name w:val="Table Grid"/>
    <w:basedOn w:val="3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rPr>
  </w:style>
  <w:style w:type="character" w:styleId="35">
    <w:name w:val="page number"/>
    <w:qFormat/>
    <w:uiPriority w:val="0"/>
  </w:style>
  <w:style w:type="character" w:customStyle="1" w:styleId="36">
    <w:name w:val="标题 4 Char"/>
    <w:link w:val="5"/>
    <w:qFormat/>
    <w:uiPriority w:val="0"/>
    <w:rPr>
      <w:rFonts w:ascii="Times New Roman" w:hAnsi="Times New Roman" w:eastAsia="宋体"/>
      <w:b/>
      <w:sz w:val="24"/>
      <w:szCs w:val="24"/>
      <w:lang w:val="en-US" w:eastAsia="zh-CN" w:bidi="ar-SA"/>
    </w:rPr>
  </w:style>
  <w:style w:type="paragraph" w:customStyle="1" w:styleId="37">
    <w:name w:val="表头"/>
    <w:basedOn w:val="38"/>
    <w:next w:val="1"/>
    <w:qFormat/>
    <w:uiPriority w:val="0"/>
    <w:pPr>
      <w:adjustRightInd w:val="0"/>
      <w:snapToGrid w:val="0"/>
      <w:spacing w:line="440" w:lineRule="atLeast"/>
      <w:ind w:firstLine="480" w:firstLineChars="200"/>
      <w:textAlignment w:val="baseline"/>
    </w:pPr>
    <w:rPr>
      <w:rFonts w:ascii="黑体" w:eastAsia="黑体"/>
      <w:color w:val="000000"/>
      <w:kern w:val="0"/>
      <w:sz w:val="24"/>
    </w:rPr>
  </w:style>
  <w:style w:type="paragraph" w:customStyle="1" w:styleId="38">
    <w:name w:val="表格"/>
    <w:basedOn w:val="11"/>
    <w:next w:val="1"/>
    <w:qFormat/>
    <w:uiPriority w:val="0"/>
    <w:pPr>
      <w:spacing w:line="0" w:lineRule="atLeast"/>
      <w:jc w:val="center"/>
    </w:pPr>
    <w:rPr>
      <w:rFonts w:eastAsia="仿宋_GB2312"/>
    </w:rPr>
  </w:style>
  <w:style w:type="paragraph" w:customStyle="1" w:styleId="39">
    <w:name w:val="No Spacing"/>
    <w:qFormat/>
    <w:uiPriority w:val="0"/>
    <w:pPr>
      <w:widowControl w:val="0"/>
      <w:jc w:val="center"/>
    </w:pPr>
    <w:rPr>
      <w:rFonts w:ascii="宋体" w:hAnsi="Times New Roman" w:eastAsia="宋体" w:cs="Times New Roman"/>
      <w:kern w:val="2"/>
      <w:sz w:val="24"/>
      <w:lang w:val="en-US" w:eastAsia="zh-CN" w:bidi="ar-SA"/>
    </w:rPr>
  </w:style>
  <w:style w:type="paragraph" w:customStyle="1" w:styleId="40">
    <w:name w:val="300"/>
    <w:basedOn w:val="1"/>
    <w:qFormat/>
    <w:uiPriority w:val="0"/>
    <w:pPr>
      <w:keepNext/>
      <w:keepLines/>
      <w:adjustRightInd w:val="0"/>
      <w:spacing w:line="600" w:lineRule="exact"/>
      <w:outlineLvl w:val="2"/>
    </w:pPr>
    <w:rPr>
      <w:b/>
      <w:bCs/>
      <w:sz w:val="28"/>
      <w:szCs w:val="24"/>
    </w:rPr>
  </w:style>
  <w:style w:type="paragraph" w:customStyle="1" w:styleId="41">
    <w:name w:val="样式 首行缩进:  2 字符1"/>
    <w:basedOn w:val="1"/>
    <w:qFormat/>
    <w:uiPriority w:val="0"/>
    <w:pPr>
      <w:spacing w:before="120" w:line="400" w:lineRule="exact"/>
      <w:ind w:firstLine="200" w:firstLineChars="200"/>
    </w:pPr>
    <w:rPr>
      <w:rFonts w:ascii="宋体"/>
      <w:sz w:val="24"/>
      <w:szCs w:val="20"/>
    </w:rPr>
  </w:style>
  <w:style w:type="paragraph" w:customStyle="1" w:styleId="42">
    <w:name w:val="表 头"/>
    <w:basedOn w:val="1"/>
    <w:qFormat/>
    <w:uiPriority w:val="0"/>
    <w:pPr>
      <w:adjustRightInd w:val="0"/>
      <w:spacing w:before="120" w:after="120" w:line="360" w:lineRule="atLeast"/>
      <w:jc w:val="center"/>
    </w:pPr>
    <w:rPr>
      <w:rFonts w:ascii="宋体" w:hAnsi="宋体" w:eastAsia="黑体"/>
      <w:spacing w:val="10"/>
      <w:kern w:val="0"/>
      <w:sz w:val="24"/>
      <w:szCs w:val="20"/>
    </w:rPr>
  </w:style>
  <w:style w:type="paragraph" w:customStyle="1" w:styleId="43">
    <w:name w:val="报告表正文"/>
    <w:basedOn w:val="44"/>
    <w:qFormat/>
    <w:uiPriority w:val="0"/>
    <w:pPr>
      <w:adjustRightInd w:val="0"/>
      <w:spacing w:line="312" w:lineRule="auto"/>
      <w:ind w:left="113" w:right="113" w:firstLine="482"/>
      <w:jc w:val="left"/>
    </w:pPr>
    <w:rPr>
      <w:rFonts w:ascii="宋体" w:hAnsi="宋体"/>
      <w:kern w:val="0"/>
      <w:sz w:val="24"/>
    </w:rPr>
  </w:style>
  <w:style w:type="paragraph" w:customStyle="1" w:styleId="44">
    <w:name w:val="报告正文"/>
    <w:basedOn w:val="45"/>
    <w:qFormat/>
    <w:uiPriority w:val="0"/>
    <w:pPr>
      <w:widowControl w:val="0"/>
      <w:snapToGrid w:val="0"/>
      <w:spacing w:line="360" w:lineRule="auto"/>
      <w:ind w:firstLine="200" w:firstLineChars="200"/>
    </w:pPr>
    <w:rPr>
      <w:rFonts w:ascii="Times New Roman" w:hAnsi="Times New Roman" w:cs="Times New Roman"/>
      <w:snapToGrid w:val="0"/>
      <w:sz w:val="24"/>
      <w:szCs w:val="28"/>
    </w:rPr>
  </w:style>
  <w:style w:type="paragraph" w:customStyle="1" w:styleId="45">
    <w:name w:val="p17"/>
    <w:basedOn w:val="1"/>
    <w:qFormat/>
    <w:uiPriority w:val="0"/>
    <w:pPr>
      <w:widowControl/>
    </w:pPr>
    <w:rPr>
      <w:rFonts w:ascii="宋体" w:hAnsi="宋体" w:cs="宋体"/>
      <w:kern w:val="0"/>
      <w:szCs w:val="21"/>
    </w:rPr>
  </w:style>
  <w:style w:type="paragraph" w:customStyle="1" w:styleId="46">
    <w:name w:val="表格文字"/>
    <w:basedOn w:val="16"/>
    <w:qFormat/>
    <w:uiPriority w:val="0"/>
    <w:pPr>
      <w:spacing w:line="300" w:lineRule="exact"/>
      <w:ind w:hanging="91"/>
      <w:jc w:val="center"/>
    </w:pPr>
    <w:rPr>
      <w:rFonts w:ascii="仿宋_GB2312" w:eastAsia="仿宋_GB2312"/>
      <w:spacing w:val="-16"/>
      <w:szCs w:val="21"/>
    </w:rPr>
  </w:style>
  <w:style w:type="paragraph" w:customStyle="1" w:styleId="47">
    <w:name w:val="正文(首行缩进)"/>
    <w:basedOn w:val="1"/>
    <w:qFormat/>
    <w:uiPriority w:val="0"/>
    <w:pPr>
      <w:adjustRightInd w:val="0"/>
      <w:snapToGrid w:val="0"/>
      <w:spacing w:line="360" w:lineRule="auto"/>
      <w:ind w:firstLine="482" w:firstLineChars="200"/>
    </w:pPr>
    <w:rPr>
      <w:rFonts w:hAnsi="宋体"/>
      <w:b/>
      <w:bCs/>
      <w:color w:val="000000"/>
      <w:sz w:val="24"/>
      <w:szCs w:val="28"/>
    </w:rPr>
  </w:style>
  <w:style w:type="paragraph" w:customStyle="1" w:styleId="48">
    <w:name w:val="正文文本缩进1"/>
    <w:basedOn w:val="1"/>
    <w:qFormat/>
    <w:uiPriority w:val="99"/>
    <w:pPr>
      <w:spacing w:line="320" w:lineRule="exact"/>
      <w:ind w:firstLine="113"/>
      <w:jc w:val="center"/>
    </w:pPr>
    <w:rPr>
      <w:rFonts w:ascii="宋体" w:hAnsi="宋体"/>
      <w:bCs/>
      <w:color w:val="000000"/>
      <w:sz w:val="24"/>
      <w:szCs w:val="28"/>
    </w:rPr>
  </w:style>
  <w:style w:type="character" w:customStyle="1" w:styleId="49">
    <w:name w:val="font31"/>
    <w:basedOn w:val="33"/>
    <w:qFormat/>
    <w:uiPriority w:val="0"/>
    <w:rPr>
      <w:rFonts w:hint="default" w:ascii="Times New Roman" w:hAnsi="Times New Roman" w:cs="Times New Roman"/>
      <w:color w:val="000000"/>
      <w:sz w:val="21"/>
      <w:szCs w:val="21"/>
      <w:u w:val="none"/>
    </w:rPr>
  </w:style>
  <w:style w:type="paragraph" w:customStyle="1" w:styleId="50">
    <w:name w:val="Default"/>
    <w:basedOn w:val="51"/>
    <w:next w:val="25"/>
    <w:qFormat/>
    <w:uiPriority w:val="0"/>
    <w:pPr>
      <w:widowControl w:val="0"/>
      <w:tabs>
        <w:tab w:val="left" w:pos="2760"/>
      </w:tabs>
      <w:autoSpaceDE w:val="0"/>
      <w:autoSpaceDN w:val="0"/>
      <w:adjustRightInd w:val="0"/>
    </w:pPr>
    <w:rPr>
      <w:rFonts w:ascii="宋体" w:cs="宋体"/>
      <w:color w:val="000000"/>
      <w:sz w:val="24"/>
      <w:szCs w:val="24"/>
      <w:lang w:val="en-US" w:eastAsia="zh-CN" w:bidi="ar-SA"/>
    </w:rPr>
  </w:style>
  <w:style w:type="paragraph" w:customStyle="1" w:styleId="51">
    <w:name w:val="纯文本1"/>
    <w:basedOn w:val="1"/>
    <w:qFormat/>
    <w:uiPriority w:val="0"/>
    <w:pPr>
      <w:tabs>
        <w:tab w:val="left" w:pos="2760"/>
      </w:tabs>
      <w:adjustRightInd w:val="0"/>
    </w:pPr>
    <w:rPr>
      <w:rFonts w:ascii="宋体" w:hAnsi="Courier New"/>
      <w:szCs w:val="20"/>
    </w:rPr>
  </w:style>
  <w:style w:type="character" w:customStyle="1" w:styleId="52">
    <w:name w:val="font41"/>
    <w:basedOn w:val="33"/>
    <w:qFormat/>
    <w:uiPriority w:val="0"/>
    <w:rPr>
      <w:rFonts w:ascii="宋体" w:hAnsi="宋体" w:eastAsia="宋体" w:cs="宋体"/>
      <w:color w:val="989800"/>
      <w:sz w:val="14"/>
      <w:szCs w:val="14"/>
      <w:u w:val="none"/>
    </w:rPr>
  </w:style>
  <w:style w:type="paragraph" w:customStyle="1" w:styleId="53">
    <w:name w:val="正文 小四 行距: 1.5 倍行距"/>
    <w:basedOn w:val="1"/>
    <w:qFormat/>
    <w:uiPriority w:val="0"/>
    <w:pPr>
      <w:spacing w:line="360" w:lineRule="auto"/>
      <w:ind w:firstLine="480" w:firstLineChars="200"/>
    </w:pPr>
    <w:rPr>
      <w:rFonts w:cs="宋体"/>
      <w:sz w:val="24"/>
      <w:szCs w:val="20"/>
    </w:rPr>
  </w:style>
  <w:style w:type="paragraph" w:customStyle="1" w:styleId="54">
    <w:name w:val="p0"/>
    <w:basedOn w:val="1"/>
    <w:qFormat/>
    <w:uiPriority w:val="0"/>
    <w:pPr>
      <w:widowControl/>
    </w:pPr>
    <w:rPr>
      <w:kern w:val="0"/>
      <w:szCs w:val="21"/>
    </w:rPr>
  </w:style>
  <w:style w:type="paragraph" w:customStyle="1" w:styleId="55">
    <w:name w:val="_Style 115"/>
    <w:basedOn w:val="17"/>
    <w:next w:val="30"/>
    <w:qFormat/>
    <w:uiPriority w:val="0"/>
    <w:pPr>
      <w:adjustRightInd/>
      <w:snapToGrid/>
      <w:spacing w:line="360" w:lineRule="auto"/>
      <w:ind w:firstLine="420"/>
      <w:jc w:val="both"/>
    </w:pPr>
    <w:rPr>
      <w:kern w:val="0"/>
      <w:sz w:val="24"/>
      <w:szCs w:val="24"/>
    </w:rPr>
  </w:style>
  <w:style w:type="character" w:customStyle="1" w:styleId="56">
    <w:name w:val="font21"/>
    <w:basedOn w:val="33"/>
    <w:qFormat/>
    <w:uiPriority w:val="0"/>
    <w:rPr>
      <w:rFonts w:hint="eastAsia" w:ascii="宋体" w:hAnsi="宋体" w:eastAsia="宋体" w:cs="宋体"/>
      <w:color w:val="000000"/>
      <w:sz w:val="21"/>
      <w:szCs w:val="21"/>
      <w:u w:val="none"/>
    </w:rPr>
  </w:style>
  <w:style w:type="paragraph" w:customStyle="1" w:styleId="57">
    <w:name w:val="样式 正文缩进正文缩进2正文缩进 Char Char正文缩进 Char Char Char Char正文缩进 Char ..."/>
    <w:basedOn w:val="11"/>
    <w:qFormat/>
    <w:uiPriority w:val="0"/>
    <w:pPr>
      <w:spacing w:line="360" w:lineRule="auto"/>
      <w:ind w:firstLine="200"/>
    </w:pPr>
    <w:rPr>
      <w:rFonts w:cs="宋体"/>
      <w:sz w:val="24"/>
    </w:rPr>
  </w:style>
  <w:style w:type="paragraph" w:customStyle="1" w:styleId="58">
    <w:name w:val="文本"/>
    <w:basedOn w:val="1"/>
    <w:qFormat/>
    <w:uiPriority w:val="0"/>
    <w:pPr>
      <w:adjustRightInd w:val="0"/>
      <w:snapToGrid w:val="0"/>
      <w:spacing w:line="360" w:lineRule="auto"/>
      <w:ind w:firstLine="480" w:firstLineChars="200"/>
      <w:jc w:val="left"/>
    </w:pPr>
    <w:rPr>
      <w:sz w:val="24"/>
      <w:szCs w:val="24"/>
    </w:rPr>
  </w:style>
  <w:style w:type="table" w:customStyle="1" w:styleId="59">
    <w:name w:val="Table Normal"/>
    <w:semiHidden/>
    <w:unhideWhenUsed/>
    <w:qFormat/>
    <w:uiPriority w:val="0"/>
    <w:tblPr>
      <w:tblCellMar>
        <w:top w:w="0" w:type="dxa"/>
        <w:left w:w="0" w:type="dxa"/>
        <w:bottom w:w="0" w:type="dxa"/>
        <w:right w:w="0" w:type="dxa"/>
      </w:tblCellMar>
    </w:tblPr>
  </w:style>
  <w:style w:type="paragraph" w:customStyle="1" w:styleId="60">
    <w:name w:val="Table Text"/>
    <w:basedOn w:val="1"/>
    <w:semiHidden/>
    <w:qFormat/>
    <w:uiPriority w:val="0"/>
    <w:rPr>
      <w:rFonts w:ascii="Times New Roman" w:hAnsi="Times New Roman" w:eastAsia="Times New Roman" w:cs="Times New Roman"/>
      <w:sz w:val="22"/>
      <w:szCs w:val="22"/>
      <w:lang w:val="en-US" w:eastAsia="en-US" w:bidi="ar-SA"/>
    </w:rPr>
  </w:style>
  <w:style w:type="paragraph" w:customStyle="1" w:styleId="61">
    <w:name w:val="WPSOffice手动目录 1"/>
    <w:qFormat/>
    <w:uiPriority w:val="0"/>
    <w:pPr>
      <w:ind w:leftChars="0"/>
    </w:pPr>
    <w:rPr>
      <w:rFonts w:ascii="Times New Roman" w:hAnsi="Times New Roman" w:eastAsia="宋体" w:cs="Times New Roman"/>
      <w:sz w:val="20"/>
      <w:szCs w:val="20"/>
    </w:rPr>
  </w:style>
  <w:style w:type="paragraph" w:customStyle="1" w:styleId="62">
    <w:name w:val="表格内"/>
    <w:basedOn w:val="1"/>
    <w:qFormat/>
    <w:uiPriority w:val="99"/>
    <w:pPr>
      <w:adjustRightInd w:val="0"/>
      <w:spacing w:line="240" w:lineRule="atLeast"/>
      <w:jc w:val="center"/>
      <w:textAlignment w:val="baseline"/>
    </w:pPr>
    <w:rPr>
      <w:rFonts w:ascii="宋体"/>
      <w:kern w:val="0"/>
      <w:sz w:val="28"/>
      <w:szCs w:val="20"/>
    </w:rPr>
  </w:style>
  <w:style w:type="paragraph" w:customStyle="1" w:styleId="63">
    <w:name w:val="正文新"/>
    <w:basedOn w:val="1"/>
    <w:qFormat/>
    <w:uiPriority w:val="0"/>
    <w:pPr>
      <w:spacing w:line="460" w:lineRule="exact"/>
      <w:ind w:firstLine="480" w:firstLineChars="200"/>
    </w:pPr>
    <w:rPr>
      <w:sz w:val="24"/>
    </w:rPr>
  </w:style>
  <w:style w:type="paragraph" w:customStyle="1" w:styleId="64">
    <w:name w:val="表格 5号"/>
    <w:basedOn w:val="1"/>
    <w:next w:val="1"/>
    <w:autoRedefine/>
    <w:qFormat/>
    <w:uiPriority w:val="0"/>
    <w:pPr>
      <w:adjustRightInd w:val="0"/>
      <w:snapToGrid w:val="0"/>
      <w:spacing w:line="240" w:lineRule="auto"/>
      <w:ind w:firstLine="0" w:firstLineChars="0"/>
      <w:jc w:val="center"/>
    </w:pPr>
    <w:rPr>
      <w:rFonts w:hint="eastAsia" w:ascii="Times New Roman" w:hAnsi="Times New Roman" w:eastAsia="宋体"/>
      <w:kern w:val="0"/>
      <w:sz w:val="21"/>
      <w:szCs w:val="20"/>
    </w:rPr>
  </w:style>
  <w:style w:type="paragraph" w:customStyle="1" w:styleId="65">
    <w:name w:val="2"/>
    <w:next w:val="26"/>
    <w:qFormat/>
    <w:uiPriority w:val="0"/>
    <w:rPr>
      <w:rFonts w:ascii="Times New Roman" w:hAnsi="Times New Roman" w:eastAsia="宋体" w:cs="Times New Roman"/>
      <w:lang w:val="en-US" w:eastAsia="zh-CN" w:bidi="ar-SA"/>
    </w:rPr>
  </w:style>
  <w:style w:type="paragraph" w:customStyle="1" w:styleId="66">
    <w:name w:val="正文26"/>
    <w:basedOn w:val="1"/>
    <w:qFormat/>
    <w:uiPriority w:val="0"/>
    <w:pPr>
      <w:adjustRightInd w:val="0"/>
      <w:snapToGrid w:val="0"/>
      <w:spacing w:line="520" w:lineRule="exact"/>
      <w:ind w:firstLine="480" w:firstLineChars="200"/>
      <w:textAlignment w:val="baseline"/>
    </w:pPr>
    <w:rPr>
      <w:rFonts w:ascii="宋体" w:hAnsi="宋体" w:cs="宋体"/>
      <w:snapToGrid w:val="0"/>
      <w:sz w:val="24"/>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